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4767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4767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4767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4767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47672" w:rsidTr="002E5576">
        <w:tc>
          <w:tcPr>
            <w:tcW w:w="4518" w:type="dxa"/>
          </w:tcPr>
          <w:p w:rsidR="00BF25F3" w:rsidRPr="002E2327" w:rsidRDefault="00D7005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7005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47672" w:rsidTr="002E5576">
        <w:tc>
          <w:tcPr>
            <w:tcW w:w="4518" w:type="dxa"/>
          </w:tcPr>
          <w:p w:rsidR="009F3024" w:rsidRPr="006429C9" w:rsidRDefault="009F3024" w:rsidP="009F3024">
            <w:pPr>
              <w:tabs>
                <w:tab w:val="left" w:pos="6075"/>
              </w:tabs>
              <w:rPr>
                <w:rFonts w:cs="Times New Roman"/>
                <w:szCs w:val="24"/>
                <w:lang w:val="fr-CA"/>
              </w:rPr>
            </w:pPr>
          </w:p>
          <w:p w:rsidR="009F3024" w:rsidRPr="006429C9" w:rsidRDefault="009F3024" w:rsidP="009F3024">
            <w:pPr>
              <w:tabs>
                <w:tab w:val="left" w:pos="6075"/>
              </w:tabs>
              <w:rPr>
                <w:rFonts w:cs="Times New Roman"/>
                <w:szCs w:val="24"/>
                <w:lang w:val="fr-CA"/>
              </w:rPr>
            </w:pPr>
          </w:p>
        </w:tc>
        <w:tc>
          <w:tcPr>
            <w:tcW w:w="630" w:type="dxa"/>
          </w:tcPr>
          <w:p w:rsidR="009F3024" w:rsidRPr="006429C9"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47672"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6429C9">
        <w:rPr>
          <w:lang w:val="fr-CA"/>
        </w:rPr>
        <w:t>ne</w:t>
      </w:r>
      <w:r w:rsidR="00440E24" w:rsidRPr="00675479">
        <w:rPr>
          <w:lang w:val="fr-CA"/>
        </w:rPr>
        <w:t xml:space="preserve"> </w:t>
      </w:r>
      <w:r w:rsidR="006429C9">
        <w:rPr>
          <w:lang w:val="fr-CA"/>
        </w:rPr>
        <w:t>29</w:t>
      </w:r>
      <w:r w:rsidR="00440E24" w:rsidRPr="00675479">
        <w:rPr>
          <w:lang w:val="fr-CA"/>
        </w:rPr>
        <w:t>, 201</w:t>
      </w:r>
      <w:r>
        <w:rPr>
          <w:lang w:val="fr-CA"/>
        </w:rPr>
        <w:t>2</w:t>
      </w:r>
      <w:r w:rsidR="00F0068D" w:rsidRPr="00675479">
        <w:rPr>
          <w:lang w:val="fr-CA"/>
        </w:rPr>
        <w:tab/>
      </w:r>
      <w:r w:rsidR="006429C9">
        <w:rPr>
          <w:lang w:val="fr-CA"/>
        </w:rPr>
        <w:t>97</w:t>
      </w:r>
      <w:r w:rsidR="00F0068D" w:rsidRPr="00675479">
        <w:rPr>
          <w:lang w:val="fr-CA"/>
        </w:rPr>
        <w:t xml:space="preserve">1 - </w:t>
      </w:r>
      <w:r w:rsidR="008B5DBF">
        <w:rPr>
          <w:lang w:val="fr-CA"/>
        </w:rPr>
        <w:t>1035</w:t>
      </w:r>
      <w:r w:rsidR="00440E24" w:rsidRPr="00675479">
        <w:rPr>
          <w:lang w:val="fr-CA"/>
        </w:rPr>
        <w:tab/>
      </w:r>
      <w:r w:rsidR="00440E24" w:rsidRPr="002E2327">
        <w:rPr>
          <w:lang w:val="fr-CA"/>
        </w:rPr>
        <w:t>Le</w:t>
      </w:r>
      <w:r>
        <w:rPr>
          <w:lang w:val="fr-CA"/>
        </w:rPr>
        <w:t xml:space="preserve"> </w:t>
      </w:r>
      <w:r w:rsidR="006429C9">
        <w:rPr>
          <w:lang w:val="fr-CA"/>
        </w:rPr>
        <w:t>29</w:t>
      </w:r>
      <w:r>
        <w:rPr>
          <w:lang w:val="fr-CA"/>
        </w:rPr>
        <w:t xml:space="preserve"> j</w:t>
      </w:r>
      <w:r w:rsidR="006429C9">
        <w:rPr>
          <w:lang w:val="fr-CA"/>
        </w:rPr>
        <w:t>ui</w:t>
      </w:r>
      <w:r>
        <w:rPr>
          <w:lang w:val="fr-CA"/>
        </w:rPr>
        <w:t>n</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201713">
            <w:pPr>
              <w:tabs>
                <w:tab w:val="right" w:pos="9360"/>
              </w:tabs>
              <w:rPr>
                <w:rFonts w:cs="Times New Roman"/>
                <w:sz w:val="20"/>
                <w:szCs w:val="20"/>
              </w:rPr>
            </w:pPr>
          </w:p>
        </w:tc>
        <w:tc>
          <w:tcPr>
            <w:tcW w:w="1980" w:type="dxa"/>
          </w:tcPr>
          <w:p w:rsidR="0095096B" w:rsidRPr="002E2327" w:rsidRDefault="006429C9" w:rsidP="0095096B">
            <w:pPr>
              <w:jc w:val="center"/>
              <w:rPr>
                <w:rFonts w:cs="Times New Roman"/>
                <w:sz w:val="20"/>
                <w:szCs w:val="20"/>
              </w:rPr>
            </w:pPr>
            <w:r>
              <w:rPr>
                <w:rFonts w:cs="Times New Roman"/>
                <w:sz w:val="20"/>
                <w:szCs w:val="20"/>
              </w:rPr>
              <w:t xml:space="preserve">971 </w:t>
            </w:r>
            <w:r w:rsidR="00D70052" w:rsidRPr="002E2327">
              <w:rPr>
                <w:rFonts w:cs="Times New Roman"/>
                <w:sz w:val="20"/>
                <w:szCs w:val="20"/>
              </w:rPr>
              <w:fldChar w:fldCharType="begin"/>
            </w:r>
            <w:r w:rsidR="0095096B" w:rsidRPr="002E2327">
              <w:rPr>
                <w:rFonts w:cs="Times New Roman"/>
                <w:sz w:val="20"/>
                <w:szCs w:val="20"/>
              </w:rPr>
              <w:instrText xml:space="preserve"> SEQ CHAPTER \h \r 1</w:instrText>
            </w:r>
            <w:r w:rsidR="00D70052" w:rsidRPr="002E2327">
              <w:rPr>
                <w:rFonts w:cs="Times New Roman"/>
                <w:sz w:val="20"/>
                <w:szCs w:val="20"/>
              </w:rPr>
              <w:fldChar w:fldCharType="end"/>
            </w:r>
            <w:r w:rsidR="0095096B" w:rsidRPr="002E2327">
              <w:rPr>
                <w:rFonts w:cs="Times New Roman"/>
                <w:sz w:val="20"/>
                <w:szCs w:val="20"/>
              </w:rPr>
              <w:t>-</w:t>
            </w:r>
            <w:r w:rsidR="0043450D">
              <w:rPr>
                <w:rFonts w:cs="Times New Roman"/>
                <w:sz w:val="20"/>
                <w:szCs w:val="20"/>
              </w:rPr>
              <w:t xml:space="preserve"> 972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46753" w:rsidP="0095096B">
            <w:pPr>
              <w:jc w:val="center"/>
              <w:rPr>
                <w:rFonts w:cs="Times New Roman"/>
                <w:sz w:val="20"/>
                <w:szCs w:val="20"/>
              </w:rPr>
            </w:pPr>
            <w:r>
              <w:rPr>
                <w:rFonts w:cs="Times New Roman"/>
                <w:sz w:val="20"/>
                <w:szCs w:val="20"/>
              </w:rPr>
              <w:t>973</w:t>
            </w:r>
            <w:r w:rsidR="00B246A2">
              <w:rPr>
                <w:rFonts w:cs="Times New Roman"/>
                <w:sz w:val="20"/>
                <w:szCs w:val="20"/>
              </w:rPr>
              <w:t xml:space="preserve"> - 974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246A2" w:rsidP="0095096B">
            <w:pPr>
              <w:jc w:val="center"/>
              <w:rPr>
                <w:rFonts w:cs="Times New Roman"/>
                <w:sz w:val="20"/>
                <w:szCs w:val="20"/>
              </w:rPr>
            </w:pPr>
            <w:r>
              <w:rPr>
                <w:rFonts w:cs="Times New Roman"/>
                <w:sz w:val="20"/>
                <w:szCs w:val="20"/>
              </w:rPr>
              <w:t xml:space="preserve">975 </w:t>
            </w:r>
            <w:r w:rsidR="0095096B" w:rsidRPr="002E2327">
              <w:rPr>
                <w:rFonts w:cs="Times New Roman"/>
                <w:sz w:val="20"/>
                <w:szCs w:val="20"/>
              </w:rPr>
              <w:t>-</w:t>
            </w:r>
            <w:r w:rsidR="009B21E4">
              <w:rPr>
                <w:rFonts w:cs="Times New Roman"/>
                <w:sz w:val="20"/>
                <w:szCs w:val="20"/>
              </w:rPr>
              <w:t xml:space="preserve"> 1017</w:t>
            </w:r>
          </w:p>
          <w:p w:rsidR="0095096B" w:rsidRPr="002E2327" w:rsidRDefault="0095096B" w:rsidP="0095096B">
            <w:pPr>
              <w:jc w:val="center"/>
              <w:rPr>
                <w:rFonts w:cs="Times New Roman"/>
                <w:sz w:val="20"/>
                <w:szCs w:val="20"/>
              </w:rPr>
            </w:pPr>
          </w:p>
          <w:p w:rsidR="009B21E4" w:rsidRDefault="009B21E4" w:rsidP="0095096B">
            <w:pPr>
              <w:jc w:val="center"/>
              <w:rPr>
                <w:rFonts w:cs="Times New Roman"/>
                <w:sz w:val="20"/>
                <w:szCs w:val="20"/>
              </w:rPr>
            </w:pPr>
          </w:p>
          <w:p w:rsidR="0095096B" w:rsidRPr="002E2327" w:rsidRDefault="009B21E4" w:rsidP="0095096B">
            <w:pPr>
              <w:jc w:val="center"/>
              <w:rPr>
                <w:rFonts w:cs="Times New Roman"/>
                <w:sz w:val="20"/>
                <w:szCs w:val="20"/>
              </w:rPr>
            </w:pPr>
            <w:r>
              <w:rPr>
                <w:rFonts w:cs="Times New Roman"/>
                <w:sz w:val="20"/>
                <w:szCs w:val="20"/>
              </w:rPr>
              <w:t xml:space="preserve">1018 </w:t>
            </w:r>
            <w:r w:rsidR="0095096B" w:rsidRPr="002E2327">
              <w:rPr>
                <w:rFonts w:cs="Times New Roman"/>
                <w:sz w:val="20"/>
                <w:szCs w:val="20"/>
              </w:rPr>
              <w:t>-</w:t>
            </w:r>
            <w:r>
              <w:rPr>
                <w:rFonts w:cs="Times New Roman"/>
                <w:sz w:val="20"/>
                <w:szCs w:val="20"/>
              </w:rPr>
              <w:t xml:space="preserve"> 1023</w:t>
            </w:r>
          </w:p>
          <w:p w:rsidR="0095096B" w:rsidRPr="002E2327" w:rsidRDefault="0095096B" w:rsidP="0095096B">
            <w:pPr>
              <w:jc w:val="center"/>
              <w:rPr>
                <w:rFonts w:cs="Times New Roman"/>
                <w:sz w:val="20"/>
                <w:szCs w:val="20"/>
              </w:rPr>
            </w:pPr>
          </w:p>
          <w:p w:rsidR="0095096B" w:rsidRPr="002E2327" w:rsidRDefault="009B21E4" w:rsidP="0095096B">
            <w:pPr>
              <w:jc w:val="center"/>
              <w:rPr>
                <w:rFonts w:cs="Times New Roman"/>
                <w:sz w:val="20"/>
                <w:szCs w:val="20"/>
              </w:rPr>
            </w:pPr>
            <w:r>
              <w:rPr>
                <w:rFonts w:cs="Times New Roman"/>
                <w:sz w:val="20"/>
                <w:szCs w:val="20"/>
              </w:rPr>
              <w:t>1024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B21E4" w:rsidP="0095096B">
            <w:pPr>
              <w:jc w:val="center"/>
              <w:rPr>
                <w:rFonts w:cs="Times New Roman"/>
                <w:sz w:val="20"/>
                <w:szCs w:val="20"/>
              </w:rPr>
            </w:pPr>
            <w:r>
              <w:rPr>
                <w:rFonts w:cs="Times New Roman"/>
                <w:sz w:val="20"/>
                <w:szCs w:val="20"/>
              </w:rPr>
              <w:t>1025</w:t>
            </w:r>
          </w:p>
          <w:p w:rsidR="0095096B" w:rsidRPr="002E2327" w:rsidRDefault="0095096B" w:rsidP="0095096B">
            <w:pPr>
              <w:jc w:val="center"/>
              <w:rPr>
                <w:rFonts w:cs="Times New Roman"/>
                <w:sz w:val="20"/>
                <w:szCs w:val="20"/>
              </w:rPr>
            </w:pPr>
          </w:p>
          <w:p w:rsidR="009B21E4" w:rsidRDefault="009B21E4" w:rsidP="0095096B">
            <w:pPr>
              <w:jc w:val="center"/>
              <w:rPr>
                <w:rFonts w:cs="Times New Roman"/>
                <w:sz w:val="20"/>
                <w:szCs w:val="20"/>
              </w:rPr>
            </w:pPr>
          </w:p>
          <w:p w:rsidR="0095096B" w:rsidRPr="002E2327" w:rsidRDefault="008B5DBF" w:rsidP="0095096B">
            <w:pPr>
              <w:jc w:val="center"/>
              <w:rPr>
                <w:rFonts w:cs="Times New Roman"/>
                <w:sz w:val="20"/>
                <w:szCs w:val="20"/>
              </w:rPr>
            </w:pPr>
            <w:r>
              <w:rPr>
                <w:rFonts w:cs="Times New Roman"/>
                <w:sz w:val="20"/>
                <w:szCs w:val="20"/>
              </w:rPr>
              <w:t xml:space="preserve">1026 </w:t>
            </w:r>
            <w:r w:rsidR="0095096B" w:rsidRPr="002E2327">
              <w:rPr>
                <w:rFonts w:cs="Times New Roman"/>
                <w:sz w:val="20"/>
                <w:szCs w:val="20"/>
              </w:rPr>
              <w:t>-</w:t>
            </w:r>
            <w:r>
              <w:rPr>
                <w:rFonts w:cs="Times New Roman"/>
                <w:sz w:val="20"/>
                <w:szCs w:val="20"/>
              </w:rPr>
              <w:t xml:space="preserve"> 1032</w:t>
            </w:r>
          </w:p>
          <w:p w:rsidR="0095096B" w:rsidRPr="002E2327" w:rsidRDefault="0095096B" w:rsidP="0095096B">
            <w:pPr>
              <w:jc w:val="center"/>
              <w:rPr>
                <w:rFonts w:cs="Times New Roman"/>
                <w:sz w:val="20"/>
                <w:szCs w:val="20"/>
              </w:rPr>
            </w:pPr>
          </w:p>
          <w:p w:rsidR="0095096B" w:rsidRPr="002E2327" w:rsidRDefault="008B5DBF" w:rsidP="0095096B">
            <w:pPr>
              <w:jc w:val="center"/>
              <w:rPr>
                <w:rFonts w:cs="Times New Roman"/>
                <w:sz w:val="20"/>
                <w:szCs w:val="20"/>
              </w:rPr>
            </w:pPr>
            <w:r>
              <w:rPr>
                <w:rFonts w:cs="Times New Roman"/>
                <w:sz w:val="20"/>
                <w:szCs w:val="20"/>
              </w:rPr>
              <w:t>1033</w:t>
            </w:r>
          </w:p>
          <w:p w:rsidR="0095096B" w:rsidRPr="002E2327" w:rsidRDefault="0095096B" w:rsidP="0095096B">
            <w:pPr>
              <w:jc w:val="center"/>
              <w:rPr>
                <w:rFonts w:cs="Times New Roman"/>
                <w:sz w:val="20"/>
                <w:szCs w:val="20"/>
              </w:rPr>
            </w:pPr>
          </w:p>
          <w:p w:rsidR="0095096B" w:rsidRPr="002E2327" w:rsidRDefault="008B5DBF" w:rsidP="0095096B">
            <w:pPr>
              <w:jc w:val="center"/>
              <w:rPr>
                <w:rFonts w:cs="Times New Roman"/>
                <w:sz w:val="20"/>
                <w:szCs w:val="20"/>
              </w:rPr>
            </w:pPr>
            <w:r>
              <w:rPr>
                <w:rFonts w:cs="Times New Roman"/>
                <w:sz w:val="20"/>
                <w:szCs w:val="20"/>
              </w:rPr>
              <w:t xml:space="preserve">1034 </w:t>
            </w:r>
            <w:r w:rsidR="0095096B" w:rsidRPr="002E2327">
              <w:rPr>
                <w:rFonts w:cs="Times New Roman"/>
                <w:sz w:val="20"/>
                <w:szCs w:val="20"/>
              </w:rPr>
              <w:t>-</w:t>
            </w:r>
            <w:r>
              <w:rPr>
                <w:rFonts w:cs="Times New Roman"/>
                <w:sz w:val="20"/>
                <w:szCs w:val="20"/>
              </w:rPr>
              <w:t xml:space="preserve"> 1035</w:t>
            </w:r>
          </w:p>
          <w:p w:rsidR="00A87207" w:rsidRPr="002E2327" w:rsidRDefault="00A87207" w:rsidP="00201713">
            <w:pPr>
              <w:jc w:val="center"/>
              <w:rPr>
                <w:rFonts w:cs="Times New Roman"/>
                <w:sz w:val="20"/>
                <w:szCs w:val="20"/>
              </w:rPr>
            </w:pPr>
          </w:p>
        </w:tc>
        <w:tc>
          <w:tcPr>
            <w:tcW w:w="3888" w:type="dxa"/>
          </w:tcPr>
          <w:p w:rsidR="0095096B" w:rsidRPr="002E2327" w:rsidRDefault="00D7005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201713">
            <w:pPr>
              <w:tabs>
                <w:tab w:val="right" w:pos="9360"/>
              </w:tabs>
              <w:rPr>
                <w:rFonts w:cs="Times New Roman"/>
                <w:sz w:val="20"/>
                <w:szCs w:val="20"/>
                <w:lang w:val="fr-CA"/>
              </w:rPr>
            </w:pPr>
          </w:p>
        </w:tc>
      </w:tr>
    </w:tbl>
    <w:p w:rsidR="0095096B" w:rsidRDefault="0095096B" w:rsidP="0095096B">
      <w:pPr>
        <w:tabs>
          <w:tab w:val="right" w:pos="9360"/>
        </w:tabs>
      </w:pPr>
    </w:p>
    <w:p w:rsidR="00201713" w:rsidRDefault="00201713" w:rsidP="0095096B">
      <w:pPr>
        <w:tabs>
          <w:tab w:val="right" w:pos="9360"/>
        </w:tabs>
      </w:pPr>
    </w:p>
    <w:p w:rsidR="00201713" w:rsidRDefault="00201713" w:rsidP="0095096B">
      <w:pPr>
        <w:tabs>
          <w:tab w:val="right" w:pos="9360"/>
        </w:tabs>
      </w:pPr>
    </w:p>
    <w:p w:rsidR="00201713" w:rsidRDefault="00201713" w:rsidP="0095096B">
      <w:pPr>
        <w:tabs>
          <w:tab w:val="right" w:pos="9360"/>
        </w:tabs>
      </w:pPr>
    </w:p>
    <w:p w:rsidR="00201713" w:rsidRDefault="00201713" w:rsidP="0095096B">
      <w:pPr>
        <w:tabs>
          <w:tab w:val="right" w:pos="9360"/>
        </w:tabs>
      </w:pPr>
    </w:p>
    <w:p w:rsidR="00201713" w:rsidRPr="002E2327" w:rsidRDefault="00201713" w:rsidP="0095096B">
      <w:pPr>
        <w:tabs>
          <w:tab w:val="right" w:pos="9360"/>
        </w:tabs>
      </w:pPr>
    </w:p>
    <w:tbl>
      <w:tblPr>
        <w:tblStyle w:val="TableGrid"/>
        <w:tblW w:w="0" w:type="auto"/>
        <w:tblLook w:val="04A0"/>
      </w:tblPr>
      <w:tblGrid>
        <w:gridCol w:w="9576"/>
      </w:tblGrid>
      <w:tr w:rsidR="0079724F" w:rsidRPr="0014767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7A3220" w:rsidP="003B3977">
            <w:pPr>
              <w:rPr>
                <w:b/>
                <w:sz w:val="20"/>
                <w:szCs w:val="20"/>
              </w:rPr>
            </w:pPr>
            <w:r>
              <w:rPr>
                <w:b/>
                <w:sz w:val="20"/>
                <w:szCs w:val="20"/>
              </w:rPr>
              <w:t>John Doe, Requester</w:t>
            </w:r>
          </w:p>
          <w:p w:rsidR="00242AEE" w:rsidRPr="00A935AA" w:rsidRDefault="00E4444D" w:rsidP="003B3977">
            <w:pPr>
              <w:tabs>
                <w:tab w:val="left" w:pos="-1440"/>
                <w:tab w:val="left" w:pos="-720"/>
              </w:tabs>
              <w:rPr>
                <w:sz w:val="20"/>
                <w:szCs w:val="20"/>
              </w:rPr>
            </w:pPr>
            <w:r>
              <w:rPr>
                <w:sz w:val="20"/>
                <w:szCs w:val="20"/>
              </w:rPr>
              <w:tab/>
            </w:r>
            <w:r w:rsidR="007A3220">
              <w:rPr>
                <w:sz w:val="20"/>
                <w:szCs w:val="20"/>
              </w:rPr>
              <w:t>Alex Cameron</w:t>
            </w:r>
          </w:p>
          <w:p w:rsidR="00242AEE" w:rsidRPr="00A935AA" w:rsidRDefault="00242AEE" w:rsidP="003B3977">
            <w:pPr>
              <w:tabs>
                <w:tab w:val="left" w:pos="-1440"/>
                <w:tab w:val="left" w:pos="-720"/>
              </w:tabs>
              <w:rPr>
                <w:sz w:val="20"/>
                <w:szCs w:val="20"/>
              </w:rPr>
            </w:pPr>
            <w:r w:rsidRPr="00A935AA">
              <w:rPr>
                <w:sz w:val="20"/>
                <w:szCs w:val="20"/>
              </w:rPr>
              <w:tab/>
            </w:r>
            <w:r w:rsidR="007A3220">
              <w:rPr>
                <w:sz w:val="20"/>
                <w:szCs w:val="20"/>
              </w:rPr>
              <w:t>Fasken Martineau DuMoulin LLP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E4444D">
              <w:rPr>
                <w:sz w:val="20"/>
                <w:szCs w:val="20"/>
              </w:rPr>
              <w:t>4</w:t>
            </w:r>
            <w:r w:rsidRPr="00A935AA">
              <w:rPr>
                <w:sz w:val="20"/>
                <w:szCs w:val="20"/>
              </w:rPr>
              <w:t>8</w:t>
            </w:r>
            <w:r w:rsidR="007A3220">
              <w:rPr>
                <w:sz w:val="20"/>
                <w:szCs w:val="20"/>
              </w:rPr>
              <w:t>28</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7A3220" w:rsidP="003B3977">
            <w:pPr>
              <w:tabs>
                <w:tab w:val="left" w:pos="-1440"/>
                <w:tab w:val="left" w:pos="-720"/>
              </w:tabs>
              <w:rPr>
                <w:b/>
                <w:sz w:val="20"/>
                <w:szCs w:val="20"/>
              </w:rPr>
            </w:pPr>
            <w:r>
              <w:rPr>
                <w:b/>
                <w:sz w:val="20"/>
                <w:szCs w:val="20"/>
              </w:rPr>
              <w:t xml:space="preserve">Minister of Finance for the Province of Ontario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7A3220">
              <w:rPr>
                <w:sz w:val="20"/>
                <w:szCs w:val="20"/>
              </w:rPr>
              <w:t>Sara Blake</w:t>
            </w:r>
          </w:p>
          <w:p w:rsidR="00242AEE" w:rsidRPr="00A935AA" w:rsidRDefault="00242AEE" w:rsidP="003B3977">
            <w:pPr>
              <w:tabs>
                <w:tab w:val="left" w:pos="-1440"/>
                <w:tab w:val="left" w:pos="-720"/>
              </w:tabs>
              <w:rPr>
                <w:sz w:val="20"/>
                <w:szCs w:val="20"/>
              </w:rPr>
            </w:pPr>
            <w:r w:rsidRPr="00A935AA">
              <w:rPr>
                <w:sz w:val="20"/>
                <w:szCs w:val="20"/>
              </w:rPr>
              <w:tab/>
            </w:r>
            <w:r w:rsidR="007A3220">
              <w:rPr>
                <w:sz w:val="20"/>
                <w:szCs w:val="20"/>
              </w:rPr>
              <w:t>A.G. of Ontario</w:t>
            </w:r>
          </w:p>
          <w:p w:rsidR="00242AEE" w:rsidRPr="00A935AA" w:rsidRDefault="00242AEE" w:rsidP="003B3977">
            <w:pPr>
              <w:tabs>
                <w:tab w:val="left" w:pos="-1440"/>
                <w:tab w:val="left" w:pos="-720"/>
              </w:tabs>
              <w:rPr>
                <w:sz w:val="20"/>
                <w:szCs w:val="20"/>
              </w:rPr>
            </w:pPr>
          </w:p>
          <w:p w:rsidR="00242AEE" w:rsidRPr="00A935AA" w:rsidRDefault="007A3220" w:rsidP="003B3977">
            <w:pPr>
              <w:rPr>
                <w:sz w:val="20"/>
                <w:szCs w:val="20"/>
              </w:rPr>
            </w:pPr>
            <w:r>
              <w:rPr>
                <w:sz w:val="20"/>
                <w:szCs w:val="20"/>
              </w:rPr>
              <w:t xml:space="preserve">and between </w:t>
            </w:r>
          </w:p>
          <w:p w:rsidR="00242AEE" w:rsidRPr="00A935AA" w:rsidRDefault="00242AEE" w:rsidP="003B3977">
            <w:pPr>
              <w:rPr>
                <w:sz w:val="20"/>
                <w:szCs w:val="20"/>
              </w:rPr>
            </w:pP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7A3220" w:rsidP="003B3977">
            <w:pPr>
              <w:keepNext/>
              <w:keepLines/>
              <w:tabs>
                <w:tab w:val="left" w:pos="-1440"/>
                <w:tab w:val="left" w:pos="-720"/>
              </w:tabs>
              <w:rPr>
                <w:b/>
                <w:sz w:val="20"/>
                <w:szCs w:val="20"/>
              </w:rPr>
            </w:pPr>
            <w:r>
              <w:rPr>
                <w:b/>
                <w:sz w:val="20"/>
                <w:szCs w:val="20"/>
              </w:rPr>
              <w:t>Roberto Kotello</w:t>
            </w:r>
          </w:p>
          <w:p w:rsidR="00242AEE" w:rsidRPr="00A935AA" w:rsidRDefault="00242AEE" w:rsidP="003B3977">
            <w:pPr>
              <w:keepNext/>
              <w:keepLines/>
              <w:tabs>
                <w:tab w:val="left" w:pos="-1440"/>
                <w:tab w:val="left" w:pos="-720"/>
              </w:tabs>
              <w:rPr>
                <w:sz w:val="20"/>
                <w:szCs w:val="20"/>
              </w:rPr>
            </w:pPr>
            <w:r w:rsidRPr="00A935AA">
              <w:rPr>
                <w:sz w:val="20"/>
                <w:szCs w:val="20"/>
              </w:rPr>
              <w:tab/>
            </w:r>
            <w:r w:rsidR="007A3220">
              <w:rPr>
                <w:sz w:val="20"/>
                <w:szCs w:val="20"/>
              </w:rPr>
              <w:t>Rocky Kravetsky</w:t>
            </w:r>
          </w:p>
          <w:p w:rsidR="00242AEE" w:rsidRPr="00A935AA" w:rsidRDefault="00242AEE" w:rsidP="003B3977">
            <w:pPr>
              <w:keepNext/>
              <w:keepLines/>
              <w:tabs>
                <w:tab w:val="left" w:pos="-1440"/>
                <w:tab w:val="left" w:pos="-720"/>
              </w:tabs>
              <w:rPr>
                <w:sz w:val="20"/>
                <w:szCs w:val="20"/>
              </w:rPr>
            </w:pPr>
          </w:p>
          <w:p w:rsidR="00242AEE" w:rsidRPr="007A3220" w:rsidRDefault="00242AEE" w:rsidP="003B3977">
            <w:pPr>
              <w:keepNext/>
              <w:keepLines/>
              <w:tabs>
                <w:tab w:val="left" w:pos="-1440"/>
                <w:tab w:val="left" w:pos="-720"/>
              </w:tabs>
              <w:rPr>
                <w:sz w:val="20"/>
                <w:szCs w:val="20"/>
              </w:rPr>
            </w:pPr>
            <w:r w:rsidRPr="00A935AA">
              <w:rPr>
                <w:sz w:val="20"/>
                <w:szCs w:val="20"/>
              </w:rPr>
              <w:tab/>
            </w:r>
            <w:r w:rsidRPr="007A3220">
              <w:rPr>
                <w:sz w:val="20"/>
                <w:szCs w:val="20"/>
              </w:rPr>
              <w:t>v. (3</w:t>
            </w:r>
            <w:r w:rsidR="00E4444D" w:rsidRPr="007A3220">
              <w:rPr>
                <w:sz w:val="20"/>
                <w:szCs w:val="20"/>
              </w:rPr>
              <w:t>4</w:t>
            </w:r>
            <w:r w:rsidRPr="007A3220">
              <w:rPr>
                <w:sz w:val="20"/>
                <w:szCs w:val="20"/>
              </w:rPr>
              <w:t>8</w:t>
            </w:r>
            <w:r w:rsidR="007A3220" w:rsidRPr="007A3220">
              <w:rPr>
                <w:sz w:val="20"/>
                <w:szCs w:val="20"/>
              </w:rPr>
              <w:t>46</w:t>
            </w:r>
            <w:r w:rsidRPr="007A3220">
              <w:rPr>
                <w:sz w:val="20"/>
                <w:szCs w:val="20"/>
              </w:rPr>
              <w:t>)</w:t>
            </w:r>
          </w:p>
          <w:p w:rsidR="00242AEE" w:rsidRPr="007A3220" w:rsidRDefault="00242AEE" w:rsidP="003B3977">
            <w:pPr>
              <w:keepNext/>
              <w:keepLines/>
              <w:tabs>
                <w:tab w:val="left" w:pos="-1440"/>
                <w:tab w:val="left" w:pos="-720"/>
              </w:tabs>
              <w:rPr>
                <w:sz w:val="20"/>
                <w:szCs w:val="20"/>
              </w:rPr>
            </w:pPr>
          </w:p>
          <w:p w:rsidR="00242AEE" w:rsidRPr="007A3220" w:rsidRDefault="007A3220" w:rsidP="003B3977">
            <w:pPr>
              <w:keepNext/>
              <w:keepLines/>
              <w:tabs>
                <w:tab w:val="left" w:pos="-1440"/>
                <w:tab w:val="left" w:pos="-720"/>
              </w:tabs>
              <w:rPr>
                <w:b/>
                <w:sz w:val="20"/>
                <w:szCs w:val="20"/>
              </w:rPr>
            </w:pPr>
            <w:r w:rsidRPr="007A3220">
              <w:rPr>
                <w:b/>
                <w:sz w:val="20"/>
                <w:szCs w:val="20"/>
              </w:rPr>
              <w:t>Rita Steinman</w:t>
            </w:r>
            <w:r w:rsidR="00BA628A">
              <w:rPr>
                <w:b/>
                <w:sz w:val="20"/>
                <w:szCs w:val="20"/>
              </w:rPr>
              <w:t>n</w:t>
            </w:r>
            <w:r w:rsidRPr="007A3220">
              <w:rPr>
                <w:b/>
                <w:sz w:val="20"/>
                <w:szCs w:val="20"/>
              </w:rPr>
              <w:t xml:space="preserve"> </w:t>
            </w:r>
            <w:r w:rsidR="00242AEE" w:rsidRPr="007A3220">
              <w:rPr>
                <w:b/>
                <w:sz w:val="20"/>
                <w:szCs w:val="20"/>
              </w:rPr>
              <w:t>(</w:t>
            </w:r>
            <w:r w:rsidR="00990FFF">
              <w:rPr>
                <w:b/>
                <w:sz w:val="20"/>
                <w:szCs w:val="20"/>
              </w:rPr>
              <w:t>Ma</w:t>
            </w:r>
            <w:r w:rsidR="00242AEE" w:rsidRPr="007A3220">
              <w:rPr>
                <w:b/>
                <w:sz w:val="20"/>
                <w:szCs w:val="20"/>
              </w:rPr>
              <w:t>n.)</w:t>
            </w:r>
          </w:p>
          <w:p w:rsidR="00242AEE" w:rsidRPr="007A3220" w:rsidRDefault="00242AEE" w:rsidP="003B3977">
            <w:pPr>
              <w:keepNext/>
              <w:keepLines/>
              <w:tabs>
                <w:tab w:val="left" w:pos="-1440"/>
                <w:tab w:val="left" w:pos="-720"/>
              </w:tabs>
              <w:rPr>
                <w:sz w:val="20"/>
                <w:szCs w:val="20"/>
              </w:rPr>
            </w:pPr>
            <w:r w:rsidRPr="007A3220">
              <w:rPr>
                <w:sz w:val="20"/>
                <w:szCs w:val="20"/>
              </w:rPr>
              <w:tab/>
            </w:r>
            <w:r w:rsidR="007A3220">
              <w:rPr>
                <w:sz w:val="20"/>
                <w:szCs w:val="20"/>
              </w:rPr>
              <w:t>Rita Steinman</w:t>
            </w:r>
            <w:r w:rsidR="00BA628A">
              <w:rPr>
                <w:sz w:val="20"/>
                <w:szCs w:val="20"/>
              </w:rPr>
              <w:t>n</w:t>
            </w:r>
          </w:p>
          <w:p w:rsidR="00242AEE" w:rsidRPr="007A3220" w:rsidRDefault="00242AEE" w:rsidP="003B3977">
            <w:pPr>
              <w:keepNext/>
              <w:keepLines/>
              <w:tabs>
                <w:tab w:val="left" w:pos="-1440"/>
                <w:tab w:val="left" w:pos="-720"/>
              </w:tabs>
              <w:rPr>
                <w:sz w:val="20"/>
                <w:szCs w:val="20"/>
              </w:rPr>
            </w:pPr>
          </w:p>
          <w:p w:rsidR="00242AEE" w:rsidRPr="00BA628A" w:rsidRDefault="00242AEE" w:rsidP="00E4444D">
            <w:pPr>
              <w:rPr>
                <w:sz w:val="20"/>
                <w:szCs w:val="20"/>
              </w:rPr>
            </w:pPr>
            <w:r w:rsidRPr="00A935AA">
              <w:rPr>
                <w:sz w:val="20"/>
                <w:szCs w:val="20"/>
              </w:rPr>
              <w:t>FILING DATE: 28.0</w:t>
            </w:r>
            <w:r w:rsidR="00E4444D">
              <w:rPr>
                <w:sz w:val="20"/>
                <w:szCs w:val="20"/>
              </w:rPr>
              <w:t>5</w:t>
            </w:r>
            <w:r w:rsidRPr="00A935AA">
              <w:rPr>
                <w:sz w:val="20"/>
                <w:szCs w:val="20"/>
              </w:rPr>
              <w:t>.201</w:t>
            </w:r>
            <w:r w:rsidR="00E4444D">
              <w:rPr>
                <w:sz w:val="20"/>
                <w:szCs w:val="20"/>
              </w:rPr>
              <w:t>2</w:t>
            </w:r>
            <w:r w:rsidR="00D70052" w:rsidRPr="00D70052">
              <w:rPr>
                <w:sz w:val="20"/>
                <w:szCs w:val="20"/>
                <w:lang w:val="fr-CA"/>
              </w:rPr>
              <w:pict>
                <v:rect id="_x0000_i1025" style="width:108pt;height:1pt" o:hrpct="0" o:hralign="center" o:hrstd="t" o:hrnoshade="t" o:hr="t" fillcolor="black [3213]" stroked="f"/>
              </w:pict>
            </w:r>
          </w:p>
          <w:p w:rsidR="007A3220" w:rsidRPr="00BA628A" w:rsidRDefault="007A3220" w:rsidP="00E4444D">
            <w:pPr>
              <w:rPr>
                <w:sz w:val="20"/>
                <w:szCs w:val="20"/>
              </w:rPr>
            </w:pPr>
          </w:p>
          <w:p w:rsidR="007A3220" w:rsidRDefault="007A3220" w:rsidP="00E4444D">
            <w:pPr>
              <w:rPr>
                <w:sz w:val="20"/>
                <w:szCs w:val="20"/>
              </w:rPr>
            </w:pPr>
            <w:r w:rsidRPr="007A3220">
              <w:rPr>
                <w:b/>
                <w:sz w:val="20"/>
                <w:szCs w:val="20"/>
              </w:rPr>
              <w:t>Sable Mary Seismic Incorporated et al.</w:t>
            </w:r>
          </w:p>
          <w:p w:rsidR="007A3220" w:rsidRPr="007A3220" w:rsidRDefault="007A3220" w:rsidP="00E4444D">
            <w:pPr>
              <w:rPr>
                <w:sz w:val="20"/>
                <w:szCs w:val="20"/>
              </w:rPr>
            </w:pPr>
            <w:r>
              <w:rPr>
                <w:sz w:val="20"/>
                <w:szCs w:val="20"/>
              </w:rPr>
              <w:tab/>
              <w:t>Derrick J. Kimball</w:t>
            </w:r>
          </w:p>
        </w:tc>
      </w:tr>
      <w:tr w:rsidR="00E4444D" w:rsidRPr="00C6513D" w:rsidTr="003B3977">
        <w:tc>
          <w:tcPr>
            <w:tcW w:w="4320" w:type="dxa"/>
            <w:shd w:val="clear" w:color="auto" w:fill="auto"/>
          </w:tcPr>
          <w:p w:rsidR="00E4444D" w:rsidRPr="00A935AA" w:rsidRDefault="007A3220" w:rsidP="00F96FE7">
            <w:pPr>
              <w:rPr>
                <w:b/>
                <w:sz w:val="20"/>
                <w:szCs w:val="20"/>
              </w:rPr>
            </w:pPr>
            <w:r>
              <w:rPr>
                <w:b/>
                <w:sz w:val="20"/>
                <w:szCs w:val="20"/>
              </w:rPr>
              <w:t>Diane Smith, Adjudicator, Information and Privacy Commissioner of Ontario</w:t>
            </w:r>
          </w:p>
          <w:p w:rsidR="00E4444D" w:rsidRPr="00A935AA" w:rsidRDefault="00E4444D" w:rsidP="00F96FE7">
            <w:pPr>
              <w:tabs>
                <w:tab w:val="left" w:pos="-1440"/>
                <w:tab w:val="left" w:pos="-720"/>
              </w:tabs>
              <w:rPr>
                <w:sz w:val="20"/>
                <w:szCs w:val="20"/>
              </w:rPr>
            </w:pPr>
            <w:r>
              <w:rPr>
                <w:sz w:val="20"/>
                <w:szCs w:val="20"/>
              </w:rPr>
              <w:tab/>
            </w:r>
            <w:r w:rsidR="007A3220">
              <w:rPr>
                <w:sz w:val="20"/>
                <w:szCs w:val="20"/>
              </w:rPr>
              <w:t>William S. Challis</w:t>
            </w:r>
          </w:p>
          <w:p w:rsidR="00E4444D" w:rsidRPr="00A935AA" w:rsidRDefault="00E4444D" w:rsidP="00F96FE7">
            <w:pPr>
              <w:tabs>
                <w:tab w:val="left" w:pos="-1440"/>
                <w:tab w:val="left" w:pos="-720"/>
              </w:tabs>
              <w:rPr>
                <w:sz w:val="20"/>
                <w:szCs w:val="20"/>
              </w:rPr>
            </w:pPr>
            <w:r w:rsidRPr="00A935AA">
              <w:rPr>
                <w:sz w:val="20"/>
                <w:szCs w:val="20"/>
              </w:rPr>
              <w:tab/>
            </w:r>
            <w:r w:rsidR="007A3220">
              <w:rPr>
                <w:sz w:val="20"/>
                <w:szCs w:val="20"/>
              </w:rPr>
              <w:t xml:space="preserve">Information and Privacy Commissioner </w:t>
            </w:r>
            <w:r w:rsidR="007A3220">
              <w:rPr>
                <w:sz w:val="20"/>
                <w:szCs w:val="20"/>
              </w:rPr>
              <w:tab/>
              <w:t>of Ontario</w:t>
            </w:r>
          </w:p>
          <w:p w:rsidR="00E4444D" w:rsidRPr="00A935AA" w:rsidRDefault="00E4444D" w:rsidP="00F96FE7">
            <w:pPr>
              <w:tabs>
                <w:tab w:val="left" w:pos="-1440"/>
                <w:tab w:val="left" w:pos="-720"/>
              </w:tabs>
              <w:rPr>
                <w:sz w:val="20"/>
                <w:szCs w:val="20"/>
              </w:rPr>
            </w:pPr>
          </w:p>
          <w:p w:rsidR="00E4444D" w:rsidRPr="00A935AA" w:rsidRDefault="00E4444D" w:rsidP="00F96FE7">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sidR="007A3220">
              <w:rPr>
                <w:sz w:val="20"/>
                <w:szCs w:val="20"/>
              </w:rPr>
              <w:t>28</w:t>
            </w:r>
            <w:r w:rsidRPr="00A935AA">
              <w:rPr>
                <w:sz w:val="20"/>
                <w:szCs w:val="20"/>
              </w:rPr>
              <w:t>)</w:t>
            </w:r>
          </w:p>
          <w:p w:rsidR="00E4444D" w:rsidRPr="00A935AA" w:rsidRDefault="00E4444D" w:rsidP="00F96FE7">
            <w:pPr>
              <w:tabs>
                <w:tab w:val="left" w:pos="-1440"/>
                <w:tab w:val="left" w:pos="-720"/>
              </w:tabs>
              <w:rPr>
                <w:sz w:val="20"/>
                <w:szCs w:val="20"/>
              </w:rPr>
            </w:pPr>
          </w:p>
          <w:p w:rsidR="00E4444D" w:rsidRPr="00A935AA" w:rsidRDefault="007A3220" w:rsidP="00F96FE7">
            <w:pPr>
              <w:tabs>
                <w:tab w:val="left" w:pos="-1440"/>
                <w:tab w:val="left" w:pos="-720"/>
              </w:tabs>
              <w:rPr>
                <w:b/>
                <w:sz w:val="20"/>
                <w:szCs w:val="20"/>
              </w:rPr>
            </w:pPr>
            <w:r>
              <w:rPr>
                <w:b/>
                <w:sz w:val="20"/>
                <w:szCs w:val="20"/>
              </w:rPr>
              <w:t xml:space="preserve">Minister of Finance for the Province of Ontario </w:t>
            </w:r>
            <w:r w:rsidR="00E4444D" w:rsidRPr="00A935AA">
              <w:rPr>
                <w:b/>
                <w:sz w:val="20"/>
                <w:szCs w:val="20"/>
              </w:rPr>
              <w:t>(</w:t>
            </w:r>
            <w:r>
              <w:rPr>
                <w:b/>
                <w:sz w:val="20"/>
                <w:szCs w:val="20"/>
              </w:rPr>
              <w:t>Ont</w:t>
            </w:r>
            <w:r w:rsidR="00E4444D" w:rsidRPr="00A935AA">
              <w:rPr>
                <w:b/>
                <w:sz w:val="20"/>
                <w:szCs w:val="20"/>
              </w:rPr>
              <w:t>.)</w:t>
            </w:r>
          </w:p>
          <w:p w:rsidR="007A3220" w:rsidRPr="00A935AA" w:rsidRDefault="00E4444D" w:rsidP="007A3220">
            <w:pPr>
              <w:tabs>
                <w:tab w:val="left" w:pos="-1440"/>
                <w:tab w:val="left" w:pos="-720"/>
              </w:tabs>
              <w:rPr>
                <w:sz w:val="20"/>
                <w:szCs w:val="20"/>
              </w:rPr>
            </w:pPr>
            <w:r w:rsidRPr="00A935AA">
              <w:rPr>
                <w:sz w:val="20"/>
                <w:szCs w:val="20"/>
              </w:rPr>
              <w:tab/>
            </w:r>
            <w:r w:rsidR="007A3220">
              <w:rPr>
                <w:sz w:val="20"/>
                <w:szCs w:val="20"/>
              </w:rPr>
              <w:t>Sara Blake</w:t>
            </w:r>
          </w:p>
          <w:p w:rsidR="007A3220" w:rsidRPr="00A935AA" w:rsidRDefault="007A3220" w:rsidP="007A3220">
            <w:pPr>
              <w:tabs>
                <w:tab w:val="left" w:pos="-1440"/>
                <w:tab w:val="left" w:pos="-720"/>
              </w:tabs>
              <w:rPr>
                <w:sz w:val="20"/>
                <w:szCs w:val="20"/>
              </w:rPr>
            </w:pPr>
            <w:r w:rsidRPr="00A935AA">
              <w:rPr>
                <w:sz w:val="20"/>
                <w:szCs w:val="20"/>
              </w:rPr>
              <w:tab/>
            </w:r>
            <w:r>
              <w:rPr>
                <w:sz w:val="20"/>
                <w:szCs w:val="20"/>
              </w:rPr>
              <w:t>A.G. of Ontario</w:t>
            </w:r>
          </w:p>
          <w:p w:rsidR="00E4444D" w:rsidRPr="00A935AA" w:rsidRDefault="00E4444D" w:rsidP="00F96FE7">
            <w:pPr>
              <w:tabs>
                <w:tab w:val="left" w:pos="-1440"/>
                <w:tab w:val="left" w:pos="-720"/>
              </w:tabs>
              <w:rPr>
                <w:sz w:val="20"/>
                <w:szCs w:val="20"/>
              </w:rPr>
            </w:pPr>
          </w:p>
          <w:p w:rsidR="00E4444D" w:rsidRPr="00A935AA" w:rsidRDefault="00E4444D" w:rsidP="00F96FE7">
            <w:pPr>
              <w:rPr>
                <w:sz w:val="20"/>
                <w:szCs w:val="20"/>
              </w:rPr>
            </w:pPr>
            <w:r w:rsidRPr="00A935AA">
              <w:rPr>
                <w:sz w:val="20"/>
                <w:szCs w:val="20"/>
              </w:rPr>
              <w:t xml:space="preserve">FILING DATE: </w:t>
            </w:r>
            <w:r w:rsidR="007A3220">
              <w:rPr>
                <w:sz w:val="20"/>
                <w:szCs w:val="20"/>
              </w:rPr>
              <w:t>15</w:t>
            </w:r>
            <w:r w:rsidRPr="00A935AA">
              <w:rPr>
                <w:sz w:val="20"/>
                <w:szCs w:val="20"/>
              </w:rPr>
              <w:t>.0</w:t>
            </w:r>
            <w:r>
              <w:rPr>
                <w:sz w:val="20"/>
                <w:szCs w:val="20"/>
              </w:rPr>
              <w:t>5</w:t>
            </w:r>
            <w:r w:rsidRPr="00A935AA">
              <w:rPr>
                <w:sz w:val="20"/>
                <w:szCs w:val="20"/>
              </w:rPr>
              <w:t>.201</w:t>
            </w:r>
            <w:r>
              <w:rPr>
                <w:sz w:val="20"/>
                <w:szCs w:val="20"/>
              </w:rPr>
              <w:t>2</w:t>
            </w:r>
          </w:p>
          <w:p w:rsidR="00E4444D" w:rsidRPr="00A935AA" w:rsidRDefault="00D70052" w:rsidP="00F96FE7">
            <w:pPr>
              <w:rPr>
                <w:sz w:val="20"/>
                <w:szCs w:val="20"/>
              </w:rPr>
            </w:pPr>
            <w:r w:rsidRPr="00D70052">
              <w:rPr>
                <w:sz w:val="20"/>
                <w:szCs w:val="20"/>
                <w:lang w:val="fr-CA"/>
              </w:rPr>
              <w:pict>
                <v:rect id="_x0000_i1026" style="width:108pt;height:1pt" o:hrpct="0" o:hralign="center" o:hrstd="t" o:hrnoshade="t" o:hr="t" fillcolor="black [3213]" stroked="f"/>
              </w:pict>
            </w:r>
          </w:p>
        </w:tc>
        <w:tc>
          <w:tcPr>
            <w:tcW w:w="1181" w:type="dxa"/>
            <w:shd w:val="clear" w:color="auto" w:fill="auto"/>
          </w:tcPr>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Default="00E4444D" w:rsidP="00242AEE">
            <w:pPr>
              <w:jc w:val="center"/>
              <w:rPr>
                <w:sz w:val="20"/>
                <w:szCs w:val="20"/>
              </w:rPr>
            </w:pPr>
          </w:p>
          <w:p w:rsidR="00C6513D" w:rsidRDefault="00C6513D" w:rsidP="00242AEE">
            <w:pPr>
              <w:jc w:val="center"/>
              <w:rPr>
                <w:sz w:val="20"/>
                <w:szCs w:val="20"/>
              </w:rPr>
            </w:pPr>
          </w:p>
          <w:p w:rsidR="00C6513D" w:rsidRDefault="00C6513D" w:rsidP="00242AEE">
            <w:pPr>
              <w:jc w:val="center"/>
              <w:rPr>
                <w:sz w:val="20"/>
                <w:szCs w:val="20"/>
              </w:rPr>
            </w:pPr>
          </w:p>
          <w:p w:rsidR="00C6513D" w:rsidRPr="00A935AA" w:rsidRDefault="00C6513D" w:rsidP="00242AEE">
            <w:pPr>
              <w:jc w:val="center"/>
              <w:rPr>
                <w:sz w:val="20"/>
                <w:szCs w:val="20"/>
              </w:rPr>
            </w:pPr>
          </w:p>
          <w:p w:rsidR="00E4444D" w:rsidRPr="00A935AA" w:rsidRDefault="00E4444D" w:rsidP="00242AEE">
            <w:pPr>
              <w:jc w:val="center"/>
              <w:rPr>
                <w:sz w:val="20"/>
                <w:szCs w:val="20"/>
              </w:rPr>
            </w:pPr>
          </w:p>
        </w:tc>
        <w:tc>
          <w:tcPr>
            <w:tcW w:w="4320" w:type="dxa"/>
            <w:shd w:val="clear" w:color="auto" w:fill="auto"/>
          </w:tcPr>
          <w:p w:rsidR="00E4444D" w:rsidRPr="00A935AA" w:rsidRDefault="00E4444D" w:rsidP="00F96FE7">
            <w:pPr>
              <w:keepNext/>
              <w:keepLines/>
              <w:tabs>
                <w:tab w:val="left" w:pos="-1440"/>
                <w:tab w:val="left" w:pos="-720"/>
              </w:tabs>
              <w:rPr>
                <w:sz w:val="20"/>
                <w:szCs w:val="20"/>
              </w:rPr>
            </w:pPr>
            <w:r w:rsidRPr="00A935AA">
              <w:rPr>
                <w:sz w:val="20"/>
                <w:szCs w:val="20"/>
              </w:rPr>
              <w:tab/>
            </w:r>
            <w:r w:rsidR="0043105F">
              <w:rPr>
                <w:sz w:val="20"/>
                <w:szCs w:val="20"/>
              </w:rPr>
              <w:t>Kimball Brogan</w:t>
            </w:r>
          </w:p>
          <w:p w:rsidR="00E4444D" w:rsidRPr="00A935AA" w:rsidRDefault="00E4444D" w:rsidP="00F96FE7">
            <w:pPr>
              <w:keepNext/>
              <w:keepLines/>
              <w:tabs>
                <w:tab w:val="left" w:pos="-1440"/>
                <w:tab w:val="left" w:pos="-720"/>
              </w:tabs>
              <w:rPr>
                <w:sz w:val="20"/>
                <w:szCs w:val="20"/>
              </w:rPr>
            </w:pPr>
          </w:p>
          <w:p w:rsidR="00E4444D" w:rsidRPr="007A3220" w:rsidRDefault="00E4444D" w:rsidP="00F96FE7">
            <w:pPr>
              <w:keepNext/>
              <w:keepLines/>
              <w:tabs>
                <w:tab w:val="left" w:pos="-1440"/>
                <w:tab w:val="left" w:pos="-720"/>
              </w:tabs>
              <w:rPr>
                <w:sz w:val="20"/>
                <w:szCs w:val="20"/>
              </w:rPr>
            </w:pPr>
            <w:r w:rsidRPr="00A935AA">
              <w:rPr>
                <w:sz w:val="20"/>
                <w:szCs w:val="20"/>
              </w:rPr>
              <w:tab/>
            </w:r>
            <w:r w:rsidRPr="007A3220">
              <w:rPr>
                <w:sz w:val="20"/>
                <w:szCs w:val="20"/>
              </w:rPr>
              <w:t>v. (348</w:t>
            </w:r>
            <w:r w:rsidR="0043105F">
              <w:rPr>
                <w:sz w:val="20"/>
                <w:szCs w:val="20"/>
              </w:rPr>
              <w:t>47</w:t>
            </w:r>
            <w:r w:rsidRPr="007A3220">
              <w:rPr>
                <w:sz w:val="20"/>
                <w:szCs w:val="20"/>
              </w:rPr>
              <w:t>)</w:t>
            </w:r>
          </w:p>
          <w:p w:rsidR="00E4444D" w:rsidRPr="007A3220" w:rsidRDefault="00E4444D" w:rsidP="00F96FE7">
            <w:pPr>
              <w:keepNext/>
              <w:keepLines/>
              <w:tabs>
                <w:tab w:val="left" w:pos="-1440"/>
                <w:tab w:val="left" w:pos="-720"/>
              </w:tabs>
              <w:rPr>
                <w:sz w:val="20"/>
                <w:szCs w:val="20"/>
              </w:rPr>
            </w:pPr>
          </w:p>
          <w:p w:rsidR="00E4444D" w:rsidRPr="007A3220" w:rsidRDefault="00C6513D" w:rsidP="00F96FE7">
            <w:pPr>
              <w:keepNext/>
              <w:keepLines/>
              <w:tabs>
                <w:tab w:val="left" w:pos="-1440"/>
                <w:tab w:val="left" w:pos="-720"/>
              </w:tabs>
              <w:rPr>
                <w:b/>
                <w:sz w:val="20"/>
                <w:szCs w:val="20"/>
              </w:rPr>
            </w:pPr>
            <w:r>
              <w:rPr>
                <w:b/>
                <w:sz w:val="20"/>
                <w:szCs w:val="20"/>
              </w:rPr>
              <w:t xml:space="preserve">Geophysical Service Incorporated </w:t>
            </w:r>
            <w:r w:rsidR="00E4444D" w:rsidRPr="007A3220">
              <w:rPr>
                <w:b/>
                <w:sz w:val="20"/>
                <w:szCs w:val="20"/>
              </w:rPr>
              <w:t>(</w:t>
            </w:r>
            <w:r>
              <w:rPr>
                <w:b/>
                <w:sz w:val="20"/>
                <w:szCs w:val="20"/>
              </w:rPr>
              <w:t>N</w:t>
            </w:r>
            <w:r w:rsidR="00E4444D" w:rsidRPr="007A3220">
              <w:rPr>
                <w:b/>
                <w:sz w:val="20"/>
                <w:szCs w:val="20"/>
              </w:rPr>
              <w:t>.</w:t>
            </w:r>
            <w:r>
              <w:rPr>
                <w:b/>
                <w:sz w:val="20"/>
                <w:szCs w:val="20"/>
              </w:rPr>
              <w:t>S.</w:t>
            </w:r>
            <w:r w:rsidR="00E4444D" w:rsidRPr="007A3220">
              <w:rPr>
                <w:b/>
                <w:sz w:val="20"/>
                <w:szCs w:val="20"/>
              </w:rPr>
              <w:t>)</w:t>
            </w:r>
          </w:p>
          <w:p w:rsidR="00E4444D" w:rsidRPr="007A3220" w:rsidRDefault="00E4444D" w:rsidP="00F96FE7">
            <w:pPr>
              <w:keepNext/>
              <w:keepLines/>
              <w:tabs>
                <w:tab w:val="left" w:pos="-1440"/>
                <w:tab w:val="left" w:pos="-720"/>
              </w:tabs>
              <w:rPr>
                <w:sz w:val="20"/>
                <w:szCs w:val="20"/>
              </w:rPr>
            </w:pPr>
            <w:r w:rsidRPr="007A3220">
              <w:rPr>
                <w:sz w:val="20"/>
                <w:szCs w:val="20"/>
              </w:rPr>
              <w:tab/>
            </w:r>
            <w:r w:rsidR="00C6513D">
              <w:rPr>
                <w:sz w:val="20"/>
                <w:szCs w:val="20"/>
              </w:rPr>
              <w:t>Colin D. Piercey, Esq.</w:t>
            </w:r>
          </w:p>
          <w:p w:rsidR="00E4444D" w:rsidRPr="007A3220" w:rsidRDefault="00E4444D" w:rsidP="00F96FE7">
            <w:pPr>
              <w:keepNext/>
              <w:keepLines/>
              <w:tabs>
                <w:tab w:val="left" w:pos="-1440"/>
                <w:tab w:val="left" w:pos="-720"/>
              </w:tabs>
              <w:rPr>
                <w:sz w:val="20"/>
                <w:szCs w:val="20"/>
              </w:rPr>
            </w:pPr>
            <w:r w:rsidRPr="007A3220">
              <w:rPr>
                <w:sz w:val="20"/>
                <w:szCs w:val="20"/>
              </w:rPr>
              <w:tab/>
            </w:r>
            <w:r w:rsidR="00C6513D">
              <w:rPr>
                <w:sz w:val="20"/>
                <w:szCs w:val="20"/>
              </w:rPr>
              <w:t>Stewart McKelvey</w:t>
            </w:r>
          </w:p>
          <w:p w:rsidR="00E4444D" w:rsidRPr="007A3220" w:rsidRDefault="00E4444D" w:rsidP="00F96FE7">
            <w:pPr>
              <w:keepNext/>
              <w:keepLines/>
              <w:tabs>
                <w:tab w:val="left" w:pos="-1440"/>
                <w:tab w:val="left" w:pos="-720"/>
              </w:tabs>
              <w:rPr>
                <w:sz w:val="20"/>
                <w:szCs w:val="20"/>
              </w:rPr>
            </w:pPr>
          </w:p>
          <w:p w:rsidR="00E4444D" w:rsidRPr="00BA628A" w:rsidRDefault="00E4444D" w:rsidP="00F96FE7">
            <w:pPr>
              <w:rPr>
                <w:sz w:val="20"/>
                <w:szCs w:val="20"/>
              </w:rPr>
            </w:pPr>
            <w:r w:rsidRPr="00A935AA">
              <w:rPr>
                <w:sz w:val="20"/>
                <w:szCs w:val="20"/>
              </w:rPr>
              <w:t>FILING DATE: 28.0</w:t>
            </w:r>
            <w:r>
              <w:rPr>
                <w:sz w:val="20"/>
                <w:szCs w:val="20"/>
              </w:rPr>
              <w:t>5</w:t>
            </w:r>
            <w:r w:rsidRPr="00A935AA">
              <w:rPr>
                <w:sz w:val="20"/>
                <w:szCs w:val="20"/>
              </w:rPr>
              <w:t>.201</w:t>
            </w:r>
            <w:r>
              <w:rPr>
                <w:sz w:val="20"/>
                <w:szCs w:val="20"/>
              </w:rPr>
              <w:t>2</w:t>
            </w:r>
            <w:r w:rsidR="00D70052" w:rsidRPr="00D70052">
              <w:rPr>
                <w:sz w:val="20"/>
                <w:szCs w:val="20"/>
                <w:lang w:val="fr-CA"/>
              </w:rPr>
              <w:pict>
                <v:rect id="_x0000_i1027" style="width:108pt;height:1pt" o:hrpct="0" o:hralign="center" o:hrstd="t" o:hrnoshade="t" o:hr="t" fillcolor="black [3213]" stroked="f"/>
              </w:pict>
            </w:r>
          </w:p>
          <w:p w:rsidR="00C6513D" w:rsidRPr="00BA628A" w:rsidRDefault="00C6513D" w:rsidP="00F96FE7">
            <w:pPr>
              <w:rPr>
                <w:sz w:val="20"/>
                <w:szCs w:val="20"/>
              </w:rPr>
            </w:pPr>
          </w:p>
          <w:p w:rsidR="00C6513D" w:rsidRPr="00BA628A" w:rsidRDefault="00C6513D" w:rsidP="00F96FE7">
            <w:pPr>
              <w:rPr>
                <w:sz w:val="20"/>
                <w:szCs w:val="20"/>
              </w:rPr>
            </w:pPr>
            <w:r w:rsidRPr="00BA628A">
              <w:rPr>
                <w:b/>
                <w:sz w:val="20"/>
                <w:szCs w:val="20"/>
              </w:rPr>
              <w:t>Canadian Solar Inc. et al.</w:t>
            </w:r>
          </w:p>
          <w:p w:rsidR="00C6513D" w:rsidRPr="00C6513D" w:rsidRDefault="00C6513D" w:rsidP="00F96FE7">
            <w:pPr>
              <w:rPr>
                <w:sz w:val="20"/>
                <w:szCs w:val="20"/>
              </w:rPr>
            </w:pPr>
            <w:r w:rsidRPr="00BA628A">
              <w:rPr>
                <w:sz w:val="20"/>
                <w:szCs w:val="20"/>
              </w:rPr>
              <w:tab/>
            </w:r>
            <w:r w:rsidRPr="00C6513D">
              <w:rPr>
                <w:sz w:val="20"/>
                <w:szCs w:val="20"/>
              </w:rPr>
              <w:t>Bryan Finlay, Q.C.</w:t>
            </w:r>
          </w:p>
          <w:p w:rsidR="00C6513D" w:rsidRDefault="00C6513D" w:rsidP="00F96FE7">
            <w:pPr>
              <w:rPr>
                <w:sz w:val="20"/>
                <w:szCs w:val="20"/>
              </w:rPr>
            </w:pPr>
            <w:r w:rsidRPr="00C6513D">
              <w:rPr>
                <w:sz w:val="20"/>
                <w:szCs w:val="20"/>
              </w:rPr>
              <w:tab/>
              <w:t>WeirFoulds LLP</w:t>
            </w:r>
          </w:p>
          <w:p w:rsidR="00C6513D" w:rsidRDefault="00C6513D" w:rsidP="00F96FE7">
            <w:pPr>
              <w:rPr>
                <w:sz w:val="20"/>
                <w:szCs w:val="20"/>
              </w:rPr>
            </w:pPr>
          </w:p>
          <w:p w:rsidR="00C6513D" w:rsidRPr="00C6513D" w:rsidRDefault="00C6513D" w:rsidP="00F96FE7">
            <w:pPr>
              <w:rPr>
                <w:sz w:val="20"/>
                <w:szCs w:val="20"/>
              </w:rPr>
            </w:pPr>
            <w:r>
              <w:rPr>
                <w:sz w:val="20"/>
                <w:szCs w:val="20"/>
              </w:rPr>
              <w:tab/>
              <w:t>v. (34849)</w:t>
            </w:r>
          </w:p>
        </w:tc>
      </w:tr>
      <w:tr w:rsidR="00E4444D" w:rsidRPr="00A935AA" w:rsidTr="003B3977">
        <w:tc>
          <w:tcPr>
            <w:tcW w:w="4320" w:type="dxa"/>
            <w:shd w:val="clear" w:color="auto" w:fill="auto"/>
          </w:tcPr>
          <w:p w:rsidR="00E4444D" w:rsidRPr="00A935AA" w:rsidRDefault="00C6513D" w:rsidP="00F96FE7">
            <w:pPr>
              <w:rPr>
                <w:b/>
                <w:sz w:val="20"/>
                <w:szCs w:val="20"/>
              </w:rPr>
            </w:pPr>
            <w:r>
              <w:rPr>
                <w:b/>
                <w:sz w:val="20"/>
                <w:szCs w:val="20"/>
              </w:rPr>
              <w:t>Michael John Cairney</w:t>
            </w:r>
          </w:p>
          <w:p w:rsidR="00E4444D" w:rsidRPr="00A935AA" w:rsidRDefault="00E4444D" w:rsidP="00F96FE7">
            <w:pPr>
              <w:tabs>
                <w:tab w:val="left" w:pos="-1440"/>
                <w:tab w:val="left" w:pos="-720"/>
              </w:tabs>
              <w:rPr>
                <w:sz w:val="20"/>
                <w:szCs w:val="20"/>
              </w:rPr>
            </w:pPr>
            <w:r>
              <w:rPr>
                <w:sz w:val="20"/>
                <w:szCs w:val="20"/>
              </w:rPr>
              <w:tab/>
            </w:r>
            <w:r w:rsidR="00C6513D">
              <w:rPr>
                <w:sz w:val="20"/>
                <w:szCs w:val="20"/>
              </w:rPr>
              <w:t>Dino Bottos</w:t>
            </w:r>
          </w:p>
          <w:p w:rsidR="00E4444D" w:rsidRPr="00A935AA" w:rsidRDefault="00E4444D" w:rsidP="00F96FE7">
            <w:pPr>
              <w:tabs>
                <w:tab w:val="left" w:pos="-1440"/>
                <w:tab w:val="left" w:pos="-720"/>
              </w:tabs>
              <w:rPr>
                <w:sz w:val="20"/>
                <w:szCs w:val="20"/>
              </w:rPr>
            </w:pPr>
            <w:r w:rsidRPr="00A935AA">
              <w:rPr>
                <w:sz w:val="20"/>
                <w:szCs w:val="20"/>
              </w:rPr>
              <w:tab/>
            </w:r>
            <w:r w:rsidR="00C6513D">
              <w:rPr>
                <w:sz w:val="20"/>
                <w:szCs w:val="20"/>
              </w:rPr>
              <w:t>Depoe and Bottos</w:t>
            </w:r>
          </w:p>
          <w:p w:rsidR="00E4444D" w:rsidRPr="00A935AA" w:rsidRDefault="00E4444D" w:rsidP="00F96FE7">
            <w:pPr>
              <w:tabs>
                <w:tab w:val="left" w:pos="-1440"/>
                <w:tab w:val="left" w:pos="-720"/>
              </w:tabs>
              <w:rPr>
                <w:sz w:val="20"/>
                <w:szCs w:val="20"/>
              </w:rPr>
            </w:pPr>
          </w:p>
          <w:p w:rsidR="00E4444D" w:rsidRPr="00A935AA" w:rsidRDefault="00E4444D" w:rsidP="00F96FE7">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sidR="00C6513D">
              <w:rPr>
                <w:sz w:val="20"/>
                <w:szCs w:val="20"/>
              </w:rPr>
              <w:t>48</w:t>
            </w:r>
            <w:r w:rsidRPr="00A935AA">
              <w:rPr>
                <w:sz w:val="20"/>
                <w:szCs w:val="20"/>
              </w:rPr>
              <w:t>)</w:t>
            </w:r>
          </w:p>
          <w:p w:rsidR="00E4444D" w:rsidRPr="00A935AA" w:rsidRDefault="00E4444D" w:rsidP="00F96FE7">
            <w:pPr>
              <w:tabs>
                <w:tab w:val="left" w:pos="-1440"/>
                <w:tab w:val="left" w:pos="-720"/>
              </w:tabs>
              <w:rPr>
                <w:sz w:val="20"/>
                <w:szCs w:val="20"/>
              </w:rPr>
            </w:pPr>
          </w:p>
          <w:p w:rsidR="00E4444D" w:rsidRPr="00A935AA" w:rsidRDefault="00C6513D" w:rsidP="00F96FE7">
            <w:pPr>
              <w:tabs>
                <w:tab w:val="left" w:pos="-1440"/>
                <w:tab w:val="left" w:pos="-720"/>
              </w:tabs>
              <w:rPr>
                <w:b/>
                <w:sz w:val="20"/>
                <w:szCs w:val="20"/>
              </w:rPr>
            </w:pPr>
            <w:r>
              <w:rPr>
                <w:b/>
                <w:sz w:val="20"/>
                <w:szCs w:val="20"/>
              </w:rPr>
              <w:t xml:space="preserve">Her Majesty the Queen </w:t>
            </w:r>
            <w:r w:rsidR="00E4444D" w:rsidRPr="00A935AA">
              <w:rPr>
                <w:b/>
                <w:sz w:val="20"/>
                <w:szCs w:val="20"/>
              </w:rPr>
              <w:t>(</w:t>
            </w:r>
            <w:r>
              <w:rPr>
                <w:b/>
                <w:sz w:val="20"/>
                <w:szCs w:val="20"/>
              </w:rPr>
              <w:t>Alta</w:t>
            </w:r>
            <w:r w:rsidR="00E4444D" w:rsidRPr="00A935AA">
              <w:rPr>
                <w:b/>
                <w:sz w:val="20"/>
                <w:szCs w:val="20"/>
              </w:rPr>
              <w:t>.)</w:t>
            </w:r>
          </w:p>
          <w:p w:rsidR="00E4444D" w:rsidRPr="00A935AA" w:rsidRDefault="00E4444D" w:rsidP="00F96FE7">
            <w:pPr>
              <w:tabs>
                <w:tab w:val="left" w:pos="-1440"/>
                <w:tab w:val="left" w:pos="-720"/>
              </w:tabs>
              <w:rPr>
                <w:sz w:val="20"/>
                <w:szCs w:val="20"/>
              </w:rPr>
            </w:pPr>
            <w:r w:rsidRPr="00A935AA">
              <w:rPr>
                <w:sz w:val="20"/>
                <w:szCs w:val="20"/>
              </w:rPr>
              <w:tab/>
            </w:r>
            <w:r w:rsidR="00C6513D">
              <w:rPr>
                <w:sz w:val="20"/>
                <w:szCs w:val="20"/>
              </w:rPr>
              <w:t>Susan D. Hughson, Q.C.</w:t>
            </w:r>
          </w:p>
          <w:p w:rsidR="00E4444D" w:rsidRPr="00A935AA" w:rsidRDefault="00E4444D" w:rsidP="00F96FE7">
            <w:pPr>
              <w:tabs>
                <w:tab w:val="left" w:pos="-1440"/>
                <w:tab w:val="left" w:pos="-720"/>
              </w:tabs>
              <w:rPr>
                <w:sz w:val="20"/>
                <w:szCs w:val="20"/>
              </w:rPr>
            </w:pPr>
            <w:r w:rsidRPr="00A935AA">
              <w:rPr>
                <w:sz w:val="20"/>
                <w:szCs w:val="20"/>
              </w:rPr>
              <w:tab/>
            </w:r>
            <w:r w:rsidR="00C6513D">
              <w:rPr>
                <w:sz w:val="20"/>
                <w:szCs w:val="20"/>
              </w:rPr>
              <w:t>A.G. of Alberta</w:t>
            </w:r>
          </w:p>
          <w:p w:rsidR="00E4444D" w:rsidRPr="00A935AA" w:rsidRDefault="00E4444D" w:rsidP="00F96FE7">
            <w:pPr>
              <w:tabs>
                <w:tab w:val="left" w:pos="-1440"/>
                <w:tab w:val="left" w:pos="-720"/>
              </w:tabs>
              <w:rPr>
                <w:sz w:val="20"/>
                <w:szCs w:val="20"/>
              </w:rPr>
            </w:pPr>
          </w:p>
          <w:p w:rsidR="00E4444D" w:rsidRPr="00A935AA" w:rsidRDefault="00E4444D" w:rsidP="00F96FE7">
            <w:pPr>
              <w:rPr>
                <w:sz w:val="20"/>
                <w:szCs w:val="20"/>
              </w:rPr>
            </w:pPr>
            <w:r w:rsidRPr="00A935AA">
              <w:rPr>
                <w:sz w:val="20"/>
                <w:szCs w:val="20"/>
              </w:rPr>
              <w:t>FILING DATE: 2</w:t>
            </w:r>
            <w:r w:rsidR="00C6513D">
              <w:rPr>
                <w:sz w:val="20"/>
                <w:szCs w:val="20"/>
              </w:rPr>
              <w:t>9</w:t>
            </w:r>
            <w:r w:rsidRPr="00A935AA">
              <w:rPr>
                <w:sz w:val="20"/>
                <w:szCs w:val="20"/>
              </w:rPr>
              <w:t>.0</w:t>
            </w:r>
            <w:r>
              <w:rPr>
                <w:sz w:val="20"/>
                <w:szCs w:val="20"/>
              </w:rPr>
              <w:t>5</w:t>
            </w:r>
            <w:r w:rsidRPr="00A935AA">
              <w:rPr>
                <w:sz w:val="20"/>
                <w:szCs w:val="20"/>
              </w:rPr>
              <w:t>.201</w:t>
            </w:r>
            <w:r>
              <w:rPr>
                <w:sz w:val="20"/>
                <w:szCs w:val="20"/>
              </w:rPr>
              <w:t>2</w:t>
            </w:r>
          </w:p>
          <w:p w:rsidR="00E4444D" w:rsidRPr="00A935AA" w:rsidRDefault="00D70052" w:rsidP="00F96FE7">
            <w:pPr>
              <w:rPr>
                <w:sz w:val="20"/>
                <w:szCs w:val="20"/>
              </w:rPr>
            </w:pPr>
            <w:r w:rsidRPr="00D70052">
              <w:rPr>
                <w:sz w:val="20"/>
                <w:szCs w:val="20"/>
                <w:lang w:val="fr-CA"/>
              </w:rPr>
              <w:pict>
                <v:rect id="_x0000_i1028" style="width:108pt;height:1pt" o:hrpct="0" o:hralign="center" o:hrstd="t" o:hrnoshade="t" o:hr="t" fillcolor="black [3213]" stroked="f"/>
              </w:pict>
            </w:r>
          </w:p>
        </w:tc>
        <w:tc>
          <w:tcPr>
            <w:tcW w:w="1181" w:type="dxa"/>
            <w:shd w:val="clear" w:color="auto" w:fill="auto"/>
          </w:tcPr>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Default="00E4444D" w:rsidP="00242AEE">
            <w:pPr>
              <w:jc w:val="center"/>
              <w:rPr>
                <w:sz w:val="20"/>
                <w:szCs w:val="20"/>
              </w:rPr>
            </w:pPr>
          </w:p>
          <w:p w:rsidR="00E4444D" w:rsidRDefault="00E4444D"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C6513D" w:rsidRPr="00A935AA" w:rsidRDefault="00C6513D" w:rsidP="00242AEE">
            <w:pPr>
              <w:jc w:val="center"/>
              <w:rPr>
                <w:sz w:val="20"/>
                <w:szCs w:val="20"/>
              </w:rPr>
            </w:pPr>
          </w:p>
        </w:tc>
        <w:tc>
          <w:tcPr>
            <w:tcW w:w="4320" w:type="dxa"/>
            <w:shd w:val="clear" w:color="auto" w:fill="auto"/>
          </w:tcPr>
          <w:p w:rsidR="00E4444D" w:rsidRPr="00A935AA" w:rsidRDefault="00E4444D" w:rsidP="00F96FE7">
            <w:pPr>
              <w:keepNext/>
              <w:keepLines/>
              <w:tabs>
                <w:tab w:val="left" w:pos="-1440"/>
                <w:tab w:val="left" w:pos="-720"/>
              </w:tabs>
              <w:rPr>
                <w:sz w:val="20"/>
                <w:szCs w:val="20"/>
                <w:lang w:val="fr-CA"/>
              </w:rPr>
            </w:pPr>
          </w:p>
          <w:p w:rsidR="00E4444D" w:rsidRPr="00C6513D" w:rsidRDefault="00C6513D" w:rsidP="00F96FE7">
            <w:pPr>
              <w:keepNext/>
              <w:keepLines/>
              <w:tabs>
                <w:tab w:val="left" w:pos="-1440"/>
                <w:tab w:val="left" w:pos="-720"/>
              </w:tabs>
              <w:rPr>
                <w:b/>
                <w:sz w:val="20"/>
                <w:szCs w:val="20"/>
              </w:rPr>
            </w:pPr>
            <w:r w:rsidRPr="00C6513D">
              <w:rPr>
                <w:b/>
                <w:sz w:val="20"/>
                <w:szCs w:val="20"/>
              </w:rPr>
              <w:t xml:space="preserve">Tajdin Abdula </w:t>
            </w:r>
            <w:r w:rsidR="00E4444D" w:rsidRPr="00C6513D">
              <w:rPr>
                <w:b/>
                <w:sz w:val="20"/>
                <w:szCs w:val="20"/>
              </w:rPr>
              <w:t>(Ont.)</w:t>
            </w:r>
          </w:p>
          <w:p w:rsidR="00E4444D" w:rsidRPr="00C6513D" w:rsidRDefault="00E4444D" w:rsidP="00F96FE7">
            <w:pPr>
              <w:keepNext/>
              <w:keepLines/>
              <w:tabs>
                <w:tab w:val="left" w:pos="-1440"/>
                <w:tab w:val="left" w:pos="-720"/>
              </w:tabs>
              <w:rPr>
                <w:sz w:val="20"/>
                <w:szCs w:val="20"/>
              </w:rPr>
            </w:pPr>
            <w:r w:rsidRPr="00C6513D">
              <w:rPr>
                <w:sz w:val="20"/>
                <w:szCs w:val="20"/>
              </w:rPr>
              <w:tab/>
            </w:r>
            <w:r w:rsidR="00C6513D">
              <w:rPr>
                <w:sz w:val="20"/>
                <w:szCs w:val="20"/>
              </w:rPr>
              <w:t>Dimitri Lascaris</w:t>
            </w:r>
          </w:p>
          <w:p w:rsidR="00E4444D" w:rsidRPr="00C6513D" w:rsidRDefault="00E4444D" w:rsidP="00F96FE7">
            <w:pPr>
              <w:keepNext/>
              <w:keepLines/>
              <w:tabs>
                <w:tab w:val="left" w:pos="-1440"/>
                <w:tab w:val="left" w:pos="-720"/>
              </w:tabs>
              <w:rPr>
                <w:sz w:val="20"/>
                <w:szCs w:val="20"/>
              </w:rPr>
            </w:pPr>
            <w:r w:rsidRPr="00C6513D">
              <w:rPr>
                <w:sz w:val="20"/>
                <w:szCs w:val="20"/>
              </w:rPr>
              <w:tab/>
            </w:r>
            <w:r w:rsidR="00C6513D">
              <w:rPr>
                <w:sz w:val="20"/>
                <w:szCs w:val="20"/>
              </w:rPr>
              <w:t>Siskinds LLP</w:t>
            </w:r>
          </w:p>
          <w:p w:rsidR="00E4444D" w:rsidRPr="00C6513D" w:rsidRDefault="00E4444D" w:rsidP="00F96FE7">
            <w:pPr>
              <w:keepNext/>
              <w:keepLines/>
              <w:tabs>
                <w:tab w:val="left" w:pos="-1440"/>
                <w:tab w:val="left" w:pos="-720"/>
              </w:tabs>
              <w:rPr>
                <w:sz w:val="20"/>
                <w:szCs w:val="20"/>
              </w:rPr>
            </w:pPr>
          </w:p>
          <w:p w:rsidR="00E4444D" w:rsidRPr="00BA628A" w:rsidRDefault="00E4444D" w:rsidP="00C6513D">
            <w:pPr>
              <w:rPr>
                <w:sz w:val="20"/>
                <w:szCs w:val="20"/>
              </w:rPr>
            </w:pPr>
            <w:r w:rsidRPr="00A935AA">
              <w:rPr>
                <w:sz w:val="20"/>
                <w:szCs w:val="20"/>
              </w:rPr>
              <w:t>FILING DATE: 2</w:t>
            </w:r>
            <w:r w:rsidR="00C6513D">
              <w:rPr>
                <w:sz w:val="20"/>
                <w:szCs w:val="20"/>
              </w:rPr>
              <w:t>9</w:t>
            </w:r>
            <w:r w:rsidRPr="00A935AA">
              <w:rPr>
                <w:sz w:val="20"/>
                <w:szCs w:val="20"/>
              </w:rPr>
              <w:t>.0</w:t>
            </w:r>
            <w:r>
              <w:rPr>
                <w:sz w:val="20"/>
                <w:szCs w:val="20"/>
              </w:rPr>
              <w:t>5</w:t>
            </w:r>
            <w:r w:rsidRPr="00A935AA">
              <w:rPr>
                <w:sz w:val="20"/>
                <w:szCs w:val="20"/>
              </w:rPr>
              <w:t>.201</w:t>
            </w:r>
            <w:r>
              <w:rPr>
                <w:sz w:val="20"/>
                <w:szCs w:val="20"/>
              </w:rPr>
              <w:t>2</w:t>
            </w:r>
            <w:r w:rsidR="00D70052" w:rsidRPr="00D70052">
              <w:rPr>
                <w:sz w:val="20"/>
                <w:szCs w:val="20"/>
                <w:lang w:val="fr-CA"/>
              </w:rPr>
              <w:pict>
                <v:rect id="_x0000_i1029" style="width:108pt;height:1pt" o:hrpct="0" o:hralign="center" o:hrstd="t" o:hrnoshade="t" o:hr="t" fillcolor="black [3213]" stroked="f"/>
              </w:pict>
            </w:r>
          </w:p>
          <w:p w:rsidR="00E21B4E" w:rsidRPr="00BA628A" w:rsidRDefault="00E21B4E" w:rsidP="00C6513D">
            <w:pPr>
              <w:rPr>
                <w:sz w:val="20"/>
                <w:szCs w:val="20"/>
              </w:rPr>
            </w:pPr>
          </w:p>
          <w:p w:rsidR="00E21B4E" w:rsidRPr="00A935AA" w:rsidRDefault="00E21B4E" w:rsidP="00E21B4E">
            <w:pPr>
              <w:rPr>
                <w:b/>
                <w:sz w:val="20"/>
                <w:szCs w:val="20"/>
              </w:rPr>
            </w:pPr>
            <w:r>
              <w:rPr>
                <w:b/>
                <w:sz w:val="20"/>
                <w:szCs w:val="20"/>
              </w:rPr>
              <w:t>North Toronto Chinese Alliance Church</w:t>
            </w:r>
          </w:p>
          <w:p w:rsidR="00E21B4E" w:rsidRPr="00A935AA" w:rsidRDefault="00E21B4E" w:rsidP="00E21B4E">
            <w:pPr>
              <w:tabs>
                <w:tab w:val="left" w:pos="-1440"/>
                <w:tab w:val="left" w:pos="-720"/>
              </w:tabs>
              <w:rPr>
                <w:sz w:val="20"/>
                <w:szCs w:val="20"/>
              </w:rPr>
            </w:pPr>
            <w:r>
              <w:rPr>
                <w:sz w:val="20"/>
                <w:szCs w:val="20"/>
              </w:rPr>
              <w:tab/>
              <w:t>Roderick J. Byrnes</w:t>
            </w:r>
          </w:p>
          <w:p w:rsidR="00E21B4E" w:rsidRPr="00A935AA" w:rsidRDefault="00E21B4E" w:rsidP="00E21B4E">
            <w:pPr>
              <w:tabs>
                <w:tab w:val="left" w:pos="-1440"/>
                <w:tab w:val="left" w:pos="-720"/>
              </w:tabs>
              <w:rPr>
                <w:sz w:val="20"/>
                <w:szCs w:val="20"/>
              </w:rPr>
            </w:pPr>
            <w:r w:rsidRPr="00A935AA">
              <w:rPr>
                <w:sz w:val="20"/>
                <w:szCs w:val="20"/>
              </w:rPr>
              <w:tab/>
            </w:r>
            <w:r>
              <w:rPr>
                <w:sz w:val="20"/>
                <w:szCs w:val="20"/>
              </w:rPr>
              <w:t>Byrnes &amp; Associates</w:t>
            </w:r>
          </w:p>
          <w:p w:rsidR="00E21B4E" w:rsidRPr="00A935AA" w:rsidRDefault="00E21B4E" w:rsidP="00E21B4E">
            <w:pPr>
              <w:tabs>
                <w:tab w:val="left" w:pos="-1440"/>
                <w:tab w:val="left" w:pos="-720"/>
              </w:tabs>
              <w:rPr>
                <w:sz w:val="20"/>
                <w:szCs w:val="20"/>
              </w:rPr>
            </w:pPr>
          </w:p>
          <w:p w:rsidR="00E21B4E" w:rsidRPr="00A935AA" w:rsidRDefault="00E21B4E" w:rsidP="00E21B4E">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Pr>
                <w:sz w:val="20"/>
                <w:szCs w:val="20"/>
              </w:rPr>
              <w:t>53</w:t>
            </w:r>
            <w:r w:rsidRPr="00A935AA">
              <w:rPr>
                <w:sz w:val="20"/>
                <w:szCs w:val="20"/>
              </w:rPr>
              <w:t>)</w:t>
            </w:r>
          </w:p>
          <w:p w:rsidR="00E21B4E" w:rsidRPr="00A935AA" w:rsidRDefault="00E21B4E" w:rsidP="00E21B4E">
            <w:pPr>
              <w:tabs>
                <w:tab w:val="left" w:pos="-1440"/>
                <w:tab w:val="left" w:pos="-720"/>
              </w:tabs>
              <w:rPr>
                <w:sz w:val="20"/>
                <w:szCs w:val="20"/>
              </w:rPr>
            </w:pPr>
          </w:p>
          <w:p w:rsidR="00E21B4E" w:rsidRPr="00A935AA" w:rsidRDefault="00E21B4E" w:rsidP="00E21B4E">
            <w:pPr>
              <w:tabs>
                <w:tab w:val="left" w:pos="-1440"/>
                <w:tab w:val="left" w:pos="-720"/>
              </w:tabs>
              <w:rPr>
                <w:b/>
                <w:sz w:val="20"/>
                <w:szCs w:val="20"/>
              </w:rPr>
            </w:pPr>
            <w:r>
              <w:rPr>
                <w:b/>
                <w:sz w:val="20"/>
                <w:szCs w:val="20"/>
              </w:rPr>
              <w:t xml:space="preserve">Gartner Lee Limited </w:t>
            </w:r>
            <w:r w:rsidRPr="00A935AA">
              <w:rPr>
                <w:b/>
                <w:sz w:val="20"/>
                <w:szCs w:val="20"/>
              </w:rPr>
              <w:t>(</w:t>
            </w:r>
            <w:r>
              <w:rPr>
                <w:b/>
                <w:sz w:val="20"/>
                <w:szCs w:val="20"/>
              </w:rPr>
              <w:t>Ont</w:t>
            </w:r>
            <w:r w:rsidRPr="00A935AA">
              <w:rPr>
                <w:b/>
                <w:sz w:val="20"/>
                <w:szCs w:val="20"/>
              </w:rPr>
              <w:t>.)</w:t>
            </w:r>
          </w:p>
          <w:p w:rsidR="00E21B4E" w:rsidRPr="00A935AA" w:rsidRDefault="00E21B4E" w:rsidP="00E21B4E">
            <w:pPr>
              <w:tabs>
                <w:tab w:val="left" w:pos="-1440"/>
                <w:tab w:val="left" w:pos="-720"/>
              </w:tabs>
              <w:rPr>
                <w:sz w:val="20"/>
                <w:szCs w:val="20"/>
              </w:rPr>
            </w:pPr>
            <w:r w:rsidRPr="00A935AA">
              <w:rPr>
                <w:sz w:val="20"/>
                <w:szCs w:val="20"/>
              </w:rPr>
              <w:tab/>
            </w:r>
            <w:r>
              <w:rPr>
                <w:sz w:val="20"/>
                <w:szCs w:val="20"/>
              </w:rPr>
              <w:t>M. Gosia Bawolska</w:t>
            </w:r>
          </w:p>
          <w:p w:rsidR="00E21B4E" w:rsidRPr="00A935AA" w:rsidRDefault="00E21B4E" w:rsidP="00E21B4E">
            <w:pPr>
              <w:tabs>
                <w:tab w:val="left" w:pos="-1440"/>
                <w:tab w:val="left" w:pos="-720"/>
              </w:tabs>
              <w:rPr>
                <w:sz w:val="20"/>
                <w:szCs w:val="20"/>
              </w:rPr>
            </w:pPr>
            <w:r w:rsidRPr="00A935AA">
              <w:rPr>
                <w:sz w:val="20"/>
                <w:szCs w:val="20"/>
              </w:rPr>
              <w:tab/>
            </w:r>
            <w:r>
              <w:rPr>
                <w:sz w:val="20"/>
                <w:szCs w:val="20"/>
              </w:rPr>
              <w:t>McCague Borlack LLP</w:t>
            </w:r>
          </w:p>
          <w:p w:rsidR="00E21B4E" w:rsidRPr="00A935AA" w:rsidRDefault="00E21B4E" w:rsidP="00E21B4E">
            <w:pPr>
              <w:tabs>
                <w:tab w:val="left" w:pos="-1440"/>
                <w:tab w:val="left" w:pos="-720"/>
              </w:tabs>
              <w:rPr>
                <w:sz w:val="20"/>
                <w:szCs w:val="20"/>
              </w:rPr>
            </w:pPr>
          </w:p>
          <w:p w:rsidR="00E21B4E" w:rsidRPr="00A935AA" w:rsidRDefault="00E21B4E" w:rsidP="00E21B4E">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5</w:t>
            </w:r>
            <w:r w:rsidRPr="00A935AA">
              <w:rPr>
                <w:sz w:val="20"/>
                <w:szCs w:val="20"/>
              </w:rPr>
              <w:t>.201</w:t>
            </w:r>
            <w:r>
              <w:rPr>
                <w:sz w:val="20"/>
                <w:szCs w:val="20"/>
              </w:rPr>
              <w:t>2</w:t>
            </w:r>
          </w:p>
          <w:p w:rsidR="00E21B4E" w:rsidRPr="00A935AA" w:rsidRDefault="00D70052" w:rsidP="00C6513D">
            <w:pPr>
              <w:rPr>
                <w:sz w:val="20"/>
                <w:szCs w:val="20"/>
              </w:rPr>
            </w:pPr>
            <w:r w:rsidRPr="00D70052">
              <w:rPr>
                <w:sz w:val="20"/>
                <w:szCs w:val="20"/>
                <w:lang w:val="fr-CA"/>
              </w:rPr>
              <w:pict>
                <v:rect id="_x0000_i1030" style="width:108pt;height:1pt" o:hrpct="0" o:hralign="center" o:hrstd="t" o:hrnoshade="t" o:hr="t" fillcolor="black [3213]" stroked="f"/>
              </w:pict>
            </w:r>
          </w:p>
        </w:tc>
      </w:tr>
      <w:tr w:rsidR="00E21B4E" w:rsidRPr="00147672" w:rsidTr="003B3977">
        <w:trPr>
          <w:cantSplit/>
        </w:trPr>
        <w:tc>
          <w:tcPr>
            <w:tcW w:w="4320" w:type="dxa"/>
            <w:shd w:val="clear" w:color="auto" w:fill="auto"/>
          </w:tcPr>
          <w:p w:rsidR="00E21B4E" w:rsidRPr="00A935AA" w:rsidRDefault="00E21B4E" w:rsidP="00F96FE7">
            <w:pPr>
              <w:rPr>
                <w:b/>
                <w:sz w:val="20"/>
                <w:szCs w:val="20"/>
              </w:rPr>
            </w:pPr>
            <w:r>
              <w:rPr>
                <w:b/>
                <w:sz w:val="20"/>
                <w:szCs w:val="20"/>
              </w:rPr>
              <w:lastRenderedPageBreak/>
              <w:t>Out</w:t>
            </w:r>
            <w:r w:rsidR="000D4438">
              <w:rPr>
                <w:b/>
                <w:sz w:val="20"/>
                <w:szCs w:val="20"/>
              </w:rPr>
              <w:t>-O</w:t>
            </w:r>
            <w:r>
              <w:rPr>
                <w:b/>
                <w:sz w:val="20"/>
                <w:szCs w:val="20"/>
              </w:rPr>
              <w:t>f</w:t>
            </w:r>
            <w:r w:rsidR="000D4438">
              <w:rPr>
                <w:b/>
                <w:sz w:val="20"/>
                <w:szCs w:val="20"/>
              </w:rPr>
              <w:t>-</w:t>
            </w:r>
            <w:r>
              <w:rPr>
                <w:b/>
                <w:sz w:val="20"/>
                <w:szCs w:val="20"/>
              </w:rPr>
              <w:t>Home Marketing Association of Canada</w:t>
            </w:r>
          </w:p>
          <w:p w:rsidR="00E21B4E" w:rsidRPr="00A935AA" w:rsidRDefault="00E21B4E" w:rsidP="00F96FE7">
            <w:pPr>
              <w:tabs>
                <w:tab w:val="left" w:pos="-1440"/>
                <w:tab w:val="left" w:pos="-720"/>
              </w:tabs>
              <w:rPr>
                <w:sz w:val="20"/>
                <w:szCs w:val="20"/>
              </w:rPr>
            </w:pPr>
            <w:r>
              <w:rPr>
                <w:sz w:val="20"/>
                <w:szCs w:val="20"/>
              </w:rPr>
              <w:tab/>
              <w:t>Richard G. Dearden</w:t>
            </w:r>
          </w:p>
          <w:p w:rsidR="00E21B4E" w:rsidRPr="00A935AA" w:rsidRDefault="00E21B4E" w:rsidP="00F96FE7">
            <w:pPr>
              <w:tabs>
                <w:tab w:val="left" w:pos="-1440"/>
                <w:tab w:val="left" w:pos="-720"/>
              </w:tabs>
              <w:rPr>
                <w:sz w:val="20"/>
                <w:szCs w:val="20"/>
              </w:rPr>
            </w:pPr>
            <w:r w:rsidRPr="00A935AA">
              <w:rPr>
                <w:sz w:val="20"/>
                <w:szCs w:val="20"/>
              </w:rPr>
              <w:tab/>
            </w:r>
            <w:r>
              <w:rPr>
                <w:sz w:val="20"/>
                <w:szCs w:val="20"/>
              </w:rPr>
              <w:t>Gowling Lafleur Henderson LLP</w:t>
            </w:r>
          </w:p>
          <w:p w:rsidR="00E21B4E" w:rsidRPr="00A935AA" w:rsidRDefault="00E21B4E" w:rsidP="00F96FE7">
            <w:pPr>
              <w:tabs>
                <w:tab w:val="left" w:pos="-1440"/>
                <w:tab w:val="left" w:pos="-720"/>
              </w:tabs>
              <w:rPr>
                <w:sz w:val="20"/>
                <w:szCs w:val="20"/>
              </w:rPr>
            </w:pPr>
          </w:p>
          <w:p w:rsidR="00E21B4E" w:rsidRPr="00A935AA" w:rsidRDefault="00E21B4E" w:rsidP="00F96FE7">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Pr>
                <w:sz w:val="20"/>
                <w:szCs w:val="20"/>
              </w:rPr>
              <w:t>51</w:t>
            </w:r>
            <w:r w:rsidRPr="00A935AA">
              <w:rPr>
                <w:sz w:val="20"/>
                <w:szCs w:val="20"/>
              </w:rPr>
              <w:t>)</w:t>
            </w:r>
          </w:p>
          <w:p w:rsidR="00E21B4E" w:rsidRPr="00A935AA" w:rsidRDefault="00E21B4E" w:rsidP="00F96FE7">
            <w:pPr>
              <w:tabs>
                <w:tab w:val="left" w:pos="-1440"/>
                <w:tab w:val="left" w:pos="-720"/>
              </w:tabs>
              <w:rPr>
                <w:sz w:val="20"/>
                <w:szCs w:val="20"/>
              </w:rPr>
            </w:pPr>
          </w:p>
          <w:p w:rsidR="00E21B4E" w:rsidRPr="00A935AA" w:rsidRDefault="00E21B4E" w:rsidP="00F96FE7">
            <w:pPr>
              <w:tabs>
                <w:tab w:val="left" w:pos="-1440"/>
                <w:tab w:val="left" w:pos="-720"/>
              </w:tabs>
              <w:rPr>
                <w:b/>
                <w:sz w:val="20"/>
                <w:szCs w:val="20"/>
              </w:rPr>
            </w:pPr>
            <w:r>
              <w:rPr>
                <w:b/>
                <w:sz w:val="20"/>
                <w:szCs w:val="20"/>
              </w:rPr>
              <w:t xml:space="preserve">City of Toronto </w:t>
            </w:r>
            <w:r w:rsidRPr="00A935AA">
              <w:rPr>
                <w:b/>
                <w:sz w:val="20"/>
                <w:szCs w:val="20"/>
              </w:rPr>
              <w:t>(</w:t>
            </w:r>
            <w:r>
              <w:rPr>
                <w:b/>
                <w:sz w:val="20"/>
                <w:szCs w:val="20"/>
              </w:rPr>
              <w:t>Ont</w:t>
            </w:r>
            <w:r w:rsidRPr="00A935AA">
              <w:rPr>
                <w:b/>
                <w:sz w:val="20"/>
                <w:szCs w:val="20"/>
              </w:rPr>
              <w:t>.)</w:t>
            </w:r>
          </w:p>
          <w:p w:rsidR="00E21B4E" w:rsidRPr="00A935AA" w:rsidRDefault="00E21B4E" w:rsidP="00F96FE7">
            <w:pPr>
              <w:tabs>
                <w:tab w:val="left" w:pos="-1440"/>
                <w:tab w:val="left" w:pos="-720"/>
              </w:tabs>
              <w:rPr>
                <w:sz w:val="20"/>
                <w:szCs w:val="20"/>
              </w:rPr>
            </w:pPr>
            <w:r w:rsidRPr="00A935AA">
              <w:rPr>
                <w:sz w:val="20"/>
                <w:szCs w:val="20"/>
              </w:rPr>
              <w:tab/>
            </w:r>
            <w:r>
              <w:rPr>
                <w:sz w:val="20"/>
                <w:szCs w:val="20"/>
              </w:rPr>
              <w:t>Ansuya Pachai</w:t>
            </w:r>
          </w:p>
          <w:p w:rsidR="00E21B4E" w:rsidRPr="00A935AA" w:rsidRDefault="00E21B4E" w:rsidP="00F96FE7">
            <w:pPr>
              <w:tabs>
                <w:tab w:val="left" w:pos="-1440"/>
                <w:tab w:val="left" w:pos="-720"/>
              </w:tabs>
              <w:rPr>
                <w:sz w:val="20"/>
                <w:szCs w:val="20"/>
              </w:rPr>
            </w:pPr>
            <w:r w:rsidRPr="00A935AA">
              <w:rPr>
                <w:sz w:val="20"/>
                <w:szCs w:val="20"/>
              </w:rPr>
              <w:tab/>
            </w:r>
            <w:r>
              <w:rPr>
                <w:sz w:val="20"/>
                <w:szCs w:val="20"/>
              </w:rPr>
              <w:t>City of Toronto</w:t>
            </w:r>
          </w:p>
          <w:p w:rsidR="00E21B4E" w:rsidRPr="00A935AA" w:rsidRDefault="00E21B4E" w:rsidP="00F96FE7">
            <w:pPr>
              <w:tabs>
                <w:tab w:val="left" w:pos="-1440"/>
                <w:tab w:val="left" w:pos="-720"/>
              </w:tabs>
              <w:rPr>
                <w:sz w:val="20"/>
                <w:szCs w:val="20"/>
              </w:rPr>
            </w:pPr>
          </w:p>
          <w:p w:rsidR="00E21B4E" w:rsidRDefault="00E21B4E" w:rsidP="00712E9F">
            <w:pPr>
              <w:rPr>
                <w:sz w:val="20"/>
                <w:szCs w:val="20"/>
              </w:rPr>
            </w:pPr>
            <w:r>
              <w:rPr>
                <w:sz w:val="20"/>
                <w:szCs w:val="20"/>
              </w:rPr>
              <w:t>and between</w:t>
            </w:r>
          </w:p>
          <w:p w:rsidR="00E21B4E" w:rsidRPr="00A935AA" w:rsidRDefault="00E21B4E" w:rsidP="00712E9F">
            <w:pPr>
              <w:rPr>
                <w:sz w:val="20"/>
                <w:szCs w:val="20"/>
              </w:rPr>
            </w:pPr>
          </w:p>
        </w:tc>
        <w:tc>
          <w:tcPr>
            <w:tcW w:w="1181" w:type="dxa"/>
            <w:shd w:val="clear" w:color="auto" w:fill="auto"/>
          </w:tcPr>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tc>
        <w:tc>
          <w:tcPr>
            <w:tcW w:w="4320" w:type="dxa"/>
            <w:shd w:val="clear" w:color="auto" w:fill="auto"/>
          </w:tcPr>
          <w:p w:rsidR="00E21B4E" w:rsidRPr="00712E9F" w:rsidRDefault="00E21B4E" w:rsidP="00E21B4E">
            <w:pPr>
              <w:keepNext/>
              <w:keepLines/>
              <w:tabs>
                <w:tab w:val="left" w:pos="-1440"/>
                <w:tab w:val="left" w:pos="-720"/>
              </w:tabs>
              <w:rPr>
                <w:b/>
                <w:sz w:val="20"/>
                <w:szCs w:val="20"/>
                <w:lang w:val="fr-CA"/>
              </w:rPr>
            </w:pPr>
            <w:r w:rsidRPr="00712E9F">
              <w:rPr>
                <w:b/>
                <w:sz w:val="20"/>
                <w:szCs w:val="20"/>
                <w:lang w:val="fr-CA"/>
              </w:rPr>
              <w:t>Marilyne Dionne</w:t>
            </w:r>
          </w:p>
          <w:p w:rsidR="00E21B4E" w:rsidRPr="00712E9F" w:rsidRDefault="00E21B4E" w:rsidP="00E21B4E">
            <w:pPr>
              <w:keepNext/>
              <w:keepLines/>
              <w:tabs>
                <w:tab w:val="left" w:pos="-1440"/>
                <w:tab w:val="left" w:pos="-720"/>
              </w:tabs>
              <w:rPr>
                <w:sz w:val="20"/>
                <w:szCs w:val="20"/>
                <w:lang w:val="fr-CA"/>
              </w:rPr>
            </w:pPr>
            <w:r w:rsidRPr="00712E9F">
              <w:rPr>
                <w:sz w:val="20"/>
                <w:szCs w:val="20"/>
                <w:lang w:val="fr-CA"/>
              </w:rPr>
              <w:tab/>
              <w:t>Denis Lavoie</w:t>
            </w:r>
          </w:p>
          <w:p w:rsidR="00E21B4E" w:rsidRPr="00712E9F" w:rsidRDefault="00E21B4E" w:rsidP="00E21B4E">
            <w:pPr>
              <w:keepNext/>
              <w:keepLines/>
              <w:tabs>
                <w:tab w:val="left" w:pos="-1440"/>
                <w:tab w:val="left" w:pos="-720"/>
              </w:tabs>
              <w:rPr>
                <w:sz w:val="20"/>
                <w:szCs w:val="20"/>
                <w:lang w:val="fr-CA"/>
              </w:rPr>
            </w:pPr>
            <w:r w:rsidRPr="00712E9F">
              <w:rPr>
                <w:sz w:val="20"/>
                <w:szCs w:val="20"/>
                <w:lang w:val="fr-CA"/>
              </w:rPr>
              <w:tab/>
              <w:t>Melançon, Marceau, Grenier et Sciortino</w:t>
            </w:r>
          </w:p>
          <w:p w:rsidR="00E21B4E" w:rsidRPr="00712E9F" w:rsidRDefault="00E21B4E" w:rsidP="00E21B4E">
            <w:pPr>
              <w:keepNext/>
              <w:keepLines/>
              <w:tabs>
                <w:tab w:val="left" w:pos="-1440"/>
                <w:tab w:val="left" w:pos="-720"/>
              </w:tabs>
              <w:rPr>
                <w:sz w:val="20"/>
                <w:szCs w:val="20"/>
                <w:lang w:val="fr-CA"/>
              </w:rPr>
            </w:pPr>
          </w:p>
          <w:p w:rsidR="00E21B4E" w:rsidRPr="00E236CE" w:rsidRDefault="00E21B4E" w:rsidP="00E21B4E">
            <w:pPr>
              <w:keepNext/>
              <w:keepLines/>
              <w:tabs>
                <w:tab w:val="left" w:pos="-1440"/>
                <w:tab w:val="left" w:pos="-720"/>
              </w:tabs>
              <w:rPr>
                <w:sz w:val="20"/>
                <w:szCs w:val="20"/>
                <w:lang w:val="fr-CA"/>
              </w:rPr>
            </w:pPr>
            <w:r w:rsidRPr="00712E9F">
              <w:rPr>
                <w:sz w:val="20"/>
                <w:szCs w:val="20"/>
                <w:lang w:val="fr-CA"/>
              </w:rPr>
              <w:tab/>
            </w:r>
            <w:r w:rsidRPr="00E236CE">
              <w:rPr>
                <w:sz w:val="20"/>
                <w:szCs w:val="20"/>
                <w:lang w:val="fr-CA"/>
              </w:rPr>
              <w:t>c. (34854)</w:t>
            </w:r>
          </w:p>
          <w:p w:rsidR="00E21B4E" w:rsidRPr="00E236CE" w:rsidRDefault="00E21B4E" w:rsidP="00E21B4E">
            <w:pPr>
              <w:keepNext/>
              <w:keepLines/>
              <w:tabs>
                <w:tab w:val="left" w:pos="-1440"/>
                <w:tab w:val="left" w:pos="-720"/>
              </w:tabs>
              <w:rPr>
                <w:sz w:val="20"/>
                <w:szCs w:val="20"/>
                <w:lang w:val="fr-CA"/>
              </w:rPr>
            </w:pPr>
          </w:p>
          <w:p w:rsidR="00E21B4E" w:rsidRPr="00E236CE" w:rsidRDefault="00E21B4E" w:rsidP="00E21B4E">
            <w:pPr>
              <w:keepNext/>
              <w:keepLines/>
              <w:tabs>
                <w:tab w:val="left" w:pos="-1440"/>
                <w:tab w:val="left" w:pos="-720"/>
              </w:tabs>
              <w:rPr>
                <w:b/>
                <w:sz w:val="20"/>
                <w:szCs w:val="20"/>
                <w:lang w:val="fr-CA"/>
              </w:rPr>
            </w:pPr>
            <w:r w:rsidRPr="00E236CE">
              <w:rPr>
                <w:b/>
                <w:sz w:val="20"/>
                <w:szCs w:val="20"/>
                <w:lang w:val="fr-CA"/>
              </w:rPr>
              <w:t xml:space="preserve">Commission </w:t>
            </w:r>
            <w:r w:rsidR="00416238">
              <w:rPr>
                <w:b/>
                <w:sz w:val="20"/>
                <w:szCs w:val="20"/>
                <w:lang w:val="fr-CA"/>
              </w:rPr>
              <w:t>s</w:t>
            </w:r>
            <w:r w:rsidRPr="00E236CE">
              <w:rPr>
                <w:b/>
                <w:sz w:val="20"/>
                <w:szCs w:val="20"/>
                <w:lang w:val="fr-CA"/>
              </w:rPr>
              <w:t>colaire des Patriotes et autre (Qc)</w:t>
            </w:r>
          </w:p>
          <w:p w:rsidR="00E21B4E" w:rsidRPr="00E236CE" w:rsidRDefault="00E21B4E" w:rsidP="00E21B4E">
            <w:pPr>
              <w:keepNext/>
              <w:keepLines/>
              <w:tabs>
                <w:tab w:val="left" w:pos="-1440"/>
                <w:tab w:val="left" w:pos="-720"/>
              </w:tabs>
              <w:rPr>
                <w:sz w:val="20"/>
                <w:szCs w:val="20"/>
                <w:lang w:val="fr-CA"/>
              </w:rPr>
            </w:pPr>
            <w:r w:rsidRPr="00E236CE">
              <w:rPr>
                <w:sz w:val="20"/>
                <w:szCs w:val="20"/>
                <w:lang w:val="fr-CA"/>
              </w:rPr>
              <w:tab/>
            </w:r>
            <w:r>
              <w:rPr>
                <w:sz w:val="20"/>
                <w:szCs w:val="20"/>
                <w:lang w:val="fr-CA"/>
              </w:rPr>
              <w:t>René Paquette</w:t>
            </w:r>
          </w:p>
          <w:p w:rsidR="00E21B4E" w:rsidRPr="00E236CE" w:rsidRDefault="00E21B4E" w:rsidP="00E21B4E">
            <w:pPr>
              <w:keepNext/>
              <w:keepLines/>
              <w:tabs>
                <w:tab w:val="left" w:pos="-1440"/>
                <w:tab w:val="left" w:pos="-720"/>
              </w:tabs>
              <w:rPr>
                <w:sz w:val="20"/>
                <w:szCs w:val="20"/>
                <w:lang w:val="fr-CA"/>
              </w:rPr>
            </w:pPr>
            <w:r w:rsidRPr="00E236CE">
              <w:rPr>
                <w:sz w:val="20"/>
                <w:szCs w:val="20"/>
                <w:lang w:val="fr-CA"/>
              </w:rPr>
              <w:tab/>
            </w:r>
            <w:r>
              <w:rPr>
                <w:sz w:val="20"/>
                <w:szCs w:val="20"/>
                <w:lang w:val="fr-CA"/>
              </w:rPr>
              <w:t>Langlois Kronström Desjardins</w:t>
            </w:r>
          </w:p>
          <w:p w:rsidR="00E21B4E" w:rsidRPr="00E236CE" w:rsidRDefault="00E21B4E" w:rsidP="00E21B4E">
            <w:pPr>
              <w:keepNext/>
              <w:keepLines/>
              <w:tabs>
                <w:tab w:val="left" w:pos="-1440"/>
                <w:tab w:val="left" w:pos="-720"/>
              </w:tabs>
              <w:rPr>
                <w:sz w:val="20"/>
                <w:szCs w:val="20"/>
                <w:lang w:val="fr-CA"/>
              </w:rPr>
            </w:pPr>
          </w:p>
          <w:p w:rsidR="00E21B4E" w:rsidRPr="00E236CE" w:rsidRDefault="00E21B4E" w:rsidP="00E21B4E">
            <w:pPr>
              <w:rPr>
                <w:sz w:val="20"/>
                <w:szCs w:val="20"/>
                <w:lang w:val="fr-CA"/>
              </w:rPr>
            </w:pPr>
            <w:r w:rsidRPr="00E236CE">
              <w:rPr>
                <w:sz w:val="20"/>
                <w:szCs w:val="20"/>
                <w:lang w:val="fr-CA"/>
              </w:rPr>
              <w:t>DATE DE PRODUCTION : 31.05.2012</w:t>
            </w:r>
            <w:r w:rsidR="00D70052" w:rsidRPr="00D70052">
              <w:rPr>
                <w:sz w:val="20"/>
                <w:szCs w:val="20"/>
                <w:lang w:val="fr-CA"/>
              </w:rPr>
              <w:pict>
                <v:rect id="_x0000_i1031" style="width:108pt;height:1pt" o:hrpct="0" o:hralign="center" o:hrstd="t" o:hrnoshade="t" o:hr="t" fillcolor="black [3213]" stroked="f"/>
              </w:pict>
            </w:r>
          </w:p>
        </w:tc>
      </w:tr>
      <w:tr w:rsidR="00E21B4E" w:rsidRPr="00A935AA" w:rsidTr="003B3977">
        <w:trPr>
          <w:cantSplit/>
        </w:trPr>
        <w:tc>
          <w:tcPr>
            <w:tcW w:w="4320" w:type="dxa"/>
            <w:shd w:val="clear" w:color="auto" w:fill="auto"/>
          </w:tcPr>
          <w:p w:rsidR="00E21B4E" w:rsidRPr="00A935AA" w:rsidRDefault="00E21B4E" w:rsidP="00F96FE7">
            <w:pPr>
              <w:rPr>
                <w:b/>
                <w:sz w:val="20"/>
                <w:szCs w:val="20"/>
              </w:rPr>
            </w:pPr>
            <w:r>
              <w:rPr>
                <w:b/>
                <w:sz w:val="20"/>
                <w:szCs w:val="20"/>
              </w:rPr>
              <w:t xml:space="preserve">Pattison Outdoor Advertising LP et al. </w:t>
            </w:r>
          </w:p>
          <w:p w:rsidR="00E21B4E" w:rsidRPr="00A935AA" w:rsidRDefault="00E21B4E" w:rsidP="00712E9F">
            <w:pPr>
              <w:tabs>
                <w:tab w:val="left" w:pos="-1440"/>
                <w:tab w:val="left" w:pos="-720"/>
              </w:tabs>
              <w:rPr>
                <w:sz w:val="20"/>
                <w:szCs w:val="20"/>
              </w:rPr>
            </w:pPr>
            <w:r>
              <w:rPr>
                <w:sz w:val="20"/>
                <w:szCs w:val="20"/>
              </w:rPr>
              <w:tab/>
              <w:t>Richard G. Dearden</w:t>
            </w:r>
          </w:p>
          <w:p w:rsidR="00E21B4E" w:rsidRPr="00A935AA" w:rsidRDefault="00E21B4E" w:rsidP="00712E9F">
            <w:pPr>
              <w:tabs>
                <w:tab w:val="left" w:pos="-1440"/>
                <w:tab w:val="left" w:pos="-720"/>
              </w:tabs>
              <w:rPr>
                <w:sz w:val="20"/>
                <w:szCs w:val="20"/>
              </w:rPr>
            </w:pPr>
            <w:r w:rsidRPr="00A935AA">
              <w:rPr>
                <w:sz w:val="20"/>
                <w:szCs w:val="20"/>
              </w:rPr>
              <w:tab/>
            </w:r>
            <w:r>
              <w:rPr>
                <w:sz w:val="20"/>
                <w:szCs w:val="20"/>
              </w:rPr>
              <w:t>Gowling Lafleur Henderson LLP</w:t>
            </w:r>
          </w:p>
          <w:p w:rsidR="00E21B4E" w:rsidRPr="00A935AA" w:rsidRDefault="00E21B4E" w:rsidP="00F96FE7">
            <w:pPr>
              <w:tabs>
                <w:tab w:val="left" w:pos="-1440"/>
                <w:tab w:val="left" w:pos="-720"/>
              </w:tabs>
              <w:rPr>
                <w:sz w:val="20"/>
                <w:szCs w:val="20"/>
              </w:rPr>
            </w:pPr>
          </w:p>
          <w:p w:rsidR="00E21B4E" w:rsidRPr="00A935AA" w:rsidRDefault="00E21B4E" w:rsidP="00F96FE7">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Pr>
                <w:sz w:val="20"/>
                <w:szCs w:val="20"/>
              </w:rPr>
              <w:t>51</w:t>
            </w:r>
            <w:r w:rsidRPr="00A935AA">
              <w:rPr>
                <w:sz w:val="20"/>
                <w:szCs w:val="20"/>
              </w:rPr>
              <w:t>)</w:t>
            </w:r>
          </w:p>
          <w:p w:rsidR="00E21B4E" w:rsidRPr="00A935AA" w:rsidRDefault="00E21B4E" w:rsidP="00F96FE7">
            <w:pPr>
              <w:tabs>
                <w:tab w:val="left" w:pos="-1440"/>
                <w:tab w:val="left" w:pos="-720"/>
              </w:tabs>
              <w:rPr>
                <w:sz w:val="20"/>
                <w:szCs w:val="20"/>
              </w:rPr>
            </w:pPr>
          </w:p>
          <w:p w:rsidR="00E21B4E" w:rsidRPr="00A935AA" w:rsidRDefault="00E21B4E" w:rsidP="00712E9F">
            <w:pPr>
              <w:tabs>
                <w:tab w:val="left" w:pos="-1440"/>
                <w:tab w:val="left" w:pos="-720"/>
              </w:tabs>
              <w:rPr>
                <w:b/>
                <w:sz w:val="20"/>
                <w:szCs w:val="20"/>
              </w:rPr>
            </w:pPr>
            <w:r>
              <w:rPr>
                <w:b/>
                <w:sz w:val="20"/>
                <w:szCs w:val="20"/>
              </w:rPr>
              <w:t xml:space="preserve">City of Toronto </w:t>
            </w:r>
            <w:r w:rsidRPr="00A935AA">
              <w:rPr>
                <w:b/>
                <w:sz w:val="20"/>
                <w:szCs w:val="20"/>
              </w:rPr>
              <w:t>(</w:t>
            </w:r>
            <w:r>
              <w:rPr>
                <w:b/>
                <w:sz w:val="20"/>
                <w:szCs w:val="20"/>
              </w:rPr>
              <w:t>Ont</w:t>
            </w:r>
            <w:r w:rsidRPr="00A935AA">
              <w:rPr>
                <w:b/>
                <w:sz w:val="20"/>
                <w:szCs w:val="20"/>
              </w:rPr>
              <w:t>.)</w:t>
            </w:r>
          </w:p>
          <w:p w:rsidR="00E21B4E" w:rsidRPr="00A935AA" w:rsidRDefault="00E21B4E" w:rsidP="00712E9F">
            <w:pPr>
              <w:tabs>
                <w:tab w:val="left" w:pos="-1440"/>
                <w:tab w:val="left" w:pos="-720"/>
              </w:tabs>
              <w:rPr>
                <w:sz w:val="20"/>
                <w:szCs w:val="20"/>
              </w:rPr>
            </w:pPr>
            <w:r w:rsidRPr="00A935AA">
              <w:rPr>
                <w:sz w:val="20"/>
                <w:szCs w:val="20"/>
              </w:rPr>
              <w:tab/>
            </w:r>
            <w:r>
              <w:rPr>
                <w:sz w:val="20"/>
                <w:szCs w:val="20"/>
              </w:rPr>
              <w:t>Ansuya Pachai</w:t>
            </w:r>
          </w:p>
          <w:p w:rsidR="00E21B4E" w:rsidRPr="00A935AA" w:rsidRDefault="00E21B4E" w:rsidP="00712E9F">
            <w:pPr>
              <w:tabs>
                <w:tab w:val="left" w:pos="-1440"/>
                <w:tab w:val="left" w:pos="-720"/>
              </w:tabs>
              <w:rPr>
                <w:sz w:val="20"/>
                <w:szCs w:val="20"/>
              </w:rPr>
            </w:pPr>
            <w:r w:rsidRPr="00A935AA">
              <w:rPr>
                <w:sz w:val="20"/>
                <w:szCs w:val="20"/>
              </w:rPr>
              <w:tab/>
            </w:r>
            <w:r>
              <w:rPr>
                <w:sz w:val="20"/>
                <w:szCs w:val="20"/>
              </w:rPr>
              <w:t>City of Toronto</w:t>
            </w:r>
          </w:p>
          <w:p w:rsidR="00E21B4E" w:rsidRPr="00A935AA" w:rsidRDefault="00E21B4E" w:rsidP="00F96FE7">
            <w:pPr>
              <w:tabs>
                <w:tab w:val="left" w:pos="-1440"/>
                <w:tab w:val="left" w:pos="-720"/>
              </w:tabs>
              <w:rPr>
                <w:sz w:val="20"/>
                <w:szCs w:val="20"/>
              </w:rPr>
            </w:pPr>
          </w:p>
          <w:p w:rsidR="00E21B4E" w:rsidRPr="00A935AA" w:rsidRDefault="00E21B4E" w:rsidP="00F96FE7">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5</w:t>
            </w:r>
            <w:r w:rsidRPr="00A935AA">
              <w:rPr>
                <w:sz w:val="20"/>
                <w:szCs w:val="20"/>
              </w:rPr>
              <w:t>.201</w:t>
            </w:r>
            <w:r>
              <w:rPr>
                <w:sz w:val="20"/>
                <w:szCs w:val="20"/>
              </w:rPr>
              <w:t>2</w:t>
            </w:r>
          </w:p>
          <w:p w:rsidR="00E21B4E" w:rsidRPr="00A935AA" w:rsidRDefault="00D70052" w:rsidP="00F96FE7">
            <w:pPr>
              <w:rPr>
                <w:sz w:val="20"/>
                <w:szCs w:val="20"/>
              </w:rPr>
            </w:pPr>
            <w:r w:rsidRPr="00D70052">
              <w:rPr>
                <w:sz w:val="20"/>
                <w:szCs w:val="20"/>
                <w:lang w:val="fr-CA"/>
              </w:rPr>
              <w:pict>
                <v:rect id="_x0000_i1032" style="width:108pt;height:1pt" o:hrpct="0" o:hralign="center" o:hrstd="t" o:hrnoshade="t" o:hr="t" fillcolor="black [3213]" stroked="f"/>
              </w:pict>
            </w:r>
          </w:p>
        </w:tc>
        <w:tc>
          <w:tcPr>
            <w:tcW w:w="1181" w:type="dxa"/>
            <w:shd w:val="clear" w:color="auto" w:fill="auto"/>
          </w:tcPr>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E4444D">
            <w:pPr>
              <w:jc w:val="center"/>
              <w:rPr>
                <w:sz w:val="20"/>
                <w:szCs w:val="20"/>
              </w:rPr>
            </w:pPr>
          </w:p>
        </w:tc>
        <w:tc>
          <w:tcPr>
            <w:tcW w:w="4320" w:type="dxa"/>
            <w:shd w:val="clear" w:color="auto" w:fill="auto"/>
          </w:tcPr>
          <w:p w:rsidR="00E21B4E" w:rsidRPr="00A935AA" w:rsidRDefault="00E21B4E" w:rsidP="00E21B4E">
            <w:pPr>
              <w:keepNext/>
              <w:keepLines/>
              <w:tabs>
                <w:tab w:val="left" w:pos="-1440"/>
                <w:tab w:val="left" w:pos="-720"/>
              </w:tabs>
              <w:rPr>
                <w:b/>
                <w:sz w:val="20"/>
                <w:szCs w:val="20"/>
              </w:rPr>
            </w:pPr>
            <w:r>
              <w:rPr>
                <w:b/>
                <w:sz w:val="20"/>
                <w:szCs w:val="20"/>
              </w:rPr>
              <w:t>Bae-Newplan Group Limited</w:t>
            </w:r>
          </w:p>
          <w:p w:rsidR="00E21B4E" w:rsidRPr="00A935AA" w:rsidRDefault="00E21B4E" w:rsidP="00E21B4E">
            <w:pPr>
              <w:keepNext/>
              <w:keepLines/>
              <w:tabs>
                <w:tab w:val="left" w:pos="-1440"/>
                <w:tab w:val="left" w:pos="-720"/>
              </w:tabs>
              <w:rPr>
                <w:sz w:val="20"/>
                <w:szCs w:val="20"/>
              </w:rPr>
            </w:pPr>
            <w:r w:rsidRPr="00A935AA">
              <w:rPr>
                <w:sz w:val="20"/>
                <w:szCs w:val="20"/>
              </w:rPr>
              <w:tab/>
            </w:r>
            <w:r>
              <w:rPr>
                <w:sz w:val="20"/>
                <w:szCs w:val="20"/>
              </w:rPr>
              <w:t>Gregory M. Smith</w:t>
            </w:r>
          </w:p>
          <w:p w:rsidR="00E21B4E" w:rsidRPr="00E21B4E" w:rsidRDefault="00E21B4E" w:rsidP="00E21B4E">
            <w:pPr>
              <w:keepNext/>
              <w:keepLines/>
              <w:tabs>
                <w:tab w:val="left" w:pos="-1440"/>
                <w:tab w:val="left" w:pos="-720"/>
              </w:tabs>
              <w:rPr>
                <w:sz w:val="20"/>
                <w:szCs w:val="20"/>
                <w:lang w:val="fr-CA"/>
              </w:rPr>
            </w:pPr>
            <w:r w:rsidRPr="00A935AA">
              <w:rPr>
                <w:sz w:val="20"/>
                <w:szCs w:val="20"/>
              </w:rPr>
              <w:tab/>
            </w:r>
            <w:r w:rsidRPr="00E21B4E">
              <w:rPr>
                <w:sz w:val="20"/>
                <w:szCs w:val="20"/>
                <w:lang w:val="fr-CA"/>
              </w:rPr>
              <w:t>Curtis</w:t>
            </w:r>
            <w:r w:rsidR="00CC3F2E">
              <w:rPr>
                <w:sz w:val="20"/>
                <w:szCs w:val="20"/>
                <w:lang w:val="fr-CA"/>
              </w:rPr>
              <w:t>,</w:t>
            </w:r>
            <w:r w:rsidRPr="00E21B4E">
              <w:rPr>
                <w:sz w:val="20"/>
                <w:szCs w:val="20"/>
                <w:lang w:val="fr-CA"/>
              </w:rPr>
              <w:t xml:space="preserve"> Dawe</w:t>
            </w:r>
          </w:p>
          <w:p w:rsidR="00E21B4E" w:rsidRPr="00E21B4E" w:rsidRDefault="00E21B4E" w:rsidP="00E21B4E">
            <w:pPr>
              <w:keepNext/>
              <w:keepLines/>
              <w:tabs>
                <w:tab w:val="left" w:pos="-1440"/>
                <w:tab w:val="left" w:pos="-720"/>
              </w:tabs>
              <w:rPr>
                <w:sz w:val="20"/>
                <w:szCs w:val="20"/>
                <w:lang w:val="fr-CA"/>
              </w:rPr>
            </w:pPr>
          </w:p>
          <w:p w:rsidR="00E21B4E" w:rsidRPr="00E21B4E" w:rsidRDefault="00E21B4E" w:rsidP="00E21B4E">
            <w:pPr>
              <w:keepNext/>
              <w:keepLines/>
              <w:tabs>
                <w:tab w:val="left" w:pos="-1440"/>
                <w:tab w:val="left" w:pos="-720"/>
              </w:tabs>
              <w:rPr>
                <w:sz w:val="20"/>
                <w:szCs w:val="20"/>
                <w:lang w:val="fr-CA"/>
              </w:rPr>
            </w:pPr>
            <w:r w:rsidRPr="00E21B4E">
              <w:rPr>
                <w:sz w:val="20"/>
                <w:szCs w:val="20"/>
                <w:lang w:val="fr-CA"/>
              </w:rPr>
              <w:tab/>
              <w:t>v. (34852)</w:t>
            </w:r>
          </w:p>
          <w:p w:rsidR="00E21B4E" w:rsidRPr="00E21B4E" w:rsidRDefault="00E21B4E" w:rsidP="00E21B4E">
            <w:pPr>
              <w:keepNext/>
              <w:keepLines/>
              <w:tabs>
                <w:tab w:val="left" w:pos="-1440"/>
                <w:tab w:val="left" w:pos="-720"/>
              </w:tabs>
              <w:rPr>
                <w:sz w:val="20"/>
                <w:szCs w:val="20"/>
                <w:lang w:val="fr-CA"/>
              </w:rPr>
            </w:pPr>
          </w:p>
          <w:p w:rsidR="00E21B4E" w:rsidRPr="00E21B4E" w:rsidRDefault="00E21B4E" w:rsidP="00E21B4E">
            <w:pPr>
              <w:keepNext/>
              <w:keepLines/>
              <w:tabs>
                <w:tab w:val="left" w:pos="-1440"/>
                <w:tab w:val="left" w:pos="-720"/>
              </w:tabs>
              <w:rPr>
                <w:b/>
                <w:sz w:val="20"/>
                <w:szCs w:val="20"/>
              </w:rPr>
            </w:pPr>
            <w:r w:rsidRPr="00144413">
              <w:rPr>
                <w:b/>
                <w:sz w:val="20"/>
                <w:szCs w:val="20"/>
                <w:lang w:val="fr-CA"/>
              </w:rPr>
              <w:t xml:space="preserve">Brian Dalton et al. </w:t>
            </w:r>
            <w:r w:rsidRPr="00E21B4E">
              <w:rPr>
                <w:b/>
                <w:sz w:val="20"/>
                <w:szCs w:val="20"/>
              </w:rPr>
              <w:t>(N.L.)</w:t>
            </w:r>
          </w:p>
          <w:p w:rsidR="00E21B4E" w:rsidRPr="00144413" w:rsidRDefault="00E21B4E" w:rsidP="00E21B4E">
            <w:pPr>
              <w:keepNext/>
              <w:keepLines/>
              <w:tabs>
                <w:tab w:val="left" w:pos="-1440"/>
                <w:tab w:val="left" w:pos="-720"/>
              </w:tabs>
              <w:rPr>
                <w:sz w:val="20"/>
                <w:szCs w:val="20"/>
              </w:rPr>
            </w:pPr>
            <w:r w:rsidRPr="00E21B4E">
              <w:rPr>
                <w:sz w:val="20"/>
                <w:szCs w:val="20"/>
              </w:rPr>
              <w:tab/>
            </w:r>
            <w:r w:rsidRPr="00144413">
              <w:rPr>
                <w:sz w:val="20"/>
                <w:szCs w:val="20"/>
              </w:rPr>
              <w:t>Kevin M. Stamp</w:t>
            </w:r>
          </w:p>
          <w:p w:rsidR="00E21B4E" w:rsidRPr="00144413" w:rsidRDefault="00E21B4E" w:rsidP="00E21B4E">
            <w:pPr>
              <w:keepNext/>
              <w:keepLines/>
              <w:tabs>
                <w:tab w:val="left" w:pos="-1440"/>
                <w:tab w:val="left" w:pos="-720"/>
              </w:tabs>
              <w:rPr>
                <w:sz w:val="20"/>
                <w:szCs w:val="20"/>
              </w:rPr>
            </w:pPr>
            <w:r w:rsidRPr="00144413">
              <w:rPr>
                <w:sz w:val="20"/>
                <w:szCs w:val="20"/>
              </w:rPr>
              <w:tab/>
              <w:t>Martin, Whalen, Hennebury &amp; Stamp</w:t>
            </w:r>
          </w:p>
          <w:p w:rsidR="00E21B4E" w:rsidRPr="00144413" w:rsidRDefault="00E21B4E" w:rsidP="00E21B4E">
            <w:pPr>
              <w:keepNext/>
              <w:keepLines/>
              <w:tabs>
                <w:tab w:val="left" w:pos="-1440"/>
                <w:tab w:val="left" w:pos="-720"/>
              </w:tabs>
              <w:rPr>
                <w:sz w:val="20"/>
                <w:szCs w:val="20"/>
              </w:rPr>
            </w:pPr>
          </w:p>
          <w:p w:rsidR="00E21B4E" w:rsidRPr="00A935AA" w:rsidRDefault="00E21B4E" w:rsidP="00E21B4E">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5</w:t>
            </w:r>
            <w:r w:rsidRPr="00A935AA">
              <w:rPr>
                <w:sz w:val="20"/>
                <w:szCs w:val="20"/>
              </w:rPr>
              <w:t>.201</w:t>
            </w:r>
            <w:r>
              <w:rPr>
                <w:sz w:val="20"/>
                <w:szCs w:val="20"/>
              </w:rPr>
              <w:t>2</w:t>
            </w:r>
            <w:r w:rsidR="00D70052" w:rsidRPr="00D70052">
              <w:rPr>
                <w:sz w:val="20"/>
                <w:szCs w:val="20"/>
                <w:lang w:val="fr-CA"/>
              </w:rPr>
              <w:pict>
                <v:rect id="_x0000_i1033" style="width:108pt;height:1pt" o:hrpct="0" o:hralign="center" o:hrstd="t" o:hrnoshade="t" o:hr="t" fillcolor="black [3213]" stroked="f"/>
              </w:pict>
            </w:r>
          </w:p>
        </w:tc>
      </w:tr>
      <w:tr w:rsidR="00E21B4E" w:rsidRPr="00A935AA" w:rsidTr="003B3977">
        <w:trPr>
          <w:cantSplit/>
        </w:trPr>
        <w:tc>
          <w:tcPr>
            <w:tcW w:w="4320" w:type="dxa"/>
            <w:shd w:val="clear" w:color="auto" w:fill="auto"/>
          </w:tcPr>
          <w:p w:rsidR="00E21B4E" w:rsidRDefault="00E21B4E" w:rsidP="00F96FE7">
            <w:pPr>
              <w:rPr>
                <w:sz w:val="20"/>
                <w:szCs w:val="20"/>
                <w:lang w:val="fr-CA"/>
              </w:rPr>
            </w:pPr>
            <w:r w:rsidRPr="00E21B4E">
              <w:rPr>
                <w:b/>
                <w:sz w:val="20"/>
                <w:szCs w:val="20"/>
                <w:lang w:val="fr-CA"/>
              </w:rPr>
              <w:t>Tri-Link Consultants Inc. et al.</w:t>
            </w:r>
          </w:p>
          <w:p w:rsidR="00E21B4E" w:rsidRPr="00144413" w:rsidRDefault="00E21B4E" w:rsidP="00E21B4E">
            <w:pPr>
              <w:keepNext/>
              <w:keepLines/>
              <w:tabs>
                <w:tab w:val="left" w:pos="-1440"/>
                <w:tab w:val="left" w:pos="-720"/>
              </w:tabs>
              <w:rPr>
                <w:sz w:val="20"/>
                <w:szCs w:val="20"/>
              </w:rPr>
            </w:pPr>
            <w:r>
              <w:rPr>
                <w:sz w:val="20"/>
                <w:szCs w:val="20"/>
                <w:lang w:val="fr-CA"/>
              </w:rPr>
              <w:tab/>
            </w:r>
            <w:r w:rsidRPr="00144413">
              <w:rPr>
                <w:sz w:val="20"/>
                <w:szCs w:val="20"/>
              </w:rPr>
              <w:t>J. Paul Malone</w:t>
            </w:r>
          </w:p>
          <w:p w:rsidR="00E21B4E" w:rsidRPr="00144413" w:rsidRDefault="00E21B4E" w:rsidP="00E21B4E">
            <w:pPr>
              <w:keepNext/>
              <w:keepLines/>
              <w:tabs>
                <w:tab w:val="left" w:pos="-1440"/>
                <w:tab w:val="left" w:pos="-720"/>
              </w:tabs>
              <w:rPr>
                <w:sz w:val="20"/>
                <w:szCs w:val="20"/>
              </w:rPr>
            </w:pPr>
            <w:r w:rsidRPr="00144413">
              <w:rPr>
                <w:sz w:val="20"/>
                <w:szCs w:val="20"/>
              </w:rPr>
              <w:tab/>
              <w:t>McCrank Stewart LLP</w:t>
            </w:r>
          </w:p>
          <w:p w:rsidR="00E21B4E" w:rsidRPr="00144413" w:rsidRDefault="00E21B4E" w:rsidP="00E21B4E">
            <w:pPr>
              <w:keepNext/>
              <w:keepLines/>
              <w:tabs>
                <w:tab w:val="left" w:pos="-1440"/>
                <w:tab w:val="left" w:pos="-720"/>
              </w:tabs>
              <w:rPr>
                <w:sz w:val="20"/>
                <w:szCs w:val="20"/>
              </w:rPr>
            </w:pPr>
          </w:p>
          <w:p w:rsidR="00E21B4E" w:rsidRPr="00712E9F" w:rsidRDefault="00E21B4E" w:rsidP="00E21B4E">
            <w:pPr>
              <w:keepNext/>
              <w:keepLines/>
              <w:tabs>
                <w:tab w:val="left" w:pos="-1440"/>
                <w:tab w:val="left" w:pos="-720"/>
              </w:tabs>
              <w:rPr>
                <w:sz w:val="20"/>
                <w:szCs w:val="20"/>
              </w:rPr>
            </w:pPr>
            <w:r w:rsidRPr="00144413">
              <w:rPr>
                <w:sz w:val="20"/>
                <w:szCs w:val="20"/>
              </w:rPr>
              <w:tab/>
            </w:r>
            <w:r w:rsidRPr="00712E9F">
              <w:rPr>
                <w:sz w:val="20"/>
                <w:szCs w:val="20"/>
              </w:rPr>
              <w:t>v. (348</w:t>
            </w:r>
            <w:r>
              <w:rPr>
                <w:sz w:val="20"/>
                <w:szCs w:val="20"/>
              </w:rPr>
              <w:t>55</w:t>
            </w:r>
            <w:r w:rsidRPr="00712E9F">
              <w:rPr>
                <w:sz w:val="20"/>
                <w:szCs w:val="20"/>
              </w:rPr>
              <w:t>)</w:t>
            </w:r>
          </w:p>
          <w:p w:rsidR="00E21B4E" w:rsidRDefault="00E21B4E" w:rsidP="00F96FE7">
            <w:pPr>
              <w:rPr>
                <w:sz w:val="20"/>
                <w:szCs w:val="20"/>
                <w:lang w:val="fr-CA"/>
              </w:rPr>
            </w:pPr>
          </w:p>
          <w:p w:rsidR="00E21B4E" w:rsidRPr="00712E9F" w:rsidRDefault="00E21B4E" w:rsidP="00E21B4E">
            <w:pPr>
              <w:keepNext/>
              <w:keepLines/>
              <w:tabs>
                <w:tab w:val="left" w:pos="-1440"/>
                <w:tab w:val="left" w:pos="-720"/>
              </w:tabs>
              <w:rPr>
                <w:b/>
                <w:sz w:val="20"/>
                <w:szCs w:val="20"/>
              </w:rPr>
            </w:pPr>
            <w:r>
              <w:rPr>
                <w:b/>
                <w:sz w:val="20"/>
                <w:szCs w:val="20"/>
              </w:rPr>
              <w:t xml:space="preserve">Saskatchewan Financial Services Commission </w:t>
            </w:r>
            <w:r w:rsidRPr="00712E9F">
              <w:rPr>
                <w:b/>
                <w:sz w:val="20"/>
                <w:szCs w:val="20"/>
              </w:rPr>
              <w:t>(</w:t>
            </w:r>
            <w:r>
              <w:rPr>
                <w:b/>
                <w:sz w:val="20"/>
                <w:szCs w:val="20"/>
              </w:rPr>
              <w:t>Sask</w:t>
            </w:r>
            <w:r w:rsidRPr="00712E9F">
              <w:rPr>
                <w:b/>
                <w:sz w:val="20"/>
                <w:szCs w:val="20"/>
              </w:rPr>
              <w:t>.)</w:t>
            </w:r>
          </w:p>
          <w:p w:rsidR="00E21B4E" w:rsidRPr="00712E9F" w:rsidRDefault="00E21B4E" w:rsidP="00E21B4E">
            <w:pPr>
              <w:keepNext/>
              <w:keepLines/>
              <w:tabs>
                <w:tab w:val="left" w:pos="-1440"/>
                <w:tab w:val="left" w:pos="-720"/>
              </w:tabs>
              <w:rPr>
                <w:sz w:val="20"/>
                <w:szCs w:val="20"/>
              </w:rPr>
            </w:pPr>
            <w:r w:rsidRPr="00712E9F">
              <w:rPr>
                <w:sz w:val="20"/>
                <w:szCs w:val="20"/>
              </w:rPr>
              <w:tab/>
            </w:r>
            <w:r>
              <w:rPr>
                <w:sz w:val="20"/>
                <w:szCs w:val="20"/>
              </w:rPr>
              <w:t>Sonne Udemgba</w:t>
            </w:r>
          </w:p>
          <w:p w:rsidR="00E21B4E" w:rsidRPr="00712E9F" w:rsidRDefault="00E21B4E" w:rsidP="00E21B4E">
            <w:pPr>
              <w:keepNext/>
              <w:keepLines/>
              <w:tabs>
                <w:tab w:val="left" w:pos="-1440"/>
                <w:tab w:val="left" w:pos="-720"/>
              </w:tabs>
              <w:rPr>
                <w:sz w:val="20"/>
                <w:szCs w:val="20"/>
              </w:rPr>
            </w:pPr>
            <w:r w:rsidRPr="00712E9F">
              <w:rPr>
                <w:sz w:val="20"/>
                <w:szCs w:val="20"/>
              </w:rPr>
              <w:tab/>
            </w:r>
            <w:r>
              <w:rPr>
                <w:sz w:val="20"/>
                <w:szCs w:val="20"/>
              </w:rPr>
              <w:t xml:space="preserve">Saskatchewan Financial Services </w:t>
            </w:r>
            <w:r>
              <w:rPr>
                <w:sz w:val="20"/>
                <w:szCs w:val="20"/>
              </w:rPr>
              <w:tab/>
              <w:t>Commission</w:t>
            </w:r>
          </w:p>
          <w:p w:rsidR="00E21B4E" w:rsidRPr="00712E9F" w:rsidRDefault="00E21B4E" w:rsidP="00E21B4E">
            <w:pPr>
              <w:keepNext/>
              <w:keepLines/>
              <w:tabs>
                <w:tab w:val="left" w:pos="-1440"/>
                <w:tab w:val="left" w:pos="-720"/>
              </w:tabs>
              <w:rPr>
                <w:sz w:val="20"/>
                <w:szCs w:val="20"/>
              </w:rPr>
            </w:pPr>
          </w:p>
          <w:p w:rsidR="00E21B4E" w:rsidRDefault="00E21B4E" w:rsidP="00E21B4E">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6</w:t>
            </w:r>
            <w:r w:rsidRPr="00A935AA">
              <w:rPr>
                <w:sz w:val="20"/>
                <w:szCs w:val="20"/>
              </w:rPr>
              <w:t>.201</w:t>
            </w:r>
            <w:r>
              <w:rPr>
                <w:sz w:val="20"/>
                <w:szCs w:val="20"/>
              </w:rPr>
              <w:t>2</w:t>
            </w:r>
          </w:p>
          <w:p w:rsidR="00E21B4E" w:rsidRPr="00E21B4E" w:rsidRDefault="00D70052" w:rsidP="00E21B4E">
            <w:pPr>
              <w:rPr>
                <w:sz w:val="20"/>
                <w:szCs w:val="20"/>
                <w:lang w:val="fr-CA"/>
              </w:rPr>
            </w:pPr>
            <w:r w:rsidRPr="00D70052">
              <w:rPr>
                <w:sz w:val="20"/>
                <w:szCs w:val="20"/>
                <w:lang w:val="fr-CA"/>
              </w:rPr>
              <w:pict>
                <v:rect id="_x0000_i1034" style="width:108pt;height:1pt" o:hrpct="0" o:hralign="center" o:hrstd="t" o:hrnoshade="t" o:hr="t" fillcolor="black [3213]" stroked="f"/>
              </w:pict>
            </w:r>
          </w:p>
        </w:tc>
        <w:tc>
          <w:tcPr>
            <w:tcW w:w="1181" w:type="dxa"/>
            <w:shd w:val="clear" w:color="auto" w:fill="auto"/>
          </w:tcPr>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Pr="00E21B4E" w:rsidRDefault="00E21B4E" w:rsidP="00242AEE">
            <w:pPr>
              <w:jc w:val="center"/>
              <w:rPr>
                <w:sz w:val="20"/>
                <w:szCs w:val="20"/>
                <w:lang w:val="fr-CA"/>
              </w:rPr>
            </w:pPr>
          </w:p>
        </w:tc>
        <w:tc>
          <w:tcPr>
            <w:tcW w:w="4320" w:type="dxa"/>
            <w:shd w:val="clear" w:color="auto" w:fill="auto"/>
          </w:tcPr>
          <w:p w:rsidR="00E21B4E" w:rsidRPr="00423627" w:rsidRDefault="00E21B4E" w:rsidP="00E21B4E">
            <w:pPr>
              <w:keepNext/>
              <w:keepLines/>
              <w:tabs>
                <w:tab w:val="left" w:pos="-1440"/>
                <w:tab w:val="left" w:pos="-720"/>
              </w:tabs>
              <w:rPr>
                <w:b/>
                <w:sz w:val="20"/>
                <w:szCs w:val="20"/>
              </w:rPr>
            </w:pPr>
            <w:r w:rsidRPr="00423627">
              <w:rPr>
                <w:b/>
                <w:sz w:val="20"/>
                <w:szCs w:val="20"/>
              </w:rPr>
              <w:t>Chad Norman Morris</w:t>
            </w:r>
          </w:p>
          <w:p w:rsidR="00E21B4E" w:rsidRPr="00144413" w:rsidRDefault="00E21B4E" w:rsidP="00E21B4E">
            <w:pPr>
              <w:keepNext/>
              <w:keepLines/>
              <w:tabs>
                <w:tab w:val="left" w:pos="-1440"/>
                <w:tab w:val="left" w:pos="-720"/>
              </w:tabs>
              <w:rPr>
                <w:sz w:val="20"/>
                <w:szCs w:val="20"/>
              </w:rPr>
            </w:pPr>
            <w:r w:rsidRPr="00423627">
              <w:rPr>
                <w:sz w:val="20"/>
                <w:szCs w:val="20"/>
              </w:rPr>
              <w:tab/>
            </w:r>
            <w:r w:rsidR="00423627" w:rsidRPr="00423627">
              <w:rPr>
                <w:sz w:val="20"/>
                <w:szCs w:val="20"/>
              </w:rPr>
              <w:t>Robert L</w:t>
            </w:r>
            <w:r w:rsidRPr="00144413">
              <w:rPr>
                <w:sz w:val="20"/>
                <w:szCs w:val="20"/>
              </w:rPr>
              <w:t xml:space="preserve">. </w:t>
            </w:r>
            <w:r w:rsidR="00423627">
              <w:rPr>
                <w:sz w:val="20"/>
                <w:szCs w:val="20"/>
              </w:rPr>
              <w:t>Steve</w:t>
            </w:r>
            <w:r w:rsidRPr="00144413">
              <w:rPr>
                <w:sz w:val="20"/>
                <w:szCs w:val="20"/>
              </w:rPr>
              <w:t>n</w:t>
            </w:r>
            <w:r w:rsidR="00423627">
              <w:rPr>
                <w:sz w:val="20"/>
                <w:szCs w:val="20"/>
              </w:rPr>
              <w:t>son</w:t>
            </w:r>
          </w:p>
          <w:p w:rsidR="00E21B4E" w:rsidRPr="00144413" w:rsidRDefault="00E21B4E" w:rsidP="00E21B4E">
            <w:pPr>
              <w:keepNext/>
              <w:keepLines/>
              <w:tabs>
                <w:tab w:val="left" w:pos="-1440"/>
                <w:tab w:val="left" w:pos="-720"/>
              </w:tabs>
              <w:rPr>
                <w:sz w:val="20"/>
                <w:szCs w:val="20"/>
              </w:rPr>
            </w:pPr>
            <w:r w:rsidRPr="00144413">
              <w:rPr>
                <w:sz w:val="20"/>
                <w:szCs w:val="20"/>
              </w:rPr>
              <w:tab/>
              <w:t>Ste</w:t>
            </w:r>
            <w:r w:rsidR="00423627">
              <w:rPr>
                <w:sz w:val="20"/>
                <w:szCs w:val="20"/>
              </w:rPr>
              <w:t>venson Law Office</w:t>
            </w:r>
          </w:p>
          <w:p w:rsidR="00E21B4E" w:rsidRPr="00144413" w:rsidRDefault="00E21B4E" w:rsidP="00E21B4E">
            <w:pPr>
              <w:keepNext/>
              <w:keepLines/>
              <w:tabs>
                <w:tab w:val="left" w:pos="-1440"/>
                <w:tab w:val="left" w:pos="-720"/>
              </w:tabs>
              <w:rPr>
                <w:sz w:val="20"/>
                <w:szCs w:val="20"/>
              </w:rPr>
            </w:pPr>
          </w:p>
          <w:p w:rsidR="00E21B4E" w:rsidRPr="00712E9F" w:rsidRDefault="00E21B4E" w:rsidP="00E21B4E">
            <w:pPr>
              <w:keepNext/>
              <w:keepLines/>
              <w:tabs>
                <w:tab w:val="left" w:pos="-1440"/>
                <w:tab w:val="left" w:pos="-720"/>
              </w:tabs>
              <w:rPr>
                <w:sz w:val="20"/>
                <w:szCs w:val="20"/>
              </w:rPr>
            </w:pPr>
            <w:r w:rsidRPr="00144413">
              <w:rPr>
                <w:sz w:val="20"/>
                <w:szCs w:val="20"/>
              </w:rPr>
              <w:tab/>
            </w:r>
            <w:r w:rsidRPr="00712E9F">
              <w:rPr>
                <w:sz w:val="20"/>
                <w:szCs w:val="20"/>
              </w:rPr>
              <w:t>v. (348</w:t>
            </w:r>
            <w:r>
              <w:rPr>
                <w:sz w:val="20"/>
                <w:szCs w:val="20"/>
              </w:rPr>
              <w:t>5</w:t>
            </w:r>
            <w:r w:rsidR="00423627">
              <w:rPr>
                <w:sz w:val="20"/>
                <w:szCs w:val="20"/>
              </w:rPr>
              <w:t>6</w:t>
            </w:r>
            <w:r w:rsidRPr="00712E9F">
              <w:rPr>
                <w:sz w:val="20"/>
                <w:szCs w:val="20"/>
              </w:rPr>
              <w:t>)</w:t>
            </w:r>
          </w:p>
          <w:p w:rsidR="00E21B4E" w:rsidRPr="00712E9F" w:rsidRDefault="00E21B4E" w:rsidP="00E21B4E">
            <w:pPr>
              <w:keepNext/>
              <w:keepLines/>
              <w:tabs>
                <w:tab w:val="left" w:pos="-1440"/>
                <w:tab w:val="left" w:pos="-720"/>
              </w:tabs>
              <w:rPr>
                <w:sz w:val="20"/>
                <w:szCs w:val="20"/>
              </w:rPr>
            </w:pPr>
          </w:p>
          <w:p w:rsidR="00E21B4E" w:rsidRPr="00712E9F" w:rsidRDefault="00E21B4E" w:rsidP="00E21B4E">
            <w:pPr>
              <w:keepNext/>
              <w:keepLines/>
              <w:tabs>
                <w:tab w:val="left" w:pos="-1440"/>
                <w:tab w:val="left" w:pos="-720"/>
              </w:tabs>
              <w:rPr>
                <w:b/>
                <w:sz w:val="20"/>
                <w:szCs w:val="20"/>
              </w:rPr>
            </w:pPr>
            <w:r>
              <w:rPr>
                <w:b/>
                <w:sz w:val="20"/>
                <w:szCs w:val="20"/>
              </w:rPr>
              <w:t xml:space="preserve">Saskatchewan </w:t>
            </w:r>
            <w:r w:rsidR="00423627">
              <w:rPr>
                <w:b/>
                <w:sz w:val="20"/>
                <w:szCs w:val="20"/>
              </w:rPr>
              <w:t>Gover</w:t>
            </w:r>
            <w:r>
              <w:rPr>
                <w:b/>
                <w:sz w:val="20"/>
                <w:szCs w:val="20"/>
              </w:rPr>
              <w:t>n</w:t>
            </w:r>
            <w:r w:rsidR="00423627">
              <w:rPr>
                <w:b/>
                <w:sz w:val="20"/>
                <w:szCs w:val="20"/>
              </w:rPr>
              <w:t>ment I</w:t>
            </w:r>
            <w:r>
              <w:rPr>
                <w:b/>
                <w:sz w:val="20"/>
                <w:szCs w:val="20"/>
              </w:rPr>
              <w:t>n</w:t>
            </w:r>
            <w:r w:rsidR="00423627">
              <w:rPr>
                <w:b/>
                <w:sz w:val="20"/>
                <w:szCs w:val="20"/>
              </w:rPr>
              <w:t>surance</w:t>
            </w:r>
            <w:r>
              <w:rPr>
                <w:b/>
                <w:sz w:val="20"/>
                <w:szCs w:val="20"/>
              </w:rPr>
              <w:t xml:space="preserve"> </w:t>
            </w:r>
            <w:r w:rsidRPr="00712E9F">
              <w:rPr>
                <w:b/>
                <w:sz w:val="20"/>
                <w:szCs w:val="20"/>
              </w:rPr>
              <w:t>(</w:t>
            </w:r>
            <w:r>
              <w:rPr>
                <w:b/>
                <w:sz w:val="20"/>
                <w:szCs w:val="20"/>
              </w:rPr>
              <w:t>Sask</w:t>
            </w:r>
            <w:r w:rsidRPr="00712E9F">
              <w:rPr>
                <w:b/>
                <w:sz w:val="20"/>
                <w:szCs w:val="20"/>
              </w:rPr>
              <w:t>.)</w:t>
            </w:r>
          </w:p>
          <w:p w:rsidR="00E21B4E" w:rsidRPr="00712E9F" w:rsidRDefault="00E21B4E" w:rsidP="00E21B4E">
            <w:pPr>
              <w:keepNext/>
              <w:keepLines/>
              <w:tabs>
                <w:tab w:val="left" w:pos="-1440"/>
                <w:tab w:val="left" w:pos="-720"/>
              </w:tabs>
              <w:rPr>
                <w:sz w:val="20"/>
                <w:szCs w:val="20"/>
              </w:rPr>
            </w:pPr>
            <w:r w:rsidRPr="00712E9F">
              <w:rPr>
                <w:sz w:val="20"/>
                <w:szCs w:val="20"/>
              </w:rPr>
              <w:tab/>
            </w:r>
            <w:r w:rsidR="00423627">
              <w:rPr>
                <w:sz w:val="20"/>
                <w:szCs w:val="20"/>
              </w:rPr>
              <w:t>Curtis J. Onishenko</w:t>
            </w:r>
          </w:p>
          <w:p w:rsidR="00E21B4E" w:rsidRPr="00712E9F" w:rsidRDefault="00E21B4E" w:rsidP="00E21B4E">
            <w:pPr>
              <w:keepNext/>
              <w:keepLines/>
              <w:tabs>
                <w:tab w:val="left" w:pos="-1440"/>
                <w:tab w:val="left" w:pos="-720"/>
              </w:tabs>
              <w:rPr>
                <w:sz w:val="20"/>
                <w:szCs w:val="20"/>
              </w:rPr>
            </w:pPr>
            <w:r w:rsidRPr="00712E9F">
              <w:rPr>
                <w:sz w:val="20"/>
                <w:szCs w:val="20"/>
              </w:rPr>
              <w:tab/>
            </w:r>
            <w:r w:rsidR="00423627">
              <w:rPr>
                <w:sz w:val="20"/>
                <w:szCs w:val="20"/>
              </w:rPr>
              <w:t>McKercher LLP</w:t>
            </w:r>
          </w:p>
          <w:p w:rsidR="00E21B4E" w:rsidRPr="00712E9F" w:rsidRDefault="00E21B4E" w:rsidP="00E21B4E">
            <w:pPr>
              <w:keepNext/>
              <w:keepLines/>
              <w:tabs>
                <w:tab w:val="left" w:pos="-1440"/>
                <w:tab w:val="left" w:pos="-720"/>
              </w:tabs>
              <w:rPr>
                <w:sz w:val="20"/>
                <w:szCs w:val="20"/>
              </w:rPr>
            </w:pPr>
          </w:p>
          <w:p w:rsidR="00E21B4E" w:rsidRPr="00A935AA" w:rsidRDefault="00E21B4E" w:rsidP="00E21B4E">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6</w:t>
            </w:r>
            <w:r w:rsidRPr="00A935AA">
              <w:rPr>
                <w:sz w:val="20"/>
                <w:szCs w:val="20"/>
              </w:rPr>
              <w:t>.201</w:t>
            </w:r>
            <w:r>
              <w:rPr>
                <w:sz w:val="20"/>
                <w:szCs w:val="20"/>
              </w:rPr>
              <w:t>2</w:t>
            </w:r>
            <w:r w:rsidR="00D70052" w:rsidRPr="00D70052">
              <w:rPr>
                <w:sz w:val="20"/>
                <w:szCs w:val="20"/>
                <w:lang w:val="fr-CA"/>
              </w:rPr>
              <w:pict>
                <v:rect id="_x0000_i1035"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6429C9">
          <w:headerReference w:type="default" r:id="rId16"/>
          <w:footerReference w:type="default" r:id="rId17"/>
          <w:headerReference w:type="first" r:id="rId18"/>
          <w:footerReference w:type="first" r:id="rId19"/>
          <w:pgSz w:w="12240" w:h="15840"/>
          <w:pgMar w:top="720" w:right="965" w:bottom="1080" w:left="1656" w:header="706" w:footer="706" w:gutter="0"/>
          <w:pgNumType w:start="97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14767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9A57C7" w:rsidRDefault="00E4444D" w:rsidP="004B7F60">
      <w:pPr>
        <w:widowControl w:val="0"/>
        <w:rPr>
          <w:b/>
          <w:sz w:val="20"/>
          <w:szCs w:val="20"/>
          <w:lang w:val="fr-CA"/>
        </w:rPr>
      </w:pPr>
      <w:r w:rsidRPr="009A57C7">
        <w:rPr>
          <w:b/>
          <w:sz w:val="20"/>
          <w:szCs w:val="20"/>
          <w:lang w:val="fr-CA"/>
        </w:rPr>
        <w:t>JU</w:t>
      </w:r>
      <w:r w:rsidR="004B7F60" w:rsidRPr="009A57C7">
        <w:rPr>
          <w:b/>
          <w:sz w:val="20"/>
          <w:szCs w:val="20"/>
          <w:lang w:val="fr-CA"/>
        </w:rPr>
        <w:t xml:space="preserve">NE </w:t>
      </w:r>
      <w:r w:rsidR="009A57C7" w:rsidRPr="009A57C7">
        <w:rPr>
          <w:b/>
          <w:sz w:val="20"/>
          <w:szCs w:val="20"/>
          <w:lang w:val="fr-CA"/>
        </w:rPr>
        <w:t>18</w:t>
      </w:r>
      <w:r w:rsidR="004B7F60" w:rsidRPr="009A57C7">
        <w:rPr>
          <w:b/>
          <w:sz w:val="20"/>
          <w:szCs w:val="20"/>
          <w:lang w:val="fr-CA"/>
        </w:rPr>
        <w:t>, 201</w:t>
      </w:r>
      <w:r w:rsidRPr="009A57C7">
        <w:rPr>
          <w:b/>
          <w:sz w:val="20"/>
          <w:szCs w:val="20"/>
          <w:lang w:val="fr-CA"/>
        </w:rPr>
        <w:t>2</w:t>
      </w:r>
      <w:r w:rsidR="004B7F60" w:rsidRPr="009A57C7">
        <w:rPr>
          <w:b/>
          <w:sz w:val="20"/>
          <w:szCs w:val="20"/>
          <w:lang w:val="fr-CA"/>
        </w:rPr>
        <w:t xml:space="preserve"> / LE </w:t>
      </w:r>
      <w:r w:rsidR="009A57C7" w:rsidRPr="009A57C7">
        <w:rPr>
          <w:b/>
          <w:sz w:val="20"/>
          <w:szCs w:val="20"/>
          <w:lang w:val="fr-CA"/>
        </w:rPr>
        <w:t>18</w:t>
      </w:r>
      <w:r w:rsidRPr="009A57C7">
        <w:rPr>
          <w:b/>
          <w:sz w:val="20"/>
          <w:szCs w:val="20"/>
          <w:lang w:val="fr-CA"/>
        </w:rPr>
        <w:t xml:space="preserve"> JUI</w:t>
      </w:r>
      <w:r w:rsidR="004B7F60" w:rsidRPr="009A57C7">
        <w:rPr>
          <w:b/>
          <w:sz w:val="20"/>
          <w:szCs w:val="20"/>
          <w:lang w:val="fr-CA"/>
        </w:rPr>
        <w:t>N 201</w:t>
      </w:r>
      <w:r w:rsidRPr="009A57C7">
        <w:rPr>
          <w:b/>
          <w:sz w:val="20"/>
          <w:szCs w:val="20"/>
          <w:lang w:val="fr-CA"/>
        </w:rPr>
        <w:t>2</w:t>
      </w:r>
    </w:p>
    <w:p w:rsidR="009A57C7" w:rsidRPr="009A57C7" w:rsidRDefault="009A57C7" w:rsidP="004B7F60">
      <w:pPr>
        <w:widowControl w:val="0"/>
        <w:rPr>
          <w:b/>
          <w:sz w:val="20"/>
          <w:szCs w:val="20"/>
          <w:lang w:val="fr-CA"/>
        </w:rPr>
      </w:pPr>
    </w:p>
    <w:p w:rsidR="004B7F60" w:rsidRPr="009A57C7" w:rsidRDefault="009A57C7" w:rsidP="004B7F60">
      <w:pPr>
        <w:widowControl w:val="0"/>
        <w:rPr>
          <w:b/>
          <w:sz w:val="20"/>
          <w:szCs w:val="20"/>
          <w:lang w:val="fr-CA"/>
        </w:rPr>
      </w:pPr>
      <w:r w:rsidRPr="009A57C7">
        <w:rPr>
          <w:b/>
          <w:sz w:val="20"/>
          <w:szCs w:val="20"/>
          <w:lang w:val="fr-CA"/>
        </w:rPr>
        <w:t>Revised JUNE 22, 2012 / Révisé LE 22 JUIN 2012</w:t>
      </w:r>
    </w:p>
    <w:p w:rsidR="009A57C7" w:rsidRPr="009A57C7" w:rsidRDefault="009A57C7" w:rsidP="004B7F60">
      <w:pPr>
        <w:widowControl w:val="0"/>
        <w:rPr>
          <w:sz w:val="20"/>
          <w:szCs w:val="20"/>
          <w:lang w:val="fr-CA"/>
        </w:rPr>
      </w:pPr>
    </w:p>
    <w:p w:rsidR="009A57C7" w:rsidRPr="00C50A5C" w:rsidRDefault="009A57C7" w:rsidP="009A57C7">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Cromwell</w:t>
      </w:r>
      <w:r w:rsidRPr="00C50A5C">
        <w:rPr>
          <w:b/>
          <w:sz w:val="20"/>
          <w:szCs w:val="20"/>
        </w:rPr>
        <w:t xml:space="preserve"> JJ.</w:t>
      </w:r>
    </w:p>
    <w:p w:rsidR="009A57C7" w:rsidRPr="00C50A5C" w:rsidRDefault="009A57C7" w:rsidP="009A57C7">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Cromwell</w:t>
      </w:r>
    </w:p>
    <w:p w:rsidR="009A57C7" w:rsidRPr="00C50A5C" w:rsidRDefault="009A57C7" w:rsidP="009A57C7">
      <w:pPr>
        <w:widowControl w:val="0"/>
        <w:rPr>
          <w:sz w:val="20"/>
          <w:szCs w:val="20"/>
          <w:lang w:val="fr-CA"/>
        </w:rPr>
      </w:pPr>
    </w:p>
    <w:p w:rsidR="009A57C7" w:rsidRPr="00C50A5C" w:rsidRDefault="003A7F74" w:rsidP="009A57C7">
      <w:pPr>
        <w:pStyle w:val="ListParagraph"/>
        <w:widowControl w:val="0"/>
        <w:numPr>
          <w:ilvl w:val="0"/>
          <w:numId w:val="1"/>
        </w:numPr>
        <w:ind w:hanging="720"/>
        <w:jc w:val="both"/>
        <w:rPr>
          <w:sz w:val="20"/>
          <w:szCs w:val="20"/>
        </w:rPr>
      </w:pPr>
      <w:r w:rsidRPr="00505819">
        <w:rPr>
          <w:i/>
          <w:sz w:val="20"/>
          <w:szCs w:val="20"/>
        </w:rPr>
        <w:t>Telecommunication Employees Association of Manitoba Inc. - International Federation of Professional and Technical Engineers Local 161 et al. v. Manitoba Telecom Services Inc. et al.</w:t>
      </w:r>
      <w:r w:rsidRPr="003A7F74">
        <w:rPr>
          <w:sz w:val="20"/>
          <w:szCs w:val="20"/>
        </w:rPr>
        <w:t xml:space="preserve"> (Man.) (Civil) (By Leave)</w:t>
      </w:r>
      <w:r w:rsidRPr="00C50A5C">
        <w:rPr>
          <w:sz w:val="20"/>
          <w:szCs w:val="20"/>
        </w:rPr>
        <w:t xml:space="preserve"> </w:t>
      </w:r>
      <w:r w:rsidR="009A57C7" w:rsidRPr="00C50A5C">
        <w:rPr>
          <w:sz w:val="20"/>
          <w:szCs w:val="20"/>
        </w:rPr>
        <w:t>(3</w:t>
      </w:r>
      <w:r w:rsidR="009A57C7">
        <w:rPr>
          <w:sz w:val="20"/>
          <w:szCs w:val="20"/>
        </w:rPr>
        <w:t>4763</w:t>
      </w:r>
      <w:r w:rsidR="009A57C7" w:rsidRPr="00C50A5C">
        <w:rPr>
          <w:sz w:val="20"/>
          <w:szCs w:val="20"/>
        </w:rPr>
        <w:t>)</w:t>
      </w:r>
    </w:p>
    <w:p w:rsidR="009A57C7" w:rsidRDefault="009A57C7" w:rsidP="009A57C7">
      <w:pPr>
        <w:widowControl w:val="0"/>
        <w:jc w:val="both"/>
        <w:rPr>
          <w:sz w:val="20"/>
          <w:szCs w:val="20"/>
        </w:rPr>
      </w:pPr>
    </w:p>
    <w:p w:rsidR="009A57C7" w:rsidRDefault="009A57C7" w:rsidP="009A57C7">
      <w:pPr>
        <w:widowControl w:val="0"/>
        <w:jc w:val="both"/>
        <w:rPr>
          <w:sz w:val="20"/>
          <w:szCs w:val="20"/>
        </w:rPr>
      </w:pPr>
    </w:p>
    <w:p w:rsidR="009A57C7" w:rsidRPr="00C50A5C" w:rsidRDefault="009A57C7" w:rsidP="009A57C7">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Moldaver</w:t>
      </w:r>
      <w:r w:rsidRPr="00C50A5C">
        <w:rPr>
          <w:b/>
          <w:sz w:val="20"/>
          <w:szCs w:val="20"/>
        </w:rPr>
        <w:t xml:space="preserve"> JJ.</w:t>
      </w:r>
    </w:p>
    <w:p w:rsidR="009A57C7" w:rsidRPr="00C50A5C" w:rsidRDefault="009A57C7" w:rsidP="009A57C7">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Moldever</w:t>
      </w:r>
    </w:p>
    <w:p w:rsidR="009A57C7" w:rsidRPr="00C612D0" w:rsidRDefault="009A57C7" w:rsidP="009A57C7">
      <w:pPr>
        <w:widowControl w:val="0"/>
        <w:rPr>
          <w:sz w:val="20"/>
          <w:szCs w:val="20"/>
          <w:lang w:val="fr-CA"/>
        </w:rPr>
      </w:pPr>
    </w:p>
    <w:p w:rsidR="009A57C7" w:rsidRPr="00C612D0" w:rsidRDefault="003A7F74" w:rsidP="009A57C7">
      <w:pPr>
        <w:pStyle w:val="ListParagraph"/>
        <w:widowControl w:val="0"/>
        <w:numPr>
          <w:ilvl w:val="0"/>
          <w:numId w:val="1"/>
        </w:numPr>
        <w:ind w:hanging="720"/>
        <w:jc w:val="both"/>
        <w:rPr>
          <w:sz w:val="20"/>
          <w:szCs w:val="20"/>
        </w:rPr>
      </w:pPr>
      <w:r w:rsidRPr="00505819">
        <w:rPr>
          <w:i/>
          <w:sz w:val="20"/>
          <w:szCs w:val="20"/>
        </w:rPr>
        <w:t>Ivanco Keremelevski v. Insurance Corporation of British Columbia et al.</w:t>
      </w:r>
      <w:r w:rsidRPr="003A7F74">
        <w:rPr>
          <w:sz w:val="20"/>
          <w:szCs w:val="20"/>
        </w:rPr>
        <w:t xml:space="preserve"> (B.C.) (Civil) (By Leave)</w:t>
      </w:r>
      <w:r w:rsidRPr="00C612D0">
        <w:rPr>
          <w:sz w:val="20"/>
          <w:szCs w:val="20"/>
        </w:rPr>
        <w:t xml:space="preserve"> </w:t>
      </w:r>
      <w:r w:rsidR="009A57C7" w:rsidRPr="00C612D0">
        <w:rPr>
          <w:sz w:val="20"/>
          <w:szCs w:val="20"/>
        </w:rPr>
        <w:t>(34</w:t>
      </w:r>
      <w:r w:rsidR="009A57C7">
        <w:rPr>
          <w:sz w:val="20"/>
          <w:szCs w:val="20"/>
        </w:rPr>
        <w:t>789</w:t>
      </w:r>
      <w:r w:rsidR="009A57C7" w:rsidRPr="00C612D0">
        <w:rPr>
          <w:sz w:val="20"/>
          <w:szCs w:val="20"/>
        </w:rPr>
        <w:t>)</w:t>
      </w:r>
    </w:p>
    <w:p w:rsidR="009A57C7" w:rsidRPr="00C612D0" w:rsidRDefault="009A57C7" w:rsidP="009A57C7">
      <w:pPr>
        <w:widowControl w:val="0"/>
        <w:jc w:val="both"/>
        <w:rPr>
          <w:sz w:val="20"/>
          <w:szCs w:val="20"/>
        </w:rPr>
      </w:pPr>
    </w:p>
    <w:p w:rsidR="009A57C7" w:rsidRDefault="00D70052" w:rsidP="004B7F60">
      <w:pPr>
        <w:widowControl w:val="0"/>
        <w:rPr>
          <w:sz w:val="20"/>
          <w:szCs w:val="20"/>
        </w:rPr>
      </w:pPr>
      <w:r w:rsidRPr="00D70052">
        <w:rPr>
          <w:sz w:val="20"/>
          <w:szCs w:val="20"/>
        </w:rPr>
        <w:pict>
          <v:rect id="_x0000_i1038" style="width:2in;height:1pt" o:hrpct="0" o:hralign="center" o:hrstd="t" o:hrnoshade="t" o:hr="t" fillcolor="black [3213]" stroked="f"/>
        </w:pict>
      </w:r>
    </w:p>
    <w:p w:rsidR="003A7F74" w:rsidRPr="009A57C7" w:rsidRDefault="003A7F74" w:rsidP="004B7F60">
      <w:pPr>
        <w:widowControl w:val="0"/>
        <w:rPr>
          <w:sz w:val="20"/>
          <w:szCs w:val="20"/>
        </w:rPr>
      </w:pPr>
    </w:p>
    <w:p w:rsidR="009A57C7" w:rsidRPr="00C50A5C" w:rsidRDefault="009A57C7" w:rsidP="009A57C7">
      <w:pPr>
        <w:widowControl w:val="0"/>
        <w:rPr>
          <w:b/>
          <w:sz w:val="20"/>
          <w:szCs w:val="20"/>
        </w:rPr>
      </w:pPr>
      <w:r>
        <w:rPr>
          <w:b/>
          <w:sz w:val="20"/>
          <w:szCs w:val="20"/>
        </w:rPr>
        <w:t>JUNE</w:t>
      </w:r>
      <w:r w:rsidRPr="00C50A5C">
        <w:rPr>
          <w:b/>
          <w:sz w:val="20"/>
          <w:szCs w:val="20"/>
        </w:rPr>
        <w:t xml:space="preserve"> </w:t>
      </w:r>
      <w:r>
        <w:rPr>
          <w:b/>
          <w:sz w:val="20"/>
          <w:szCs w:val="20"/>
        </w:rPr>
        <w:t>25</w:t>
      </w:r>
      <w:r w:rsidRPr="00C50A5C">
        <w:rPr>
          <w:b/>
          <w:sz w:val="20"/>
          <w:szCs w:val="20"/>
        </w:rPr>
        <w:t>, 201</w:t>
      </w:r>
      <w:r>
        <w:rPr>
          <w:b/>
          <w:sz w:val="20"/>
          <w:szCs w:val="20"/>
        </w:rPr>
        <w:t>2</w:t>
      </w:r>
      <w:r w:rsidRPr="00C50A5C">
        <w:rPr>
          <w:b/>
          <w:sz w:val="20"/>
          <w:szCs w:val="20"/>
        </w:rPr>
        <w:t xml:space="preserve"> / LE </w:t>
      </w:r>
      <w:r>
        <w:rPr>
          <w:b/>
          <w:sz w:val="20"/>
          <w:szCs w:val="20"/>
        </w:rPr>
        <w:t>25 JUIN</w:t>
      </w:r>
      <w:r w:rsidRPr="00C50A5C">
        <w:rPr>
          <w:b/>
          <w:sz w:val="20"/>
          <w:szCs w:val="20"/>
        </w:rPr>
        <w:t xml:space="preserve"> 201</w:t>
      </w:r>
      <w:r>
        <w:rPr>
          <w:b/>
          <w:sz w:val="20"/>
          <w:szCs w:val="20"/>
        </w:rPr>
        <w:t>2</w:t>
      </w:r>
    </w:p>
    <w:p w:rsidR="009A57C7" w:rsidRDefault="009A57C7" w:rsidP="009A57C7">
      <w:pPr>
        <w:widowControl w:val="0"/>
        <w:rPr>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505819" w:rsidP="009A57C7">
      <w:pPr>
        <w:pStyle w:val="ListParagraph"/>
        <w:widowControl w:val="0"/>
        <w:numPr>
          <w:ilvl w:val="0"/>
          <w:numId w:val="8"/>
        </w:numPr>
        <w:ind w:hanging="720"/>
        <w:jc w:val="both"/>
        <w:rPr>
          <w:sz w:val="20"/>
          <w:szCs w:val="20"/>
        </w:rPr>
      </w:pPr>
      <w:r w:rsidRPr="00505819">
        <w:rPr>
          <w:i/>
          <w:sz w:val="20"/>
          <w:szCs w:val="20"/>
        </w:rPr>
        <w:t>Mohamad Tohl v. Her Majesty the Queen</w:t>
      </w:r>
      <w:r w:rsidRPr="00505819">
        <w:rPr>
          <w:sz w:val="20"/>
          <w:szCs w:val="20"/>
        </w:rPr>
        <w:t xml:space="preserve"> (Ont.) (Crim</w:t>
      </w:r>
      <w:r>
        <w:rPr>
          <w:sz w:val="20"/>
          <w:szCs w:val="20"/>
        </w:rPr>
        <w:t>.</w:t>
      </w:r>
      <w:r w:rsidRPr="00505819">
        <w:rPr>
          <w:sz w:val="20"/>
          <w:szCs w:val="20"/>
        </w:rPr>
        <w:t>) (By Leave)</w:t>
      </w:r>
      <w:r w:rsidRPr="00C50A5C">
        <w:rPr>
          <w:sz w:val="20"/>
          <w:szCs w:val="20"/>
        </w:rPr>
        <w:t xml:space="preserve"> </w:t>
      </w:r>
      <w:r w:rsidR="004B7F60" w:rsidRPr="00C50A5C">
        <w:rPr>
          <w:sz w:val="20"/>
          <w:szCs w:val="20"/>
        </w:rPr>
        <w:t>(3</w:t>
      </w:r>
      <w:r w:rsidR="004B7F60">
        <w:rPr>
          <w:sz w:val="20"/>
          <w:szCs w:val="20"/>
        </w:rPr>
        <w:t>4</w:t>
      </w:r>
      <w:r w:rsidR="007D551F">
        <w:rPr>
          <w:sz w:val="20"/>
          <w:szCs w:val="20"/>
        </w:rPr>
        <w:t>695</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505819" w:rsidP="009A57C7">
      <w:pPr>
        <w:pStyle w:val="ListParagraph"/>
        <w:widowControl w:val="0"/>
        <w:numPr>
          <w:ilvl w:val="0"/>
          <w:numId w:val="8"/>
        </w:numPr>
        <w:ind w:hanging="720"/>
        <w:jc w:val="both"/>
        <w:rPr>
          <w:sz w:val="20"/>
          <w:szCs w:val="20"/>
        </w:rPr>
      </w:pPr>
      <w:r w:rsidRPr="00505819">
        <w:rPr>
          <w:i/>
          <w:sz w:val="20"/>
          <w:szCs w:val="20"/>
        </w:rPr>
        <w:t>Barry Lupyrypa v. Her Majesty the Queen</w:t>
      </w:r>
      <w:r w:rsidRPr="00505819">
        <w:rPr>
          <w:sz w:val="20"/>
          <w:szCs w:val="20"/>
        </w:rPr>
        <w:t xml:space="preserve"> (Alta.) (Crim</w:t>
      </w:r>
      <w:r>
        <w:rPr>
          <w:sz w:val="20"/>
          <w:szCs w:val="20"/>
        </w:rPr>
        <w:t>.</w:t>
      </w:r>
      <w:r w:rsidRPr="00505819">
        <w:rPr>
          <w:sz w:val="20"/>
          <w:szCs w:val="20"/>
        </w:rPr>
        <w:t>) (By Leave)</w:t>
      </w:r>
      <w:r w:rsidRPr="00C612D0">
        <w:rPr>
          <w:sz w:val="20"/>
          <w:szCs w:val="20"/>
        </w:rPr>
        <w:t xml:space="preserve"> </w:t>
      </w:r>
      <w:r w:rsidR="004B7F60" w:rsidRPr="00C612D0">
        <w:rPr>
          <w:sz w:val="20"/>
          <w:szCs w:val="20"/>
        </w:rPr>
        <w:t>(34</w:t>
      </w:r>
      <w:r w:rsidR="007D551F">
        <w:rPr>
          <w:sz w:val="20"/>
          <w:szCs w:val="20"/>
        </w:rPr>
        <w:t>671</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505819" w:rsidP="009A57C7">
      <w:pPr>
        <w:pStyle w:val="ListParagraph"/>
        <w:widowControl w:val="0"/>
        <w:numPr>
          <w:ilvl w:val="0"/>
          <w:numId w:val="8"/>
        </w:numPr>
        <w:ind w:hanging="720"/>
        <w:jc w:val="both"/>
        <w:rPr>
          <w:sz w:val="20"/>
          <w:szCs w:val="20"/>
        </w:rPr>
      </w:pPr>
      <w:r w:rsidRPr="00505819">
        <w:rPr>
          <w:i/>
          <w:sz w:val="20"/>
          <w:szCs w:val="20"/>
        </w:rPr>
        <w:t xml:space="preserve">T. Kofi Hadjor v. Sault Ste. </w:t>
      </w:r>
      <w:r w:rsidRPr="00505819">
        <w:rPr>
          <w:i/>
          <w:sz w:val="20"/>
          <w:szCs w:val="20"/>
          <w:lang w:val="fr-CA"/>
        </w:rPr>
        <w:t>Marie Police Services Board et al.</w:t>
      </w:r>
      <w:r w:rsidRPr="00505819">
        <w:rPr>
          <w:sz w:val="20"/>
          <w:szCs w:val="20"/>
          <w:lang w:val="fr-CA"/>
        </w:rPr>
        <w:t xml:space="preserve"> </w:t>
      </w:r>
      <w:r w:rsidRPr="00505819">
        <w:rPr>
          <w:sz w:val="20"/>
          <w:szCs w:val="20"/>
        </w:rPr>
        <w:t>(Ont.) (Civil) (By Leave)</w:t>
      </w:r>
      <w:r w:rsidRPr="00940CAD">
        <w:rPr>
          <w:sz w:val="20"/>
          <w:szCs w:val="20"/>
        </w:rPr>
        <w:t xml:space="preserve"> </w:t>
      </w:r>
      <w:r w:rsidR="004B7F60" w:rsidRPr="00940CAD">
        <w:rPr>
          <w:sz w:val="20"/>
          <w:szCs w:val="20"/>
        </w:rPr>
        <w:t>(34</w:t>
      </w:r>
      <w:r w:rsidR="007D551F">
        <w:rPr>
          <w:sz w:val="20"/>
          <w:szCs w:val="20"/>
        </w:rPr>
        <w:t>646</w:t>
      </w:r>
      <w:r w:rsidR="004B7F60" w:rsidRPr="00940CAD">
        <w:rPr>
          <w:sz w:val="20"/>
          <w:szCs w:val="20"/>
        </w:rPr>
        <w:t>)</w:t>
      </w:r>
    </w:p>
    <w:p w:rsidR="004B7F60" w:rsidRPr="00C50A5C" w:rsidRDefault="004B7F60" w:rsidP="004B7F60">
      <w:pPr>
        <w:widowControl w:val="0"/>
        <w:rPr>
          <w:sz w:val="20"/>
          <w:szCs w:val="20"/>
        </w:rPr>
      </w:pPr>
    </w:p>
    <w:p w:rsidR="004B7F60" w:rsidRPr="00C50A5C" w:rsidRDefault="00505819" w:rsidP="009A57C7">
      <w:pPr>
        <w:pStyle w:val="ListParagraph"/>
        <w:widowControl w:val="0"/>
        <w:numPr>
          <w:ilvl w:val="0"/>
          <w:numId w:val="8"/>
        </w:numPr>
        <w:ind w:hanging="720"/>
        <w:jc w:val="both"/>
        <w:rPr>
          <w:sz w:val="20"/>
          <w:szCs w:val="20"/>
        </w:rPr>
      </w:pPr>
      <w:r w:rsidRPr="00505819">
        <w:rPr>
          <w:i/>
          <w:sz w:val="20"/>
          <w:szCs w:val="20"/>
        </w:rPr>
        <w:t>Shoppers Drug Mart Inc. et al. v. Minister of Health and Long-Term Care et al.</w:t>
      </w:r>
      <w:r w:rsidRPr="00505819">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w:t>
      </w:r>
      <w:r w:rsidR="007D551F">
        <w:rPr>
          <w:sz w:val="20"/>
          <w:szCs w:val="20"/>
        </w:rPr>
        <w:t>649</w:t>
      </w:r>
      <w:r w:rsidR="004B7F60" w:rsidRPr="00C50A5C">
        <w:rPr>
          <w:sz w:val="20"/>
          <w:szCs w:val="20"/>
        </w:rPr>
        <w:t>)</w:t>
      </w:r>
    </w:p>
    <w:p w:rsidR="004B7F60" w:rsidRDefault="004B7F60" w:rsidP="004B7F60">
      <w:pPr>
        <w:widowControl w:val="0"/>
        <w:jc w:val="both"/>
        <w:rPr>
          <w:sz w:val="20"/>
          <w:szCs w:val="20"/>
        </w:rPr>
      </w:pPr>
    </w:p>
    <w:p w:rsidR="004B7F60" w:rsidRPr="00505819" w:rsidRDefault="00505819" w:rsidP="009A57C7">
      <w:pPr>
        <w:pStyle w:val="ListParagraph"/>
        <w:widowControl w:val="0"/>
        <w:numPr>
          <w:ilvl w:val="0"/>
          <w:numId w:val="8"/>
        </w:numPr>
        <w:ind w:hanging="720"/>
        <w:jc w:val="both"/>
        <w:rPr>
          <w:sz w:val="20"/>
          <w:szCs w:val="20"/>
        </w:rPr>
      </w:pPr>
      <w:r w:rsidRPr="00505819">
        <w:rPr>
          <w:i/>
          <w:sz w:val="20"/>
          <w:szCs w:val="20"/>
        </w:rPr>
        <w:t>Katz Group Canada Inc. et al. v. Minister of Health and Long-Term Care et al.</w:t>
      </w:r>
      <w:r w:rsidRPr="00505819">
        <w:rPr>
          <w:sz w:val="20"/>
          <w:szCs w:val="20"/>
        </w:rPr>
        <w:t xml:space="preserve"> (Ont.) (Civil) (By Leave) </w:t>
      </w:r>
      <w:r w:rsidR="004B7F60" w:rsidRPr="00505819">
        <w:rPr>
          <w:sz w:val="20"/>
          <w:szCs w:val="20"/>
        </w:rPr>
        <w:t>(34</w:t>
      </w:r>
      <w:r w:rsidR="007D551F" w:rsidRPr="00505819">
        <w:rPr>
          <w:sz w:val="20"/>
          <w:szCs w:val="20"/>
        </w:rPr>
        <w:t>647</w:t>
      </w:r>
      <w:r w:rsidR="004B7F60" w:rsidRPr="00505819">
        <w:rPr>
          <w:sz w:val="20"/>
          <w:szCs w:val="20"/>
        </w:rPr>
        <w:t>)</w:t>
      </w:r>
    </w:p>
    <w:p w:rsidR="004B7F60" w:rsidRPr="00505819" w:rsidRDefault="004B7F60" w:rsidP="004B7F60">
      <w:pPr>
        <w:widowControl w:val="0"/>
        <w:rPr>
          <w:sz w:val="20"/>
          <w:szCs w:val="20"/>
        </w:rPr>
      </w:pPr>
    </w:p>
    <w:p w:rsidR="007D551F" w:rsidRPr="00505819" w:rsidRDefault="007D551F" w:rsidP="004B7F60">
      <w:pPr>
        <w:widowControl w:val="0"/>
        <w:rPr>
          <w:sz w:val="20"/>
          <w:szCs w:val="20"/>
        </w:rPr>
      </w:pPr>
    </w:p>
    <w:p w:rsidR="007D551F" w:rsidRPr="00C50A5C" w:rsidRDefault="007D551F" w:rsidP="007D551F">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7D551F" w:rsidRPr="00C50A5C" w:rsidRDefault="007D551F" w:rsidP="007D551F">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7D551F" w:rsidRPr="00C612D0" w:rsidRDefault="007D551F" w:rsidP="004B7F60">
      <w:pPr>
        <w:widowControl w:val="0"/>
        <w:rPr>
          <w:sz w:val="20"/>
          <w:szCs w:val="20"/>
          <w:lang w:val="fr-CA"/>
        </w:rPr>
      </w:pPr>
    </w:p>
    <w:p w:rsidR="004B7F60" w:rsidRPr="00B246A2" w:rsidRDefault="00B246A2" w:rsidP="009A57C7">
      <w:pPr>
        <w:pStyle w:val="ListParagraph"/>
        <w:widowControl w:val="0"/>
        <w:numPr>
          <w:ilvl w:val="0"/>
          <w:numId w:val="8"/>
        </w:numPr>
        <w:ind w:hanging="720"/>
        <w:jc w:val="both"/>
        <w:rPr>
          <w:sz w:val="20"/>
          <w:szCs w:val="20"/>
        </w:rPr>
      </w:pPr>
      <w:r w:rsidRPr="00B246A2">
        <w:rPr>
          <w:i/>
          <w:sz w:val="20"/>
          <w:szCs w:val="20"/>
        </w:rPr>
        <w:t>Myfit Dika a.k.a Mike Davis v. Minister of Justice of Canada</w:t>
      </w:r>
      <w:r w:rsidRPr="00B246A2">
        <w:rPr>
          <w:sz w:val="20"/>
          <w:szCs w:val="20"/>
        </w:rPr>
        <w:t xml:space="preserve"> (Ont.) </w:t>
      </w:r>
      <w:r w:rsidRPr="00505819">
        <w:rPr>
          <w:sz w:val="20"/>
          <w:szCs w:val="20"/>
        </w:rPr>
        <w:t>(Crim</w:t>
      </w:r>
      <w:r>
        <w:rPr>
          <w:sz w:val="20"/>
          <w:szCs w:val="20"/>
        </w:rPr>
        <w:t>.</w:t>
      </w:r>
      <w:r w:rsidRPr="00505819">
        <w:rPr>
          <w:sz w:val="20"/>
          <w:szCs w:val="20"/>
        </w:rPr>
        <w:t>) (By Leave)</w:t>
      </w:r>
      <w:r w:rsidRPr="00B246A2">
        <w:rPr>
          <w:sz w:val="20"/>
          <w:szCs w:val="20"/>
        </w:rPr>
        <w:t xml:space="preserve"> </w:t>
      </w:r>
      <w:r w:rsidR="004B7F60" w:rsidRPr="00B246A2">
        <w:rPr>
          <w:sz w:val="20"/>
          <w:szCs w:val="20"/>
        </w:rPr>
        <w:t>(34</w:t>
      </w:r>
      <w:r w:rsidR="007D551F" w:rsidRPr="00B246A2">
        <w:rPr>
          <w:sz w:val="20"/>
          <w:szCs w:val="20"/>
        </w:rPr>
        <w:t>794</w:t>
      </w:r>
      <w:r w:rsidR="004B7F60" w:rsidRPr="00B246A2">
        <w:rPr>
          <w:sz w:val="20"/>
          <w:szCs w:val="20"/>
        </w:rPr>
        <w:t>)</w:t>
      </w:r>
    </w:p>
    <w:p w:rsidR="004B7F60" w:rsidRPr="00B246A2" w:rsidRDefault="004B7F60" w:rsidP="004B7F60">
      <w:pPr>
        <w:widowControl w:val="0"/>
        <w:jc w:val="both"/>
        <w:rPr>
          <w:sz w:val="20"/>
          <w:szCs w:val="20"/>
        </w:rPr>
      </w:pPr>
    </w:p>
    <w:p w:rsidR="004B7F60" w:rsidRPr="00B246A2" w:rsidRDefault="00B246A2" w:rsidP="009A57C7">
      <w:pPr>
        <w:pStyle w:val="ListParagraph"/>
        <w:widowControl w:val="0"/>
        <w:numPr>
          <w:ilvl w:val="0"/>
          <w:numId w:val="8"/>
        </w:numPr>
        <w:ind w:hanging="720"/>
        <w:jc w:val="both"/>
        <w:rPr>
          <w:sz w:val="20"/>
          <w:szCs w:val="20"/>
        </w:rPr>
      </w:pPr>
      <w:r w:rsidRPr="00B246A2">
        <w:rPr>
          <w:i/>
          <w:sz w:val="20"/>
          <w:szCs w:val="20"/>
        </w:rPr>
        <w:t>Yakov Mereshensky v. Metropolitan Toronto Condominium Corporation No. 879</w:t>
      </w:r>
      <w:r w:rsidRPr="00505819">
        <w:rPr>
          <w:sz w:val="20"/>
          <w:szCs w:val="20"/>
        </w:rPr>
        <w:t xml:space="preserve"> (Ont.) (Civil) (By Leave)</w:t>
      </w:r>
      <w:r w:rsidRPr="00B246A2">
        <w:rPr>
          <w:sz w:val="20"/>
          <w:szCs w:val="20"/>
        </w:rPr>
        <w:t xml:space="preserve"> </w:t>
      </w:r>
      <w:r w:rsidR="004B7F60" w:rsidRPr="00B246A2">
        <w:rPr>
          <w:sz w:val="20"/>
          <w:szCs w:val="20"/>
        </w:rPr>
        <w:t>(34</w:t>
      </w:r>
      <w:r w:rsidR="007D551F" w:rsidRPr="00B246A2">
        <w:rPr>
          <w:sz w:val="20"/>
          <w:szCs w:val="20"/>
        </w:rPr>
        <w:t>817</w:t>
      </w:r>
      <w:r w:rsidR="004B7F60" w:rsidRPr="00B246A2">
        <w:rPr>
          <w:sz w:val="20"/>
          <w:szCs w:val="20"/>
        </w:rPr>
        <w:t>)</w:t>
      </w:r>
    </w:p>
    <w:p w:rsidR="004B7F60" w:rsidRPr="00B246A2" w:rsidRDefault="004B7F60" w:rsidP="004B7F60">
      <w:pPr>
        <w:widowControl w:val="0"/>
        <w:jc w:val="both"/>
        <w:rPr>
          <w:sz w:val="20"/>
          <w:szCs w:val="20"/>
        </w:rPr>
      </w:pPr>
    </w:p>
    <w:p w:rsidR="004B7F60" w:rsidRPr="00B246A2" w:rsidRDefault="00B246A2" w:rsidP="009A57C7">
      <w:pPr>
        <w:pStyle w:val="ListParagraph"/>
        <w:widowControl w:val="0"/>
        <w:numPr>
          <w:ilvl w:val="0"/>
          <w:numId w:val="8"/>
        </w:numPr>
        <w:ind w:hanging="720"/>
        <w:jc w:val="both"/>
        <w:rPr>
          <w:sz w:val="20"/>
          <w:szCs w:val="20"/>
        </w:rPr>
      </w:pPr>
      <w:r w:rsidRPr="00B246A2">
        <w:rPr>
          <w:i/>
          <w:sz w:val="20"/>
          <w:szCs w:val="20"/>
        </w:rPr>
        <w:t>Loretta Best v. Attorney General of Canada</w:t>
      </w:r>
      <w:r w:rsidRPr="00505819">
        <w:rPr>
          <w:sz w:val="20"/>
          <w:szCs w:val="20"/>
        </w:rPr>
        <w:t xml:space="preserve"> (F</w:t>
      </w:r>
      <w:r>
        <w:rPr>
          <w:sz w:val="20"/>
          <w:szCs w:val="20"/>
        </w:rPr>
        <w:t>.</w:t>
      </w:r>
      <w:r w:rsidRPr="00505819">
        <w:rPr>
          <w:sz w:val="20"/>
          <w:szCs w:val="20"/>
        </w:rPr>
        <w:t>C</w:t>
      </w:r>
      <w:r>
        <w:rPr>
          <w:sz w:val="20"/>
          <w:szCs w:val="20"/>
        </w:rPr>
        <w:t>.</w:t>
      </w:r>
      <w:r w:rsidRPr="00505819">
        <w:rPr>
          <w:sz w:val="20"/>
          <w:szCs w:val="20"/>
        </w:rPr>
        <w:t>) (Civil) (By Leave)</w:t>
      </w:r>
      <w:r w:rsidRPr="00B246A2">
        <w:rPr>
          <w:sz w:val="20"/>
          <w:szCs w:val="20"/>
        </w:rPr>
        <w:t xml:space="preserve"> </w:t>
      </w:r>
      <w:r w:rsidR="004B7F60" w:rsidRPr="00B246A2">
        <w:rPr>
          <w:sz w:val="20"/>
          <w:szCs w:val="20"/>
        </w:rPr>
        <w:t>(34</w:t>
      </w:r>
      <w:r w:rsidR="007D551F" w:rsidRPr="00B246A2">
        <w:rPr>
          <w:sz w:val="20"/>
          <w:szCs w:val="20"/>
        </w:rPr>
        <w:t>663</w:t>
      </w:r>
      <w:r w:rsidR="004B7F60" w:rsidRPr="00B246A2">
        <w:rPr>
          <w:sz w:val="20"/>
          <w:szCs w:val="20"/>
        </w:rPr>
        <w:t>)</w:t>
      </w:r>
    </w:p>
    <w:p w:rsidR="004B7F60" w:rsidRPr="00B246A2" w:rsidRDefault="004B7F60" w:rsidP="004B7F60">
      <w:pPr>
        <w:widowControl w:val="0"/>
        <w:rPr>
          <w:sz w:val="20"/>
          <w:szCs w:val="20"/>
        </w:rPr>
      </w:pPr>
    </w:p>
    <w:p w:rsidR="004B7F60" w:rsidRPr="00C50A5C" w:rsidRDefault="00B246A2" w:rsidP="009A57C7">
      <w:pPr>
        <w:pStyle w:val="ListParagraph"/>
        <w:widowControl w:val="0"/>
        <w:numPr>
          <w:ilvl w:val="0"/>
          <w:numId w:val="8"/>
        </w:numPr>
        <w:ind w:hanging="720"/>
        <w:jc w:val="both"/>
        <w:rPr>
          <w:sz w:val="20"/>
          <w:szCs w:val="20"/>
          <w:lang w:val="fr-CA"/>
        </w:rPr>
      </w:pPr>
      <w:r w:rsidRPr="00B246A2">
        <w:rPr>
          <w:i/>
          <w:sz w:val="20"/>
          <w:szCs w:val="20"/>
          <w:lang w:val="fr-CA"/>
        </w:rPr>
        <w:t>Crescent Chau et al. v. Epoch Times Montreal Inc. et al.</w:t>
      </w:r>
      <w:r w:rsidRPr="00B246A2">
        <w:rPr>
          <w:sz w:val="20"/>
          <w:szCs w:val="20"/>
          <w:lang w:val="fr-CA"/>
        </w:rPr>
        <w:t xml:space="preserve"> </w:t>
      </w:r>
      <w:r w:rsidRPr="00505819">
        <w:rPr>
          <w:sz w:val="20"/>
          <w:szCs w:val="20"/>
        </w:rPr>
        <w:t xml:space="preserve">(Que.) (Civil) (By Leave) </w:t>
      </w:r>
      <w:r w:rsidR="004B7F60" w:rsidRPr="00C50A5C">
        <w:rPr>
          <w:sz w:val="20"/>
          <w:szCs w:val="20"/>
          <w:lang w:val="fr-CA"/>
        </w:rPr>
        <w:t>(3</w:t>
      </w:r>
      <w:r w:rsidR="004B7F60">
        <w:rPr>
          <w:sz w:val="20"/>
          <w:szCs w:val="20"/>
          <w:lang w:val="fr-CA"/>
        </w:rPr>
        <w:t>4</w:t>
      </w:r>
      <w:r w:rsidR="007D551F">
        <w:rPr>
          <w:sz w:val="20"/>
          <w:szCs w:val="20"/>
          <w:lang w:val="fr-CA"/>
        </w:rPr>
        <w:t>781</w:t>
      </w:r>
      <w:r w:rsidR="004B7F60" w:rsidRPr="00C50A5C">
        <w:rPr>
          <w:sz w:val="20"/>
          <w:szCs w:val="20"/>
          <w:lang w:val="fr-CA"/>
        </w:rPr>
        <w:t>)</w:t>
      </w:r>
    </w:p>
    <w:p w:rsidR="004B7F60" w:rsidRDefault="004B7F60" w:rsidP="004B7F60">
      <w:pPr>
        <w:widowControl w:val="0"/>
        <w:jc w:val="both"/>
        <w:rPr>
          <w:sz w:val="20"/>
          <w:szCs w:val="20"/>
          <w:lang w:val="fr-CA"/>
        </w:rPr>
      </w:pPr>
    </w:p>
    <w:p w:rsidR="004B7F60" w:rsidRPr="00B246A2" w:rsidRDefault="00B246A2" w:rsidP="009A57C7">
      <w:pPr>
        <w:pStyle w:val="ListParagraph"/>
        <w:widowControl w:val="0"/>
        <w:numPr>
          <w:ilvl w:val="0"/>
          <w:numId w:val="8"/>
        </w:numPr>
        <w:ind w:hanging="720"/>
        <w:jc w:val="both"/>
        <w:rPr>
          <w:sz w:val="20"/>
          <w:szCs w:val="20"/>
          <w:lang w:val="fr-CA"/>
        </w:rPr>
      </w:pPr>
      <w:r w:rsidRPr="00B246A2">
        <w:rPr>
          <w:i/>
          <w:sz w:val="20"/>
          <w:szCs w:val="20"/>
          <w:lang w:val="fr-CA"/>
        </w:rPr>
        <w:t>Guillaume Lemay c. Ville de Sorel-Tracy</w:t>
      </w:r>
      <w:r w:rsidRPr="00505819">
        <w:rPr>
          <w:sz w:val="20"/>
          <w:szCs w:val="20"/>
          <w:lang w:val="fr-CA"/>
        </w:rPr>
        <w:t xml:space="preserve"> (Qc) (Civile) (Autorisation)</w:t>
      </w:r>
      <w:r w:rsidRPr="00B246A2">
        <w:rPr>
          <w:sz w:val="20"/>
          <w:szCs w:val="20"/>
          <w:lang w:val="fr-CA"/>
        </w:rPr>
        <w:t xml:space="preserve"> </w:t>
      </w:r>
      <w:r w:rsidR="004B7F60" w:rsidRPr="00B246A2">
        <w:rPr>
          <w:sz w:val="20"/>
          <w:szCs w:val="20"/>
          <w:lang w:val="fr-CA"/>
        </w:rPr>
        <w:t>(34</w:t>
      </w:r>
      <w:r w:rsidR="007D551F" w:rsidRPr="00B246A2">
        <w:rPr>
          <w:sz w:val="20"/>
          <w:szCs w:val="20"/>
          <w:lang w:val="fr-CA"/>
        </w:rPr>
        <w:t>724</w:t>
      </w:r>
      <w:r w:rsidR="004B7F60" w:rsidRPr="00B246A2">
        <w:rPr>
          <w:sz w:val="20"/>
          <w:szCs w:val="20"/>
          <w:lang w:val="fr-CA"/>
        </w:rPr>
        <w:t>)</w:t>
      </w:r>
    </w:p>
    <w:p w:rsidR="004B7F60" w:rsidRPr="00B246A2" w:rsidRDefault="004B7F60" w:rsidP="004B7F60">
      <w:pPr>
        <w:widowControl w:val="0"/>
        <w:jc w:val="both"/>
        <w:rPr>
          <w:sz w:val="20"/>
          <w:szCs w:val="20"/>
          <w:lang w:val="fr-CA"/>
        </w:rPr>
      </w:pPr>
    </w:p>
    <w:p w:rsidR="00B246A2" w:rsidRDefault="00B246A2">
      <w:pPr>
        <w:rPr>
          <w:sz w:val="20"/>
          <w:szCs w:val="20"/>
          <w:lang w:val="fr-CA"/>
        </w:rPr>
      </w:pPr>
      <w:r>
        <w:rPr>
          <w:sz w:val="20"/>
          <w:szCs w:val="20"/>
          <w:lang w:val="fr-CA"/>
        </w:rPr>
        <w:br w:type="page"/>
      </w:r>
    </w:p>
    <w:p w:rsidR="007D551F" w:rsidRPr="00C50A5C" w:rsidRDefault="007D551F" w:rsidP="007D551F">
      <w:pPr>
        <w:widowControl w:val="0"/>
        <w:jc w:val="center"/>
        <w:rPr>
          <w:b/>
          <w:sz w:val="20"/>
          <w:szCs w:val="20"/>
        </w:rPr>
      </w:pPr>
      <w:r w:rsidRPr="00C50A5C">
        <w:rPr>
          <w:b/>
          <w:sz w:val="20"/>
          <w:szCs w:val="20"/>
        </w:rPr>
        <w:lastRenderedPageBreak/>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7D551F" w:rsidRPr="00C50A5C" w:rsidRDefault="007D551F" w:rsidP="007D551F">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7D551F" w:rsidRPr="007D551F" w:rsidRDefault="007D551F" w:rsidP="004B7F60">
      <w:pPr>
        <w:widowControl w:val="0"/>
        <w:jc w:val="both"/>
        <w:rPr>
          <w:sz w:val="20"/>
          <w:szCs w:val="20"/>
          <w:lang w:val="fr-CA"/>
        </w:rPr>
      </w:pPr>
    </w:p>
    <w:p w:rsidR="004B7F60" w:rsidRPr="00115C9E" w:rsidRDefault="00B246A2" w:rsidP="009A57C7">
      <w:pPr>
        <w:pStyle w:val="ListParagraph"/>
        <w:widowControl w:val="0"/>
        <w:numPr>
          <w:ilvl w:val="0"/>
          <w:numId w:val="8"/>
        </w:numPr>
        <w:ind w:hanging="720"/>
        <w:jc w:val="both"/>
        <w:rPr>
          <w:sz w:val="20"/>
          <w:szCs w:val="20"/>
        </w:rPr>
      </w:pPr>
      <w:r w:rsidRPr="00B246A2">
        <w:rPr>
          <w:i/>
          <w:sz w:val="20"/>
          <w:szCs w:val="20"/>
        </w:rPr>
        <w:t>Bradley Francis Gray v. Her Majesty the Queen</w:t>
      </w:r>
      <w:r w:rsidRPr="00505819">
        <w:rPr>
          <w:sz w:val="20"/>
          <w:szCs w:val="20"/>
        </w:rPr>
        <w:t xml:space="preserve"> (Alta.) (Crim</w:t>
      </w:r>
      <w:r>
        <w:rPr>
          <w:sz w:val="20"/>
          <w:szCs w:val="20"/>
        </w:rPr>
        <w:t>.</w:t>
      </w:r>
      <w:r w:rsidRPr="00505819">
        <w:rPr>
          <w:sz w:val="20"/>
          <w:szCs w:val="20"/>
        </w:rPr>
        <w:t>) (By Leave)</w:t>
      </w:r>
      <w:r w:rsidRPr="00115C9E">
        <w:rPr>
          <w:sz w:val="20"/>
          <w:szCs w:val="20"/>
        </w:rPr>
        <w:t xml:space="preserve"> </w:t>
      </w:r>
      <w:r w:rsidR="004B7F60" w:rsidRPr="00115C9E">
        <w:rPr>
          <w:sz w:val="20"/>
          <w:szCs w:val="20"/>
        </w:rPr>
        <w:t>(34</w:t>
      </w:r>
      <w:r w:rsidR="007D551F">
        <w:rPr>
          <w:sz w:val="20"/>
          <w:szCs w:val="20"/>
        </w:rPr>
        <w:t>772</w:t>
      </w:r>
      <w:r w:rsidR="004B7F60" w:rsidRPr="00115C9E">
        <w:rPr>
          <w:sz w:val="20"/>
          <w:szCs w:val="20"/>
        </w:rPr>
        <w:t>)</w:t>
      </w:r>
    </w:p>
    <w:p w:rsidR="004B7F60" w:rsidRPr="00115C9E" w:rsidRDefault="004B7F60" w:rsidP="004B7F60">
      <w:pPr>
        <w:widowControl w:val="0"/>
        <w:jc w:val="both"/>
        <w:rPr>
          <w:sz w:val="20"/>
          <w:szCs w:val="20"/>
        </w:rPr>
      </w:pPr>
    </w:p>
    <w:p w:rsidR="004B7F60" w:rsidRPr="00B246A2" w:rsidRDefault="00B246A2" w:rsidP="009A57C7">
      <w:pPr>
        <w:pStyle w:val="ListParagraph"/>
        <w:widowControl w:val="0"/>
        <w:numPr>
          <w:ilvl w:val="0"/>
          <w:numId w:val="8"/>
        </w:numPr>
        <w:ind w:hanging="720"/>
        <w:jc w:val="both"/>
        <w:rPr>
          <w:sz w:val="20"/>
          <w:szCs w:val="20"/>
          <w:lang w:val="fr-CA"/>
        </w:rPr>
      </w:pPr>
      <w:r w:rsidRPr="00B246A2">
        <w:rPr>
          <w:i/>
          <w:sz w:val="20"/>
          <w:szCs w:val="20"/>
          <w:lang w:val="fr-CA"/>
        </w:rPr>
        <w:t>Jessy Domond c. Fonds de responsabilité professionnelle du collège des médecins du Québec</w:t>
      </w:r>
      <w:r w:rsidRPr="00505819">
        <w:rPr>
          <w:sz w:val="20"/>
          <w:szCs w:val="20"/>
          <w:lang w:val="fr-CA"/>
        </w:rPr>
        <w:t xml:space="preserve"> (Qc) (Civile) (Autorisation)</w:t>
      </w:r>
      <w:r w:rsidRPr="00B246A2">
        <w:rPr>
          <w:sz w:val="20"/>
          <w:szCs w:val="20"/>
          <w:lang w:val="fr-CA"/>
        </w:rPr>
        <w:t xml:space="preserve"> </w:t>
      </w:r>
      <w:r w:rsidR="004B7F60" w:rsidRPr="00B246A2">
        <w:rPr>
          <w:sz w:val="20"/>
          <w:szCs w:val="20"/>
          <w:lang w:val="fr-CA"/>
        </w:rPr>
        <w:t>(34</w:t>
      </w:r>
      <w:r w:rsidR="007D551F" w:rsidRPr="00B246A2">
        <w:rPr>
          <w:sz w:val="20"/>
          <w:szCs w:val="20"/>
          <w:lang w:val="fr-CA"/>
        </w:rPr>
        <w:t>785</w:t>
      </w:r>
      <w:r w:rsidR="004B7F60" w:rsidRPr="00B246A2">
        <w:rPr>
          <w:sz w:val="20"/>
          <w:szCs w:val="20"/>
          <w:lang w:val="fr-CA"/>
        </w:rPr>
        <w:t>)</w:t>
      </w:r>
    </w:p>
    <w:p w:rsidR="004B7F60" w:rsidRPr="00B246A2" w:rsidRDefault="004B7F60" w:rsidP="004B7F60">
      <w:pPr>
        <w:widowControl w:val="0"/>
        <w:rPr>
          <w:sz w:val="20"/>
          <w:szCs w:val="20"/>
          <w:lang w:val="fr-CA"/>
        </w:rPr>
      </w:pPr>
    </w:p>
    <w:p w:rsidR="002E2327" w:rsidRPr="00B246A2" w:rsidRDefault="00B246A2" w:rsidP="009A57C7">
      <w:pPr>
        <w:pStyle w:val="ListParagraph"/>
        <w:widowControl w:val="0"/>
        <w:numPr>
          <w:ilvl w:val="0"/>
          <w:numId w:val="8"/>
        </w:numPr>
        <w:ind w:hanging="720"/>
        <w:jc w:val="both"/>
        <w:rPr>
          <w:sz w:val="20"/>
          <w:szCs w:val="20"/>
        </w:rPr>
      </w:pPr>
      <w:r w:rsidRPr="00B246A2">
        <w:rPr>
          <w:i/>
          <w:sz w:val="20"/>
          <w:szCs w:val="20"/>
        </w:rPr>
        <w:t>Canadian Wheat Board v. Albionex (Overseas) Limited et al.</w:t>
      </w:r>
      <w:r w:rsidRPr="00505819">
        <w:rPr>
          <w:sz w:val="20"/>
          <w:szCs w:val="20"/>
        </w:rPr>
        <w:t xml:space="preserve"> (Man.) (Civil) (By Leave)</w:t>
      </w:r>
      <w:r>
        <w:rPr>
          <w:sz w:val="20"/>
          <w:szCs w:val="20"/>
        </w:rPr>
        <w:t xml:space="preserve"> </w:t>
      </w:r>
      <w:r w:rsidR="002E2327" w:rsidRPr="00B246A2">
        <w:rPr>
          <w:sz w:val="20"/>
          <w:szCs w:val="20"/>
        </w:rPr>
        <w:t>(3</w:t>
      </w:r>
      <w:r w:rsidR="00493E3D" w:rsidRPr="00B246A2">
        <w:rPr>
          <w:sz w:val="20"/>
          <w:szCs w:val="20"/>
        </w:rPr>
        <w:t>4</w:t>
      </w:r>
      <w:r w:rsidR="007D551F" w:rsidRPr="00B246A2">
        <w:rPr>
          <w:sz w:val="20"/>
          <w:szCs w:val="20"/>
        </w:rPr>
        <w:t>668</w:t>
      </w:r>
      <w:r w:rsidR="002E2327" w:rsidRPr="00B246A2">
        <w:rPr>
          <w:sz w:val="20"/>
          <w:szCs w:val="20"/>
        </w:rPr>
        <w:t>)</w:t>
      </w:r>
    </w:p>
    <w:p w:rsidR="002E2327" w:rsidRPr="00B246A2" w:rsidRDefault="002E2327" w:rsidP="00C50A5C">
      <w:pPr>
        <w:widowControl w:val="0"/>
        <w:jc w:val="both"/>
        <w:rPr>
          <w:sz w:val="20"/>
          <w:szCs w:val="20"/>
        </w:rPr>
      </w:pPr>
    </w:p>
    <w:p w:rsidR="002E2327" w:rsidRPr="00C50A5C" w:rsidRDefault="00B246A2" w:rsidP="009A57C7">
      <w:pPr>
        <w:pStyle w:val="ListParagraph"/>
        <w:widowControl w:val="0"/>
        <w:numPr>
          <w:ilvl w:val="0"/>
          <w:numId w:val="8"/>
        </w:numPr>
        <w:ind w:hanging="720"/>
        <w:jc w:val="both"/>
        <w:rPr>
          <w:sz w:val="20"/>
          <w:szCs w:val="20"/>
          <w:lang w:val="fr-CA"/>
        </w:rPr>
      </w:pPr>
      <w:r w:rsidRPr="00B246A2">
        <w:rPr>
          <w:i/>
          <w:sz w:val="20"/>
          <w:szCs w:val="20"/>
          <w:lang w:val="fr-CA"/>
        </w:rPr>
        <w:t>Jessy Domond c. Fonds d'assurance responsabilité professionnelle du barreau du Québec</w:t>
      </w:r>
      <w:r w:rsidRPr="00505819">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(34</w:t>
      </w:r>
      <w:r w:rsidR="007D551F">
        <w:rPr>
          <w:sz w:val="20"/>
          <w:szCs w:val="20"/>
          <w:lang w:val="fr-CA"/>
        </w:rPr>
        <w:t>783</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B246A2" w:rsidP="009A57C7">
      <w:pPr>
        <w:pStyle w:val="ListParagraph"/>
        <w:widowControl w:val="0"/>
        <w:numPr>
          <w:ilvl w:val="0"/>
          <w:numId w:val="8"/>
        </w:numPr>
        <w:ind w:hanging="720"/>
        <w:jc w:val="both"/>
        <w:rPr>
          <w:sz w:val="20"/>
          <w:szCs w:val="20"/>
          <w:lang w:val="fr-CA"/>
        </w:rPr>
      </w:pPr>
      <w:r w:rsidRPr="00414424">
        <w:rPr>
          <w:i/>
          <w:sz w:val="20"/>
          <w:szCs w:val="20"/>
          <w:lang w:val="fr-CA"/>
        </w:rPr>
        <w:t>Guy Patenaude c. Cynthia Garnier (Qc) (Civile) (Autorisation)</w:t>
      </w:r>
      <w:r>
        <w:rPr>
          <w:sz w:val="20"/>
          <w:szCs w:val="20"/>
          <w:lang w:val="fr-CA"/>
        </w:rPr>
        <w:t xml:space="preserve"> </w:t>
      </w:r>
      <w:r w:rsidR="002E2327" w:rsidRPr="00C50A5C">
        <w:rPr>
          <w:sz w:val="20"/>
          <w:szCs w:val="20"/>
          <w:lang w:val="fr-CA"/>
        </w:rPr>
        <w:t>(3</w:t>
      </w:r>
      <w:r w:rsidR="00493E3D">
        <w:rPr>
          <w:sz w:val="20"/>
          <w:szCs w:val="20"/>
          <w:lang w:val="fr-CA"/>
        </w:rPr>
        <w:t>4</w:t>
      </w:r>
      <w:r w:rsidR="007D551F">
        <w:rPr>
          <w:sz w:val="20"/>
          <w:szCs w:val="20"/>
          <w:lang w:val="fr-CA"/>
        </w:rPr>
        <w:t>776</w:t>
      </w:r>
      <w:r w:rsidR="002E2327" w:rsidRPr="00C50A5C">
        <w:rPr>
          <w:sz w:val="20"/>
          <w:szCs w:val="20"/>
          <w:lang w:val="fr-CA"/>
        </w:rPr>
        <w:t>)</w:t>
      </w:r>
    </w:p>
    <w:p w:rsidR="002E2327" w:rsidRDefault="002E2327" w:rsidP="002E2327">
      <w:pPr>
        <w:widowControl w:val="0"/>
        <w:rPr>
          <w:sz w:val="20"/>
          <w:szCs w:val="20"/>
          <w:lang w:val="fr-CA"/>
        </w:rPr>
      </w:pPr>
    </w:p>
    <w:p w:rsidR="002E2327" w:rsidRPr="00C50A5C" w:rsidRDefault="00D70052" w:rsidP="002E2327">
      <w:pPr>
        <w:widowControl w:val="0"/>
        <w:rPr>
          <w:sz w:val="20"/>
          <w:szCs w:val="20"/>
        </w:rPr>
      </w:pPr>
      <w:r w:rsidRPr="00D70052">
        <w:rPr>
          <w:sz w:val="20"/>
          <w:szCs w:val="20"/>
        </w:rPr>
        <w:pict>
          <v:rect id="_x0000_i103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147672"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CB50CF" w:rsidP="008D292F">
      <w:pPr>
        <w:rPr>
          <w:b/>
          <w:sz w:val="20"/>
          <w:szCs w:val="20"/>
        </w:rPr>
      </w:pPr>
      <w:r>
        <w:rPr>
          <w:b/>
          <w:sz w:val="20"/>
          <w:szCs w:val="20"/>
        </w:rPr>
        <w:t>JUNE</w:t>
      </w:r>
      <w:r w:rsidR="008D292F" w:rsidRPr="00C50A5C">
        <w:rPr>
          <w:b/>
          <w:sz w:val="20"/>
          <w:szCs w:val="20"/>
        </w:rPr>
        <w:t xml:space="preserve"> 2</w:t>
      </w:r>
      <w:r>
        <w:rPr>
          <w:b/>
          <w:sz w:val="20"/>
          <w:szCs w:val="20"/>
        </w:rPr>
        <w:t>8</w:t>
      </w:r>
      <w:r w:rsidR="008D292F" w:rsidRPr="00C50A5C">
        <w:rPr>
          <w:b/>
          <w:sz w:val="20"/>
          <w:szCs w:val="20"/>
        </w:rPr>
        <w:t>, 201</w:t>
      </w:r>
      <w:r>
        <w:rPr>
          <w:b/>
          <w:sz w:val="20"/>
          <w:szCs w:val="20"/>
        </w:rPr>
        <w:t>2</w:t>
      </w:r>
      <w:r w:rsidR="008D292F" w:rsidRPr="00C50A5C">
        <w:rPr>
          <w:b/>
          <w:sz w:val="20"/>
          <w:szCs w:val="20"/>
        </w:rPr>
        <w:t xml:space="preserve"> / LE 2</w:t>
      </w:r>
      <w:r>
        <w:rPr>
          <w:b/>
          <w:sz w:val="20"/>
          <w:szCs w:val="20"/>
        </w:rPr>
        <w:t>8</w:t>
      </w:r>
      <w:r w:rsidR="008D292F" w:rsidRPr="00C50A5C">
        <w:rPr>
          <w:b/>
          <w:sz w:val="20"/>
          <w:szCs w:val="20"/>
        </w:rPr>
        <w:t xml:space="preserve"> </w:t>
      </w:r>
      <w:r>
        <w:rPr>
          <w:b/>
          <w:sz w:val="20"/>
          <w:szCs w:val="20"/>
        </w:rPr>
        <w:t xml:space="preserve">JUIN </w:t>
      </w:r>
      <w:r w:rsidR="008D292F" w:rsidRPr="00C50A5C">
        <w:rPr>
          <w:b/>
          <w:sz w:val="20"/>
          <w:szCs w:val="20"/>
        </w:rPr>
        <w:t>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A0CC0" w:rsidRPr="005A0EA8" w:rsidTr="008B5DBF">
        <w:trPr>
          <w:cantSplit/>
        </w:trPr>
        <w:tc>
          <w:tcPr>
            <w:tcW w:w="1458" w:type="dxa"/>
          </w:tcPr>
          <w:p w:rsidR="002A0CC0" w:rsidRPr="005A0EA8" w:rsidRDefault="002A0CC0" w:rsidP="008B5DBF">
            <w:pPr>
              <w:rPr>
                <w:rFonts w:cs="Times New Roman"/>
                <w:sz w:val="20"/>
                <w:szCs w:val="20"/>
              </w:rPr>
            </w:pPr>
            <w:r w:rsidRPr="005A0EA8">
              <w:rPr>
                <w:rStyle w:val="SCCFileNumberChar"/>
                <w:sz w:val="20"/>
                <w:szCs w:val="20"/>
              </w:rPr>
              <w:t>34593</w:t>
            </w:r>
          </w:p>
          <w:p w:rsidR="002A0CC0" w:rsidRPr="005A0EA8" w:rsidRDefault="002A0CC0" w:rsidP="008B5DBF">
            <w:pPr>
              <w:rPr>
                <w:rFonts w:cs="Times New Roman"/>
                <w:b/>
                <w:sz w:val="20"/>
                <w:szCs w:val="20"/>
                <w:lang w:val="fr-CA"/>
              </w:rPr>
            </w:pPr>
          </w:p>
        </w:tc>
        <w:tc>
          <w:tcPr>
            <w:tcW w:w="8118" w:type="dxa"/>
          </w:tcPr>
          <w:p w:rsidR="002A0CC0" w:rsidRPr="005A0EA8" w:rsidRDefault="002A0CC0" w:rsidP="008B5DBF">
            <w:pPr>
              <w:jc w:val="both"/>
              <w:rPr>
                <w:rFonts w:cs="Times New Roman"/>
                <w:sz w:val="20"/>
                <w:szCs w:val="20"/>
              </w:rPr>
            </w:pPr>
            <w:r w:rsidRPr="002A0CC0">
              <w:rPr>
                <w:rStyle w:val="SCCLsocChar"/>
                <w:rFonts w:cs="Times New Roman"/>
                <w:sz w:val="20"/>
                <w:szCs w:val="20"/>
                <w:lang w:val="en-CA"/>
              </w:rPr>
              <w:t>Patricia McLean v. Executive Director of the British Columbia Securities Commission</w:t>
            </w:r>
            <w:r w:rsidRPr="005A0EA8">
              <w:rPr>
                <w:rFonts w:cs="Times New Roman"/>
                <w:sz w:val="20"/>
                <w:szCs w:val="20"/>
              </w:rPr>
              <w:t xml:space="preserve"> (B.C.) (Civil) (By Leave)</w:t>
            </w:r>
          </w:p>
          <w:p w:rsidR="002A0CC0" w:rsidRPr="005A0EA8" w:rsidRDefault="002A0CC0" w:rsidP="008B5DBF">
            <w:pPr>
              <w:rPr>
                <w:rFonts w:cs="Times New Roman"/>
                <w:sz w:val="20"/>
                <w:szCs w:val="20"/>
              </w:rPr>
            </w:pPr>
          </w:p>
        </w:tc>
      </w:tr>
      <w:tr w:rsidR="002A0CC0" w:rsidRPr="005A0EA8" w:rsidTr="008B5DBF">
        <w:trPr>
          <w:cantSplit/>
        </w:trPr>
        <w:tc>
          <w:tcPr>
            <w:tcW w:w="1458" w:type="dxa"/>
          </w:tcPr>
          <w:p w:rsidR="002A0CC0" w:rsidRPr="005A0EA8" w:rsidRDefault="002A0CC0" w:rsidP="008B5DBF">
            <w:pPr>
              <w:rPr>
                <w:rFonts w:cs="Times New Roman"/>
                <w:sz w:val="20"/>
                <w:szCs w:val="20"/>
              </w:rPr>
            </w:pPr>
            <w:r w:rsidRPr="005A0EA8">
              <w:rPr>
                <w:rFonts w:cs="Times New Roman"/>
                <w:sz w:val="20"/>
                <w:szCs w:val="20"/>
              </w:rPr>
              <w:t>Coram :</w:t>
            </w:r>
          </w:p>
        </w:tc>
        <w:tc>
          <w:tcPr>
            <w:tcW w:w="8118" w:type="dxa"/>
          </w:tcPr>
          <w:p w:rsidR="002A0CC0" w:rsidRPr="005A0EA8" w:rsidRDefault="002A0CC0" w:rsidP="008B5DBF">
            <w:pPr>
              <w:rPr>
                <w:rFonts w:cs="Times New Roman"/>
                <w:sz w:val="20"/>
                <w:szCs w:val="20"/>
              </w:rPr>
            </w:pPr>
            <w:r w:rsidRPr="002A0CC0">
              <w:rPr>
                <w:rStyle w:val="SCCCoramChar"/>
                <w:rFonts w:cs="Times New Roman"/>
                <w:sz w:val="20"/>
                <w:szCs w:val="20"/>
                <w:lang w:val="en-CA"/>
              </w:rPr>
              <w:t>McLachlin C.J. and Rothstein and Moldaver JJ.</w:t>
            </w:r>
          </w:p>
          <w:p w:rsidR="002A0CC0" w:rsidRPr="005A0EA8" w:rsidRDefault="002A0CC0" w:rsidP="008B5DBF">
            <w:pPr>
              <w:rPr>
                <w:rFonts w:cs="Times New Roman"/>
                <w:sz w:val="20"/>
                <w:szCs w:val="20"/>
                <w:u w:val="single"/>
              </w:rPr>
            </w:pPr>
          </w:p>
        </w:tc>
      </w:tr>
      <w:tr w:rsidR="002A0CC0" w:rsidRPr="00147672" w:rsidTr="008B5DBF">
        <w:trPr>
          <w:cantSplit/>
        </w:trPr>
        <w:tc>
          <w:tcPr>
            <w:tcW w:w="9576" w:type="dxa"/>
            <w:gridSpan w:val="2"/>
          </w:tcPr>
          <w:p w:rsidR="002A0CC0" w:rsidRPr="005A0EA8" w:rsidRDefault="002A0CC0" w:rsidP="008B5DBF">
            <w:pPr>
              <w:pStyle w:val="SCCShortJudgment"/>
              <w:rPr>
                <w:rFonts w:cs="Times New Roman"/>
                <w:szCs w:val="20"/>
              </w:rPr>
            </w:pPr>
            <w:r w:rsidRPr="005A0EA8">
              <w:rPr>
                <w:rFonts w:cs="Times New Roman"/>
                <w:szCs w:val="20"/>
              </w:rPr>
              <w:t>The application for leave to appeal from the judgment of the Court of Appeal for British Columbia (Vancouver), Number CA038196, 2011 BCCA 455, dated November 10, 2011, is granted without costs.</w:t>
            </w:r>
          </w:p>
          <w:p w:rsidR="002A0CC0" w:rsidRPr="005A0EA8" w:rsidRDefault="002A0CC0" w:rsidP="008B5DBF">
            <w:pPr>
              <w:pStyle w:val="SCCShortJudgment"/>
              <w:ind w:firstLine="0"/>
              <w:rPr>
                <w:rFonts w:cs="Times New Roman"/>
                <w:szCs w:val="20"/>
              </w:rPr>
            </w:pPr>
          </w:p>
          <w:p w:rsidR="002A0CC0" w:rsidRPr="005A0EA8" w:rsidRDefault="002A0CC0" w:rsidP="008B5DBF">
            <w:pPr>
              <w:pStyle w:val="SCCShortJudgment"/>
              <w:rPr>
                <w:rFonts w:cs="Times New Roman"/>
                <w:szCs w:val="20"/>
                <w:lang w:val="fr-CA"/>
              </w:rPr>
            </w:pPr>
            <w:r w:rsidRPr="005A0EA8">
              <w:rPr>
                <w:rFonts w:cs="Times New Roman"/>
                <w:szCs w:val="20"/>
                <w:lang w:val="fr-CA"/>
              </w:rPr>
              <w:t>La demande d’autorisation d’appel de l’arrêt de la Cour d’appel de la Colombie-Britannique (Vancouver), numéro CA038196, 2011 BCCA 455, daté du 10 novembre 2011, est accueillie sans dépens.</w:t>
            </w:r>
          </w:p>
        </w:tc>
      </w:tr>
    </w:tbl>
    <w:p w:rsidR="00CB50CF" w:rsidRPr="002A0CC0" w:rsidRDefault="00CB50CF" w:rsidP="008D292F">
      <w:pPr>
        <w:rPr>
          <w:sz w:val="20"/>
          <w:szCs w:val="20"/>
          <w:lang w:val="fr-CA"/>
        </w:rPr>
      </w:pPr>
    </w:p>
    <w:p w:rsidR="00CB50CF" w:rsidRPr="001B157C" w:rsidRDefault="00CB50CF" w:rsidP="00CB50CF">
      <w:pPr>
        <w:rPr>
          <w:sz w:val="20"/>
          <w:szCs w:val="20"/>
          <w:u w:val="single"/>
        </w:rPr>
      </w:pPr>
      <w:r w:rsidRPr="001B157C">
        <w:rPr>
          <w:sz w:val="20"/>
          <w:szCs w:val="20"/>
          <w:u w:val="single"/>
        </w:rPr>
        <w:t>CASE SUMMARY</w:t>
      </w:r>
    </w:p>
    <w:p w:rsidR="00CB50CF" w:rsidRDefault="00CB50CF"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239E6" w:rsidRPr="003E4A8C" w:rsidTr="009A57C7">
        <w:tc>
          <w:tcPr>
            <w:tcW w:w="5000" w:type="pct"/>
            <w:gridSpan w:val="3"/>
          </w:tcPr>
          <w:p w:rsidR="009239E6" w:rsidRPr="003E4A8C" w:rsidRDefault="009239E6" w:rsidP="009A57C7">
            <w:pPr>
              <w:jc w:val="both"/>
              <w:rPr>
                <w:rFonts w:eastAsia="Calibri"/>
                <w:sz w:val="20"/>
              </w:rPr>
            </w:pPr>
            <w:r w:rsidRPr="003E4A8C">
              <w:rPr>
                <w:rFonts w:eastAsia="Calibri"/>
                <w:sz w:val="20"/>
              </w:rPr>
              <w:t xml:space="preserve">Legislation – Interpretation – Limitation of Actions – Interpretation of ss. 159, 161(6), and 161(6) of the </w:t>
            </w:r>
            <w:r w:rsidRPr="003E4A8C">
              <w:rPr>
                <w:rFonts w:eastAsia="Calibri"/>
                <w:i/>
                <w:sz w:val="20"/>
              </w:rPr>
              <w:t>Securities Act</w:t>
            </w:r>
            <w:r w:rsidRPr="003E4A8C">
              <w:rPr>
                <w:rFonts w:eastAsia="Calibri"/>
                <w:sz w:val="20"/>
              </w:rPr>
              <w:t>, R.S.B.C. 1996, c. 418 – Whether the event giving rise to proceedings for the purposes of s. 159 was entering into a settlement agreement in Ontario or the conduct in Ontario giving rise to the settlement agreement.</w:t>
            </w:r>
          </w:p>
        </w:tc>
      </w:tr>
      <w:tr w:rsidR="009239E6" w:rsidRPr="003E4A8C" w:rsidTr="009A57C7">
        <w:tc>
          <w:tcPr>
            <w:tcW w:w="5000" w:type="pct"/>
            <w:gridSpan w:val="3"/>
          </w:tcPr>
          <w:p w:rsidR="009239E6" w:rsidRPr="003E4A8C" w:rsidRDefault="009239E6" w:rsidP="009A57C7">
            <w:pPr>
              <w:jc w:val="both"/>
              <w:rPr>
                <w:rFonts w:eastAsia="Calibri"/>
                <w:sz w:val="20"/>
              </w:rPr>
            </w:pPr>
          </w:p>
        </w:tc>
      </w:tr>
      <w:tr w:rsidR="009239E6" w:rsidRPr="003E4A8C" w:rsidTr="009A57C7">
        <w:tc>
          <w:tcPr>
            <w:tcW w:w="5000" w:type="pct"/>
            <w:gridSpan w:val="3"/>
          </w:tcPr>
          <w:p w:rsidR="009239E6" w:rsidRPr="003E4A8C" w:rsidRDefault="009239E6" w:rsidP="009A57C7">
            <w:pPr>
              <w:jc w:val="both"/>
              <w:rPr>
                <w:rFonts w:eastAsia="Calibri"/>
                <w:b/>
                <w:sz w:val="20"/>
              </w:rPr>
            </w:pPr>
            <w:r w:rsidRPr="003E4A8C">
              <w:rPr>
                <w:rFonts w:eastAsia="Calibri"/>
                <w:sz w:val="20"/>
              </w:rPr>
              <w:t xml:space="preserve">On September 8, 2008, the applicant entered into a settlement agreement with the Ontario Securities Commission in respect to allegations of acts contrary to the public interest between May 2000 and March 2011.  On January 14, 2010, the Executive Director of the British Columbia </w:t>
            </w:r>
            <w:bookmarkStart w:id="1" w:name="HIT_31"/>
            <w:bookmarkStart w:id="2" w:name="ORIGHIT_31"/>
            <w:bookmarkEnd w:id="1"/>
            <w:bookmarkEnd w:id="2"/>
            <w:r w:rsidRPr="003E4A8C">
              <w:rPr>
                <w:rFonts w:eastAsia="Calibri"/>
                <w:sz w:val="20"/>
              </w:rPr>
              <w:t>Securities Commission gave notice to the applicant of an application for an order in the public interest under s. 161(6</w:t>
            </w:r>
            <w:proofErr w:type="gramStart"/>
            <w:r w:rsidRPr="003E4A8C">
              <w:rPr>
                <w:rFonts w:eastAsia="Calibri"/>
                <w:sz w:val="20"/>
              </w:rPr>
              <w:t>)(</w:t>
            </w:r>
            <w:proofErr w:type="gramEnd"/>
            <w:r w:rsidRPr="003E4A8C">
              <w:rPr>
                <w:rFonts w:eastAsia="Calibri"/>
                <w:sz w:val="20"/>
              </w:rPr>
              <w:t xml:space="preserve">d) of the </w:t>
            </w:r>
            <w:bookmarkStart w:id="3" w:name="HIT_22"/>
            <w:bookmarkStart w:id="4" w:name="ORIGHIT_22"/>
            <w:bookmarkEnd w:id="3"/>
            <w:bookmarkEnd w:id="4"/>
            <w:r w:rsidRPr="003E4A8C">
              <w:rPr>
                <w:rFonts w:eastAsia="Calibri"/>
                <w:i/>
                <w:sz w:val="20"/>
              </w:rPr>
              <w:t>Securities Act</w:t>
            </w:r>
            <w:r w:rsidRPr="003E4A8C">
              <w:rPr>
                <w:rFonts w:eastAsia="Calibri"/>
                <w:sz w:val="20"/>
              </w:rPr>
              <w:t xml:space="preserve">, R.S.B.C. 1996, c. 418. Section 159 of the </w:t>
            </w:r>
            <w:r w:rsidRPr="003E4A8C">
              <w:rPr>
                <w:rFonts w:eastAsia="Calibri"/>
                <w:i/>
                <w:sz w:val="20"/>
              </w:rPr>
              <w:t>Securities Act</w:t>
            </w:r>
            <w:r w:rsidRPr="003E4A8C">
              <w:rPr>
                <w:rFonts w:eastAsia="Calibri"/>
                <w:sz w:val="20"/>
              </w:rPr>
              <w:t xml:space="preserve"> states that action “must not be commenced more than 6 years after the date of the events that give rise to the proceedings”. The </w:t>
            </w:r>
            <w:r w:rsidRPr="003E4A8C">
              <w:rPr>
                <w:rFonts w:eastAsia="Calibri"/>
                <w:sz w:val="20"/>
                <w:u w:val="single"/>
              </w:rPr>
              <w:t>applicant</w:t>
            </w:r>
            <w:r w:rsidRPr="003E4A8C">
              <w:rPr>
                <w:rFonts w:eastAsia="Calibri"/>
                <w:sz w:val="20"/>
              </w:rPr>
              <w:t xml:space="preserve"> provided a written submission in part challenging the application on the basis that the limitation period had expired.  No oral hearing was requested or held.  The British Columbia Securities Commission issued a public interest order placing restrictions on the applicant.  </w:t>
            </w:r>
          </w:p>
          <w:p w:rsidR="009239E6" w:rsidRPr="003E4A8C" w:rsidRDefault="009239E6" w:rsidP="009A57C7">
            <w:pPr>
              <w:jc w:val="both"/>
              <w:rPr>
                <w:rFonts w:eastAsia="Calibri"/>
                <w:sz w:val="20"/>
              </w:rPr>
            </w:pPr>
          </w:p>
        </w:tc>
      </w:tr>
      <w:tr w:rsidR="009239E6" w:rsidRPr="003E4A8C" w:rsidTr="009A57C7">
        <w:tc>
          <w:tcPr>
            <w:tcW w:w="2427" w:type="pct"/>
          </w:tcPr>
          <w:p w:rsidR="009239E6" w:rsidRPr="003E4A8C" w:rsidRDefault="009239E6" w:rsidP="009A57C7">
            <w:pPr>
              <w:jc w:val="both"/>
              <w:rPr>
                <w:rFonts w:eastAsia="Calibri"/>
                <w:sz w:val="20"/>
              </w:rPr>
            </w:pPr>
            <w:r w:rsidRPr="003E4A8C">
              <w:rPr>
                <w:rFonts w:eastAsia="Calibri"/>
                <w:sz w:val="20"/>
              </w:rPr>
              <w:t>May 14, 2010</w:t>
            </w:r>
          </w:p>
          <w:p w:rsidR="009239E6" w:rsidRPr="003E4A8C" w:rsidRDefault="009239E6" w:rsidP="009A57C7">
            <w:pPr>
              <w:jc w:val="both"/>
              <w:rPr>
                <w:rFonts w:eastAsia="Calibri"/>
                <w:sz w:val="20"/>
              </w:rPr>
            </w:pPr>
            <w:r w:rsidRPr="003E4A8C">
              <w:rPr>
                <w:rFonts w:eastAsia="Calibri"/>
                <w:sz w:val="20"/>
              </w:rPr>
              <w:t>British Columbia Securities Commission</w:t>
            </w:r>
          </w:p>
        </w:tc>
        <w:tc>
          <w:tcPr>
            <w:tcW w:w="243" w:type="pct"/>
          </w:tcPr>
          <w:p w:rsidR="009239E6" w:rsidRPr="003E4A8C" w:rsidRDefault="009239E6" w:rsidP="009A57C7">
            <w:pPr>
              <w:jc w:val="both"/>
              <w:rPr>
                <w:rFonts w:eastAsia="Calibri"/>
                <w:sz w:val="20"/>
              </w:rPr>
            </w:pPr>
          </w:p>
        </w:tc>
        <w:tc>
          <w:tcPr>
            <w:tcW w:w="2330" w:type="pct"/>
          </w:tcPr>
          <w:p w:rsidR="009239E6" w:rsidRPr="003E4A8C" w:rsidRDefault="009239E6" w:rsidP="009A57C7">
            <w:pPr>
              <w:jc w:val="both"/>
              <w:rPr>
                <w:rFonts w:eastAsia="Calibri"/>
                <w:sz w:val="20"/>
              </w:rPr>
            </w:pPr>
            <w:r w:rsidRPr="003E4A8C">
              <w:rPr>
                <w:rFonts w:eastAsia="Calibri"/>
                <w:sz w:val="20"/>
              </w:rPr>
              <w:t>Order that until September 8, 2013: applicant shall cease trading in, and be prohibited from purchasing, securities and exchange contracts (with exceptions); any or all of the exemptions set out in the regulations do not apply to the applicant; applicant is prohibited from becoming or acting as a director or officer of a reporting issuer or registrant.</w:t>
            </w:r>
          </w:p>
          <w:p w:rsidR="009239E6" w:rsidRPr="003E4A8C" w:rsidRDefault="009239E6" w:rsidP="009A57C7">
            <w:pPr>
              <w:jc w:val="both"/>
              <w:rPr>
                <w:rFonts w:eastAsia="Calibri"/>
                <w:sz w:val="20"/>
              </w:rPr>
            </w:pPr>
          </w:p>
        </w:tc>
      </w:tr>
      <w:tr w:rsidR="009239E6" w:rsidRPr="003E4A8C" w:rsidTr="009A57C7">
        <w:tc>
          <w:tcPr>
            <w:tcW w:w="2427" w:type="pct"/>
          </w:tcPr>
          <w:p w:rsidR="009239E6" w:rsidRPr="003E4A8C" w:rsidRDefault="009239E6" w:rsidP="009A57C7">
            <w:pPr>
              <w:jc w:val="both"/>
              <w:rPr>
                <w:rFonts w:eastAsia="Calibri"/>
                <w:sz w:val="20"/>
              </w:rPr>
            </w:pPr>
            <w:r w:rsidRPr="003E4A8C">
              <w:rPr>
                <w:rFonts w:eastAsia="Calibri"/>
                <w:sz w:val="20"/>
              </w:rPr>
              <w:t>November 10, 2011</w:t>
            </w:r>
          </w:p>
          <w:p w:rsidR="009239E6" w:rsidRPr="003E4A8C" w:rsidRDefault="009239E6" w:rsidP="009A57C7">
            <w:pPr>
              <w:jc w:val="both"/>
              <w:rPr>
                <w:rFonts w:eastAsia="Calibri"/>
                <w:sz w:val="20"/>
              </w:rPr>
            </w:pPr>
            <w:r w:rsidRPr="003E4A8C">
              <w:rPr>
                <w:rFonts w:eastAsia="Calibri"/>
                <w:sz w:val="20"/>
              </w:rPr>
              <w:t>Court of Appeal for British Columbia (Vancouver)</w:t>
            </w:r>
          </w:p>
          <w:p w:rsidR="009239E6" w:rsidRPr="003E4A8C" w:rsidRDefault="009239E6" w:rsidP="009A57C7">
            <w:pPr>
              <w:jc w:val="both"/>
              <w:rPr>
                <w:rFonts w:eastAsia="Calibri"/>
                <w:sz w:val="20"/>
              </w:rPr>
            </w:pPr>
            <w:r w:rsidRPr="003E4A8C">
              <w:rPr>
                <w:rFonts w:eastAsia="Calibri"/>
                <w:sz w:val="20"/>
              </w:rPr>
              <w:t>(Saunders, Chiasson, Neilson JJ.A.)</w:t>
            </w:r>
          </w:p>
          <w:p w:rsidR="009239E6" w:rsidRPr="003E4A8C" w:rsidRDefault="009239E6" w:rsidP="009A57C7">
            <w:pPr>
              <w:jc w:val="both"/>
              <w:rPr>
                <w:rFonts w:eastAsia="Calibri"/>
                <w:sz w:val="20"/>
              </w:rPr>
            </w:pPr>
            <w:r w:rsidRPr="003E4A8C">
              <w:rPr>
                <w:rFonts w:eastAsia="Calibri"/>
                <w:sz w:val="20"/>
              </w:rPr>
              <w:t>2011 BCCA 455, CA038196</w:t>
            </w:r>
          </w:p>
          <w:p w:rsidR="009239E6" w:rsidRPr="003E4A8C" w:rsidRDefault="009239E6" w:rsidP="009A57C7">
            <w:pPr>
              <w:jc w:val="both"/>
              <w:rPr>
                <w:rFonts w:eastAsia="Calibri"/>
                <w:sz w:val="20"/>
              </w:rPr>
            </w:pPr>
          </w:p>
        </w:tc>
        <w:tc>
          <w:tcPr>
            <w:tcW w:w="243" w:type="pct"/>
          </w:tcPr>
          <w:p w:rsidR="009239E6" w:rsidRPr="003E4A8C" w:rsidRDefault="009239E6" w:rsidP="009A57C7">
            <w:pPr>
              <w:jc w:val="both"/>
              <w:rPr>
                <w:rFonts w:eastAsia="Calibri"/>
                <w:sz w:val="20"/>
              </w:rPr>
            </w:pPr>
          </w:p>
        </w:tc>
        <w:tc>
          <w:tcPr>
            <w:tcW w:w="2330" w:type="pct"/>
          </w:tcPr>
          <w:p w:rsidR="009239E6" w:rsidRPr="003E4A8C" w:rsidRDefault="009239E6" w:rsidP="009A57C7">
            <w:pPr>
              <w:jc w:val="both"/>
              <w:rPr>
                <w:rFonts w:eastAsia="Calibri"/>
                <w:sz w:val="20"/>
              </w:rPr>
            </w:pPr>
            <w:r w:rsidRPr="003E4A8C">
              <w:rPr>
                <w:rFonts w:eastAsia="Calibri"/>
                <w:sz w:val="20"/>
              </w:rPr>
              <w:t xml:space="preserve">Applicant’s appeal allowed </w:t>
            </w:r>
          </w:p>
        </w:tc>
      </w:tr>
      <w:tr w:rsidR="009239E6" w:rsidRPr="003E4A8C" w:rsidTr="009A57C7">
        <w:tc>
          <w:tcPr>
            <w:tcW w:w="2427" w:type="pct"/>
          </w:tcPr>
          <w:p w:rsidR="009239E6" w:rsidRPr="003E4A8C" w:rsidRDefault="009239E6" w:rsidP="009A57C7">
            <w:pPr>
              <w:jc w:val="both"/>
              <w:rPr>
                <w:rFonts w:eastAsia="Calibri"/>
                <w:sz w:val="20"/>
              </w:rPr>
            </w:pPr>
            <w:r w:rsidRPr="003E4A8C">
              <w:rPr>
                <w:rFonts w:eastAsia="Calibri"/>
                <w:sz w:val="20"/>
              </w:rPr>
              <w:t>January 9, 2012</w:t>
            </w:r>
          </w:p>
          <w:p w:rsidR="009239E6" w:rsidRPr="003E4A8C" w:rsidRDefault="009239E6" w:rsidP="009A57C7">
            <w:pPr>
              <w:jc w:val="both"/>
              <w:rPr>
                <w:rFonts w:eastAsia="Calibri"/>
                <w:sz w:val="20"/>
              </w:rPr>
            </w:pPr>
            <w:r w:rsidRPr="003E4A8C">
              <w:rPr>
                <w:rFonts w:eastAsia="Calibri"/>
                <w:sz w:val="20"/>
              </w:rPr>
              <w:t>Supreme Court of Canada</w:t>
            </w:r>
          </w:p>
        </w:tc>
        <w:tc>
          <w:tcPr>
            <w:tcW w:w="243" w:type="pct"/>
          </w:tcPr>
          <w:p w:rsidR="009239E6" w:rsidRPr="003E4A8C" w:rsidRDefault="009239E6" w:rsidP="009A57C7">
            <w:pPr>
              <w:jc w:val="both"/>
              <w:rPr>
                <w:rFonts w:eastAsia="Calibri"/>
                <w:sz w:val="20"/>
              </w:rPr>
            </w:pPr>
          </w:p>
        </w:tc>
        <w:tc>
          <w:tcPr>
            <w:tcW w:w="2330" w:type="pct"/>
          </w:tcPr>
          <w:p w:rsidR="009239E6" w:rsidRPr="003E4A8C" w:rsidRDefault="009239E6" w:rsidP="009A57C7">
            <w:pPr>
              <w:jc w:val="both"/>
              <w:rPr>
                <w:rFonts w:eastAsia="Calibri"/>
                <w:sz w:val="20"/>
              </w:rPr>
            </w:pPr>
            <w:r w:rsidRPr="003E4A8C">
              <w:rPr>
                <w:rFonts w:eastAsia="Calibri"/>
                <w:sz w:val="20"/>
              </w:rPr>
              <w:t>Application for leave to appeal filed</w:t>
            </w:r>
          </w:p>
          <w:p w:rsidR="009239E6" w:rsidRPr="003E4A8C" w:rsidRDefault="009239E6" w:rsidP="009A57C7">
            <w:pPr>
              <w:jc w:val="both"/>
              <w:rPr>
                <w:rFonts w:eastAsia="Calibri"/>
                <w:sz w:val="20"/>
              </w:rPr>
            </w:pPr>
          </w:p>
        </w:tc>
      </w:tr>
    </w:tbl>
    <w:p w:rsidR="00F96FE7" w:rsidRDefault="00F96FE7" w:rsidP="008D292F">
      <w:pPr>
        <w:rPr>
          <w:sz w:val="20"/>
          <w:szCs w:val="20"/>
        </w:rPr>
      </w:pPr>
    </w:p>
    <w:p w:rsidR="00F96FE7" w:rsidRPr="00C50A5C" w:rsidRDefault="00D70052" w:rsidP="00F96FE7">
      <w:pPr>
        <w:rPr>
          <w:sz w:val="20"/>
          <w:szCs w:val="20"/>
        </w:rPr>
      </w:pPr>
      <w:r w:rsidRPr="00D70052">
        <w:rPr>
          <w:sz w:val="20"/>
          <w:szCs w:val="20"/>
          <w:lang w:val="fr-CA"/>
        </w:rPr>
        <w:pict>
          <v:rect id="_x0000_i1042" style="width:2in;height:1pt" o:hrpct="0" o:hralign="center" o:hrstd="t" o:hrnoshade="t" o:hr="t" fillcolor="black [3213]" stroked="f"/>
        </w:pict>
      </w:r>
    </w:p>
    <w:p w:rsidR="00F96FE7" w:rsidRDefault="00F96FE7" w:rsidP="00F96FE7">
      <w:pPr>
        <w:rPr>
          <w:sz w:val="20"/>
          <w:szCs w:val="20"/>
        </w:rPr>
      </w:pPr>
    </w:p>
    <w:p w:rsidR="002A0CC0" w:rsidRDefault="002A0CC0">
      <w:pPr>
        <w:rPr>
          <w:sz w:val="20"/>
          <w:szCs w:val="20"/>
          <w:u w:val="single"/>
          <w:lang w:val="fr-CA"/>
        </w:rPr>
      </w:pPr>
      <w:r>
        <w:rPr>
          <w:sz w:val="20"/>
          <w:szCs w:val="20"/>
          <w:u w:val="single"/>
          <w:lang w:val="fr-CA"/>
        </w:rPr>
        <w:br w:type="page"/>
      </w:r>
    </w:p>
    <w:p w:rsidR="00F96FE7" w:rsidRPr="001B157C" w:rsidRDefault="00F96FE7" w:rsidP="00F96FE7">
      <w:pPr>
        <w:rPr>
          <w:sz w:val="20"/>
          <w:szCs w:val="20"/>
          <w:u w:val="single"/>
          <w:lang w:val="fr-CA"/>
        </w:rPr>
      </w:pPr>
      <w:r w:rsidRPr="001B157C">
        <w:rPr>
          <w:sz w:val="20"/>
          <w:szCs w:val="20"/>
          <w:u w:val="single"/>
          <w:lang w:val="fr-CA"/>
        </w:rPr>
        <w:lastRenderedPageBreak/>
        <w:t>RÉSUMÉ DE L’AFFAIRE</w:t>
      </w:r>
    </w:p>
    <w:p w:rsidR="00CB50CF" w:rsidRDefault="00CB50CF"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239E6" w:rsidRPr="00147672" w:rsidTr="009A57C7">
        <w:tc>
          <w:tcPr>
            <w:tcW w:w="5000" w:type="pct"/>
            <w:gridSpan w:val="3"/>
          </w:tcPr>
          <w:p w:rsidR="009239E6" w:rsidRPr="003E4A8C" w:rsidRDefault="009239E6" w:rsidP="009A57C7">
            <w:pPr>
              <w:jc w:val="both"/>
              <w:rPr>
                <w:rFonts w:eastAsia="Calibri"/>
                <w:sz w:val="20"/>
                <w:lang w:val="fr-CA"/>
              </w:rPr>
            </w:pPr>
            <w:r w:rsidRPr="003E4A8C">
              <w:rPr>
                <w:rFonts w:eastAsia="Calibri"/>
                <w:sz w:val="20"/>
                <w:lang w:val="fr-CA"/>
              </w:rPr>
              <w:t xml:space="preserve">Législation – Interprétation – Prescription – Interprétation des </w:t>
            </w:r>
            <w:proofErr w:type="gramStart"/>
            <w:r w:rsidRPr="003E4A8C">
              <w:rPr>
                <w:rFonts w:eastAsia="Calibri"/>
                <w:sz w:val="20"/>
                <w:lang w:val="fr-CA"/>
              </w:rPr>
              <w:t>art</w:t>
            </w:r>
            <w:proofErr w:type="gramEnd"/>
            <w:r w:rsidRPr="003E4A8C">
              <w:rPr>
                <w:rFonts w:eastAsia="Calibri"/>
                <w:sz w:val="20"/>
                <w:lang w:val="fr-CA"/>
              </w:rPr>
              <w:t xml:space="preserve">. 159, 161(6) et 161(6) de la </w:t>
            </w:r>
            <w:r w:rsidRPr="003E4A8C">
              <w:rPr>
                <w:rFonts w:eastAsia="Calibri"/>
                <w:i/>
                <w:sz w:val="20"/>
                <w:lang w:val="fr-CA"/>
              </w:rPr>
              <w:t>Securities Act</w:t>
            </w:r>
            <w:r w:rsidRPr="003E4A8C">
              <w:rPr>
                <w:rFonts w:eastAsia="Calibri"/>
                <w:sz w:val="20"/>
                <w:lang w:val="fr-CA"/>
              </w:rPr>
              <w:t>, R.S.B.C. 1996, ch. 418 – L’événement qui a donné lieu à l'instance aux fins de l'art. 159 était-il la conclusion d'un règlement à l'amiable en Ontario ou bien la conduite en Ontario qui a donné lieu au règlement à l'amiable?</w:t>
            </w:r>
          </w:p>
        </w:tc>
      </w:tr>
      <w:tr w:rsidR="009239E6" w:rsidRPr="00147672" w:rsidTr="009A57C7">
        <w:tc>
          <w:tcPr>
            <w:tcW w:w="5000" w:type="pct"/>
            <w:gridSpan w:val="3"/>
          </w:tcPr>
          <w:p w:rsidR="009239E6" w:rsidRPr="003E4A8C" w:rsidRDefault="009239E6" w:rsidP="009A57C7">
            <w:pPr>
              <w:jc w:val="both"/>
              <w:rPr>
                <w:rFonts w:eastAsia="Calibri"/>
                <w:sz w:val="20"/>
                <w:lang w:val="fr-CA"/>
              </w:rPr>
            </w:pPr>
          </w:p>
        </w:tc>
      </w:tr>
      <w:tr w:rsidR="009239E6" w:rsidRPr="00147672" w:rsidTr="009A57C7">
        <w:tc>
          <w:tcPr>
            <w:tcW w:w="5000" w:type="pct"/>
            <w:gridSpan w:val="3"/>
          </w:tcPr>
          <w:p w:rsidR="009239E6" w:rsidRPr="003E4A8C" w:rsidRDefault="009239E6" w:rsidP="009A57C7">
            <w:pPr>
              <w:jc w:val="both"/>
              <w:rPr>
                <w:rFonts w:eastAsia="Calibri"/>
                <w:b/>
                <w:sz w:val="20"/>
                <w:lang w:val="fr-CA"/>
              </w:rPr>
            </w:pPr>
            <w:r w:rsidRPr="003E4A8C">
              <w:rPr>
                <w:rFonts w:eastAsia="Calibri"/>
                <w:sz w:val="20"/>
                <w:lang w:val="fr-CA"/>
              </w:rPr>
              <w:t>Le 8 septembre 2008, la demanderesse a conclu un règlement à l'amiable avec la Commission des valeurs mobilières de l'Ontario relativement à des allégations d'actes commis contrairement à l'intérêt public entre mai 2000 et mars 2011. Le 14 janvier 2010, le directeur général de la British Columbia Securities Commission a donné avis à la demanderesse d'une demande d'ordonnance dans l'intérêt public aux termes de l'al. 161(6)</w:t>
            </w:r>
            <w:r w:rsidRPr="003E4A8C">
              <w:rPr>
                <w:rFonts w:eastAsia="Calibri"/>
                <w:i/>
                <w:sz w:val="20"/>
                <w:lang w:val="fr-CA"/>
              </w:rPr>
              <w:t>d</w:t>
            </w:r>
            <w:r w:rsidRPr="003E4A8C">
              <w:rPr>
                <w:rFonts w:eastAsia="Calibri"/>
                <w:sz w:val="20"/>
                <w:lang w:val="fr-CA"/>
              </w:rPr>
              <w:t xml:space="preserve">) de la </w:t>
            </w:r>
            <w:r w:rsidRPr="003E4A8C">
              <w:rPr>
                <w:rFonts w:eastAsia="Calibri"/>
                <w:i/>
                <w:sz w:val="20"/>
                <w:lang w:val="fr-CA"/>
              </w:rPr>
              <w:t>Securities Act</w:t>
            </w:r>
            <w:r w:rsidRPr="003E4A8C">
              <w:rPr>
                <w:rFonts w:eastAsia="Calibri"/>
                <w:sz w:val="20"/>
                <w:lang w:val="fr-CA"/>
              </w:rPr>
              <w:t xml:space="preserve">, R.S.B.C. 1996, ch. 418. L'article 159 de la </w:t>
            </w:r>
            <w:r w:rsidRPr="003E4A8C">
              <w:rPr>
                <w:rFonts w:eastAsia="Calibri"/>
                <w:i/>
                <w:sz w:val="20"/>
                <w:lang w:val="fr-CA"/>
              </w:rPr>
              <w:t xml:space="preserve">Securities </w:t>
            </w:r>
            <w:proofErr w:type="gramStart"/>
            <w:r w:rsidRPr="003E4A8C">
              <w:rPr>
                <w:rFonts w:eastAsia="Calibri"/>
                <w:i/>
                <w:sz w:val="20"/>
                <w:lang w:val="fr-CA"/>
              </w:rPr>
              <w:t>Act</w:t>
            </w:r>
            <w:r w:rsidRPr="003E4A8C">
              <w:rPr>
                <w:rFonts w:eastAsia="Calibri"/>
                <w:sz w:val="20"/>
                <w:lang w:val="fr-CA"/>
              </w:rPr>
              <w:t xml:space="preserve"> prévoit</w:t>
            </w:r>
            <w:proofErr w:type="gramEnd"/>
            <w:r w:rsidRPr="003E4A8C">
              <w:rPr>
                <w:rFonts w:eastAsia="Calibri"/>
                <w:sz w:val="20"/>
                <w:lang w:val="fr-CA"/>
              </w:rPr>
              <w:t xml:space="preserve"> qu'une action [</w:t>
            </w:r>
            <w:r w:rsidRPr="003E4A8C">
              <w:rPr>
                <w:rFonts w:eastAsia="Calibri"/>
                <w:smallCaps/>
                <w:sz w:val="20"/>
                <w:lang w:val="fr-CA"/>
              </w:rPr>
              <w:t>traduction</w:t>
            </w:r>
            <w:r w:rsidRPr="003E4A8C">
              <w:rPr>
                <w:rFonts w:eastAsia="Calibri"/>
                <w:sz w:val="20"/>
                <w:lang w:val="fr-CA"/>
              </w:rPr>
              <w:t xml:space="preserve">] « ne doit pas être intentée plus de six ans après la date des événements qui ont donné lieu à l'instance ». La demanderesse a présenté des observations écrites dans lesquelles elle contestait en partie la demande au motif que le délai de prescription avait expiré. Aucune audience n'a été demandée ni tenue. La British Columbia Securities Commission a délivré une ordonnance d'intérêt public imposant des restrictions à la demanderesse.  </w:t>
            </w:r>
          </w:p>
          <w:p w:rsidR="009239E6" w:rsidRPr="003E4A8C" w:rsidRDefault="009239E6" w:rsidP="009A57C7">
            <w:pPr>
              <w:jc w:val="both"/>
              <w:rPr>
                <w:rFonts w:eastAsia="Calibri"/>
                <w:sz w:val="20"/>
                <w:lang w:val="fr-CA"/>
              </w:rPr>
            </w:pPr>
          </w:p>
        </w:tc>
      </w:tr>
      <w:tr w:rsidR="009239E6" w:rsidRPr="00147672" w:rsidTr="009A57C7">
        <w:tc>
          <w:tcPr>
            <w:tcW w:w="2427" w:type="pct"/>
          </w:tcPr>
          <w:p w:rsidR="009239E6" w:rsidRPr="003E4A8C" w:rsidRDefault="009239E6" w:rsidP="009A57C7">
            <w:pPr>
              <w:jc w:val="both"/>
              <w:rPr>
                <w:rFonts w:eastAsia="Calibri"/>
                <w:sz w:val="20"/>
              </w:rPr>
            </w:pPr>
            <w:r w:rsidRPr="003E4A8C">
              <w:rPr>
                <w:rFonts w:eastAsia="Calibri"/>
                <w:sz w:val="20"/>
              </w:rPr>
              <w:t>14 mai 2010</w:t>
            </w:r>
          </w:p>
          <w:p w:rsidR="009239E6" w:rsidRPr="003E4A8C" w:rsidRDefault="009239E6" w:rsidP="009A57C7">
            <w:pPr>
              <w:jc w:val="both"/>
              <w:rPr>
                <w:rFonts w:eastAsia="Calibri"/>
                <w:sz w:val="20"/>
              </w:rPr>
            </w:pPr>
            <w:r w:rsidRPr="003E4A8C">
              <w:rPr>
                <w:rFonts w:eastAsia="Calibri"/>
                <w:sz w:val="20"/>
              </w:rPr>
              <w:t>British Columbia Securities Commission</w:t>
            </w:r>
          </w:p>
        </w:tc>
        <w:tc>
          <w:tcPr>
            <w:tcW w:w="243" w:type="pct"/>
          </w:tcPr>
          <w:p w:rsidR="009239E6" w:rsidRPr="003E4A8C" w:rsidRDefault="009239E6" w:rsidP="009A57C7">
            <w:pPr>
              <w:jc w:val="both"/>
              <w:rPr>
                <w:rFonts w:eastAsia="Calibri"/>
                <w:sz w:val="20"/>
              </w:rPr>
            </w:pPr>
          </w:p>
        </w:tc>
        <w:tc>
          <w:tcPr>
            <w:tcW w:w="2330" w:type="pct"/>
          </w:tcPr>
          <w:p w:rsidR="009239E6" w:rsidRPr="003E4A8C" w:rsidRDefault="009239E6" w:rsidP="009A57C7">
            <w:pPr>
              <w:jc w:val="both"/>
              <w:rPr>
                <w:rFonts w:eastAsia="Calibri"/>
                <w:sz w:val="20"/>
                <w:lang w:val="fr-CA"/>
              </w:rPr>
            </w:pPr>
            <w:r w:rsidRPr="003E4A8C">
              <w:rPr>
                <w:rFonts w:eastAsia="Calibri"/>
                <w:sz w:val="20"/>
                <w:lang w:val="fr-CA"/>
              </w:rPr>
              <w:t>Ordonnance interdisant à la demanderesse, jusqu'au 8 septembre 2013, de conclure des opérations, notamment d'achat, portant sur des valeurs mobilières (avec exceptions), portant que les exemptions prévues dans les règlements ne s'appliquent pas à la demanderesse et interdisant à la demanderesse de devenir administrateur ou dirigeant d'un émetteur assujetti ou d'une compagnie inscrite ou d'agir à ce titre.</w:t>
            </w:r>
          </w:p>
          <w:p w:rsidR="009239E6" w:rsidRPr="003E4A8C" w:rsidRDefault="009239E6" w:rsidP="009A57C7">
            <w:pPr>
              <w:jc w:val="both"/>
              <w:rPr>
                <w:rFonts w:eastAsia="Calibri"/>
                <w:sz w:val="20"/>
                <w:lang w:val="fr-CA"/>
              </w:rPr>
            </w:pPr>
          </w:p>
        </w:tc>
      </w:tr>
      <w:tr w:rsidR="009239E6" w:rsidRPr="00147672" w:rsidTr="009A57C7">
        <w:tc>
          <w:tcPr>
            <w:tcW w:w="2427" w:type="pct"/>
          </w:tcPr>
          <w:p w:rsidR="009239E6" w:rsidRPr="003E4A8C" w:rsidRDefault="009239E6" w:rsidP="009A57C7">
            <w:pPr>
              <w:jc w:val="both"/>
              <w:rPr>
                <w:rFonts w:eastAsia="Calibri"/>
                <w:sz w:val="20"/>
                <w:lang w:val="fr-CA"/>
              </w:rPr>
            </w:pPr>
            <w:r w:rsidRPr="003E4A8C">
              <w:rPr>
                <w:rFonts w:eastAsia="Calibri"/>
                <w:sz w:val="20"/>
                <w:lang w:val="fr-CA"/>
              </w:rPr>
              <w:t>10 novembre 2011</w:t>
            </w:r>
          </w:p>
          <w:p w:rsidR="009239E6" w:rsidRPr="003E4A8C" w:rsidRDefault="009239E6" w:rsidP="009A57C7">
            <w:pPr>
              <w:jc w:val="both"/>
              <w:rPr>
                <w:rFonts w:eastAsia="Calibri"/>
                <w:sz w:val="20"/>
                <w:lang w:val="fr-CA"/>
              </w:rPr>
            </w:pPr>
            <w:r w:rsidRPr="003E4A8C">
              <w:rPr>
                <w:rFonts w:eastAsia="Calibri"/>
                <w:sz w:val="20"/>
                <w:lang w:val="fr-CA"/>
              </w:rPr>
              <w:t>Cour d'appel de la Colombie-Britannique (Vancouver)</w:t>
            </w:r>
          </w:p>
          <w:p w:rsidR="009239E6" w:rsidRPr="003E4A8C" w:rsidRDefault="009239E6" w:rsidP="009A57C7">
            <w:pPr>
              <w:jc w:val="both"/>
              <w:rPr>
                <w:rFonts w:eastAsia="Calibri"/>
                <w:sz w:val="20"/>
                <w:lang w:val="fr-CA"/>
              </w:rPr>
            </w:pPr>
            <w:r w:rsidRPr="003E4A8C">
              <w:rPr>
                <w:rFonts w:eastAsia="Calibri"/>
                <w:sz w:val="20"/>
                <w:lang w:val="fr-CA"/>
              </w:rPr>
              <w:t>(Juges Saunders, Chiasson et Neilson)</w:t>
            </w:r>
          </w:p>
          <w:p w:rsidR="009239E6" w:rsidRPr="003E4A8C" w:rsidRDefault="009239E6" w:rsidP="009A57C7">
            <w:pPr>
              <w:jc w:val="both"/>
              <w:rPr>
                <w:rFonts w:eastAsia="Calibri"/>
                <w:sz w:val="20"/>
                <w:lang w:val="fr-CA"/>
              </w:rPr>
            </w:pPr>
            <w:r w:rsidRPr="003E4A8C">
              <w:rPr>
                <w:rFonts w:eastAsia="Calibri"/>
                <w:sz w:val="20"/>
                <w:lang w:val="fr-CA"/>
              </w:rPr>
              <w:t>2011 BCCA 455, CA038196</w:t>
            </w:r>
          </w:p>
          <w:p w:rsidR="009239E6" w:rsidRPr="003E4A8C" w:rsidRDefault="009239E6" w:rsidP="009A57C7">
            <w:pPr>
              <w:jc w:val="both"/>
              <w:rPr>
                <w:rFonts w:eastAsia="Calibri"/>
                <w:sz w:val="20"/>
                <w:lang w:val="fr-CA"/>
              </w:rPr>
            </w:pPr>
          </w:p>
        </w:tc>
        <w:tc>
          <w:tcPr>
            <w:tcW w:w="243" w:type="pct"/>
          </w:tcPr>
          <w:p w:rsidR="009239E6" w:rsidRPr="003E4A8C" w:rsidRDefault="009239E6" w:rsidP="009A57C7">
            <w:pPr>
              <w:jc w:val="both"/>
              <w:rPr>
                <w:rFonts w:eastAsia="Calibri"/>
                <w:sz w:val="20"/>
                <w:lang w:val="fr-CA"/>
              </w:rPr>
            </w:pPr>
          </w:p>
        </w:tc>
        <w:tc>
          <w:tcPr>
            <w:tcW w:w="2330" w:type="pct"/>
          </w:tcPr>
          <w:p w:rsidR="009239E6" w:rsidRPr="003E4A8C" w:rsidRDefault="009239E6" w:rsidP="009A57C7">
            <w:pPr>
              <w:jc w:val="both"/>
              <w:rPr>
                <w:rFonts w:eastAsia="Calibri"/>
                <w:sz w:val="20"/>
                <w:lang w:val="fr-CA"/>
              </w:rPr>
            </w:pPr>
            <w:r w:rsidRPr="003E4A8C">
              <w:rPr>
                <w:rFonts w:eastAsia="Calibri"/>
                <w:sz w:val="20"/>
                <w:lang w:val="fr-CA"/>
              </w:rPr>
              <w:t>Appel de la demanderesse, accueillie</w:t>
            </w:r>
          </w:p>
        </w:tc>
      </w:tr>
      <w:tr w:rsidR="009239E6" w:rsidRPr="003E4A8C" w:rsidTr="009A57C7">
        <w:tc>
          <w:tcPr>
            <w:tcW w:w="2427" w:type="pct"/>
          </w:tcPr>
          <w:p w:rsidR="009239E6" w:rsidRPr="003E4A8C" w:rsidRDefault="009239E6" w:rsidP="009A57C7">
            <w:pPr>
              <w:jc w:val="both"/>
              <w:rPr>
                <w:rFonts w:eastAsia="Calibri"/>
                <w:sz w:val="20"/>
                <w:lang w:val="fr-CA"/>
              </w:rPr>
            </w:pPr>
            <w:r w:rsidRPr="003E4A8C">
              <w:rPr>
                <w:rFonts w:eastAsia="Calibri"/>
                <w:sz w:val="20"/>
                <w:lang w:val="fr-CA"/>
              </w:rPr>
              <w:t>9 janvier 2012</w:t>
            </w:r>
          </w:p>
          <w:p w:rsidR="009239E6" w:rsidRPr="003E4A8C" w:rsidRDefault="009239E6" w:rsidP="009A57C7">
            <w:pPr>
              <w:jc w:val="both"/>
              <w:rPr>
                <w:rFonts w:eastAsia="Calibri"/>
                <w:sz w:val="20"/>
                <w:lang w:val="fr-CA"/>
              </w:rPr>
            </w:pPr>
            <w:r w:rsidRPr="003E4A8C">
              <w:rPr>
                <w:rFonts w:eastAsia="Calibri"/>
                <w:sz w:val="20"/>
                <w:lang w:val="fr-CA"/>
              </w:rPr>
              <w:t>Cour suprême du Canada</w:t>
            </w:r>
          </w:p>
        </w:tc>
        <w:tc>
          <w:tcPr>
            <w:tcW w:w="243" w:type="pct"/>
          </w:tcPr>
          <w:p w:rsidR="009239E6" w:rsidRPr="003E4A8C" w:rsidRDefault="009239E6" w:rsidP="009A57C7">
            <w:pPr>
              <w:jc w:val="both"/>
              <w:rPr>
                <w:rFonts w:eastAsia="Calibri"/>
                <w:sz w:val="20"/>
                <w:lang w:val="fr-CA"/>
              </w:rPr>
            </w:pPr>
          </w:p>
        </w:tc>
        <w:tc>
          <w:tcPr>
            <w:tcW w:w="2330" w:type="pct"/>
          </w:tcPr>
          <w:p w:rsidR="009239E6" w:rsidRPr="003E4A8C" w:rsidRDefault="009239E6" w:rsidP="009A57C7">
            <w:pPr>
              <w:jc w:val="both"/>
              <w:rPr>
                <w:rFonts w:eastAsia="Calibri"/>
                <w:sz w:val="20"/>
                <w:lang w:val="fr-CA"/>
              </w:rPr>
            </w:pPr>
            <w:r w:rsidRPr="003E4A8C">
              <w:rPr>
                <w:rFonts w:eastAsia="Calibri"/>
                <w:sz w:val="20"/>
                <w:lang w:val="fr-CA"/>
              </w:rPr>
              <w:t>Demande d'autorisation d'appel, déposée</w:t>
            </w:r>
          </w:p>
          <w:p w:rsidR="009239E6" w:rsidRPr="003E4A8C" w:rsidRDefault="009239E6" w:rsidP="009A57C7">
            <w:pPr>
              <w:jc w:val="both"/>
              <w:rPr>
                <w:rFonts w:eastAsia="Calibri"/>
                <w:sz w:val="20"/>
                <w:lang w:val="fr-CA"/>
              </w:rPr>
            </w:pPr>
          </w:p>
        </w:tc>
      </w:tr>
    </w:tbl>
    <w:p w:rsidR="00CB50CF" w:rsidRDefault="00CB50CF" w:rsidP="008D292F">
      <w:pPr>
        <w:rPr>
          <w:sz w:val="20"/>
          <w:szCs w:val="20"/>
        </w:rPr>
      </w:pPr>
    </w:p>
    <w:p w:rsidR="00F96FE7" w:rsidRDefault="00D70052" w:rsidP="008D292F">
      <w:pPr>
        <w:rPr>
          <w:sz w:val="20"/>
          <w:szCs w:val="20"/>
          <w:lang w:val="fr-CA"/>
        </w:rPr>
      </w:pPr>
      <w:r w:rsidRPr="00D70052">
        <w:rPr>
          <w:sz w:val="20"/>
          <w:szCs w:val="20"/>
          <w:lang w:val="fr-CA"/>
        </w:rPr>
        <w:pict>
          <v:rect id="_x0000_i1043" style="width:2in;height:1pt" o:hrpct="0" o:hralign="center" o:hrstd="t" o:hrnoshade="t" o:hr="t" fillcolor="black [3213]" stroked="f"/>
        </w:pict>
      </w:r>
    </w:p>
    <w:p w:rsidR="00F96FE7" w:rsidRDefault="00F96FE7" w:rsidP="008D292F">
      <w:pPr>
        <w:rPr>
          <w:sz w:val="20"/>
          <w:szCs w:val="20"/>
          <w:lang w:val="fr-CA"/>
        </w:rPr>
      </w:pPr>
    </w:p>
    <w:p w:rsidR="00F96FE7" w:rsidRDefault="00F96FE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A0CC0" w:rsidRPr="005A0EA8" w:rsidTr="002A0CC0">
        <w:tc>
          <w:tcPr>
            <w:tcW w:w="1458" w:type="dxa"/>
          </w:tcPr>
          <w:p w:rsidR="002A0CC0" w:rsidRPr="005A0EA8" w:rsidRDefault="002A0CC0" w:rsidP="008B5DBF">
            <w:pPr>
              <w:rPr>
                <w:rFonts w:cs="Times New Roman"/>
                <w:sz w:val="20"/>
                <w:szCs w:val="20"/>
              </w:rPr>
            </w:pPr>
            <w:r w:rsidRPr="005A0EA8">
              <w:rPr>
                <w:rStyle w:val="SCCFileNumberChar"/>
                <w:sz w:val="20"/>
                <w:szCs w:val="20"/>
              </w:rPr>
              <w:t>34618</w:t>
            </w:r>
          </w:p>
          <w:p w:rsidR="002A0CC0" w:rsidRPr="005A0EA8" w:rsidRDefault="002A0CC0" w:rsidP="008B5DBF">
            <w:pPr>
              <w:rPr>
                <w:rFonts w:cs="Times New Roman"/>
                <w:b/>
                <w:sz w:val="20"/>
                <w:szCs w:val="20"/>
                <w:lang w:val="fr-CA"/>
              </w:rPr>
            </w:pPr>
          </w:p>
        </w:tc>
        <w:tc>
          <w:tcPr>
            <w:tcW w:w="8118" w:type="dxa"/>
          </w:tcPr>
          <w:p w:rsidR="002A0CC0" w:rsidRPr="005A0EA8" w:rsidRDefault="002A0CC0" w:rsidP="008B5DBF">
            <w:pPr>
              <w:jc w:val="both"/>
              <w:rPr>
                <w:rFonts w:cs="Times New Roman"/>
                <w:sz w:val="20"/>
                <w:szCs w:val="20"/>
              </w:rPr>
            </w:pPr>
            <w:r w:rsidRPr="002A0CC0">
              <w:rPr>
                <w:rStyle w:val="SCCLsocChar"/>
                <w:rFonts w:cs="Times New Roman"/>
                <w:sz w:val="20"/>
                <w:szCs w:val="20"/>
                <w:lang w:val="en-CA"/>
              </w:rPr>
              <w:t xml:space="preserve">Microcell Communications Inc., Microcell Solutions Inc., Fido Solutions Inc., Rogers Inc. and Rogers Wireless Inc. v. 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 AND BETWEEN Telus Corporation, Telus Mobility, B.C. Tel, Telus Communications (B.C.) Inc., Clearnet Communications Inc. and Alberta Government Telephones v. Mark Frey, Trudy Betthel, Bryan Pawlachuk, Nathalie Pawlachuk, D &amp; S Homes Ltd., Dorothy Dietz, John Dietz, Neil MacDonald, Neil Woolston, Erik Doucet, Betty Lou Gaudette, Anna Hanson, Julie Elkerton, Gregory Teed, Scott Andrews, David Musarai, Mark Burke, Rozanne Aquin, Jeff Parent, </w:t>
            </w:r>
            <w:r w:rsidRPr="002A0CC0">
              <w:rPr>
                <w:rStyle w:val="SCCLsocChar"/>
                <w:rFonts w:cs="Times New Roman"/>
                <w:sz w:val="20"/>
                <w:szCs w:val="20"/>
                <w:lang w:val="en-CA"/>
              </w:rPr>
              <w:lastRenderedPageBreak/>
              <w:t>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 AND BETWEEN Bell Aliant Regional Communications, Limited Partnership v. 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 AND BETWEEN Saskatchewan Telecommunications</w:t>
            </w:r>
            <w:r w:rsidR="0038764E">
              <w:rPr>
                <w:rStyle w:val="SCCLsocChar"/>
                <w:rFonts w:cs="Times New Roman"/>
                <w:sz w:val="20"/>
                <w:szCs w:val="20"/>
                <w:lang w:val="en-CA"/>
              </w:rPr>
              <w:t xml:space="preserve"> and</w:t>
            </w:r>
            <w:r w:rsidRPr="002A0CC0">
              <w:rPr>
                <w:rStyle w:val="SCCLsocChar"/>
                <w:rFonts w:cs="Times New Roman"/>
                <w:sz w:val="20"/>
                <w:szCs w:val="20"/>
                <w:lang w:val="en-CA"/>
              </w:rPr>
              <w:t xml:space="preserve"> Saskatchewan Telecommunications Holding Corporation v. 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 AND BETWEEN Bell Mobility Inc. v. 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 AND BETWEEN MTS Communications Inc. v. 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rsidRPr="005A0EA8">
              <w:rPr>
                <w:rFonts w:cs="Times New Roman"/>
                <w:sz w:val="20"/>
                <w:szCs w:val="20"/>
              </w:rPr>
              <w:t xml:space="preserve"> (Sask.) (Civil) (By Leave)</w:t>
            </w:r>
          </w:p>
          <w:p w:rsidR="002A0CC0" w:rsidRPr="005A0EA8" w:rsidRDefault="002A0CC0" w:rsidP="008B5DBF">
            <w:pPr>
              <w:rPr>
                <w:rFonts w:cs="Times New Roman"/>
                <w:sz w:val="20"/>
                <w:szCs w:val="20"/>
              </w:rPr>
            </w:pPr>
          </w:p>
        </w:tc>
      </w:tr>
      <w:tr w:rsidR="002A0CC0" w:rsidRPr="005A0EA8" w:rsidTr="002A0CC0">
        <w:tc>
          <w:tcPr>
            <w:tcW w:w="1458" w:type="dxa"/>
          </w:tcPr>
          <w:p w:rsidR="002A0CC0" w:rsidRPr="005A0EA8" w:rsidRDefault="002A0CC0" w:rsidP="008B5DBF">
            <w:pPr>
              <w:rPr>
                <w:rFonts w:cs="Times New Roman"/>
                <w:sz w:val="20"/>
                <w:szCs w:val="20"/>
              </w:rPr>
            </w:pPr>
            <w:r w:rsidRPr="005A0EA8">
              <w:rPr>
                <w:rFonts w:cs="Times New Roman"/>
                <w:sz w:val="20"/>
                <w:szCs w:val="20"/>
              </w:rPr>
              <w:lastRenderedPageBreak/>
              <w:t>Coram :</w:t>
            </w:r>
          </w:p>
        </w:tc>
        <w:tc>
          <w:tcPr>
            <w:tcW w:w="8118" w:type="dxa"/>
          </w:tcPr>
          <w:p w:rsidR="002A0CC0" w:rsidRPr="005A0EA8" w:rsidRDefault="002A0CC0" w:rsidP="008B5DBF">
            <w:pPr>
              <w:rPr>
                <w:rFonts w:cs="Times New Roman"/>
                <w:sz w:val="20"/>
                <w:szCs w:val="20"/>
              </w:rPr>
            </w:pPr>
            <w:r w:rsidRPr="002A0CC0">
              <w:rPr>
                <w:rStyle w:val="SCCCoramChar"/>
                <w:rFonts w:cs="Times New Roman"/>
                <w:sz w:val="20"/>
                <w:szCs w:val="20"/>
                <w:lang w:val="en-CA"/>
              </w:rPr>
              <w:t>McLachlin C.J. and Rothstein and Moldaver JJ.</w:t>
            </w:r>
          </w:p>
          <w:p w:rsidR="002A0CC0" w:rsidRPr="005A0EA8" w:rsidRDefault="002A0CC0" w:rsidP="008B5DBF">
            <w:pPr>
              <w:rPr>
                <w:rFonts w:cs="Times New Roman"/>
                <w:sz w:val="20"/>
                <w:szCs w:val="20"/>
                <w:u w:val="single"/>
              </w:rPr>
            </w:pPr>
          </w:p>
        </w:tc>
      </w:tr>
      <w:tr w:rsidR="002A0CC0" w:rsidRPr="00147672" w:rsidTr="002A0CC0">
        <w:tc>
          <w:tcPr>
            <w:tcW w:w="9576" w:type="dxa"/>
            <w:gridSpan w:val="2"/>
          </w:tcPr>
          <w:p w:rsidR="002A0CC0" w:rsidRPr="005A0EA8" w:rsidRDefault="002A0CC0" w:rsidP="008B5DBF">
            <w:pPr>
              <w:pStyle w:val="SCCShortJudgment"/>
              <w:rPr>
                <w:rFonts w:cs="Times New Roman"/>
                <w:szCs w:val="20"/>
              </w:rPr>
            </w:pPr>
            <w:r w:rsidRPr="005A0EA8">
              <w:rPr>
                <w:rFonts w:cs="Times New Roman"/>
                <w:szCs w:val="20"/>
              </w:rPr>
              <w:t>The applications for leave to appeal from the judgment of the Court of Appeal for Saskatchewan, Numbers 1519, 1521, 1522, 1599, 1523, 1598, 1524 and 1525, 2011 SKCA 136, dated November 15, 2011, are dismissed with costs.</w:t>
            </w:r>
          </w:p>
          <w:p w:rsidR="002A0CC0" w:rsidRPr="005A0EA8" w:rsidRDefault="002A0CC0" w:rsidP="008B5DBF">
            <w:pPr>
              <w:pStyle w:val="SCCShortJudgment"/>
              <w:ind w:firstLine="0"/>
              <w:rPr>
                <w:rFonts w:cs="Times New Roman"/>
                <w:szCs w:val="20"/>
              </w:rPr>
            </w:pPr>
          </w:p>
          <w:p w:rsidR="002A0CC0" w:rsidRPr="005A0EA8" w:rsidRDefault="002A0CC0" w:rsidP="008B5DBF">
            <w:pPr>
              <w:pStyle w:val="SCCShortJudgment"/>
              <w:rPr>
                <w:rFonts w:cs="Times New Roman"/>
                <w:szCs w:val="20"/>
                <w:lang w:val="fr-CA"/>
              </w:rPr>
            </w:pPr>
            <w:r w:rsidRPr="005A0EA8">
              <w:rPr>
                <w:rFonts w:cs="Times New Roman"/>
                <w:szCs w:val="20"/>
                <w:lang w:val="fr-CA"/>
              </w:rPr>
              <w:t>Les demandes d’autorisation d’appel de l’arrêt de la Cour d’appel de la Saskatchewan, numéros 1519, 1521, 1522, 1599, 1523, 1598, 1524, 1525, 2011 SKCA 136, daté du 15 novembre 2011, sont rejetées avec dépens.</w:t>
            </w:r>
          </w:p>
        </w:tc>
      </w:tr>
    </w:tbl>
    <w:p w:rsidR="00F96FE7" w:rsidRPr="002A0CC0" w:rsidRDefault="00F96FE7" w:rsidP="00F96FE7">
      <w:pPr>
        <w:rPr>
          <w:sz w:val="20"/>
          <w:szCs w:val="20"/>
          <w:lang w:val="fr-CA"/>
        </w:rPr>
      </w:pPr>
    </w:p>
    <w:p w:rsidR="002A0CC0" w:rsidRPr="00CB6F62" w:rsidRDefault="002A0CC0">
      <w:pPr>
        <w:rPr>
          <w:sz w:val="20"/>
          <w:szCs w:val="20"/>
          <w:u w:val="single"/>
          <w:lang w:val="fr-CA"/>
        </w:rPr>
      </w:pPr>
      <w:r w:rsidRPr="00CB6F62">
        <w:rPr>
          <w:sz w:val="20"/>
          <w:szCs w:val="20"/>
          <w:u w:val="single"/>
          <w:lang w:val="fr-CA"/>
        </w:rPr>
        <w:br w:type="page"/>
      </w:r>
    </w:p>
    <w:p w:rsidR="00F96FE7" w:rsidRPr="001B157C" w:rsidRDefault="00F96FE7" w:rsidP="00F96FE7">
      <w:pPr>
        <w:rPr>
          <w:sz w:val="20"/>
          <w:szCs w:val="20"/>
          <w:u w:val="single"/>
        </w:rPr>
      </w:pPr>
      <w:r w:rsidRPr="001B157C">
        <w:rPr>
          <w:sz w:val="20"/>
          <w:szCs w:val="20"/>
          <w:u w:val="single"/>
        </w:rPr>
        <w:lastRenderedPageBreak/>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182B" w:rsidRPr="003E4A8C" w:rsidTr="002A0CC0">
        <w:trPr>
          <w:cantSplit/>
        </w:trPr>
        <w:tc>
          <w:tcPr>
            <w:tcW w:w="5000" w:type="pct"/>
            <w:gridSpan w:val="3"/>
          </w:tcPr>
          <w:p w:rsidR="0071182B" w:rsidRPr="003E4A8C" w:rsidRDefault="0071182B" w:rsidP="009A57C7">
            <w:pPr>
              <w:jc w:val="both"/>
              <w:rPr>
                <w:rFonts w:eastAsia="Calibri"/>
                <w:sz w:val="20"/>
              </w:rPr>
            </w:pPr>
            <w:r w:rsidRPr="003E4A8C">
              <w:rPr>
                <w:rFonts w:eastAsia="Calibri"/>
                <w:sz w:val="20"/>
              </w:rPr>
              <w:t xml:space="preserve">Civil procedure – Class actions – Certification – Common issues – Preferable procedure – Unjust enrichment – Class action authorized – Whether the certification judge made fundamental errors by concluding that Mark Frey, et al., respondents, had met all the criteria necessary to certify a class action under s. 6(1) of </w:t>
            </w:r>
            <w:r w:rsidRPr="003E4A8C">
              <w:rPr>
                <w:rFonts w:eastAsia="Calibri"/>
                <w:i/>
                <w:sz w:val="20"/>
              </w:rPr>
              <w:t>The Class Actions Act</w:t>
            </w:r>
            <w:r w:rsidRPr="003E4A8C">
              <w:rPr>
                <w:rFonts w:eastAsia="Calibri"/>
                <w:sz w:val="20"/>
              </w:rPr>
              <w:t>,</w:t>
            </w:r>
            <w:r w:rsidRPr="003E4A8C">
              <w:rPr>
                <w:rFonts w:eastAsia="Calibri"/>
                <w:b/>
                <w:sz w:val="20"/>
              </w:rPr>
              <w:t xml:space="preserve"> </w:t>
            </w:r>
            <w:r w:rsidRPr="003E4A8C">
              <w:rPr>
                <w:rFonts w:eastAsia="Calibri"/>
                <w:sz w:val="20"/>
              </w:rPr>
              <w:t>S.S. 2001, c. C-12-01 (“Act”) – Whether the Court of Appeal erred in its finding that the common issue, “whether the defendants wrongfully collected from the plaintiffs certain fees variously described as ‘system access fees’, ‘system administration fees’, ‘license administration fees’ or ‘system licence administration fees’ and must now account for those fees”, is sufficient to satisfy the criteria in subsection 6(1)(c) of the Act – Whether the Court of Appeal erred in its finding that the appointment of a single representative plaintiff, with no cause of action against the applicant, is sufficient to satisfy the criteria in subsection 6(1)(e) of the Act – Whether the Court of Appeal erred in upholding the chamber judge’s decision not to decline jurisdiction over one of the applicants.</w:t>
            </w:r>
          </w:p>
        </w:tc>
      </w:tr>
      <w:tr w:rsidR="0071182B" w:rsidRPr="003E4A8C" w:rsidTr="002A0CC0">
        <w:trPr>
          <w:cantSplit/>
        </w:trPr>
        <w:tc>
          <w:tcPr>
            <w:tcW w:w="5000" w:type="pct"/>
            <w:gridSpan w:val="3"/>
          </w:tcPr>
          <w:p w:rsidR="0071182B" w:rsidRPr="003E4A8C" w:rsidRDefault="0071182B" w:rsidP="009A57C7">
            <w:pPr>
              <w:jc w:val="both"/>
              <w:rPr>
                <w:rFonts w:eastAsia="Calibri"/>
                <w:sz w:val="20"/>
              </w:rPr>
            </w:pPr>
          </w:p>
        </w:tc>
      </w:tr>
      <w:tr w:rsidR="0071182B" w:rsidRPr="003E4A8C" w:rsidTr="002A0CC0">
        <w:trPr>
          <w:cantSplit/>
        </w:trPr>
        <w:tc>
          <w:tcPr>
            <w:tcW w:w="5000" w:type="pct"/>
            <w:gridSpan w:val="3"/>
          </w:tcPr>
          <w:p w:rsidR="0071182B" w:rsidRPr="003E4A8C" w:rsidRDefault="0071182B" w:rsidP="009A57C7">
            <w:pPr>
              <w:jc w:val="both"/>
              <w:rPr>
                <w:rFonts w:eastAsia="Calibri"/>
                <w:sz w:val="20"/>
              </w:rPr>
            </w:pPr>
            <w:r w:rsidRPr="003E4A8C">
              <w:rPr>
                <w:rFonts w:eastAsia="Calibri"/>
                <w:sz w:val="20"/>
              </w:rPr>
              <w:t xml:space="preserve">The applicants Microcell Communications, Microcell Solutions Inc., Fido Solutions Inc., Rogers Inc. and Rogers Wireless Inc., Telus, Bell Aliant Regional Communications, Limited Partnership, Saskatchewan Telecommunications and Saskatchewan Telecommunications Holding Corporation, Bell Mobility Inc., and MTS Inc. are six corporations that provide cellular or wireless voice services operating across Canada. Mark Frey, et al., respondents, commenced an action on August 9, 2004, asserting a claim in unjust enrichment to recover what they claim were improperly imposed “system access fees” charged by the applicants to their customers over a period of approximately 20 years. The respondents brought a motion under s. 6(1) (currently s. 6) of </w:t>
            </w:r>
            <w:r w:rsidRPr="003E4A8C">
              <w:rPr>
                <w:rFonts w:eastAsia="Calibri"/>
                <w:i/>
                <w:sz w:val="20"/>
              </w:rPr>
              <w:t>The Class Actions Act</w:t>
            </w:r>
            <w:r w:rsidRPr="003E4A8C">
              <w:rPr>
                <w:rFonts w:eastAsia="Calibri"/>
                <w:sz w:val="20"/>
              </w:rPr>
              <w:t>,</w:t>
            </w:r>
            <w:r w:rsidRPr="003E4A8C">
              <w:rPr>
                <w:rFonts w:eastAsia="Calibri"/>
                <w:b/>
                <w:sz w:val="20"/>
              </w:rPr>
              <w:t xml:space="preserve"> </w:t>
            </w:r>
            <w:r w:rsidRPr="003E4A8C">
              <w:rPr>
                <w:rFonts w:eastAsia="Calibri"/>
                <w:sz w:val="20"/>
              </w:rPr>
              <w:t xml:space="preserve">S.S. 2001, c. C-12-01 to certify the action as a class action. </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July 18, 2006</w:t>
            </w:r>
          </w:p>
          <w:p w:rsidR="0071182B" w:rsidRPr="003E4A8C" w:rsidRDefault="0071182B" w:rsidP="009A57C7">
            <w:pPr>
              <w:jc w:val="both"/>
              <w:rPr>
                <w:rFonts w:eastAsia="Calibri"/>
                <w:sz w:val="20"/>
              </w:rPr>
            </w:pPr>
            <w:r w:rsidRPr="003E4A8C">
              <w:rPr>
                <w:rFonts w:eastAsia="Calibri"/>
                <w:sz w:val="20"/>
              </w:rPr>
              <w:t>Court of Queen’s Bench of Saskatchewan</w:t>
            </w:r>
          </w:p>
          <w:p w:rsidR="0071182B" w:rsidRPr="003E4A8C" w:rsidRDefault="0071182B" w:rsidP="009A57C7">
            <w:pPr>
              <w:jc w:val="both"/>
              <w:rPr>
                <w:rFonts w:eastAsia="Calibri"/>
                <w:sz w:val="20"/>
              </w:rPr>
            </w:pPr>
            <w:r w:rsidRPr="003E4A8C">
              <w:rPr>
                <w:rFonts w:eastAsia="Calibri"/>
                <w:sz w:val="20"/>
              </w:rPr>
              <w:t>(Gerein J.)</w:t>
            </w:r>
          </w:p>
          <w:p w:rsidR="0071182B" w:rsidRPr="003E4A8C" w:rsidRDefault="0071182B" w:rsidP="009A57C7">
            <w:pPr>
              <w:jc w:val="both"/>
              <w:rPr>
                <w:rFonts w:eastAsia="Calibri"/>
                <w:sz w:val="20"/>
              </w:rPr>
            </w:pPr>
            <w:r w:rsidRPr="003E4A8C">
              <w:rPr>
                <w:rFonts w:eastAsia="Calibri"/>
                <w:sz w:val="20"/>
              </w:rPr>
              <w:t>2006 SKQB 328</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Respondents’ motion for certification of a class action dismissed;</w:t>
            </w:r>
          </w:p>
          <w:p w:rsidR="0071182B" w:rsidRPr="003E4A8C" w:rsidRDefault="0071182B" w:rsidP="009A57C7">
            <w:pPr>
              <w:jc w:val="both"/>
              <w:rPr>
                <w:rFonts w:eastAsia="Calibri"/>
                <w:sz w:val="20"/>
              </w:rPr>
            </w:pPr>
            <w:r w:rsidRPr="003E4A8C">
              <w:rPr>
                <w:rFonts w:eastAsia="Calibri"/>
                <w:sz w:val="20"/>
              </w:rPr>
              <w:t>Leave to renew application to address the “</w:t>
            </w:r>
            <w:r w:rsidRPr="003E4A8C">
              <w:rPr>
                <w:rFonts w:eastAsia="Calibri"/>
                <w:color w:val="000000"/>
                <w:sz w:val="20"/>
              </w:rPr>
              <w:t>suitable representative plaintiff or plan for the class action</w:t>
            </w:r>
            <w:r w:rsidRPr="003E4A8C">
              <w:rPr>
                <w:rFonts w:eastAsia="Calibri"/>
                <w:sz w:val="20"/>
              </w:rPr>
              <w:t>” requirements of the Act</w:t>
            </w:r>
            <w:r w:rsidRPr="003E4A8C">
              <w:rPr>
                <w:rFonts w:eastAsia="Calibri"/>
                <w:i/>
                <w:sz w:val="20"/>
              </w:rPr>
              <w:t xml:space="preserve"> </w:t>
            </w:r>
            <w:r w:rsidRPr="003E4A8C">
              <w:rPr>
                <w:rFonts w:eastAsia="Calibri"/>
                <w:sz w:val="20"/>
              </w:rPr>
              <w:t>granted.</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September 17, 2007</w:t>
            </w:r>
          </w:p>
          <w:p w:rsidR="0071182B" w:rsidRPr="003E4A8C" w:rsidRDefault="0071182B" w:rsidP="009A57C7">
            <w:pPr>
              <w:jc w:val="both"/>
              <w:rPr>
                <w:rFonts w:eastAsia="Calibri"/>
                <w:sz w:val="20"/>
              </w:rPr>
            </w:pPr>
            <w:r w:rsidRPr="003E4A8C">
              <w:rPr>
                <w:rFonts w:eastAsia="Calibri"/>
                <w:sz w:val="20"/>
              </w:rPr>
              <w:t>Court of Queen’s Bench of Saskatchewan</w:t>
            </w:r>
          </w:p>
          <w:p w:rsidR="0071182B" w:rsidRPr="003E4A8C" w:rsidRDefault="0071182B" w:rsidP="009A57C7">
            <w:pPr>
              <w:jc w:val="both"/>
              <w:rPr>
                <w:rFonts w:eastAsia="Calibri"/>
                <w:sz w:val="20"/>
              </w:rPr>
            </w:pPr>
            <w:r w:rsidRPr="003E4A8C">
              <w:rPr>
                <w:rFonts w:eastAsia="Calibri"/>
                <w:sz w:val="20"/>
              </w:rPr>
              <w:t>(Gerein J.)</w:t>
            </w:r>
          </w:p>
          <w:p w:rsidR="0071182B" w:rsidRPr="003E4A8C" w:rsidRDefault="0071182B" w:rsidP="009A57C7">
            <w:pPr>
              <w:jc w:val="both"/>
              <w:rPr>
                <w:rFonts w:eastAsia="Calibri"/>
                <w:sz w:val="20"/>
              </w:rPr>
            </w:pPr>
            <w:r w:rsidRPr="003E4A8C">
              <w:rPr>
                <w:rFonts w:eastAsia="Calibri"/>
                <w:sz w:val="20"/>
              </w:rPr>
              <w:t>2007 SKQB 328</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Respondents’ motion for certification of class actions granted.</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February 20, 2008</w:t>
            </w:r>
          </w:p>
          <w:p w:rsidR="0071182B" w:rsidRPr="003E4A8C" w:rsidRDefault="0071182B" w:rsidP="009A57C7">
            <w:pPr>
              <w:jc w:val="both"/>
              <w:rPr>
                <w:rFonts w:eastAsia="Calibri"/>
                <w:sz w:val="20"/>
              </w:rPr>
            </w:pPr>
            <w:r w:rsidRPr="003E4A8C">
              <w:rPr>
                <w:rFonts w:eastAsia="Calibri"/>
                <w:sz w:val="20"/>
              </w:rPr>
              <w:t>Court of Queen’s Bench of Saskatchewan</w:t>
            </w:r>
          </w:p>
          <w:p w:rsidR="0071182B" w:rsidRPr="003E4A8C" w:rsidRDefault="0071182B" w:rsidP="009A57C7">
            <w:pPr>
              <w:jc w:val="both"/>
              <w:rPr>
                <w:rFonts w:eastAsia="Calibri"/>
                <w:sz w:val="20"/>
              </w:rPr>
            </w:pPr>
            <w:r w:rsidRPr="003E4A8C">
              <w:rPr>
                <w:rFonts w:eastAsia="Calibri"/>
                <w:sz w:val="20"/>
              </w:rPr>
              <w:t>(Gerein J.)</w:t>
            </w:r>
          </w:p>
          <w:p w:rsidR="0071182B" w:rsidRPr="003E4A8C" w:rsidRDefault="0071182B" w:rsidP="009A57C7">
            <w:pPr>
              <w:jc w:val="both"/>
              <w:rPr>
                <w:rFonts w:eastAsia="Calibri"/>
                <w:sz w:val="20"/>
              </w:rPr>
            </w:pPr>
            <w:r w:rsidRPr="003E4A8C">
              <w:rPr>
                <w:rFonts w:eastAsia="Calibri"/>
                <w:sz w:val="20"/>
              </w:rPr>
              <w:t>2008 SKQB 79</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Stay of proceedings dismissed.</w:t>
            </w: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November 15, 2011</w:t>
            </w:r>
          </w:p>
          <w:p w:rsidR="0071182B" w:rsidRPr="003E4A8C" w:rsidRDefault="0071182B" w:rsidP="009A57C7">
            <w:pPr>
              <w:jc w:val="both"/>
              <w:rPr>
                <w:rFonts w:eastAsia="Calibri"/>
                <w:sz w:val="20"/>
              </w:rPr>
            </w:pPr>
            <w:r w:rsidRPr="003E4A8C">
              <w:rPr>
                <w:rFonts w:eastAsia="Calibri"/>
                <w:sz w:val="20"/>
              </w:rPr>
              <w:t>Court of Appeal for Saskatchewan</w:t>
            </w:r>
          </w:p>
          <w:p w:rsidR="0071182B" w:rsidRPr="003E4A8C" w:rsidRDefault="0071182B" w:rsidP="009A57C7">
            <w:pPr>
              <w:jc w:val="both"/>
              <w:rPr>
                <w:rFonts w:eastAsia="Calibri"/>
                <w:sz w:val="20"/>
              </w:rPr>
            </w:pPr>
            <w:r w:rsidRPr="003E4A8C">
              <w:rPr>
                <w:rFonts w:eastAsia="Calibri"/>
                <w:sz w:val="20"/>
              </w:rPr>
              <w:t>(Vancise, Jackson and Smith JJ.A.)</w:t>
            </w:r>
          </w:p>
          <w:p w:rsidR="0071182B" w:rsidRPr="003E4A8C" w:rsidRDefault="0071182B" w:rsidP="009A57C7">
            <w:pPr>
              <w:jc w:val="both"/>
              <w:rPr>
                <w:rFonts w:eastAsia="Calibri"/>
                <w:sz w:val="20"/>
              </w:rPr>
            </w:pPr>
            <w:r w:rsidRPr="003E4A8C">
              <w:rPr>
                <w:rFonts w:eastAsia="Calibri"/>
                <w:sz w:val="20"/>
              </w:rPr>
              <w:t>2011 SKCA 136</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Appeal dismissed.</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lastRenderedPageBreak/>
              <w:t>January 13, 2012</w:t>
            </w:r>
          </w:p>
          <w:p w:rsidR="0071182B" w:rsidRPr="003E4A8C" w:rsidRDefault="0071182B" w:rsidP="009A57C7">
            <w:pPr>
              <w:jc w:val="both"/>
              <w:rPr>
                <w:rFonts w:eastAsia="Calibri"/>
                <w:sz w:val="20"/>
              </w:rPr>
            </w:pPr>
            <w:r w:rsidRPr="003E4A8C">
              <w:rPr>
                <w:rFonts w:eastAsia="Calibri"/>
                <w:sz w:val="20"/>
              </w:rPr>
              <w:t>Supreme Court of Canada</w:t>
            </w:r>
          </w:p>
          <w:p w:rsidR="0071182B" w:rsidRPr="003E4A8C" w:rsidRDefault="0071182B" w:rsidP="009A57C7">
            <w:pPr>
              <w:jc w:val="both"/>
              <w:rPr>
                <w:rFonts w:eastAsia="Calibri"/>
                <w:sz w:val="20"/>
              </w:rPr>
            </w:pP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Application for leave to appeal filed by Microcell Communications, Microcell Solutions Inc., Fido Solutions Inc., Rogers Inc. and Rogers Wireless Inc.</w:t>
            </w:r>
          </w:p>
          <w:p w:rsidR="0071182B" w:rsidRPr="003E4A8C" w:rsidRDefault="0071182B" w:rsidP="009A57C7">
            <w:pPr>
              <w:jc w:val="both"/>
              <w:rPr>
                <w:rFonts w:eastAsia="Calibri"/>
                <w:sz w:val="20"/>
              </w:rPr>
            </w:pPr>
          </w:p>
          <w:p w:rsidR="0071182B" w:rsidRPr="003E4A8C" w:rsidRDefault="0071182B" w:rsidP="009A57C7">
            <w:pPr>
              <w:jc w:val="both"/>
              <w:rPr>
                <w:rFonts w:eastAsia="Calibri"/>
                <w:sz w:val="20"/>
              </w:rPr>
            </w:pPr>
            <w:r w:rsidRPr="003E4A8C">
              <w:rPr>
                <w:rFonts w:eastAsia="Calibri"/>
                <w:sz w:val="20"/>
              </w:rPr>
              <w:t>Application for leave to appeal filed by Telus</w:t>
            </w:r>
          </w:p>
          <w:p w:rsidR="0071182B" w:rsidRPr="003E4A8C" w:rsidRDefault="0071182B" w:rsidP="009A57C7">
            <w:pPr>
              <w:jc w:val="both"/>
              <w:rPr>
                <w:rFonts w:eastAsia="Calibri"/>
                <w:sz w:val="20"/>
              </w:rPr>
            </w:pPr>
          </w:p>
          <w:p w:rsidR="0071182B" w:rsidRPr="003E4A8C" w:rsidRDefault="0071182B" w:rsidP="009A57C7">
            <w:pPr>
              <w:jc w:val="both"/>
              <w:rPr>
                <w:rFonts w:eastAsia="Calibri"/>
                <w:sz w:val="20"/>
              </w:rPr>
            </w:pPr>
            <w:r w:rsidRPr="003E4A8C">
              <w:rPr>
                <w:rFonts w:eastAsia="Calibri"/>
                <w:sz w:val="20"/>
              </w:rPr>
              <w:t>Application for leave to appeal filed Bell Aliant Regional Communications, Limited Partnership</w:t>
            </w:r>
          </w:p>
          <w:p w:rsidR="0071182B" w:rsidRPr="003E4A8C" w:rsidRDefault="0071182B" w:rsidP="009A57C7">
            <w:pPr>
              <w:jc w:val="both"/>
              <w:rPr>
                <w:rFonts w:eastAsia="Calibri"/>
                <w:sz w:val="20"/>
              </w:rPr>
            </w:pPr>
          </w:p>
          <w:p w:rsidR="0071182B" w:rsidRPr="003E4A8C" w:rsidRDefault="0071182B" w:rsidP="009A57C7">
            <w:pPr>
              <w:jc w:val="both"/>
              <w:rPr>
                <w:rFonts w:eastAsia="Calibri"/>
                <w:sz w:val="20"/>
              </w:rPr>
            </w:pPr>
            <w:r w:rsidRPr="003E4A8C">
              <w:rPr>
                <w:rFonts w:eastAsia="Calibri"/>
                <w:sz w:val="20"/>
              </w:rPr>
              <w:t>Application for leave to appeal filed by Saskatchewan Telecommunications and Saskatchewan Telecommunications Holding Corporation</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January 16, 2012</w:t>
            </w:r>
          </w:p>
          <w:p w:rsidR="0071182B" w:rsidRPr="003E4A8C" w:rsidRDefault="0071182B" w:rsidP="009A57C7">
            <w:pPr>
              <w:jc w:val="both"/>
              <w:rPr>
                <w:rFonts w:eastAsia="Calibri"/>
                <w:sz w:val="20"/>
              </w:rPr>
            </w:pPr>
            <w:r w:rsidRPr="003E4A8C">
              <w:rPr>
                <w:rFonts w:eastAsia="Calibri"/>
                <w:sz w:val="20"/>
              </w:rPr>
              <w:t>Supreme Court of Canada</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Application for leave to appeal filed by Bell Mobility Inc.</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January 16, 2012</w:t>
            </w:r>
          </w:p>
          <w:p w:rsidR="0071182B" w:rsidRPr="003E4A8C" w:rsidRDefault="0071182B" w:rsidP="009A57C7">
            <w:pPr>
              <w:jc w:val="both"/>
              <w:rPr>
                <w:rFonts w:eastAsia="Calibri"/>
                <w:sz w:val="20"/>
              </w:rPr>
            </w:pPr>
            <w:r w:rsidRPr="003E4A8C">
              <w:rPr>
                <w:rFonts w:eastAsia="Calibri"/>
                <w:sz w:val="20"/>
              </w:rPr>
              <w:t>Supreme Court of Canada</w:t>
            </w: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Application for leave to appeal filed by MTS Inc.</w:t>
            </w: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44"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182B" w:rsidRPr="00147672" w:rsidTr="009A57C7">
        <w:tc>
          <w:tcPr>
            <w:tcW w:w="5000" w:type="pct"/>
            <w:gridSpan w:val="3"/>
          </w:tcPr>
          <w:p w:rsidR="0071182B" w:rsidRPr="003E4A8C" w:rsidRDefault="0071182B" w:rsidP="009A57C7">
            <w:pPr>
              <w:jc w:val="both"/>
              <w:rPr>
                <w:rFonts w:eastAsia="Calibri"/>
                <w:sz w:val="20"/>
                <w:lang w:val="fr-FR"/>
              </w:rPr>
            </w:pPr>
            <w:r w:rsidRPr="003E4A8C">
              <w:rPr>
                <w:rFonts w:eastAsia="Calibri"/>
                <w:sz w:val="20"/>
                <w:lang w:val="fr-FR"/>
              </w:rPr>
              <w:t xml:space="preserve">Procédure civile – Recours collectifs – Autorisation – Questions communes – Meilleure procédure – Enrichissement injustifié – Autorisation d’un recours collectif – Le juge saisi de la demande d’autorisation du recours a-t-il commis des erreurs fondamentales en concluant que Mark Frey et les autres intimés avaient rempli toutes les conditions nécessaires pour faire autoriser un recours collectif en vertu du par. 6(1) de la </w:t>
            </w:r>
            <w:r w:rsidRPr="003E4A8C">
              <w:rPr>
                <w:rFonts w:eastAsia="Calibri"/>
                <w:i/>
                <w:sz w:val="20"/>
                <w:lang w:val="fr-FR"/>
              </w:rPr>
              <w:t>Loi sur les recours collectifs</w:t>
            </w:r>
            <w:r w:rsidRPr="003E4A8C">
              <w:rPr>
                <w:rFonts w:eastAsia="Calibri"/>
                <w:sz w:val="20"/>
                <w:lang w:val="fr-FR"/>
              </w:rPr>
              <w:t>,</w:t>
            </w:r>
            <w:r w:rsidRPr="003E4A8C">
              <w:rPr>
                <w:rFonts w:eastAsia="Calibri"/>
                <w:b/>
                <w:sz w:val="20"/>
                <w:lang w:val="fr-FR"/>
              </w:rPr>
              <w:t xml:space="preserve"> </w:t>
            </w:r>
            <w:r w:rsidRPr="003E4A8C">
              <w:rPr>
                <w:rFonts w:eastAsia="Calibri"/>
                <w:sz w:val="20"/>
                <w:lang w:val="fr-FR"/>
              </w:rPr>
              <w:t>L.S. 2001, ch. C-12-01 (« Loi »)? – La Cour d’appel a-t-elle conclu à tort que la question commune de savoir « si les défenderesses avaient perçu illicitement auprès des plaignants certains frais qu’on a tour à tour décrits comme des ‘frais d’accès au système’, des ‘frais de gestion du système’, des ‘frais de gestion des licences’ ou des ‘frais de gestion des licences d’utilisation du système’ et elles doivent maintenant rendre compte de ces frais » est suffisante pour remplir les conditions prévues à l’alinéa 6(1)c) de la Loi – La Cour d’appel a-t-elle conclu à tort que la nomination d’un seul représentant des plaignants qui n’a aucune cause d’action contre les demanderesses est suffisante pour remplir les conditions prévues à l’alinéa 6(1)e) de la Loi? – La Cour d’appel a-t-elle commis une erreur en confirmant le refus du juge en chambre de décliner compétence à l’égard d’une des demanderesses.</w:t>
            </w:r>
          </w:p>
        </w:tc>
      </w:tr>
      <w:tr w:rsidR="0071182B" w:rsidRPr="00147672" w:rsidTr="009A57C7">
        <w:tc>
          <w:tcPr>
            <w:tcW w:w="5000" w:type="pct"/>
            <w:gridSpan w:val="3"/>
          </w:tcPr>
          <w:p w:rsidR="0071182B" w:rsidRPr="003E4A8C" w:rsidRDefault="0071182B" w:rsidP="009A57C7">
            <w:pPr>
              <w:jc w:val="both"/>
              <w:rPr>
                <w:rFonts w:eastAsia="Calibri"/>
                <w:sz w:val="20"/>
                <w:lang w:val="fr-FR"/>
              </w:rPr>
            </w:pPr>
          </w:p>
        </w:tc>
      </w:tr>
      <w:tr w:rsidR="0071182B" w:rsidRPr="00147672" w:rsidTr="009A57C7">
        <w:tc>
          <w:tcPr>
            <w:tcW w:w="5000" w:type="pct"/>
            <w:gridSpan w:val="3"/>
          </w:tcPr>
          <w:p w:rsidR="0071182B" w:rsidRPr="003E4A8C" w:rsidRDefault="0071182B" w:rsidP="009A57C7">
            <w:pPr>
              <w:jc w:val="both"/>
              <w:rPr>
                <w:rFonts w:eastAsia="Calibri"/>
                <w:sz w:val="20"/>
                <w:lang w:val="fr-FR"/>
              </w:rPr>
            </w:pPr>
            <w:r w:rsidRPr="003E4A8C">
              <w:rPr>
                <w:rFonts w:eastAsia="Calibri"/>
                <w:sz w:val="20"/>
                <w:lang w:val="fr-FR"/>
              </w:rPr>
              <w:t xml:space="preserve">Les demanderesses Microcell Communications, Microcell Solutions Inc., Fido Solutions Inc., Rogers Inc., Rogers Sans-fil inc., Telus, Bell Aliant Communications régionales, société en commandite, Saskatchewan Telecommunications, Saskatchewan Telecommunications Holding Corporation, Bell Mobilité inc. et MTS Inc. sont six sociétés qui fournissent des services de téléphonie cellulaire ou de communication vocale sans fil partout au Canada. Mark Frey et les autres intimés ont intenté le 9 août 2004 une action pour enrichissement injustifié afin de recouvrer ce qui, selon eux, constitue des « frais d’accès au système » irrégulièrement imputés par les demanderesses à leurs clients durant une période d’environ 20 ans. Les intimés ont déposé une requête en vertu du par. 6(1) (l’art. 6 actuel) de la Loi pour faire autoriser l’action comme recours collectif. </w:t>
            </w:r>
          </w:p>
          <w:p w:rsidR="0071182B" w:rsidRPr="003E4A8C" w:rsidRDefault="0071182B" w:rsidP="009A57C7">
            <w:pPr>
              <w:jc w:val="both"/>
              <w:rPr>
                <w:rFonts w:eastAsia="Calibri"/>
                <w:sz w:val="20"/>
                <w:lang w:val="fr-FR"/>
              </w:rPr>
            </w:pPr>
          </w:p>
        </w:tc>
      </w:tr>
      <w:tr w:rsidR="0071182B" w:rsidRPr="00147672" w:rsidTr="009A57C7">
        <w:tc>
          <w:tcPr>
            <w:tcW w:w="2427" w:type="pct"/>
          </w:tcPr>
          <w:p w:rsidR="0071182B" w:rsidRPr="003E4A8C" w:rsidRDefault="0071182B" w:rsidP="009A57C7">
            <w:pPr>
              <w:jc w:val="both"/>
              <w:rPr>
                <w:rFonts w:eastAsia="Calibri"/>
                <w:sz w:val="20"/>
                <w:lang w:val="fr-FR"/>
              </w:rPr>
            </w:pPr>
            <w:r w:rsidRPr="003E4A8C">
              <w:rPr>
                <w:rFonts w:eastAsia="Calibri"/>
                <w:sz w:val="20"/>
                <w:lang w:val="fr-FR"/>
              </w:rPr>
              <w:t>18 juillet 2006</w:t>
            </w:r>
          </w:p>
          <w:p w:rsidR="0071182B" w:rsidRPr="003E4A8C" w:rsidRDefault="0071182B" w:rsidP="009A57C7">
            <w:pPr>
              <w:jc w:val="both"/>
              <w:rPr>
                <w:rFonts w:eastAsia="Calibri"/>
                <w:sz w:val="20"/>
                <w:lang w:val="fr-FR"/>
              </w:rPr>
            </w:pPr>
            <w:r w:rsidRPr="003E4A8C">
              <w:rPr>
                <w:rFonts w:eastAsia="Calibri"/>
                <w:sz w:val="20"/>
                <w:lang w:val="fr-FR"/>
              </w:rPr>
              <w:t>Cour du Banc de la Reine de la Saskatchewan</w:t>
            </w:r>
          </w:p>
          <w:p w:rsidR="0071182B" w:rsidRPr="003E4A8C" w:rsidRDefault="0071182B" w:rsidP="009A57C7">
            <w:pPr>
              <w:jc w:val="both"/>
              <w:rPr>
                <w:rFonts w:eastAsia="Calibri"/>
                <w:sz w:val="20"/>
              </w:rPr>
            </w:pPr>
            <w:r w:rsidRPr="003E4A8C">
              <w:rPr>
                <w:rFonts w:eastAsia="Calibri"/>
                <w:sz w:val="20"/>
              </w:rPr>
              <w:t>(Juge Gerein)</w:t>
            </w:r>
          </w:p>
          <w:p w:rsidR="0071182B" w:rsidRPr="003E4A8C" w:rsidRDefault="0071182B" w:rsidP="009A57C7">
            <w:pPr>
              <w:jc w:val="both"/>
              <w:rPr>
                <w:rFonts w:eastAsia="Calibri"/>
                <w:sz w:val="20"/>
              </w:rPr>
            </w:pPr>
            <w:r w:rsidRPr="003E4A8C">
              <w:rPr>
                <w:rFonts w:eastAsia="Calibri"/>
                <w:sz w:val="20"/>
              </w:rPr>
              <w:t>2006 SKQB 328</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Requête des intimés en autorisation d’un recours collectif rejetée;</w:t>
            </w:r>
          </w:p>
          <w:p w:rsidR="0071182B" w:rsidRPr="003E4A8C" w:rsidRDefault="0071182B" w:rsidP="009A57C7">
            <w:pPr>
              <w:jc w:val="both"/>
              <w:rPr>
                <w:rFonts w:eastAsia="Calibri"/>
                <w:sz w:val="20"/>
                <w:lang w:val="fr-FR"/>
              </w:rPr>
            </w:pPr>
            <w:r w:rsidRPr="003E4A8C">
              <w:rPr>
                <w:rFonts w:eastAsia="Calibri"/>
                <w:sz w:val="20"/>
                <w:lang w:val="fr-FR"/>
              </w:rPr>
              <w:t>Autorisation de modifier la demande pour traiter des conditions de la Loi relatives au « représentant convenable des plaignants ou au plan du recours collectif » accordée.</w:t>
            </w:r>
          </w:p>
          <w:p w:rsidR="0071182B" w:rsidRPr="003E4A8C" w:rsidRDefault="0071182B" w:rsidP="009A57C7">
            <w:pPr>
              <w:jc w:val="both"/>
              <w:rPr>
                <w:rFonts w:eastAsia="Calibri"/>
                <w:sz w:val="20"/>
                <w:lang w:val="fr-FR"/>
              </w:rPr>
            </w:pPr>
          </w:p>
        </w:tc>
      </w:tr>
      <w:tr w:rsidR="0071182B" w:rsidRPr="00147672" w:rsidTr="009A57C7">
        <w:tc>
          <w:tcPr>
            <w:tcW w:w="2427" w:type="pct"/>
          </w:tcPr>
          <w:p w:rsidR="0071182B" w:rsidRPr="003E4A8C" w:rsidRDefault="0071182B" w:rsidP="009A57C7">
            <w:pPr>
              <w:jc w:val="both"/>
              <w:rPr>
                <w:rFonts w:eastAsia="Calibri"/>
                <w:sz w:val="20"/>
                <w:lang w:val="fr-FR"/>
              </w:rPr>
            </w:pPr>
            <w:r w:rsidRPr="003E4A8C">
              <w:rPr>
                <w:rFonts w:eastAsia="Calibri"/>
                <w:sz w:val="20"/>
                <w:lang w:val="fr-FR"/>
              </w:rPr>
              <w:lastRenderedPageBreak/>
              <w:t>17 septembre 2007</w:t>
            </w:r>
          </w:p>
          <w:p w:rsidR="0071182B" w:rsidRPr="003E4A8C" w:rsidRDefault="0071182B" w:rsidP="009A57C7">
            <w:pPr>
              <w:jc w:val="both"/>
              <w:rPr>
                <w:rFonts w:eastAsia="Calibri"/>
                <w:sz w:val="20"/>
                <w:lang w:val="fr-FR"/>
              </w:rPr>
            </w:pPr>
            <w:r w:rsidRPr="003E4A8C">
              <w:rPr>
                <w:rFonts w:eastAsia="Calibri"/>
                <w:sz w:val="20"/>
                <w:lang w:val="fr-FR"/>
              </w:rPr>
              <w:t xml:space="preserve">Cour du Banc de la Reine de la Saskatchewan </w:t>
            </w:r>
          </w:p>
          <w:p w:rsidR="0071182B" w:rsidRPr="003E4A8C" w:rsidRDefault="0071182B" w:rsidP="009A57C7">
            <w:pPr>
              <w:jc w:val="both"/>
              <w:rPr>
                <w:rFonts w:eastAsia="Calibri"/>
                <w:sz w:val="20"/>
              </w:rPr>
            </w:pPr>
            <w:r w:rsidRPr="003E4A8C">
              <w:rPr>
                <w:rFonts w:eastAsia="Calibri"/>
                <w:sz w:val="20"/>
              </w:rPr>
              <w:t>(Juge Gerein)</w:t>
            </w:r>
          </w:p>
          <w:p w:rsidR="0071182B" w:rsidRPr="003E4A8C" w:rsidRDefault="0071182B" w:rsidP="009A57C7">
            <w:pPr>
              <w:jc w:val="both"/>
              <w:rPr>
                <w:rFonts w:eastAsia="Calibri"/>
                <w:sz w:val="20"/>
              </w:rPr>
            </w:pPr>
            <w:r w:rsidRPr="003E4A8C">
              <w:rPr>
                <w:rFonts w:eastAsia="Calibri"/>
                <w:sz w:val="20"/>
              </w:rPr>
              <w:t>2007 SKQB 328</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Requête des intimés en autorisation du recours collectif accordée.</w:t>
            </w:r>
          </w:p>
          <w:p w:rsidR="0071182B" w:rsidRPr="003E4A8C" w:rsidRDefault="0071182B" w:rsidP="009A57C7">
            <w:pPr>
              <w:jc w:val="both"/>
              <w:rPr>
                <w:rFonts w:eastAsia="Calibri"/>
                <w:sz w:val="20"/>
                <w:lang w:val="fr-FR"/>
              </w:rPr>
            </w:pPr>
          </w:p>
        </w:tc>
      </w:tr>
      <w:tr w:rsidR="0071182B" w:rsidRPr="003E4A8C" w:rsidTr="009A57C7">
        <w:tc>
          <w:tcPr>
            <w:tcW w:w="2427" w:type="pct"/>
          </w:tcPr>
          <w:p w:rsidR="0071182B" w:rsidRPr="003E4A8C" w:rsidRDefault="0071182B" w:rsidP="009A57C7">
            <w:pPr>
              <w:jc w:val="both"/>
              <w:rPr>
                <w:rFonts w:eastAsia="Calibri"/>
                <w:sz w:val="20"/>
                <w:lang w:val="fr-FR"/>
              </w:rPr>
            </w:pPr>
            <w:r w:rsidRPr="003E4A8C">
              <w:rPr>
                <w:rFonts w:eastAsia="Calibri"/>
                <w:sz w:val="20"/>
                <w:lang w:val="fr-FR"/>
              </w:rPr>
              <w:t>20 février 2008</w:t>
            </w:r>
          </w:p>
          <w:p w:rsidR="0071182B" w:rsidRPr="003E4A8C" w:rsidRDefault="0071182B" w:rsidP="009A57C7">
            <w:pPr>
              <w:jc w:val="both"/>
              <w:rPr>
                <w:rFonts w:eastAsia="Calibri"/>
                <w:sz w:val="20"/>
                <w:lang w:val="fr-FR"/>
              </w:rPr>
            </w:pPr>
            <w:r w:rsidRPr="003E4A8C">
              <w:rPr>
                <w:rFonts w:eastAsia="Calibri"/>
                <w:sz w:val="20"/>
                <w:lang w:val="fr-FR"/>
              </w:rPr>
              <w:t>Cour du Banc de la Reine de la Saskatchewan (Juge Gerein)</w:t>
            </w:r>
          </w:p>
          <w:p w:rsidR="0071182B" w:rsidRPr="003E4A8C" w:rsidRDefault="0071182B" w:rsidP="009A57C7">
            <w:pPr>
              <w:jc w:val="both"/>
              <w:rPr>
                <w:rFonts w:eastAsia="Calibri"/>
                <w:sz w:val="20"/>
                <w:lang w:val="fr-FR"/>
              </w:rPr>
            </w:pPr>
            <w:r w:rsidRPr="003E4A8C">
              <w:rPr>
                <w:rFonts w:eastAsia="Calibri"/>
                <w:sz w:val="20"/>
                <w:lang w:val="fr-FR"/>
              </w:rPr>
              <w:t>2008 SKQB 79</w:t>
            </w:r>
          </w:p>
          <w:p w:rsidR="0071182B" w:rsidRPr="003E4A8C" w:rsidRDefault="0071182B" w:rsidP="009A57C7">
            <w:pPr>
              <w:jc w:val="both"/>
              <w:rPr>
                <w:rFonts w:eastAsia="Calibri"/>
                <w:sz w:val="20"/>
                <w:lang w:val="fr-FR"/>
              </w:rPr>
            </w:pPr>
          </w:p>
        </w:tc>
        <w:tc>
          <w:tcPr>
            <w:tcW w:w="243" w:type="pct"/>
          </w:tcPr>
          <w:p w:rsidR="0071182B" w:rsidRPr="003E4A8C" w:rsidRDefault="0071182B" w:rsidP="009A57C7">
            <w:pPr>
              <w:jc w:val="both"/>
              <w:rPr>
                <w:rFonts w:eastAsia="Calibri"/>
                <w:sz w:val="20"/>
                <w:lang w:val="fr-FR"/>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Arrêt des procédures refusé.</w:t>
            </w:r>
          </w:p>
        </w:tc>
      </w:tr>
      <w:tr w:rsidR="0071182B" w:rsidRPr="003E4A8C" w:rsidTr="009A57C7">
        <w:tc>
          <w:tcPr>
            <w:tcW w:w="2427" w:type="pct"/>
          </w:tcPr>
          <w:p w:rsidR="0071182B" w:rsidRPr="003E4A8C" w:rsidRDefault="0071182B" w:rsidP="009A57C7">
            <w:pPr>
              <w:jc w:val="both"/>
              <w:rPr>
                <w:rFonts w:eastAsia="Calibri"/>
                <w:sz w:val="20"/>
                <w:lang w:val="fr-FR"/>
              </w:rPr>
            </w:pPr>
            <w:r w:rsidRPr="003E4A8C">
              <w:rPr>
                <w:rFonts w:eastAsia="Calibri"/>
                <w:sz w:val="20"/>
                <w:lang w:val="fr-FR"/>
              </w:rPr>
              <w:t>15 novembre 2011</w:t>
            </w:r>
          </w:p>
          <w:p w:rsidR="0071182B" w:rsidRPr="003E4A8C" w:rsidRDefault="0071182B" w:rsidP="009A57C7">
            <w:pPr>
              <w:jc w:val="both"/>
              <w:rPr>
                <w:rFonts w:eastAsia="Calibri"/>
                <w:sz w:val="20"/>
                <w:lang w:val="fr-FR"/>
              </w:rPr>
            </w:pPr>
            <w:r w:rsidRPr="003E4A8C">
              <w:rPr>
                <w:rFonts w:eastAsia="Calibri"/>
                <w:sz w:val="20"/>
                <w:lang w:val="fr-FR"/>
              </w:rPr>
              <w:t>Cour d’appel de la Saskatchewan</w:t>
            </w:r>
          </w:p>
          <w:p w:rsidR="0071182B" w:rsidRPr="003E4A8C" w:rsidRDefault="0071182B" w:rsidP="009A57C7">
            <w:pPr>
              <w:jc w:val="both"/>
              <w:rPr>
                <w:rFonts w:eastAsia="Calibri"/>
                <w:sz w:val="20"/>
                <w:lang w:val="fr-FR"/>
              </w:rPr>
            </w:pPr>
            <w:r w:rsidRPr="003E4A8C">
              <w:rPr>
                <w:rFonts w:eastAsia="Calibri"/>
                <w:sz w:val="20"/>
                <w:lang w:val="fr-FR"/>
              </w:rPr>
              <w:t>(Juges Vancise, Jackson et Smith)</w:t>
            </w:r>
          </w:p>
          <w:p w:rsidR="0071182B" w:rsidRPr="003E4A8C" w:rsidRDefault="0071182B" w:rsidP="009A57C7">
            <w:pPr>
              <w:jc w:val="both"/>
              <w:rPr>
                <w:rFonts w:eastAsia="Calibri"/>
                <w:sz w:val="20"/>
              </w:rPr>
            </w:pPr>
            <w:r w:rsidRPr="003E4A8C">
              <w:rPr>
                <w:rFonts w:eastAsia="Calibri"/>
                <w:sz w:val="20"/>
              </w:rPr>
              <w:t>2011 SKCA 136</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Appel rejeté.</w:t>
            </w:r>
          </w:p>
          <w:p w:rsidR="0071182B" w:rsidRPr="003E4A8C" w:rsidRDefault="0071182B" w:rsidP="009A57C7">
            <w:pPr>
              <w:jc w:val="both"/>
              <w:rPr>
                <w:rFonts w:eastAsia="Calibri"/>
                <w:sz w:val="20"/>
              </w:rPr>
            </w:pPr>
          </w:p>
        </w:tc>
      </w:tr>
      <w:tr w:rsidR="0071182B" w:rsidRPr="00147672" w:rsidTr="009A57C7">
        <w:tc>
          <w:tcPr>
            <w:tcW w:w="2427" w:type="pct"/>
          </w:tcPr>
          <w:p w:rsidR="0071182B" w:rsidRPr="003E4A8C" w:rsidRDefault="0071182B" w:rsidP="009A57C7">
            <w:pPr>
              <w:jc w:val="both"/>
              <w:rPr>
                <w:rFonts w:eastAsia="Calibri"/>
                <w:sz w:val="20"/>
              </w:rPr>
            </w:pPr>
            <w:r w:rsidRPr="003E4A8C">
              <w:rPr>
                <w:rFonts w:eastAsia="Calibri"/>
                <w:sz w:val="20"/>
              </w:rPr>
              <w:t>13 janvier 2012</w:t>
            </w:r>
          </w:p>
          <w:p w:rsidR="0071182B" w:rsidRPr="003E4A8C" w:rsidRDefault="0071182B" w:rsidP="009A57C7">
            <w:pPr>
              <w:jc w:val="both"/>
              <w:rPr>
                <w:rFonts w:eastAsia="Calibri"/>
                <w:sz w:val="20"/>
              </w:rPr>
            </w:pPr>
            <w:r w:rsidRPr="003E4A8C">
              <w:rPr>
                <w:rFonts w:eastAsia="Calibri"/>
                <w:sz w:val="20"/>
              </w:rPr>
              <w:t>Cour suprême du Canada</w:t>
            </w:r>
          </w:p>
          <w:p w:rsidR="0071182B" w:rsidRPr="003E4A8C" w:rsidRDefault="0071182B" w:rsidP="009A57C7">
            <w:pPr>
              <w:jc w:val="both"/>
              <w:rPr>
                <w:rFonts w:eastAsia="Calibri"/>
                <w:sz w:val="20"/>
              </w:rPr>
            </w:pP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Microcell Communications, Microcell Solutions Inc., Fido Solutions Inc., Rogers Inc. et Rogers Sans-fil inc.</w:t>
            </w:r>
          </w:p>
          <w:p w:rsidR="0071182B" w:rsidRPr="003E4A8C" w:rsidRDefault="0071182B" w:rsidP="009A57C7">
            <w:pPr>
              <w:jc w:val="both"/>
              <w:rPr>
                <w:rFonts w:eastAsia="Calibri"/>
                <w:sz w:val="20"/>
                <w:lang w:val="fr-FR"/>
              </w:rPr>
            </w:pPr>
          </w:p>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Telus</w:t>
            </w:r>
          </w:p>
          <w:p w:rsidR="0071182B" w:rsidRPr="003E4A8C" w:rsidRDefault="0071182B" w:rsidP="009A57C7">
            <w:pPr>
              <w:jc w:val="both"/>
              <w:rPr>
                <w:rFonts w:eastAsia="Calibri"/>
                <w:sz w:val="20"/>
                <w:lang w:val="fr-FR"/>
              </w:rPr>
            </w:pPr>
          </w:p>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Bell Aliant Communications régionales, société en commandite</w:t>
            </w:r>
          </w:p>
          <w:p w:rsidR="0071182B" w:rsidRPr="003E4A8C" w:rsidRDefault="0071182B" w:rsidP="009A57C7">
            <w:pPr>
              <w:jc w:val="both"/>
              <w:rPr>
                <w:rFonts w:eastAsia="Calibri"/>
                <w:sz w:val="20"/>
                <w:lang w:val="fr-FR"/>
              </w:rPr>
            </w:pPr>
          </w:p>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Saskatchewan Telecommunications et Saskatchewan Telecommunications Holding Corporation</w:t>
            </w:r>
          </w:p>
          <w:p w:rsidR="0071182B" w:rsidRPr="003E4A8C" w:rsidRDefault="0071182B" w:rsidP="009A57C7">
            <w:pPr>
              <w:jc w:val="both"/>
              <w:rPr>
                <w:rFonts w:eastAsia="Calibri"/>
                <w:sz w:val="20"/>
                <w:lang w:val="fr-FR"/>
              </w:rPr>
            </w:pPr>
          </w:p>
        </w:tc>
      </w:tr>
      <w:tr w:rsidR="0071182B" w:rsidRPr="00147672" w:rsidTr="009A57C7">
        <w:tc>
          <w:tcPr>
            <w:tcW w:w="2427" w:type="pct"/>
          </w:tcPr>
          <w:p w:rsidR="0071182B" w:rsidRPr="003E4A8C" w:rsidRDefault="0071182B" w:rsidP="009A57C7">
            <w:pPr>
              <w:jc w:val="both"/>
              <w:rPr>
                <w:rFonts w:eastAsia="Calibri"/>
                <w:sz w:val="20"/>
              </w:rPr>
            </w:pPr>
            <w:r w:rsidRPr="003E4A8C">
              <w:rPr>
                <w:rFonts w:eastAsia="Calibri"/>
                <w:sz w:val="20"/>
              </w:rPr>
              <w:t>16 janvier 2012</w:t>
            </w:r>
          </w:p>
          <w:p w:rsidR="0071182B" w:rsidRPr="003E4A8C" w:rsidRDefault="0071182B" w:rsidP="009A57C7">
            <w:pPr>
              <w:jc w:val="both"/>
              <w:rPr>
                <w:rFonts w:eastAsia="Calibri"/>
                <w:sz w:val="20"/>
              </w:rPr>
            </w:pPr>
            <w:r w:rsidRPr="003E4A8C">
              <w:rPr>
                <w:rFonts w:eastAsia="Calibri"/>
                <w:sz w:val="20"/>
              </w:rPr>
              <w:t>Cour suprême du Canada</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Bell Mobilité inc.</w:t>
            </w:r>
          </w:p>
          <w:p w:rsidR="0071182B" w:rsidRPr="003E4A8C" w:rsidRDefault="0071182B" w:rsidP="009A57C7">
            <w:pPr>
              <w:jc w:val="both"/>
              <w:rPr>
                <w:rFonts w:eastAsia="Calibri"/>
                <w:sz w:val="20"/>
                <w:lang w:val="fr-FR"/>
              </w:rPr>
            </w:pPr>
          </w:p>
        </w:tc>
      </w:tr>
      <w:tr w:rsidR="0071182B" w:rsidRPr="00147672" w:rsidTr="009A57C7">
        <w:tc>
          <w:tcPr>
            <w:tcW w:w="2427" w:type="pct"/>
          </w:tcPr>
          <w:p w:rsidR="0071182B" w:rsidRPr="00E75C8D" w:rsidRDefault="0071182B" w:rsidP="009A57C7">
            <w:pPr>
              <w:jc w:val="both"/>
              <w:rPr>
                <w:rFonts w:eastAsia="Calibri"/>
                <w:sz w:val="20"/>
                <w:lang w:val="fr-CA"/>
              </w:rPr>
            </w:pPr>
            <w:r w:rsidRPr="00E75C8D">
              <w:rPr>
                <w:rFonts w:eastAsia="Calibri"/>
                <w:sz w:val="20"/>
                <w:lang w:val="fr-CA"/>
              </w:rPr>
              <w:t>16 janvier 2012</w:t>
            </w:r>
          </w:p>
          <w:p w:rsidR="0071182B" w:rsidRPr="00E75C8D" w:rsidRDefault="0071182B" w:rsidP="009A57C7">
            <w:pPr>
              <w:jc w:val="both"/>
              <w:rPr>
                <w:rFonts w:eastAsia="Calibri"/>
                <w:sz w:val="20"/>
                <w:lang w:val="fr-CA"/>
              </w:rPr>
            </w:pPr>
            <w:r w:rsidRPr="00E75C8D">
              <w:rPr>
                <w:rFonts w:eastAsia="Calibri"/>
                <w:sz w:val="20"/>
                <w:lang w:val="fr-CA"/>
              </w:rPr>
              <w:t>Cour suprême du Canada</w:t>
            </w:r>
          </w:p>
        </w:tc>
        <w:tc>
          <w:tcPr>
            <w:tcW w:w="243" w:type="pct"/>
          </w:tcPr>
          <w:p w:rsidR="0071182B" w:rsidRPr="00E75C8D" w:rsidRDefault="0071182B" w:rsidP="009A57C7">
            <w:pPr>
              <w:jc w:val="both"/>
              <w:rPr>
                <w:rFonts w:eastAsia="Calibri"/>
                <w:sz w:val="20"/>
                <w:lang w:val="fr-CA"/>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MTS Inc.</w:t>
            </w:r>
          </w:p>
        </w:tc>
      </w:tr>
    </w:tbl>
    <w:p w:rsidR="00F96FE7" w:rsidRPr="0071182B" w:rsidRDefault="00F96FE7" w:rsidP="00F96FE7">
      <w:pPr>
        <w:rPr>
          <w:sz w:val="20"/>
          <w:szCs w:val="20"/>
          <w:lang w:val="fr-CA"/>
        </w:rPr>
      </w:pPr>
    </w:p>
    <w:p w:rsidR="00F96FE7" w:rsidRDefault="00D70052" w:rsidP="00F96FE7">
      <w:pPr>
        <w:rPr>
          <w:sz w:val="20"/>
          <w:szCs w:val="20"/>
          <w:lang w:val="fr-CA"/>
        </w:rPr>
      </w:pPr>
      <w:r w:rsidRPr="00D70052">
        <w:rPr>
          <w:sz w:val="20"/>
          <w:szCs w:val="20"/>
          <w:lang w:val="fr-CA"/>
        </w:rPr>
        <w:pict>
          <v:rect id="_x0000_i1045"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852FC" w:rsidRPr="00706243" w:rsidTr="008B5DBF">
        <w:trPr>
          <w:cantSplit/>
        </w:trPr>
        <w:tc>
          <w:tcPr>
            <w:tcW w:w="1458" w:type="dxa"/>
          </w:tcPr>
          <w:p w:rsidR="00F852FC" w:rsidRPr="00706243" w:rsidRDefault="00F852FC" w:rsidP="008B5DBF">
            <w:pPr>
              <w:rPr>
                <w:rFonts w:cs="Times New Roman"/>
                <w:sz w:val="20"/>
                <w:szCs w:val="20"/>
              </w:rPr>
            </w:pPr>
            <w:r w:rsidRPr="00706243">
              <w:rPr>
                <w:rStyle w:val="SCCFileNumberChar"/>
                <w:sz w:val="20"/>
                <w:szCs w:val="20"/>
              </w:rPr>
              <w:t>34621</w:t>
            </w:r>
          </w:p>
          <w:p w:rsidR="00F852FC" w:rsidRPr="00706243" w:rsidRDefault="00F852FC" w:rsidP="008B5DBF">
            <w:pPr>
              <w:rPr>
                <w:rFonts w:cs="Times New Roman"/>
                <w:b/>
                <w:sz w:val="20"/>
                <w:szCs w:val="20"/>
                <w:lang w:val="fr-CA"/>
              </w:rPr>
            </w:pPr>
          </w:p>
        </w:tc>
        <w:tc>
          <w:tcPr>
            <w:tcW w:w="8118" w:type="dxa"/>
          </w:tcPr>
          <w:p w:rsidR="00F852FC" w:rsidRPr="00706243" w:rsidRDefault="00F852FC" w:rsidP="008B5DBF">
            <w:pPr>
              <w:jc w:val="both"/>
              <w:rPr>
                <w:rFonts w:cs="Times New Roman"/>
                <w:sz w:val="20"/>
                <w:szCs w:val="20"/>
              </w:rPr>
            </w:pPr>
            <w:r w:rsidRPr="00F852FC">
              <w:rPr>
                <w:rStyle w:val="SCCLsocChar"/>
                <w:rFonts w:cs="Times New Roman"/>
                <w:sz w:val="20"/>
                <w:szCs w:val="20"/>
                <w:lang w:val="en-CA"/>
              </w:rPr>
              <w:t>Police Constable Kris Wood, Acting Sergeant Mark Pullbrook and Police Constable Graham Seguin v. Ruth Schaeffer, Evelyn Minty</w:t>
            </w:r>
            <w:r w:rsidRPr="00F852FC">
              <w:rPr>
                <w:rStyle w:val="SCCLsocChar"/>
                <w:rFonts w:cs="Times New Roman"/>
                <w:szCs w:val="20"/>
                <w:lang w:val="en-CA"/>
              </w:rPr>
              <w:t>,</w:t>
            </w:r>
            <w:r w:rsidRPr="00F852FC">
              <w:rPr>
                <w:rStyle w:val="SCCLsocChar"/>
                <w:rFonts w:cs="Times New Roman"/>
                <w:sz w:val="20"/>
                <w:szCs w:val="20"/>
                <w:lang w:val="en-CA"/>
              </w:rPr>
              <w:t xml:space="preserve"> Diane Pinder, Ian Scott, Director of the Special Investigations Unit</w:t>
            </w:r>
            <w:r w:rsidRPr="00F852FC">
              <w:rPr>
                <w:rStyle w:val="SCCLsocChar"/>
                <w:rFonts w:cs="Times New Roman"/>
                <w:szCs w:val="20"/>
                <w:lang w:val="en-CA"/>
              </w:rPr>
              <w:t xml:space="preserve"> and</w:t>
            </w:r>
            <w:r w:rsidRPr="00F852FC">
              <w:rPr>
                <w:rStyle w:val="SCCLsocChar"/>
                <w:rFonts w:cs="Times New Roman"/>
                <w:sz w:val="20"/>
                <w:szCs w:val="20"/>
                <w:lang w:val="en-CA"/>
              </w:rPr>
              <w:t xml:space="preserve"> Julian Fantino, Commissioner of the Ontario Provincial Police</w:t>
            </w:r>
            <w:r w:rsidRPr="00706243">
              <w:rPr>
                <w:rFonts w:cs="Times New Roman"/>
                <w:sz w:val="20"/>
                <w:szCs w:val="20"/>
              </w:rPr>
              <w:t xml:space="preserve"> (Ont.) (Civil) (By Leave)</w:t>
            </w:r>
          </w:p>
          <w:p w:rsidR="00F852FC" w:rsidRPr="00706243" w:rsidRDefault="00F852FC" w:rsidP="008B5DBF">
            <w:pPr>
              <w:rPr>
                <w:rFonts w:cs="Times New Roman"/>
                <w:sz w:val="20"/>
                <w:szCs w:val="20"/>
              </w:rPr>
            </w:pPr>
          </w:p>
        </w:tc>
      </w:tr>
      <w:tr w:rsidR="00F852FC" w:rsidRPr="00706243" w:rsidTr="008B5DBF">
        <w:trPr>
          <w:cantSplit/>
        </w:trPr>
        <w:tc>
          <w:tcPr>
            <w:tcW w:w="1458" w:type="dxa"/>
          </w:tcPr>
          <w:p w:rsidR="00F852FC" w:rsidRPr="00706243" w:rsidRDefault="00F852FC" w:rsidP="008B5DBF">
            <w:pPr>
              <w:rPr>
                <w:rFonts w:cs="Times New Roman"/>
                <w:sz w:val="20"/>
                <w:szCs w:val="20"/>
              </w:rPr>
            </w:pPr>
            <w:r w:rsidRPr="00706243">
              <w:rPr>
                <w:rFonts w:cs="Times New Roman"/>
                <w:sz w:val="20"/>
                <w:szCs w:val="20"/>
              </w:rPr>
              <w:t>Coram :</w:t>
            </w:r>
          </w:p>
        </w:tc>
        <w:tc>
          <w:tcPr>
            <w:tcW w:w="8118" w:type="dxa"/>
          </w:tcPr>
          <w:p w:rsidR="00F852FC" w:rsidRPr="00706243" w:rsidRDefault="00F852FC" w:rsidP="008B5DBF">
            <w:pPr>
              <w:rPr>
                <w:rFonts w:cs="Times New Roman"/>
                <w:sz w:val="20"/>
                <w:szCs w:val="20"/>
              </w:rPr>
            </w:pPr>
            <w:r w:rsidRPr="00F852FC">
              <w:rPr>
                <w:rStyle w:val="SCCCoramChar"/>
                <w:rFonts w:cs="Times New Roman"/>
                <w:sz w:val="20"/>
                <w:szCs w:val="20"/>
                <w:lang w:val="en-CA"/>
              </w:rPr>
              <w:t>Deschamps, Fish and Karakatsanis JJ.</w:t>
            </w:r>
          </w:p>
          <w:p w:rsidR="00F852FC" w:rsidRPr="00706243" w:rsidRDefault="00F852FC" w:rsidP="008B5DBF">
            <w:pPr>
              <w:rPr>
                <w:rFonts w:cs="Times New Roman"/>
                <w:sz w:val="20"/>
                <w:szCs w:val="20"/>
                <w:u w:val="single"/>
              </w:rPr>
            </w:pPr>
          </w:p>
        </w:tc>
      </w:tr>
      <w:tr w:rsidR="00F852FC" w:rsidRPr="00147672" w:rsidTr="008B5DBF">
        <w:trPr>
          <w:cantSplit/>
        </w:trPr>
        <w:tc>
          <w:tcPr>
            <w:tcW w:w="9576" w:type="dxa"/>
            <w:gridSpan w:val="2"/>
          </w:tcPr>
          <w:p w:rsidR="00F852FC" w:rsidRPr="00706243" w:rsidRDefault="003A4DF6" w:rsidP="008B5DBF">
            <w:pPr>
              <w:pStyle w:val="SCCShortJudgment"/>
              <w:rPr>
                <w:rFonts w:cs="Times New Roman"/>
                <w:szCs w:val="20"/>
              </w:rPr>
            </w:pPr>
            <w:r w:rsidRPr="00AD1AEA">
              <w:rPr>
                <w:rFonts w:cs="Times New Roman"/>
                <w:szCs w:val="20"/>
                <w:lang w:val="en-US"/>
              </w:rPr>
              <w:lastRenderedPageBreak/>
              <w:t>The motion for an extension of time to serve and file the motion for leave to intervene is granted. The motion for leave to intervene of the Canadian Police Association and Police Association of Ontario is dismissed without prejudice. The motion for an extension of time to serve and file the application for leave to cross-appeal of Ian Scott, Director of the SIU, is granted. The applications for leave to cross-appeal are granted.</w:t>
            </w:r>
            <w:r>
              <w:rPr>
                <w:rFonts w:cs="Times New Roman"/>
                <w:szCs w:val="20"/>
                <w:lang w:val="en-US"/>
              </w:rPr>
              <w:t xml:space="preserve"> </w:t>
            </w:r>
            <w:r w:rsidR="00F852FC" w:rsidRPr="00706243">
              <w:rPr>
                <w:rFonts w:cs="Times New Roman"/>
                <w:szCs w:val="20"/>
              </w:rPr>
              <w:t>The application for leave to appeal from the judgment of the Court of Appeal for Ontario, Number CA52414, 2011 ONCA 716, dated November 15, 2011, is granted without costs.</w:t>
            </w:r>
          </w:p>
          <w:p w:rsidR="00F852FC" w:rsidRPr="00706243" w:rsidRDefault="00F852FC" w:rsidP="008B5DBF">
            <w:pPr>
              <w:pStyle w:val="SCCShortJudgment"/>
              <w:ind w:firstLine="0"/>
              <w:rPr>
                <w:rFonts w:cs="Times New Roman"/>
                <w:szCs w:val="20"/>
              </w:rPr>
            </w:pPr>
          </w:p>
          <w:p w:rsidR="00F852FC" w:rsidRPr="00706243" w:rsidRDefault="003A4DF6" w:rsidP="008B5DBF">
            <w:pPr>
              <w:pStyle w:val="SCCShortJudgment"/>
              <w:rPr>
                <w:rFonts w:cs="Times New Roman"/>
                <w:szCs w:val="20"/>
                <w:lang w:val="fr-CA"/>
              </w:rPr>
            </w:pPr>
            <w:r w:rsidRPr="00AD1AEA">
              <w:rPr>
                <w:rFonts w:cs="Times New Roman"/>
                <w:szCs w:val="20"/>
                <w:lang w:val="fr-CA"/>
              </w:rPr>
              <w:t>La requête en prorogation du délai de signification et de dépôt de la requête pour permission d’intervenir est accueillie. La requête pour permission d’intervenir de l’Association canadienne des policiers et Police Association of Ontario est rejetée sans préjudice. La requête en prorogation du délai de signification et de dépôt de la demande d’autorisation d’appel incident d’Ian Scott, Directeur du SIU, est accueillie.</w:t>
            </w:r>
            <w:r>
              <w:rPr>
                <w:rFonts w:cs="Times New Roman"/>
                <w:szCs w:val="20"/>
                <w:lang w:val="fr-CA"/>
              </w:rPr>
              <w:t xml:space="preserve"> </w:t>
            </w:r>
            <w:r w:rsidR="00F852FC" w:rsidRPr="00706243">
              <w:rPr>
                <w:rFonts w:cs="Times New Roman"/>
                <w:szCs w:val="20"/>
                <w:lang w:val="fr-CA"/>
              </w:rPr>
              <w:t>Les demandes d’autorisation d’appel incident sont accueillies. La demande d’autorisation d’appel de l’arrêt de la Cour d’appel de l’Ontario, numéro CA52414, 2011 ONCA 716, daté du 15 novembre 2011, est accueillie sans dépens.</w:t>
            </w:r>
          </w:p>
        </w:tc>
      </w:tr>
    </w:tbl>
    <w:p w:rsidR="00F96FE7" w:rsidRPr="00F852FC"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3935"/>
        <w:gridCol w:w="436"/>
        <w:gridCol w:w="5156"/>
      </w:tblGrid>
      <w:tr w:rsidR="00732907" w:rsidRPr="003E4A8C" w:rsidTr="009A57C7">
        <w:tc>
          <w:tcPr>
            <w:tcW w:w="5000" w:type="pct"/>
            <w:gridSpan w:val="3"/>
          </w:tcPr>
          <w:p w:rsidR="00732907" w:rsidRPr="003E4A8C" w:rsidRDefault="00732907" w:rsidP="009A57C7">
            <w:pPr>
              <w:jc w:val="both"/>
              <w:rPr>
                <w:rFonts w:eastAsia="Calibri"/>
                <w:sz w:val="20"/>
              </w:rPr>
            </w:pPr>
            <w:r w:rsidRPr="003E4A8C">
              <w:rPr>
                <w:rFonts w:eastAsia="Calibri"/>
                <w:sz w:val="20"/>
              </w:rPr>
              <w:t xml:space="preserve">Police — Special Investigations — Right to counsel — Subject officers — Witness officers — Whether the Court of Appeal for Ontario erred by circumscribing the scope and extent of a police officer’s right to counsel by adopting an unprecedented interpretation of the requirement that notes be prepared “in accordance with his or her duty” as prohibiting meaningful legal advice in connection with the preparation of their notes — Whether the Court of Appeal erred by virtually eliminating the presumptive common law right to consult with counsel despite the absence of any express or necessarily implied legislative restriction on the right to counsel — Whether the Court of Appeal crafted an unworkable protocol which renders virtually any discussion by an officer with counsel an ethical and practical minefield and which fails to recognize an officer’s right to procedural fairness, having regard to potential exposure to criminal or disciplinary prosecution </w:t>
            </w:r>
            <w:r w:rsidRPr="003E4A8C">
              <w:rPr>
                <w:rFonts w:eastAsia="Calibri"/>
                <w:bCs/>
                <w:sz w:val="20"/>
              </w:rPr>
              <w:t>—</w:t>
            </w:r>
            <w:r w:rsidRPr="003E4A8C">
              <w:rPr>
                <w:rFonts w:eastAsia="Calibri"/>
                <w:bCs/>
                <w:i/>
                <w:sz w:val="20"/>
              </w:rPr>
              <w:t xml:space="preserve"> Conduct and Duties of Police Officers Respecting Investigations by the Special Investigations Unit</w:t>
            </w:r>
            <w:r w:rsidRPr="003E4A8C">
              <w:rPr>
                <w:rFonts w:eastAsia="Calibri"/>
                <w:bCs/>
                <w:sz w:val="20"/>
              </w:rPr>
              <w:t>, O. Reg. 267/10.</w:t>
            </w:r>
          </w:p>
        </w:tc>
      </w:tr>
      <w:tr w:rsidR="00732907" w:rsidRPr="003E4A8C" w:rsidTr="009A57C7">
        <w:tc>
          <w:tcPr>
            <w:tcW w:w="5000" w:type="pct"/>
            <w:gridSpan w:val="3"/>
          </w:tcPr>
          <w:p w:rsidR="00732907" w:rsidRPr="003E4A8C" w:rsidRDefault="00732907" w:rsidP="009A57C7">
            <w:pPr>
              <w:jc w:val="both"/>
              <w:rPr>
                <w:rFonts w:eastAsia="Calibri"/>
                <w:sz w:val="20"/>
              </w:rPr>
            </w:pPr>
          </w:p>
        </w:tc>
      </w:tr>
      <w:tr w:rsidR="00732907" w:rsidRPr="003E4A8C" w:rsidTr="009A57C7">
        <w:tc>
          <w:tcPr>
            <w:tcW w:w="5000" w:type="pct"/>
            <w:gridSpan w:val="3"/>
          </w:tcPr>
          <w:p w:rsidR="00732907" w:rsidRPr="003E4A8C" w:rsidRDefault="00732907" w:rsidP="009A57C7">
            <w:pPr>
              <w:jc w:val="both"/>
              <w:rPr>
                <w:rFonts w:eastAsia="Calibri"/>
                <w:sz w:val="20"/>
              </w:rPr>
            </w:pPr>
            <w:r w:rsidRPr="003E4A8C">
              <w:rPr>
                <w:rFonts w:eastAsia="Calibri"/>
                <w:sz w:val="20"/>
              </w:rPr>
              <w:t>In June 2009, the Special Investigations Unit was called upon to investigate the conduct of police officers involved in two separate incidents which involved the death of civilians at the hands of police. In both cases, the subject officer and the witness officers were instructed not to make notes until they had spoken to counsel, and the subject and witness officers were allowed to complete their notes after the end of the shift. In November 2009, the families of the deceased civilians asked the court to interpret the regulatory regime with respect to the rights and duties of police officers involved in SIU investigations. The application was dismissed for lack of standing, mootness and injusticiability. The Court of Appeal found that the application judge had erred on all three grounds. It allowed the appeal from the order striking the application and declared that the regulatory regime does not permit (i) police officers involved in an SIU investigation to have a lawyer vet their notes or to assist them in the preparation of their notes; or (ii) supervising officers, as a matter of course, to authorize subject and witness officers to refrain from preparing their notes to permit consultation with counsel regardless of the expiry of the officer’s shift; but do permit (iii) police officers to obtain legal advice as to the nature of their rights and duties with respect to SIU investigations, provided obtaining that advice does not delay the completion of their notes before the end of their tour of duty.</w:t>
            </w:r>
          </w:p>
          <w:p w:rsidR="00732907" w:rsidRPr="003E4A8C" w:rsidRDefault="00732907" w:rsidP="009A57C7">
            <w:pPr>
              <w:jc w:val="both"/>
              <w:rPr>
                <w:rFonts w:eastAsia="Calibri"/>
                <w:sz w:val="20"/>
              </w:rPr>
            </w:pP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t>June 23, 2010</w:t>
            </w:r>
          </w:p>
          <w:p w:rsidR="00732907" w:rsidRPr="003E4A8C" w:rsidRDefault="00732907" w:rsidP="009A57C7">
            <w:pPr>
              <w:jc w:val="both"/>
              <w:rPr>
                <w:rFonts w:eastAsia="Calibri"/>
                <w:sz w:val="20"/>
              </w:rPr>
            </w:pPr>
            <w:r w:rsidRPr="003E4A8C">
              <w:rPr>
                <w:rFonts w:eastAsia="Calibri"/>
                <w:sz w:val="20"/>
              </w:rPr>
              <w:t>Ontario Superior Court of Justice</w:t>
            </w:r>
          </w:p>
          <w:p w:rsidR="00732907" w:rsidRPr="003E4A8C" w:rsidRDefault="00732907" w:rsidP="009A57C7">
            <w:pPr>
              <w:jc w:val="both"/>
              <w:rPr>
                <w:rFonts w:eastAsia="Calibri"/>
                <w:sz w:val="20"/>
              </w:rPr>
            </w:pPr>
            <w:r w:rsidRPr="003E4A8C">
              <w:rPr>
                <w:rFonts w:eastAsia="Calibri"/>
                <w:sz w:val="20"/>
              </w:rPr>
              <w:t>(Low J.)</w:t>
            </w:r>
          </w:p>
          <w:p w:rsidR="00732907" w:rsidRPr="003E4A8C" w:rsidRDefault="00732907" w:rsidP="009A57C7">
            <w:pPr>
              <w:jc w:val="both"/>
              <w:rPr>
                <w:rFonts w:eastAsia="Calibri"/>
                <w:sz w:val="20"/>
              </w:rPr>
            </w:pPr>
            <w:r w:rsidRPr="003E4A8C">
              <w:rPr>
                <w:rFonts w:eastAsia="Calibri"/>
                <w:sz w:val="20"/>
              </w:rPr>
              <w:t>Neutral citation: 2010 ONSC 3647</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Motion to strike application for a declaration granted</w:t>
            </w:r>
          </w:p>
          <w:p w:rsidR="00732907" w:rsidRPr="003E4A8C" w:rsidRDefault="00732907" w:rsidP="009A57C7">
            <w:pPr>
              <w:jc w:val="both"/>
              <w:rPr>
                <w:rFonts w:eastAsia="Calibri"/>
                <w:sz w:val="20"/>
              </w:rPr>
            </w:pP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t>November 15, 2011</w:t>
            </w:r>
          </w:p>
          <w:p w:rsidR="00732907" w:rsidRPr="003E4A8C" w:rsidRDefault="00732907" w:rsidP="009A57C7">
            <w:pPr>
              <w:jc w:val="both"/>
              <w:rPr>
                <w:rFonts w:eastAsia="Calibri"/>
                <w:sz w:val="20"/>
              </w:rPr>
            </w:pPr>
            <w:r w:rsidRPr="003E4A8C">
              <w:rPr>
                <w:rFonts w:eastAsia="Calibri"/>
                <w:sz w:val="20"/>
              </w:rPr>
              <w:t>Court of Appeal for Ontario</w:t>
            </w:r>
          </w:p>
          <w:p w:rsidR="00732907" w:rsidRPr="003E4A8C" w:rsidRDefault="00732907" w:rsidP="009A57C7">
            <w:pPr>
              <w:jc w:val="both"/>
              <w:rPr>
                <w:rFonts w:eastAsia="Calibri"/>
                <w:sz w:val="20"/>
              </w:rPr>
            </w:pPr>
            <w:r w:rsidRPr="003E4A8C">
              <w:rPr>
                <w:rFonts w:eastAsia="Calibri"/>
                <w:sz w:val="20"/>
              </w:rPr>
              <w:t>(Sharpe, Armstrong, Rouleau JJ.A.)</w:t>
            </w:r>
          </w:p>
          <w:p w:rsidR="00732907" w:rsidRPr="003E4A8C" w:rsidRDefault="00732907" w:rsidP="009A57C7">
            <w:pPr>
              <w:jc w:val="both"/>
              <w:rPr>
                <w:rFonts w:eastAsia="Calibri"/>
                <w:sz w:val="20"/>
              </w:rPr>
            </w:pPr>
            <w:r w:rsidRPr="003E4A8C">
              <w:rPr>
                <w:rFonts w:eastAsia="Calibri"/>
                <w:sz w:val="20"/>
              </w:rPr>
              <w:t>Neutral citation: 201 ONCA 716</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Appeal allowed; declarations setting out officers’ right to counsel made</w:t>
            </w: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lastRenderedPageBreak/>
              <w:t>January 16, 2012</w:t>
            </w:r>
          </w:p>
          <w:p w:rsidR="00732907" w:rsidRPr="003E4A8C" w:rsidRDefault="00732907" w:rsidP="009A57C7">
            <w:pPr>
              <w:jc w:val="both"/>
              <w:rPr>
                <w:rFonts w:eastAsia="Calibri"/>
                <w:sz w:val="20"/>
              </w:rPr>
            </w:pPr>
            <w:r w:rsidRPr="003E4A8C">
              <w:rPr>
                <w:rFonts w:eastAsia="Calibri"/>
                <w:sz w:val="20"/>
              </w:rPr>
              <w:t>Supreme Court of Canada</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Application for leave to appeal filed</w:t>
            </w:r>
          </w:p>
          <w:p w:rsidR="00732907" w:rsidRPr="003E4A8C" w:rsidRDefault="00732907" w:rsidP="009A57C7">
            <w:pPr>
              <w:jc w:val="both"/>
              <w:rPr>
                <w:rFonts w:eastAsia="Calibri"/>
                <w:sz w:val="20"/>
              </w:rPr>
            </w:pP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t>February 27, 2012</w:t>
            </w:r>
          </w:p>
          <w:p w:rsidR="00732907" w:rsidRPr="003E4A8C" w:rsidRDefault="00732907" w:rsidP="009A57C7">
            <w:pPr>
              <w:jc w:val="both"/>
              <w:rPr>
                <w:rFonts w:eastAsia="Calibri"/>
                <w:sz w:val="20"/>
              </w:rPr>
            </w:pPr>
            <w:r w:rsidRPr="003E4A8C">
              <w:rPr>
                <w:rFonts w:eastAsia="Calibri"/>
                <w:sz w:val="20"/>
              </w:rPr>
              <w:t>Supreme Court of Canada</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Motions for leave to intervene and to extend time filed</w:t>
            </w: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t>March 13, 2012</w:t>
            </w:r>
          </w:p>
          <w:p w:rsidR="00732907" w:rsidRPr="003E4A8C" w:rsidRDefault="00732907" w:rsidP="009A57C7">
            <w:pPr>
              <w:jc w:val="both"/>
              <w:rPr>
                <w:rFonts w:eastAsia="Calibri"/>
                <w:sz w:val="20"/>
              </w:rPr>
            </w:pPr>
            <w:r w:rsidRPr="003E4A8C">
              <w:rPr>
                <w:rFonts w:eastAsia="Calibri"/>
                <w:sz w:val="20"/>
              </w:rPr>
              <w:t>Supreme Court of Canada</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Conditional application for leave to cross-appeal by Schaefer, Minty and Pinder</w:t>
            </w: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t>March 13, 2012</w:t>
            </w:r>
          </w:p>
          <w:p w:rsidR="00732907" w:rsidRPr="003E4A8C" w:rsidRDefault="00732907" w:rsidP="009A57C7">
            <w:pPr>
              <w:jc w:val="both"/>
              <w:rPr>
                <w:rFonts w:eastAsia="Calibri"/>
                <w:sz w:val="20"/>
              </w:rPr>
            </w:pPr>
            <w:r w:rsidRPr="003E4A8C">
              <w:rPr>
                <w:rFonts w:eastAsia="Calibri"/>
                <w:sz w:val="20"/>
              </w:rPr>
              <w:t>Supreme Court of Canada</w:t>
            </w: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Application for leave to cross-appeal and motion to extend time by Director of the SIU</w:t>
            </w: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46"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3935"/>
        <w:gridCol w:w="436"/>
        <w:gridCol w:w="5156"/>
      </w:tblGrid>
      <w:tr w:rsidR="00732907" w:rsidRPr="00147672" w:rsidTr="009A57C7">
        <w:tc>
          <w:tcPr>
            <w:tcW w:w="5000" w:type="pct"/>
            <w:gridSpan w:val="3"/>
          </w:tcPr>
          <w:p w:rsidR="00732907" w:rsidRPr="003E4A8C" w:rsidRDefault="00732907" w:rsidP="009A57C7">
            <w:pPr>
              <w:jc w:val="both"/>
              <w:rPr>
                <w:rFonts w:eastAsia="Calibri"/>
                <w:sz w:val="20"/>
                <w:lang w:val="fr-FR"/>
              </w:rPr>
            </w:pPr>
            <w:r w:rsidRPr="003E4A8C">
              <w:rPr>
                <w:rFonts w:eastAsia="Calibri"/>
                <w:sz w:val="20"/>
                <w:lang w:val="fr-FR"/>
              </w:rPr>
              <w:t xml:space="preserve">Police — Enquêtes spéciales — Droit à l’assistance d’un avocat — Agents impliqués — Agents témoins — La Cour d’appel de l’Ontario a-t-elle commis une erreur en limitant la portée et l’étendue du droit d’un policier à l’assistance d’un avocat en considérant — ce qui est sans précédent — que le devoir de l’agent de police de rédiger ses notes « conformément à son obligation » lui interdit d’obtenir des conseils valables d’un avocat à cet égard? — La Cour d’appel a-t-elle commis une erreur en supprimant à toutes fins utiles le droit présumé que confère la common law à l’agent de police de consulter un avocat même si la loi ne limite aucunement, de manière expresse ou nécessairement implicite, le droit à l’assistance d’un avocat? — La Cour d’appel a-t-elle élaboré un protocole inapplicable qui transforme en champs de mine sur les plans déontologique et pratique la quasi-totalité des conversations entre un agent de police et un avocat, et qui ne tient pas compte du droit de l’agent de police à l’équité procédurale, eu égard au risque qu’il s’expose à des poursuites criminelles ou disciplinaires? </w:t>
            </w:r>
            <w:r w:rsidRPr="003E4A8C">
              <w:rPr>
                <w:rFonts w:eastAsia="Calibri"/>
                <w:bCs/>
                <w:sz w:val="20"/>
                <w:lang w:val="fr-FR"/>
              </w:rPr>
              <w:t>—</w:t>
            </w:r>
            <w:r w:rsidRPr="003E4A8C">
              <w:rPr>
                <w:rFonts w:eastAsia="Calibri"/>
                <w:bCs/>
                <w:i/>
                <w:sz w:val="20"/>
                <w:lang w:val="fr-FR"/>
              </w:rPr>
              <w:t xml:space="preserve"> Conduite et obligations des agents de police en ce qui concerne les enquêtes de l’unité des enquêtes spéciales</w:t>
            </w:r>
            <w:r w:rsidRPr="003E4A8C">
              <w:rPr>
                <w:rFonts w:eastAsia="Calibri"/>
                <w:bCs/>
                <w:sz w:val="20"/>
                <w:lang w:val="fr-FR"/>
              </w:rPr>
              <w:t>, Règl. de l’Ont. 267/10.</w:t>
            </w:r>
          </w:p>
        </w:tc>
      </w:tr>
      <w:tr w:rsidR="00732907" w:rsidRPr="00147672" w:rsidTr="009A57C7">
        <w:tc>
          <w:tcPr>
            <w:tcW w:w="5000" w:type="pct"/>
            <w:gridSpan w:val="3"/>
          </w:tcPr>
          <w:p w:rsidR="00732907" w:rsidRPr="003E4A8C" w:rsidRDefault="00732907" w:rsidP="009A57C7">
            <w:pPr>
              <w:jc w:val="both"/>
              <w:rPr>
                <w:rFonts w:eastAsia="Calibri"/>
                <w:sz w:val="20"/>
                <w:lang w:val="fr-FR"/>
              </w:rPr>
            </w:pPr>
          </w:p>
        </w:tc>
      </w:tr>
      <w:tr w:rsidR="00732907" w:rsidRPr="00147672" w:rsidTr="009A57C7">
        <w:tc>
          <w:tcPr>
            <w:tcW w:w="5000" w:type="pct"/>
            <w:gridSpan w:val="3"/>
          </w:tcPr>
          <w:p w:rsidR="00732907" w:rsidRPr="003E4A8C" w:rsidRDefault="00732907" w:rsidP="009A57C7">
            <w:pPr>
              <w:jc w:val="both"/>
              <w:rPr>
                <w:rFonts w:eastAsia="Calibri"/>
                <w:sz w:val="20"/>
                <w:lang w:val="fr-FR"/>
              </w:rPr>
            </w:pPr>
            <w:r w:rsidRPr="003E4A8C">
              <w:rPr>
                <w:rFonts w:eastAsia="Calibri"/>
                <w:sz w:val="20"/>
                <w:lang w:val="fr-FR"/>
              </w:rPr>
              <w:t xml:space="preserve">En juin 2009, l’unité des enquêtes spéciales est appelée à enquêter sur la conduite d’agents de police mêlés à deux incidents distincts au cours desquels des policiers ont tué des civils. Dans les deux cas, l’agent de </w:t>
            </w:r>
            <w:proofErr w:type="gramStart"/>
            <w:r w:rsidRPr="003E4A8C">
              <w:rPr>
                <w:rFonts w:eastAsia="Calibri"/>
                <w:sz w:val="20"/>
                <w:lang w:val="fr-FR"/>
              </w:rPr>
              <w:t>police impliqué</w:t>
            </w:r>
            <w:proofErr w:type="gramEnd"/>
            <w:r w:rsidRPr="003E4A8C">
              <w:rPr>
                <w:rFonts w:eastAsia="Calibri"/>
                <w:sz w:val="20"/>
                <w:lang w:val="fr-FR"/>
              </w:rPr>
              <w:t xml:space="preserve">  et les agents témoins reçoivent pour instruction de ne pas prendre de notes avant d’avoir parlé à un avocat, et on leur permet de compléter leurs notes après le quart de travail. En novembre 2009, les familles des civils décédés demandent à la cour d’interpréter le régime réglementaire applicable aux droits et aux obligations des agents mêlés aux enquêtes de l’UES. La demande est rejetée en raison de l’absence de qualité pour agir des demandeurs, du caractère théorique de la demande et de la non-justiciabilité des actes en cause. La Cour d’appel conclut que le juge saisi de la demande s’est trompé à l’égard des trois motifs. Elle accueille l’appel interjeté contre l’ordonnance radiant la demande et déclare que le régime réglementaire ne permet pas (i) aux agents mêlés à une enquête de l’UES de faire contrôler leurs notes par un avocat ou d’obtenir son assistance dans la rédaction de leurs notes ou (ii) aux superviseurs d’autoriser couramment l’agent impliqué et les agents témoins à s’abstenir de rédiger leurs notes pour leur donner l’occasion de consulter un avocat, sans égard à la fin de leur quart, mais il permet (iii) aux agents d’obtenir les conseils d’un avocat quant à la nature de leurs droits et obligations concernant les enquêtes de l’UES, pourvu que l’obtention de ces conseils ne les empêche pas d’achever leurs notes avant la fin de leur période de service. </w:t>
            </w:r>
          </w:p>
          <w:p w:rsidR="00732907" w:rsidRPr="003E4A8C" w:rsidRDefault="00732907" w:rsidP="009A57C7">
            <w:pPr>
              <w:jc w:val="both"/>
              <w:rPr>
                <w:rFonts w:eastAsia="Calibri"/>
                <w:sz w:val="20"/>
                <w:lang w:val="fr-FR"/>
              </w:rPr>
            </w:pPr>
          </w:p>
        </w:tc>
      </w:tr>
      <w:tr w:rsidR="00732907" w:rsidRPr="00147672" w:rsidTr="009A57C7">
        <w:tc>
          <w:tcPr>
            <w:tcW w:w="2065" w:type="pct"/>
          </w:tcPr>
          <w:p w:rsidR="00732907" w:rsidRPr="003E4A8C" w:rsidRDefault="00732907" w:rsidP="009A57C7">
            <w:pPr>
              <w:jc w:val="both"/>
              <w:rPr>
                <w:rFonts w:eastAsia="Calibri"/>
                <w:sz w:val="20"/>
                <w:lang w:val="fr-FR"/>
              </w:rPr>
            </w:pPr>
            <w:r w:rsidRPr="003E4A8C">
              <w:rPr>
                <w:rFonts w:eastAsia="Calibri"/>
                <w:sz w:val="20"/>
                <w:lang w:val="fr-FR"/>
              </w:rPr>
              <w:t>23 juin 2010</w:t>
            </w:r>
          </w:p>
          <w:p w:rsidR="00732907" w:rsidRPr="003E4A8C" w:rsidRDefault="00732907" w:rsidP="009A57C7">
            <w:pPr>
              <w:jc w:val="both"/>
              <w:rPr>
                <w:rFonts w:eastAsia="Calibri"/>
                <w:sz w:val="20"/>
                <w:lang w:val="fr-FR"/>
              </w:rPr>
            </w:pPr>
            <w:r w:rsidRPr="003E4A8C">
              <w:rPr>
                <w:rFonts w:eastAsia="Calibri"/>
                <w:sz w:val="20"/>
                <w:lang w:val="fr-FR"/>
              </w:rPr>
              <w:t>Cour supérieure de justice de l’Ontario</w:t>
            </w:r>
          </w:p>
          <w:p w:rsidR="00732907" w:rsidRPr="003E4A8C" w:rsidRDefault="00732907" w:rsidP="009A57C7">
            <w:pPr>
              <w:jc w:val="both"/>
              <w:rPr>
                <w:rFonts w:eastAsia="Calibri"/>
                <w:sz w:val="20"/>
                <w:lang w:val="fr-FR"/>
              </w:rPr>
            </w:pPr>
            <w:r w:rsidRPr="003E4A8C">
              <w:rPr>
                <w:rFonts w:eastAsia="Calibri"/>
                <w:sz w:val="20"/>
                <w:lang w:val="fr-FR"/>
              </w:rPr>
              <w:t>(Juge Low)</w:t>
            </w:r>
          </w:p>
          <w:p w:rsidR="00732907" w:rsidRPr="003E4A8C" w:rsidRDefault="00732907" w:rsidP="009A57C7">
            <w:pPr>
              <w:jc w:val="both"/>
              <w:rPr>
                <w:rFonts w:eastAsia="Calibri"/>
                <w:sz w:val="20"/>
                <w:lang w:val="fr-FR"/>
              </w:rPr>
            </w:pPr>
            <w:r w:rsidRPr="003E4A8C">
              <w:rPr>
                <w:rFonts w:eastAsia="Calibri"/>
                <w:sz w:val="20"/>
                <w:lang w:val="fr-FR"/>
              </w:rPr>
              <w:t>Référence neutre : 2010 ONSC 3647</w:t>
            </w:r>
          </w:p>
          <w:p w:rsidR="00732907" w:rsidRPr="003E4A8C" w:rsidRDefault="00732907" w:rsidP="009A57C7">
            <w:pPr>
              <w:jc w:val="both"/>
              <w:rPr>
                <w:rFonts w:eastAsia="Calibri"/>
                <w:sz w:val="20"/>
                <w:lang w:val="fr-FR"/>
              </w:rPr>
            </w:pPr>
          </w:p>
        </w:tc>
        <w:tc>
          <w:tcPr>
            <w:tcW w:w="229" w:type="pct"/>
          </w:tcPr>
          <w:p w:rsidR="00732907" w:rsidRPr="003E4A8C" w:rsidRDefault="00732907" w:rsidP="009A57C7">
            <w:pPr>
              <w:jc w:val="both"/>
              <w:rPr>
                <w:rFonts w:eastAsia="Calibri"/>
                <w:sz w:val="20"/>
                <w:lang w:val="fr-FR"/>
              </w:rPr>
            </w:pPr>
          </w:p>
        </w:tc>
        <w:tc>
          <w:tcPr>
            <w:tcW w:w="2706" w:type="pct"/>
          </w:tcPr>
          <w:p w:rsidR="00732907" w:rsidRPr="003E4A8C" w:rsidRDefault="00732907" w:rsidP="009A57C7">
            <w:pPr>
              <w:jc w:val="both"/>
              <w:rPr>
                <w:rFonts w:eastAsia="Calibri"/>
                <w:sz w:val="20"/>
                <w:lang w:val="fr-FR"/>
              </w:rPr>
            </w:pPr>
            <w:r w:rsidRPr="003E4A8C">
              <w:rPr>
                <w:rFonts w:eastAsia="Calibri"/>
                <w:sz w:val="20"/>
                <w:lang w:val="fr-FR"/>
              </w:rPr>
              <w:t>Requête en radiation de la demande de jugement déclaratoire accueillie</w:t>
            </w:r>
          </w:p>
          <w:p w:rsidR="00732907" w:rsidRPr="003E4A8C" w:rsidRDefault="00732907" w:rsidP="009A57C7">
            <w:pPr>
              <w:jc w:val="both"/>
              <w:rPr>
                <w:rFonts w:eastAsia="Calibri"/>
                <w:sz w:val="20"/>
                <w:lang w:val="fr-FR"/>
              </w:rPr>
            </w:pPr>
          </w:p>
        </w:tc>
      </w:tr>
      <w:tr w:rsidR="00732907" w:rsidRPr="00147672" w:rsidTr="0003600D">
        <w:trPr>
          <w:cantSplit/>
        </w:trPr>
        <w:tc>
          <w:tcPr>
            <w:tcW w:w="2065" w:type="pct"/>
          </w:tcPr>
          <w:p w:rsidR="00732907" w:rsidRPr="003E4A8C" w:rsidRDefault="00732907" w:rsidP="009A57C7">
            <w:pPr>
              <w:jc w:val="both"/>
              <w:rPr>
                <w:rFonts w:eastAsia="Calibri"/>
                <w:sz w:val="20"/>
                <w:lang w:val="fr-FR"/>
              </w:rPr>
            </w:pPr>
            <w:r w:rsidRPr="003E4A8C">
              <w:rPr>
                <w:rFonts w:eastAsia="Calibri"/>
                <w:sz w:val="20"/>
                <w:lang w:val="fr-FR"/>
              </w:rPr>
              <w:lastRenderedPageBreak/>
              <w:t>15 novembre 2011</w:t>
            </w:r>
          </w:p>
          <w:p w:rsidR="00732907" w:rsidRPr="003E4A8C" w:rsidRDefault="00732907" w:rsidP="009A57C7">
            <w:pPr>
              <w:jc w:val="both"/>
              <w:rPr>
                <w:rFonts w:eastAsia="Calibri"/>
                <w:sz w:val="20"/>
                <w:lang w:val="fr-FR"/>
              </w:rPr>
            </w:pPr>
            <w:r w:rsidRPr="003E4A8C">
              <w:rPr>
                <w:rFonts w:eastAsia="Calibri"/>
                <w:sz w:val="20"/>
                <w:lang w:val="fr-FR"/>
              </w:rPr>
              <w:t>Cour d’appel de l’Ontario</w:t>
            </w:r>
          </w:p>
          <w:p w:rsidR="00732907" w:rsidRPr="003E4A8C" w:rsidRDefault="00732907" w:rsidP="009A57C7">
            <w:pPr>
              <w:jc w:val="both"/>
              <w:rPr>
                <w:rFonts w:eastAsia="Calibri"/>
                <w:sz w:val="20"/>
                <w:lang w:val="fr-FR"/>
              </w:rPr>
            </w:pPr>
            <w:r w:rsidRPr="003E4A8C">
              <w:rPr>
                <w:rFonts w:eastAsia="Calibri"/>
                <w:sz w:val="20"/>
                <w:lang w:val="fr-FR"/>
              </w:rPr>
              <w:t>(Juges Sharpe, Armstrong et Rouleau)</w:t>
            </w:r>
          </w:p>
          <w:p w:rsidR="00732907" w:rsidRPr="003E4A8C" w:rsidRDefault="00732907" w:rsidP="009A57C7">
            <w:pPr>
              <w:jc w:val="both"/>
              <w:rPr>
                <w:rFonts w:eastAsia="Calibri"/>
                <w:sz w:val="20"/>
              </w:rPr>
            </w:pPr>
            <w:r w:rsidRPr="003E4A8C">
              <w:rPr>
                <w:rFonts w:eastAsia="Calibri"/>
                <w:sz w:val="20"/>
                <w:lang w:val="fr-FR"/>
              </w:rPr>
              <w:t xml:space="preserve">Référence neutre </w:t>
            </w:r>
            <w:r w:rsidRPr="003E4A8C">
              <w:rPr>
                <w:rFonts w:eastAsia="Calibri"/>
                <w:sz w:val="20"/>
              </w:rPr>
              <w:t>: 201 ONCA 716</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lang w:val="fr-FR"/>
              </w:rPr>
            </w:pPr>
            <w:r w:rsidRPr="003E4A8C">
              <w:rPr>
                <w:rFonts w:eastAsia="Calibri"/>
                <w:sz w:val="20"/>
                <w:lang w:val="fr-FR"/>
              </w:rPr>
              <w:t>Appel accueilli; jugements exposant le droit des agents à l’assistance d’un avocat rendus</w:t>
            </w:r>
          </w:p>
        </w:tc>
      </w:tr>
      <w:tr w:rsidR="00732907" w:rsidRPr="003E4A8C" w:rsidTr="0003600D">
        <w:trPr>
          <w:cantSplit/>
        </w:trPr>
        <w:tc>
          <w:tcPr>
            <w:tcW w:w="2065" w:type="pct"/>
          </w:tcPr>
          <w:p w:rsidR="00732907" w:rsidRPr="003E4A8C" w:rsidRDefault="00732907" w:rsidP="009A57C7">
            <w:pPr>
              <w:jc w:val="both"/>
              <w:rPr>
                <w:rFonts w:eastAsia="Calibri"/>
                <w:sz w:val="20"/>
              </w:rPr>
            </w:pPr>
            <w:r w:rsidRPr="003E4A8C">
              <w:rPr>
                <w:rFonts w:eastAsia="Calibri"/>
                <w:sz w:val="20"/>
              </w:rPr>
              <w:t>16 janvier 2012</w:t>
            </w:r>
          </w:p>
          <w:p w:rsidR="00732907" w:rsidRPr="003E4A8C" w:rsidRDefault="00732907" w:rsidP="009A57C7">
            <w:pPr>
              <w:jc w:val="both"/>
              <w:rPr>
                <w:rFonts w:eastAsia="Calibri"/>
                <w:sz w:val="20"/>
              </w:rPr>
            </w:pPr>
            <w:r w:rsidRPr="003E4A8C">
              <w:rPr>
                <w:rFonts w:eastAsia="Calibri"/>
                <w:sz w:val="20"/>
              </w:rPr>
              <w:t>Cour suprême du Canada</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Demande d’autorisation d’appel déposée</w:t>
            </w:r>
          </w:p>
          <w:p w:rsidR="00732907" w:rsidRPr="003E4A8C" w:rsidRDefault="00732907" w:rsidP="009A57C7">
            <w:pPr>
              <w:jc w:val="both"/>
              <w:rPr>
                <w:rFonts w:eastAsia="Calibri"/>
                <w:sz w:val="20"/>
              </w:rPr>
            </w:pPr>
          </w:p>
        </w:tc>
      </w:tr>
      <w:tr w:rsidR="00732907" w:rsidRPr="00D61692" w:rsidTr="0003600D">
        <w:trPr>
          <w:cantSplit/>
        </w:trPr>
        <w:tc>
          <w:tcPr>
            <w:tcW w:w="2065" w:type="pct"/>
          </w:tcPr>
          <w:p w:rsidR="00732907" w:rsidRPr="003E4A8C" w:rsidRDefault="00732907" w:rsidP="009A57C7">
            <w:pPr>
              <w:jc w:val="both"/>
              <w:rPr>
                <w:rFonts w:eastAsia="Calibri"/>
                <w:sz w:val="20"/>
                <w:lang w:val="fr-FR"/>
              </w:rPr>
            </w:pPr>
            <w:r w:rsidRPr="003E4A8C">
              <w:rPr>
                <w:rFonts w:eastAsia="Calibri"/>
                <w:sz w:val="20"/>
                <w:lang w:val="fr-FR"/>
              </w:rPr>
              <w:t>27 février 2012</w:t>
            </w:r>
          </w:p>
          <w:p w:rsidR="00732907" w:rsidRPr="003E4A8C" w:rsidRDefault="00732907" w:rsidP="009A57C7">
            <w:pPr>
              <w:jc w:val="both"/>
              <w:rPr>
                <w:rFonts w:eastAsia="Calibri"/>
                <w:sz w:val="20"/>
                <w:lang w:val="fr-FR"/>
              </w:rPr>
            </w:pPr>
            <w:r w:rsidRPr="003E4A8C">
              <w:rPr>
                <w:rFonts w:eastAsia="Calibri"/>
                <w:sz w:val="20"/>
                <w:lang w:val="fr-FR"/>
              </w:rPr>
              <w:t>Cour suprême du Canada</w:t>
            </w:r>
          </w:p>
          <w:p w:rsidR="00732907" w:rsidRPr="003E4A8C" w:rsidRDefault="00732907" w:rsidP="009A57C7">
            <w:pPr>
              <w:jc w:val="both"/>
              <w:rPr>
                <w:rFonts w:eastAsia="Calibri"/>
                <w:sz w:val="20"/>
                <w:lang w:val="fr-FR"/>
              </w:rPr>
            </w:pPr>
          </w:p>
        </w:tc>
        <w:tc>
          <w:tcPr>
            <w:tcW w:w="229" w:type="pct"/>
          </w:tcPr>
          <w:p w:rsidR="00732907" w:rsidRPr="003E4A8C" w:rsidRDefault="00732907" w:rsidP="009A57C7">
            <w:pPr>
              <w:jc w:val="both"/>
              <w:rPr>
                <w:rFonts w:eastAsia="Calibri"/>
                <w:sz w:val="20"/>
                <w:lang w:val="fr-FR"/>
              </w:rPr>
            </w:pPr>
          </w:p>
        </w:tc>
        <w:tc>
          <w:tcPr>
            <w:tcW w:w="2706" w:type="pct"/>
          </w:tcPr>
          <w:p w:rsidR="00732907" w:rsidRPr="003E4A8C" w:rsidRDefault="00732907" w:rsidP="009A57C7">
            <w:pPr>
              <w:jc w:val="both"/>
              <w:rPr>
                <w:rFonts w:eastAsia="Calibri"/>
                <w:sz w:val="20"/>
                <w:lang w:val="fr-FR"/>
              </w:rPr>
            </w:pPr>
            <w:r w:rsidRPr="003E4A8C">
              <w:rPr>
                <w:rFonts w:eastAsia="Calibri"/>
                <w:sz w:val="20"/>
                <w:lang w:val="fr-FR"/>
              </w:rPr>
              <w:t xml:space="preserve">Requêtes en autorisation d’intervenir et en prorogation de </w:t>
            </w:r>
            <w:proofErr w:type="gramStart"/>
            <w:r w:rsidRPr="003E4A8C">
              <w:rPr>
                <w:rFonts w:eastAsia="Calibri"/>
                <w:sz w:val="20"/>
                <w:lang w:val="fr-FR"/>
              </w:rPr>
              <w:t>délai déposées</w:t>
            </w:r>
            <w:proofErr w:type="gramEnd"/>
          </w:p>
        </w:tc>
      </w:tr>
      <w:tr w:rsidR="00732907" w:rsidRPr="00147672" w:rsidTr="0003600D">
        <w:trPr>
          <w:cantSplit/>
        </w:trPr>
        <w:tc>
          <w:tcPr>
            <w:tcW w:w="2065" w:type="pct"/>
          </w:tcPr>
          <w:p w:rsidR="00732907" w:rsidRPr="003E4A8C" w:rsidRDefault="00732907" w:rsidP="009A57C7">
            <w:pPr>
              <w:jc w:val="both"/>
              <w:rPr>
                <w:rFonts w:eastAsia="Calibri"/>
                <w:sz w:val="20"/>
                <w:lang w:val="fr-FR"/>
              </w:rPr>
            </w:pPr>
            <w:r w:rsidRPr="003E4A8C">
              <w:rPr>
                <w:rFonts w:eastAsia="Calibri"/>
                <w:sz w:val="20"/>
                <w:lang w:val="fr-FR"/>
              </w:rPr>
              <w:t>13 mars 2012</w:t>
            </w:r>
          </w:p>
          <w:p w:rsidR="00732907" w:rsidRPr="003E4A8C" w:rsidRDefault="00732907" w:rsidP="009A57C7">
            <w:pPr>
              <w:jc w:val="both"/>
              <w:rPr>
                <w:rFonts w:eastAsia="Calibri"/>
                <w:sz w:val="20"/>
                <w:lang w:val="fr-FR"/>
              </w:rPr>
            </w:pPr>
            <w:r w:rsidRPr="003E4A8C">
              <w:rPr>
                <w:rFonts w:eastAsia="Calibri"/>
                <w:sz w:val="20"/>
                <w:lang w:val="fr-FR"/>
              </w:rPr>
              <w:t xml:space="preserve">Cour suprême du Canada </w:t>
            </w:r>
          </w:p>
          <w:p w:rsidR="00732907" w:rsidRPr="003E4A8C" w:rsidRDefault="00732907" w:rsidP="009A57C7">
            <w:pPr>
              <w:jc w:val="both"/>
              <w:rPr>
                <w:rFonts w:eastAsia="Calibri"/>
                <w:sz w:val="20"/>
                <w:lang w:val="fr-FR"/>
              </w:rPr>
            </w:pPr>
          </w:p>
        </w:tc>
        <w:tc>
          <w:tcPr>
            <w:tcW w:w="229" w:type="pct"/>
          </w:tcPr>
          <w:p w:rsidR="00732907" w:rsidRPr="003E4A8C" w:rsidRDefault="00732907" w:rsidP="009A57C7">
            <w:pPr>
              <w:jc w:val="both"/>
              <w:rPr>
                <w:rFonts w:eastAsia="Calibri"/>
                <w:sz w:val="20"/>
                <w:lang w:val="fr-FR"/>
              </w:rPr>
            </w:pPr>
          </w:p>
        </w:tc>
        <w:tc>
          <w:tcPr>
            <w:tcW w:w="2706" w:type="pct"/>
          </w:tcPr>
          <w:p w:rsidR="00732907" w:rsidRPr="003E4A8C" w:rsidRDefault="00732907" w:rsidP="009A57C7">
            <w:pPr>
              <w:jc w:val="both"/>
              <w:rPr>
                <w:rFonts w:eastAsia="Calibri"/>
                <w:sz w:val="20"/>
                <w:lang w:val="fr-FR"/>
              </w:rPr>
            </w:pPr>
            <w:r w:rsidRPr="003E4A8C">
              <w:rPr>
                <w:rFonts w:eastAsia="Calibri"/>
                <w:sz w:val="20"/>
                <w:lang w:val="fr-FR"/>
              </w:rPr>
              <w:t>Demande conditionnelle d’autorisation d’appel incident déposée par M</w:t>
            </w:r>
            <w:r w:rsidRPr="003E4A8C">
              <w:rPr>
                <w:rFonts w:eastAsia="Calibri"/>
                <w:sz w:val="20"/>
                <w:vertAlign w:val="superscript"/>
                <w:lang w:val="fr-FR"/>
              </w:rPr>
              <w:t>mes</w:t>
            </w:r>
            <w:r w:rsidRPr="003E4A8C">
              <w:rPr>
                <w:rFonts w:eastAsia="Calibri"/>
                <w:sz w:val="20"/>
                <w:lang w:val="fr-FR"/>
              </w:rPr>
              <w:t xml:space="preserve"> Schaefer, Minty et Pinder</w:t>
            </w:r>
          </w:p>
        </w:tc>
      </w:tr>
      <w:tr w:rsidR="00732907" w:rsidRPr="00D61692" w:rsidTr="0003600D">
        <w:trPr>
          <w:cantSplit/>
        </w:trPr>
        <w:tc>
          <w:tcPr>
            <w:tcW w:w="2065" w:type="pct"/>
          </w:tcPr>
          <w:p w:rsidR="00732907" w:rsidRPr="003E4A8C" w:rsidRDefault="00732907" w:rsidP="009A57C7">
            <w:pPr>
              <w:jc w:val="both"/>
              <w:rPr>
                <w:rFonts w:eastAsia="Calibri"/>
                <w:sz w:val="20"/>
                <w:lang w:val="fr-FR"/>
              </w:rPr>
            </w:pPr>
            <w:r w:rsidRPr="003E4A8C">
              <w:rPr>
                <w:rFonts w:eastAsia="Calibri"/>
                <w:sz w:val="20"/>
                <w:lang w:val="fr-FR"/>
              </w:rPr>
              <w:t>13 mars 2012</w:t>
            </w:r>
          </w:p>
          <w:p w:rsidR="00732907" w:rsidRPr="003E4A8C" w:rsidRDefault="00732907" w:rsidP="009A57C7">
            <w:pPr>
              <w:jc w:val="both"/>
              <w:rPr>
                <w:rFonts w:eastAsia="Calibri"/>
                <w:sz w:val="20"/>
                <w:lang w:val="fr-FR"/>
              </w:rPr>
            </w:pPr>
            <w:r w:rsidRPr="003E4A8C">
              <w:rPr>
                <w:rFonts w:eastAsia="Calibri"/>
                <w:sz w:val="20"/>
                <w:lang w:val="fr-FR"/>
              </w:rPr>
              <w:t>Cour suprême du Canada</w:t>
            </w:r>
          </w:p>
        </w:tc>
        <w:tc>
          <w:tcPr>
            <w:tcW w:w="229" w:type="pct"/>
          </w:tcPr>
          <w:p w:rsidR="00732907" w:rsidRPr="003E4A8C" w:rsidRDefault="00732907" w:rsidP="009A57C7">
            <w:pPr>
              <w:jc w:val="both"/>
              <w:rPr>
                <w:rFonts w:eastAsia="Calibri"/>
                <w:sz w:val="20"/>
                <w:lang w:val="fr-FR"/>
              </w:rPr>
            </w:pPr>
          </w:p>
        </w:tc>
        <w:tc>
          <w:tcPr>
            <w:tcW w:w="2706" w:type="pct"/>
          </w:tcPr>
          <w:p w:rsidR="00732907" w:rsidRPr="003E4A8C" w:rsidRDefault="00732907" w:rsidP="009A57C7">
            <w:pPr>
              <w:jc w:val="both"/>
              <w:rPr>
                <w:rFonts w:eastAsia="Calibri"/>
                <w:sz w:val="20"/>
                <w:lang w:val="fr-FR"/>
              </w:rPr>
            </w:pPr>
            <w:r w:rsidRPr="003E4A8C">
              <w:rPr>
                <w:rFonts w:eastAsia="Calibri"/>
                <w:sz w:val="20"/>
                <w:lang w:val="fr-FR"/>
              </w:rPr>
              <w:t xml:space="preserve">Demande d’autorisation d’appel incident et requête en prorogation de </w:t>
            </w:r>
            <w:proofErr w:type="gramStart"/>
            <w:r w:rsidRPr="003E4A8C">
              <w:rPr>
                <w:rFonts w:eastAsia="Calibri"/>
                <w:sz w:val="20"/>
                <w:lang w:val="fr-FR"/>
              </w:rPr>
              <w:t>délai déposées</w:t>
            </w:r>
            <w:proofErr w:type="gramEnd"/>
            <w:r w:rsidRPr="003E4A8C">
              <w:rPr>
                <w:rFonts w:eastAsia="Calibri"/>
                <w:sz w:val="20"/>
                <w:lang w:val="fr-FR"/>
              </w:rPr>
              <w:t xml:space="preserve"> par le directeur de l’UES</w:t>
            </w:r>
          </w:p>
        </w:tc>
      </w:tr>
    </w:tbl>
    <w:p w:rsidR="00F96FE7" w:rsidRPr="00732907" w:rsidRDefault="00F96FE7" w:rsidP="00F96FE7">
      <w:pPr>
        <w:rPr>
          <w:sz w:val="20"/>
          <w:szCs w:val="20"/>
          <w:lang w:val="fr-CA"/>
        </w:rPr>
      </w:pPr>
    </w:p>
    <w:p w:rsidR="00F96FE7" w:rsidRDefault="00D70052" w:rsidP="00F96FE7">
      <w:pPr>
        <w:rPr>
          <w:sz w:val="20"/>
          <w:szCs w:val="20"/>
          <w:lang w:val="fr-CA"/>
        </w:rPr>
      </w:pPr>
      <w:r w:rsidRPr="00D70052">
        <w:rPr>
          <w:sz w:val="20"/>
          <w:szCs w:val="20"/>
          <w:lang w:val="fr-CA"/>
        </w:rPr>
        <w:pict>
          <v:rect id="_x0000_i1047"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B590F" w:rsidRPr="00706243" w:rsidTr="008B5DBF">
        <w:trPr>
          <w:cantSplit/>
        </w:trPr>
        <w:tc>
          <w:tcPr>
            <w:tcW w:w="1458" w:type="dxa"/>
          </w:tcPr>
          <w:p w:rsidR="004B590F" w:rsidRPr="00706243" w:rsidRDefault="004B590F" w:rsidP="008B5DBF">
            <w:pPr>
              <w:rPr>
                <w:rFonts w:cs="Times New Roman"/>
                <w:sz w:val="20"/>
                <w:szCs w:val="20"/>
              </w:rPr>
            </w:pPr>
            <w:r w:rsidRPr="00706243">
              <w:rPr>
                <w:rStyle w:val="SCCFileNumberChar"/>
                <w:sz w:val="20"/>
                <w:szCs w:val="20"/>
              </w:rPr>
              <w:t>34630</w:t>
            </w:r>
          </w:p>
          <w:p w:rsidR="004B590F" w:rsidRPr="00706243" w:rsidRDefault="004B590F" w:rsidP="008B5DBF">
            <w:pPr>
              <w:rPr>
                <w:rFonts w:cs="Times New Roman"/>
                <w:b/>
                <w:sz w:val="20"/>
                <w:szCs w:val="20"/>
                <w:lang w:val="fr-CA"/>
              </w:rPr>
            </w:pPr>
          </w:p>
        </w:tc>
        <w:tc>
          <w:tcPr>
            <w:tcW w:w="8118" w:type="dxa"/>
          </w:tcPr>
          <w:p w:rsidR="004B590F" w:rsidRPr="00706243" w:rsidRDefault="004B590F" w:rsidP="008B5DBF">
            <w:pPr>
              <w:jc w:val="both"/>
              <w:rPr>
                <w:rFonts w:cs="Times New Roman"/>
                <w:sz w:val="20"/>
                <w:szCs w:val="20"/>
              </w:rPr>
            </w:pPr>
            <w:r w:rsidRPr="004B590F">
              <w:rPr>
                <w:rStyle w:val="SCCLsocChar"/>
                <w:rFonts w:cs="Times New Roman"/>
                <w:sz w:val="20"/>
                <w:szCs w:val="20"/>
                <w:lang w:val="en-CA"/>
              </w:rPr>
              <w:t>Melvin Sumner v. PCL Constructors Inc. and PCL Employees Holdings Ltd.</w:t>
            </w:r>
            <w:r w:rsidRPr="00706243">
              <w:rPr>
                <w:rFonts w:cs="Times New Roman"/>
                <w:sz w:val="20"/>
                <w:szCs w:val="20"/>
              </w:rPr>
              <w:t xml:space="preserve"> (Alta.) (Civil) (By Leave)</w:t>
            </w:r>
          </w:p>
          <w:p w:rsidR="004B590F" w:rsidRPr="00706243" w:rsidRDefault="004B590F" w:rsidP="008B5DBF">
            <w:pPr>
              <w:rPr>
                <w:rFonts w:cs="Times New Roman"/>
                <w:sz w:val="20"/>
                <w:szCs w:val="20"/>
              </w:rPr>
            </w:pPr>
          </w:p>
        </w:tc>
      </w:tr>
      <w:tr w:rsidR="004B590F" w:rsidRPr="00706243" w:rsidTr="008B5DBF">
        <w:trPr>
          <w:cantSplit/>
        </w:trPr>
        <w:tc>
          <w:tcPr>
            <w:tcW w:w="1458" w:type="dxa"/>
          </w:tcPr>
          <w:p w:rsidR="004B590F" w:rsidRPr="00706243" w:rsidRDefault="004B590F" w:rsidP="008B5DBF">
            <w:pPr>
              <w:rPr>
                <w:rFonts w:cs="Times New Roman"/>
                <w:sz w:val="20"/>
                <w:szCs w:val="20"/>
              </w:rPr>
            </w:pPr>
            <w:r w:rsidRPr="00706243">
              <w:rPr>
                <w:rFonts w:cs="Times New Roman"/>
                <w:sz w:val="20"/>
                <w:szCs w:val="20"/>
              </w:rPr>
              <w:t>Coram :</w:t>
            </w:r>
          </w:p>
        </w:tc>
        <w:tc>
          <w:tcPr>
            <w:tcW w:w="8118" w:type="dxa"/>
          </w:tcPr>
          <w:p w:rsidR="004B590F" w:rsidRPr="00706243" w:rsidRDefault="004B590F" w:rsidP="008B5DBF">
            <w:pPr>
              <w:rPr>
                <w:rFonts w:cs="Times New Roman"/>
                <w:sz w:val="20"/>
                <w:szCs w:val="20"/>
              </w:rPr>
            </w:pPr>
            <w:r w:rsidRPr="004B590F">
              <w:rPr>
                <w:rStyle w:val="SCCCoramChar"/>
                <w:rFonts w:cs="Times New Roman"/>
                <w:sz w:val="20"/>
                <w:szCs w:val="20"/>
                <w:lang w:val="en-CA"/>
              </w:rPr>
              <w:t>McLachlin C.J. and Rothstein and Moldaver JJ.</w:t>
            </w:r>
          </w:p>
          <w:p w:rsidR="004B590F" w:rsidRPr="00706243" w:rsidRDefault="004B590F" w:rsidP="008B5DBF">
            <w:pPr>
              <w:rPr>
                <w:rFonts w:cs="Times New Roman"/>
                <w:sz w:val="20"/>
                <w:szCs w:val="20"/>
                <w:u w:val="single"/>
              </w:rPr>
            </w:pPr>
          </w:p>
        </w:tc>
      </w:tr>
      <w:tr w:rsidR="004B590F" w:rsidRPr="00147672" w:rsidTr="008B5DBF">
        <w:trPr>
          <w:cantSplit/>
        </w:trPr>
        <w:tc>
          <w:tcPr>
            <w:tcW w:w="9576" w:type="dxa"/>
            <w:gridSpan w:val="2"/>
          </w:tcPr>
          <w:p w:rsidR="004B590F" w:rsidRPr="00706243" w:rsidRDefault="004B590F" w:rsidP="008B5DBF">
            <w:pPr>
              <w:pStyle w:val="SCCShortJudgment"/>
              <w:rPr>
                <w:rFonts w:cs="Times New Roman"/>
                <w:szCs w:val="20"/>
              </w:rPr>
            </w:pPr>
            <w:r w:rsidRPr="00706243">
              <w:rPr>
                <w:rFonts w:cs="Times New Roman"/>
                <w:szCs w:val="20"/>
              </w:rPr>
              <w:t>The application for leave to appeal from the judgment of the Court of Appeal of Alberta (Edmonton), Number 1103-0032-AC, 2011 ABCA 326, dated November 22, 2011, is dismissed with costs.</w:t>
            </w:r>
          </w:p>
          <w:p w:rsidR="004B590F" w:rsidRPr="00706243" w:rsidRDefault="004B590F" w:rsidP="008B5DBF">
            <w:pPr>
              <w:pStyle w:val="SCCShortJudgment"/>
              <w:ind w:firstLine="0"/>
              <w:rPr>
                <w:rFonts w:cs="Times New Roman"/>
                <w:szCs w:val="20"/>
              </w:rPr>
            </w:pPr>
          </w:p>
          <w:p w:rsidR="004B590F" w:rsidRPr="00706243" w:rsidRDefault="004B590F" w:rsidP="008B5DBF">
            <w:pPr>
              <w:pStyle w:val="SCCShortJudgment"/>
              <w:rPr>
                <w:rFonts w:cs="Times New Roman"/>
                <w:szCs w:val="20"/>
                <w:lang w:val="fr-CA"/>
              </w:rPr>
            </w:pPr>
            <w:r w:rsidRPr="00706243">
              <w:rPr>
                <w:rFonts w:cs="Times New Roman"/>
                <w:szCs w:val="20"/>
                <w:lang w:val="fr-CA"/>
              </w:rPr>
              <w:t>La demande d’autorisation d’appel de l’arrêt de la Cour d’appel de l’Alberta (Edmonton), numéro 1103-0032-AC, 2011 ABCA 326, daté du 22 novembre 2011, est rejetée avec dépens.</w:t>
            </w:r>
          </w:p>
        </w:tc>
      </w:tr>
    </w:tbl>
    <w:p w:rsidR="00F96FE7" w:rsidRPr="004B590F"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32907" w:rsidRPr="003E4A8C" w:rsidTr="009A57C7">
        <w:tc>
          <w:tcPr>
            <w:tcW w:w="5000" w:type="pct"/>
            <w:gridSpan w:val="3"/>
          </w:tcPr>
          <w:p w:rsidR="00732907" w:rsidRPr="003E4A8C" w:rsidRDefault="00732907" w:rsidP="009A57C7">
            <w:pPr>
              <w:jc w:val="both"/>
              <w:rPr>
                <w:rFonts w:eastAsia="Calibri"/>
                <w:sz w:val="20"/>
              </w:rPr>
            </w:pPr>
            <w:r w:rsidRPr="003E4A8C">
              <w:rPr>
                <w:rFonts w:eastAsia="Calibri"/>
                <w:sz w:val="20"/>
              </w:rPr>
              <w:t xml:space="preserve">Commercial law – Corporations – Unanimous shareholder agreements – Remedies – Remedies available to shareholders who are parties to unanimous shareholder agreements when a corporation through its officers or directors fails to comply with the unanimous shareholder agreement – Whether affected shareholders are limited to a contractual remedy or whether they have broader remedies available under the compliance provisions of the business corporations legislation, including the right to recover damages in appropriate cases – </w:t>
            </w:r>
            <w:r w:rsidRPr="003E4A8C">
              <w:rPr>
                <w:rFonts w:eastAsia="Calibri"/>
                <w:i/>
                <w:sz w:val="20"/>
              </w:rPr>
              <w:t>Business Corporations Act</w:t>
            </w:r>
            <w:r w:rsidRPr="003E4A8C">
              <w:rPr>
                <w:rFonts w:eastAsia="Calibri"/>
                <w:sz w:val="20"/>
              </w:rPr>
              <w:t>, R.S.A. 2000, c. B-9, s. 248.</w:t>
            </w:r>
          </w:p>
        </w:tc>
      </w:tr>
      <w:tr w:rsidR="00732907" w:rsidRPr="003E4A8C" w:rsidTr="009A57C7">
        <w:tc>
          <w:tcPr>
            <w:tcW w:w="5000" w:type="pct"/>
            <w:gridSpan w:val="3"/>
          </w:tcPr>
          <w:p w:rsidR="00732907" w:rsidRPr="003E4A8C" w:rsidRDefault="00732907" w:rsidP="009A57C7">
            <w:pPr>
              <w:jc w:val="both"/>
              <w:rPr>
                <w:rFonts w:eastAsia="Calibri"/>
                <w:sz w:val="20"/>
              </w:rPr>
            </w:pPr>
          </w:p>
        </w:tc>
      </w:tr>
      <w:tr w:rsidR="00732907" w:rsidRPr="003E4A8C" w:rsidTr="009A57C7">
        <w:tc>
          <w:tcPr>
            <w:tcW w:w="5000" w:type="pct"/>
            <w:gridSpan w:val="3"/>
          </w:tcPr>
          <w:p w:rsidR="00732907" w:rsidRPr="003E4A8C" w:rsidRDefault="00732907" w:rsidP="009A57C7">
            <w:pPr>
              <w:jc w:val="both"/>
              <w:rPr>
                <w:rFonts w:eastAsia="Calibri"/>
                <w:sz w:val="20"/>
              </w:rPr>
            </w:pPr>
            <w:r w:rsidRPr="003E4A8C">
              <w:rPr>
                <w:rFonts w:eastAsia="Calibri"/>
                <w:sz w:val="20"/>
              </w:rPr>
              <w:t>The rights of the shareholders of the respondent PCL Employees Holdings Ltd. are covered by a unanimous shareholder agreement.  Among other things, the agreement includes provisions that enable the respondent to buy back the shares held by individuals who cease to be employed by the PCL group of companies.  In November of 2001 the applicant, an employee, went on sick leave due to a cardiac condition and other issues.  After the applicant had been away from work for six months, the respondent sent him a letter triggering the repurchase of his shares.  The applicant brought an action claiming that the respondent was not entitled to require him to sell his shares back to the company.</w:t>
            </w:r>
          </w:p>
          <w:p w:rsidR="00732907" w:rsidRPr="003E4A8C" w:rsidRDefault="00732907" w:rsidP="009A57C7">
            <w:pPr>
              <w:jc w:val="both"/>
              <w:rPr>
                <w:rFonts w:eastAsia="Calibri"/>
                <w:sz w:val="20"/>
              </w:rPr>
            </w:pPr>
          </w:p>
          <w:p w:rsidR="00732907" w:rsidRPr="003E4A8C" w:rsidRDefault="00732907" w:rsidP="009A57C7">
            <w:pPr>
              <w:jc w:val="both"/>
              <w:rPr>
                <w:rFonts w:eastAsia="Calibri"/>
                <w:sz w:val="20"/>
              </w:rPr>
            </w:pPr>
            <w:r w:rsidRPr="003E4A8C">
              <w:rPr>
                <w:rFonts w:eastAsia="Calibri"/>
                <w:sz w:val="20"/>
              </w:rPr>
              <w:t xml:space="preserve">The trial judge allowed a post-trial amendment to plead relief under s. 248 of the </w:t>
            </w:r>
            <w:r w:rsidRPr="003E4A8C">
              <w:rPr>
                <w:rFonts w:eastAsia="Calibri"/>
                <w:i/>
                <w:sz w:val="20"/>
              </w:rPr>
              <w:t>Business Corporations Act</w:t>
            </w:r>
            <w:r w:rsidRPr="003E4A8C">
              <w:rPr>
                <w:rFonts w:eastAsia="Calibri"/>
                <w:sz w:val="20"/>
              </w:rPr>
              <w:t xml:space="preserve">.  He then awarded the applicant $1,493,100 in damages for breach of the unanimous shareholder agreement.  The Court of Appeal allowed the appeal with respect to the share repurchase.  The damage award made under s. 248 of the </w:t>
            </w:r>
            <w:r w:rsidRPr="003E4A8C">
              <w:rPr>
                <w:rFonts w:eastAsia="Calibri"/>
                <w:i/>
                <w:sz w:val="20"/>
              </w:rPr>
              <w:t xml:space="preserve">Business </w:t>
            </w:r>
            <w:r w:rsidRPr="003E4A8C">
              <w:rPr>
                <w:rFonts w:eastAsia="Calibri"/>
                <w:i/>
                <w:sz w:val="20"/>
              </w:rPr>
              <w:lastRenderedPageBreak/>
              <w:t>Corporations Act</w:t>
            </w:r>
            <w:r w:rsidRPr="003E4A8C">
              <w:rPr>
                <w:rFonts w:eastAsia="Calibri"/>
                <w:sz w:val="20"/>
              </w:rPr>
              <w:t xml:space="preserve"> was set aside.  </w:t>
            </w:r>
          </w:p>
          <w:p w:rsidR="00732907" w:rsidRPr="003E4A8C" w:rsidRDefault="00732907" w:rsidP="009A57C7">
            <w:pPr>
              <w:jc w:val="both"/>
              <w:rPr>
                <w:rFonts w:eastAsia="Calibri"/>
                <w:sz w:val="20"/>
              </w:rPr>
            </w:pPr>
          </w:p>
        </w:tc>
      </w:tr>
      <w:tr w:rsidR="00732907" w:rsidRPr="003E4A8C" w:rsidTr="009A57C7">
        <w:tc>
          <w:tcPr>
            <w:tcW w:w="2427" w:type="pct"/>
          </w:tcPr>
          <w:p w:rsidR="00732907" w:rsidRPr="003E4A8C" w:rsidRDefault="00732907" w:rsidP="009A57C7">
            <w:pPr>
              <w:jc w:val="both"/>
              <w:rPr>
                <w:rFonts w:eastAsia="Calibri"/>
                <w:sz w:val="20"/>
              </w:rPr>
            </w:pPr>
            <w:r w:rsidRPr="003E4A8C">
              <w:rPr>
                <w:rFonts w:eastAsia="Calibri"/>
                <w:sz w:val="20"/>
              </w:rPr>
              <w:lastRenderedPageBreak/>
              <w:t>August 23, 2010</w:t>
            </w:r>
          </w:p>
          <w:p w:rsidR="00732907" w:rsidRPr="003E4A8C" w:rsidRDefault="00732907" w:rsidP="009A57C7">
            <w:pPr>
              <w:jc w:val="both"/>
              <w:rPr>
                <w:rFonts w:eastAsia="Calibri"/>
                <w:sz w:val="20"/>
              </w:rPr>
            </w:pPr>
            <w:r w:rsidRPr="003E4A8C">
              <w:rPr>
                <w:rFonts w:eastAsia="Calibri"/>
                <w:sz w:val="20"/>
              </w:rPr>
              <w:t>Court of Queen’s Bench of Alberta</w:t>
            </w:r>
          </w:p>
          <w:p w:rsidR="00732907" w:rsidRPr="003E4A8C" w:rsidRDefault="00732907" w:rsidP="009A57C7">
            <w:pPr>
              <w:jc w:val="both"/>
              <w:rPr>
                <w:rFonts w:eastAsia="Calibri"/>
                <w:sz w:val="20"/>
              </w:rPr>
            </w:pPr>
            <w:r w:rsidRPr="003E4A8C">
              <w:rPr>
                <w:rFonts w:eastAsia="Calibri"/>
                <w:sz w:val="20"/>
              </w:rPr>
              <w:t>(Manderscheid J.)</w:t>
            </w:r>
          </w:p>
          <w:p w:rsidR="00732907" w:rsidRPr="003E4A8C" w:rsidRDefault="00732907" w:rsidP="009A57C7">
            <w:pPr>
              <w:jc w:val="both"/>
              <w:rPr>
                <w:rFonts w:eastAsia="Calibri"/>
                <w:sz w:val="20"/>
              </w:rPr>
            </w:pPr>
            <w:r w:rsidRPr="003E4A8C">
              <w:rPr>
                <w:rFonts w:eastAsia="Calibri"/>
                <w:sz w:val="20"/>
              </w:rPr>
              <w:t>2010 ABQB 536</w:t>
            </w:r>
          </w:p>
          <w:p w:rsidR="00732907" w:rsidRPr="003E4A8C" w:rsidRDefault="00732907" w:rsidP="009A57C7">
            <w:pPr>
              <w:jc w:val="both"/>
              <w:rPr>
                <w:rFonts w:eastAsia="Calibri"/>
                <w:sz w:val="20"/>
              </w:rPr>
            </w:pPr>
          </w:p>
        </w:tc>
        <w:tc>
          <w:tcPr>
            <w:tcW w:w="243" w:type="pct"/>
          </w:tcPr>
          <w:p w:rsidR="00732907" w:rsidRPr="003E4A8C" w:rsidRDefault="00732907" w:rsidP="009A57C7">
            <w:pPr>
              <w:jc w:val="both"/>
              <w:rPr>
                <w:rFonts w:eastAsia="Calibri"/>
                <w:sz w:val="20"/>
              </w:rPr>
            </w:pPr>
          </w:p>
        </w:tc>
        <w:tc>
          <w:tcPr>
            <w:tcW w:w="2330" w:type="pct"/>
          </w:tcPr>
          <w:p w:rsidR="00732907" w:rsidRPr="003E4A8C" w:rsidRDefault="00732907" w:rsidP="009A57C7">
            <w:pPr>
              <w:jc w:val="both"/>
              <w:rPr>
                <w:rFonts w:eastAsia="Calibri"/>
                <w:sz w:val="20"/>
              </w:rPr>
            </w:pPr>
            <w:r w:rsidRPr="003E4A8C">
              <w:rPr>
                <w:rFonts w:eastAsia="Calibri"/>
                <w:sz w:val="20"/>
              </w:rPr>
              <w:t>Action allowed</w:t>
            </w:r>
          </w:p>
        </w:tc>
      </w:tr>
      <w:tr w:rsidR="00732907" w:rsidRPr="003E4A8C" w:rsidTr="004B590F">
        <w:trPr>
          <w:cantSplit/>
        </w:trPr>
        <w:tc>
          <w:tcPr>
            <w:tcW w:w="2427" w:type="pct"/>
          </w:tcPr>
          <w:p w:rsidR="00732907" w:rsidRPr="003E4A8C" w:rsidRDefault="00732907" w:rsidP="009A57C7">
            <w:pPr>
              <w:jc w:val="both"/>
              <w:rPr>
                <w:rFonts w:eastAsia="Calibri"/>
                <w:sz w:val="20"/>
              </w:rPr>
            </w:pPr>
            <w:r w:rsidRPr="003E4A8C">
              <w:rPr>
                <w:rFonts w:eastAsia="Calibri"/>
                <w:sz w:val="20"/>
              </w:rPr>
              <w:t>January 12, 2011</w:t>
            </w:r>
          </w:p>
          <w:p w:rsidR="00732907" w:rsidRPr="003E4A8C" w:rsidRDefault="00732907" w:rsidP="009A57C7">
            <w:pPr>
              <w:jc w:val="both"/>
              <w:rPr>
                <w:rFonts w:eastAsia="Calibri"/>
                <w:sz w:val="20"/>
              </w:rPr>
            </w:pPr>
            <w:r w:rsidRPr="003E4A8C">
              <w:rPr>
                <w:rFonts w:eastAsia="Calibri"/>
                <w:sz w:val="20"/>
              </w:rPr>
              <w:t>Court of Queen’s Bench of Alberta</w:t>
            </w:r>
          </w:p>
          <w:p w:rsidR="00732907" w:rsidRPr="003E4A8C" w:rsidRDefault="00732907" w:rsidP="009A57C7">
            <w:pPr>
              <w:jc w:val="both"/>
              <w:rPr>
                <w:rFonts w:eastAsia="Calibri"/>
                <w:sz w:val="20"/>
              </w:rPr>
            </w:pPr>
            <w:r w:rsidRPr="003E4A8C">
              <w:rPr>
                <w:rFonts w:eastAsia="Calibri"/>
                <w:sz w:val="20"/>
              </w:rPr>
              <w:t>(Manderscheid J.)</w:t>
            </w:r>
          </w:p>
          <w:p w:rsidR="00732907" w:rsidRPr="003E4A8C" w:rsidRDefault="00732907" w:rsidP="009A57C7">
            <w:pPr>
              <w:jc w:val="both"/>
              <w:rPr>
                <w:rFonts w:eastAsia="Calibri"/>
                <w:sz w:val="20"/>
              </w:rPr>
            </w:pPr>
            <w:r w:rsidRPr="003E4A8C">
              <w:rPr>
                <w:rFonts w:eastAsia="Calibri"/>
                <w:sz w:val="20"/>
              </w:rPr>
              <w:t>2011 ABQB 20</w:t>
            </w:r>
          </w:p>
          <w:p w:rsidR="00732907" w:rsidRPr="003E4A8C" w:rsidRDefault="00732907" w:rsidP="009A57C7">
            <w:pPr>
              <w:jc w:val="both"/>
              <w:rPr>
                <w:rFonts w:eastAsia="Calibri"/>
                <w:sz w:val="20"/>
              </w:rPr>
            </w:pPr>
          </w:p>
        </w:tc>
        <w:tc>
          <w:tcPr>
            <w:tcW w:w="243" w:type="pct"/>
          </w:tcPr>
          <w:p w:rsidR="00732907" w:rsidRPr="003E4A8C" w:rsidRDefault="00732907" w:rsidP="009A57C7">
            <w:pPr>
              <w:jc w:val="both"/>
              <w:rPr>
                <w:rFonts w:eastAsia="Calibri"/>
                <w:sz w:val="20"/>
              </w:rPr>
            </w:pPr>
          </w:p>
        </w:tc>
        <w:tc>
          <w:tcPr>
            <w:tcW w:w="2330" w:type="pct"/>
          </w:tcPr>
          <w:p w:rsidR="00732907" w:rsidRPr="003E4A8C" w:rsidRDefault="00732907" w:rsidP="009A57C7">
            <w:pPr>
              <w:jc w:val="both"/>
              <w:rPr>
                <w:rFonts w:eastAsia="Calibri"/>
                <w:sz w:val="20"/>
              </w:rPr>
            </w:pPr>
            <w:r w:rsidRPr="003E4A8C">
              <w:rPr>
                <w:rFonts w:eastAsia="Calibri"/>
                <w:sz w:val="20"/>
              </w:rPr>
              <w:t>Application to amend pleadings allowed in part</w:t>
            </w:r>
          </w:p>
        </w:tc>
      </w:tr>
      <w:tr w:rsidR="00732907" w:rsidRPr="003E4A8C" w:rsidTr="004B590F">
        <w:trPr>
          <w:cantSplit/>
        </w:trPr>
        <w:tc>
          <w:tcPr>
            <w:tcW w:w="2427" w:type="pct"/>
          </w:tcPr>
          <w:p w:rsidR="00732907" w:rsidRPr="003E4A8C" w:rsidRDefault="00732907" w:rsidP="009A57C7">
            <w:pPr>
              <w:jc w:val="both"/>
              <w:rPr>
                <w:rFonts w:eastAsia="Calibri"/>
                <w:sz w:val="20"/>
              </w:rPr>
            </w:pPr>
            <w:r w:rsidRPr="003E4A8C">
              <w:rPr>
                <w:rFonts w:eastAsia="Calibri"/>
                <w:sz w:val="20"/>
              </w:rPr>
              <w:t>November 22, 2011</w:t>
            </w:r>
          </w:p>
          <w:p w:rsidR="00732907" w:rsidRPr="003E4A8C" w:rsidRDefault="00732907" w:rsidP="009A57C7">
            <w:pPr>
              <w:jc w:val="both"/>
              <w:rPr>
                <w:rFonts w:eastAsia="Calibri"/>
                <w:sz w:val="20"/>
              </w:rPr>
            </w:pPr>
            <w:r w:rsidRPr="003E4A8C">
              <w:rPr>
                <w:rFonts w:eastAsia="Calibri"/>
                <w:sz w:val="20"/>
              </w:rPr>
              <w:t>Court of Appeal of Alberta</w:t>
            </w:r>
          </w:p>
          <w:p w:rsidR="00732907" w:rsidRPr="003E4A8C" w:rsidRDefault="00732907" w:rsidP="009A57C7">
            <w:pPr>
              <w:jc w:val="both"/>
              <w:rPr>
                <w:rFonts w:eastAsia="Calibri"/>
                <w:sz w:val="20"/>
              </w:rPr>
            </w:pPr>
            <w:r w:rsidRPr="003E4A8C">
              <w:rPr>
                <w:rFonts w:eastAsia="Calibri"/>
                <w:sz w:val="20"/>
              </w:rPr>
              <w:t>(Watson, Slatter and Bielby JJ.A.)</w:t>
            </w:r>
          </w:p>
          <w:p w:rsidR="00732907" w:rsidRPr="003E4A8C" w:rsidRDefault="00732907" w:rsidP="009A57C7">
            <w:pPr>
              <w:jc w:val="both"/>
              <w:rPr>
                <w:rFonts w:eastAsia="Calibri"/>
                <w:sz w:val="20"/>
              </w:rPr>
            </w:pPr>
            <w:r w:rsidRPr="003E4A8C">
              <w:rPr>
                <w:rFonts w:eastAsia="Calibri"/>
                <w:sz w:val="20"/>
              </w:rPr>
              <w:t>2011 ABCA 326</w:t>
            </w:r>
          </w:p>
          <w:p w:rsidR="00732907" w:rsidRPr="003E4A8C" w:rsidRDefault="00732907" w:rsidP="009A57C7">
            <w:pPr>
              <w:jc w:val="both"/>
              <w:rPr>
                <w:rFonts w:eastAsia="Calibri"/>
                <w:sz w:val="20"/>
              </w:rPr>
            </w:pPr>
          </w:p>
        </w:tc>
        <w:tc>
          <w:tcPr>
            <w:tcW w:w="243" w:type="pct"/>
          </w:tcPr>
          <w:p w:rsidR="00732907" w:rsidRPr="003E4A8C" w:rsidRDefault="00732907" w:rsidP="009A57C7">
            <w:pPr>
              <w:jc w:val="both"/>
              <w:rPr>
                <w:rFonts w:eastAsia="Calibri"/>
                <w:sz w:val="20"/>
              </w:rPr>
            </w:pPr>
          </w:p>
        </w:tc>
        <w:tc>
          <w:tcPr>
            <w:tcW w:w="2330" w:type="pct"/>
          </w:tcPr>
          <w:p w:rsidR="00732907" w:rsidRPr="003E4A8C" w:rsidRDefault="00732907" w:rsidP="009A57C7">
            <w:pPr>
              <w:jc w:val="both"/>
              <w:rPr>
                <w:rFonts w:eastAsia="Calibri"/>
                <w:sz w:val="20"/>
              </w:rPr>
            </w:pPr>
            <w:r w:rsidRPr="003E4A8C">
              <w:rPr>
                <w:rFonts w:eastAsia="Calibri"/>
                <w:sz w:val="20"/>
              </w:rPr>
              <w:t>Appeal allowed in part</w:t>
            </w:r>
          </w:p>
        </w:tc>
      </w:tr>
      <w:tr w:rsidR="00732907" w:rsidRPr="003E4A8C" w:rsidTr="004B590F">
        <w:trPr>
          <w:cantSplit/>
        </w:trPr>
        <w:tc>
          <w:tcPr>
            <w:tcW w:w="2427" w:type="pct"/>
          </w:tcPr>
          <w:p w:rsidR="00732907" w:rsidRPr="003E4A8C" w:rsidRDefault="00732907" w:rsidP="009A57C7">
            <w:pPr>
              <w:jc w:val="both"/>
              <w:rPr>
                <w:rFonts w:eastAsia="Calibri"/>
                <w:sz w:val="20"/>
              </w:rPr>
            </w:pPr>
            <w:r w:rsidRPr="003E4A8C">
              <w:rPr>
                <w:rFonts w:eastAsia="Calibri"/>
                <w:sz w:val="20"/>
              </w:rPr>
              <w:t>January 23, 2012</w:t>
            </w:r>
          </w:p>
          <w:p w:rsidR="00732907" w:rsidRPr="003E4A8C" w:rsidRDefault="00732907" w:rsidP="009A57C7">
            <w:pPr>
              <w:jc w:val="both"/>
              <w:rPr>
                <w:rFonts w:eastAsia="Calibri"/>
                <w:sz w:val="20"/>
              </w:rPr>
            </w:pPr>
            <w:r w:rsidRPr="003E4A8C">
              <w:rPr>
                <w:rFonts w:eastAsia="Calibri"/>
                <w:sz w:val="20"/>
              </w:rPr>
              <w:t>Supreme Court of Canada</w:t>
            </w:r>
          </w:p>
        </w:tc>
        <w:tc>
          <w:tcPr>
            <w:tcW w:w="243" w:type="pct"/>
          </w:tcPr>
          <w:p w:rsidR="00732907" w:rsidRPr="003E4A8C" w:rsidRDefault="00732907" w:rsidP="009A57C7">
            <w:pPr>
              <w:jc w:val="both"/>
              <w:rPr>
                <w:rFonts w:eastAsia="Calibri"/>
                <w:sz w:val="20"/>
              </w:rPr>
            </w:pPr>
          </w:p>
        </w:tc>
        <w:tc>
          <w:tcPr>
            <w:tcW w:w="2330" w:type="pct"/>
          </w:tcPr>
          <w:p w:rsidR="00732907" w:rsidRPr="003E4A8C" w:rsidRDefault="00732907" w:rsidP="009A57C7">
            <w:pPr>
              <w:jc w:val="both"/>
              <w:rPr>
                <w:rFonts w:eastAsia="Calibri"/>
                <w:sz w:val="20"/>
              </w:rPr>
            </w:pPr>
            <w:r w:rsidRPr="003E4A8C">
              <w:rPr>
                <w:rFonts w:eastAsia="Calibri"/>
                <w:sz w:val="20"/>
              </w:rPr>
              <w:t>Application for leave to appeal filed</w:t>
            </w: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48"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32907" w:rsidRPr="003E4A8C" w:rsidTr="009A57C7">
        <w:tc>
          <w:tcPr>
            <w:tcW w:w="5000" w:type="pct"/>
            <w:gridSpan w:val="3"/>
          </w:tcPr>
          <w:p w:rsidR="00732907" w:rsidRPr="003E4A8C" w:rsidRDefault="00732907" w:rsidP="009A57C7">
            <w:pPr>
              <w:jc w:val="both"/>
              <w:rPr>
                <w:rFonts w:eastAsia="Calibri"/>
                <w:sz w:val="20"/>
                <w:lang w:val="fr-CA"/>
              </w:rPr>
            </w:pPr>
            <w:r w:rsidRPr="003E4A8C">
              <w:rPr>
                <w:rFonts w:eastAsia="Calibri"/>
                <w:sz w:val="20"/>
                <w:lang w:val="fr-CA"/>
              </w:rPr>
              <w:t xml:space="preserve">Droit commercial – Sociétés par actions – Conventions unanimes des actionnaires – Recours – Recours dont disposent les actionnaires qui sont parties à des conventions unanimes des actionnaires lorsqu'une société par actions, par ses dirigeants ou administrateurs, omet de se conformer à la convention unanime des actionnaires – Les actionnaires touchés disposent-ils uniquement d’un recours contractuel ou disposent-ils de recours plus étendus en vertu des dispositions relatives à l’observation des lois sur les sociétés par actions, y compris le droit de recouvrer des dommages-intérêts dans les cas appropriés? – </w:t>
            </w:r>
            <w:r w:rsidRPr="003E4A8C">
              <w:rPr>
                <w:rFonts w:eastAsia="Calibri"/>
                <w:i/>
                <w:sz w:val="20"/>
                <w:lang w:val="fr-CA"/>
              </w:rPr>
              <w:t>Business Corporations Act</w:t>
            </w:r>
            <w:r w:rsidRPr="003E4A8C">
              <w:rPr>
                <w:rFonts w:eastAsia="Calibri"/>
                <w:sz w:val="20"/>
                <w:lang w:val="fr-CA"/>
              </w:rPr>
              <w:t>, R.S.A. 2000, ch. B-9, art. 248.</w:t>
            </w:r>
          </w:p>
        </w:tc>
      </w:tr>
      <w:tr w:rsidR="00732907" w:rsidRPr="003E4A8C" w:rsidTr="009A57C7">
        <w:tc>
          <w:tcPr>
            <w:tcW w:w="5000" w:type="pct"/>
            <w:gridSpan w:val="3"/>
          </w:tcPr>
          <w:p w:rsidR="00732907" w:rsidRPr="003E4A8C" w:rsidRDefault="00732907" w:rsidP="009A57C7">
            <w:pPr>
              <w:jc w:val="both"/>
              <w:rPr>
                <w:rFonts w:eastAsia="Calibri"/>
                <w:sz w:val="20"/>
                <w:lang w:val="fr-CA"/>
              </w:rPr>
            </w:pPr>
          </w:p>
        </w:tc>
      </w:tr>
      <w:tr w:rsidR="00732907" w:rsidRPr="00147672" w:rsidTr="009A57C7">
        <w:tc>
          <w:tcPr>
            <w:tcW w:w="5000" w:type="pct"/>
            <w:gridSpan w:val="3"/>
          </w:tcPr>
          <w:p w:rsidR="00732907" w:rsidRPr="003E4A8C" w:rsidRDefault="00732907" w:rsidP="009A57C7">
            <w:pPr>
              <w:jc w:val="both"/>
              <w:rPr>
                <w:rFonts w:eastAsia="Calibri"/>
                <w:sz w:val="20"/>
                <w:lang w:val="fr-CA"/>
              </w:rPr>
            </w:pPr>
            <w:r w:rsidRPr="003E4A8C">
              <w:rPr>
                <w:rFonts w:eastAsia="Calibri"/>
                <w:sz w:val="20"/>
                <w:lang w:val="fr-CA"/>
              </w:rPr>
              <w:t>Les droits des actionnaires de l'intimée PCL Employees Holdings Ltd. sont prévus dans une convention unanime des actionnaires. La convention comprend notamment des dispositions qui permettent à l'intimée de racheter les actions détenues par des particuliers qui cessent d'être au service du groupe d'entreprises PCL. En novembre 2001, le demandeur, un employé, a pris un congé de maladie en raison d’un trouble cardiaque et d'autres problèmes de santé. Après six mois de congé, l'intimée lui a envoyé une lettre qui a déclenché le rachat de ses actions. Le demandeur a intenté une action alléguant que l'intimée n'avait pas le droit de l'obliger de vendre ses actions à la compagnie.</w:t>
            </w:r>
          </w:p>
          <w:p w:rsidR="00732907" w:rsidRPr="003E4A8C" w:rsidRDefault="00732907" w:rsidP="009A57C7">
            <w:pPr>
              <w:jc w:val="both"/>
              <w:rPr>
                <w:rFonts w:eastAsia="Calibri"/>
                <w:sz w:val="20"/>
                <w:lang w:val="fr-CA"/>
              </w:rPr>
            </w:pPr>
          </w:p>
          <w:p w:rsidR="00732907" w:rsidRPr="003E4A8C" w:rsidRDefault="00732907" w:rsidP="009A57C7">
            <w:pPr>
              <w:jc w:val="both"/>
              <w:rPr>
                <w:rFonts w:eastAsia="Calibri"/>
                <w:sz w:val="20"/>
                <w:lang w:val="fr-CA"/>
              </w:rPr>
            </w:pPr>
            <w:r w:rsidRPr="003E4A8C">
              <w:rPr>
                <w:rFonts w:eastAsia="Calibri"/>
                <w:sz w:val="20"/>
                <w:lang w:val="fr-CA"/>
              </w:rPr>
              <w:t xml:space="preserve">Le juge de première instance a autorisé une modification postérieure au procès pour plaider un recours en vertu de l'art. 248 de la </w:t>
            </w:r>
            <w:r w:rsidRPr="003E4A8C">
              <w:rPr>
                <w:rFonts w:eastAsia="Calibri"/>
                <w:i/>
                <w:sz w:val="20"/>
                <w:lang w:val="fr-CA"/>
              </w:rPr>
              <w:t>Business Corporations Act</w:t>
            </w:r>
            <w:r w:rsidRPr="003E4A8C">
              <w:rPr>
                <w:rFonts w:eastAsia="Calibri"/>
                <w:sz w:val="20"/>
                <w:lang w:val="fr-CA"/>
              </w:rPr>
              <w:t xml:space="preserve">. Il a ensuite accordé au demandeur la somme de 1 493 100 $ en dommages-intérêts pour violation de la convention unanime des actionnaires. La Cour d'appel a accueilli l'appel relativement au rachat des actions. Le jugement en dommages-intérêts fondé sur l'art. 248 de la </w:t>
            </w:r>
            <w:r w:rsidRPr="003E4A8C">
              <w:rPr>
                <w:rFonts w:eastAsia="Calibri"/>
                <w:i/>
                <w:sz w:val="20"/>
                <w:lang w:val="fr-CA"/>
              </w:rPr>
              <w:t>Business Corporations Act</w:t>
            </w:r>
            <w:r w:rsidRPr="003E4A8C">
              <w:rPr>
                <w:rFonts w:eastAsia="Calibri"/>
                <w:sz w:val="20"/>
                <w:lang w:val="fr-CA"/>
              </w:rPr>
              <w:t xml:space="preserve"> a été annulé.  </w:t>
            </w:r>
          </w:p>
          <w:p w:rsidR="00732907" w:rsidRPr="003E4A8C" w:rsidRDefault="00732907" w:rsidP="009A57C7">
            <w:pPr>
              <w:jc w:val="both"/>
              <w:rPr>
                <w:rFonts w:eastAsia="Calibri"/>
                <w:sz w:val="20"/>
                <w:lang w:val="fr-CA"/>
              </w:rPr>
            </w:pPr>
          </w:p>
        </w:tc>
      </w:tr>
      <w:tr w:rsidR="00732907" w:rsidRPr="003E4A8C" w:rsidTr="009A57C7">
        <w:tc>
          <w:tcPr>
            <w:tcW w:w="2427" w:type="pct"/>
          </w:tcPr>
          <w:p w:rsidR="00732907" w:rsidRPr="003E4A8C" w:rsidRDefault="00732907" w:rsidP="009A57C7">
            <w:pPr>
              <w:jc w:val="both"/>
              <w:rPr>
                <w:rFonts w:eastAsia="Calibri"/>
                <w:sz w:val="20"/>
                <w:lang w:val="fr-CA"/>
              </w:rPr>
            </w:pPr>
            <w:r w:rsidRPr="003E4A8C">
              <w:rPr>
                <w:rFonts w:eastAsia="Calibri"/>
                <w:sz w:val="20"/>
                <w:lang w:val="fr-CA"/>
              </w:rPr>
              <w:t>23 août 2010</w:t>
            </w:r>
          </w:p>
          <w:p w:rsidR="00732907" w:rsidRPr="003E4A8C" w:rsidRDefault="00732907" w:rsidP="009A57C7">
            <w:pPr>
              <w:jc w:val="both"/>
              <w:rPr>
                <w:rFonts w:eastAsia="Calibri"/>
                <w:sz w:val="20"/>
                <w:lang w:val="fr-CA"/>
              </w:rPr>
            </w:pPr>
            <w:r w:rsidRPr="003E4A8C">
              <w:rPr>
                <w:rFonts w:eastAsia="Calibri"/>
                <w:sz w:val="20"/>
                <w:lang w:val="fr-CA"/>
              </w:rPr>
              <w:t xml:space="preserve">Cour du Banc de la Reine de l'Alberta </w:t>
            </w:r>
          </w:p>
          <w:p w:rsidR="00732907" w:rsidRPr="003E4A8C" w:rsidRDefault="00732907" w:rsidP="009A57C7">
            <w:pPr>
              <w:jc w:val="both"/>
              <w:rPr>
                <w:rFonts w:eastAsia="Calibri"/>
                <w:sz w:val="20"/>
                <w:lang w:val="fr-CA"/>
              </w:rPr>
            </w:pPr>
            <w:r w:rsidRPr="003E4A8C">
              <w:rPr>
                <w:rFonts w:eastAsia="Calibri"/>
                <w:sz w:val="20"/>
                <w:lang w:val="fr-CA"/>
              </w:rPr>
              <w:t>(Juge Manderscheid)</w:t>
            </w:r>
          </w:p>
          <w:p w:rsidR="00732907" w:rsidRPr="003E4A8C" w:rsidRDefault="00732907" w:rsidP="009A57C7">
            <w:pPr>
              <w:jc w:val="both"/>
              <w:rPr>
                <w:rFonts w:eastAsia="Calibri"/>
                <w:sz w:val="20"/>
                <w:lang w:val="fr-CA"/>
              </w:rPr>
            </w:pPr>
            <w:r w:rsidRPr="003E4A8C">
              <w:rPr>
                <w:rFonts w:eastAsia="Calibri"/>
                <w:sz w:val="20"/>
                <w:lang w:val="fr-CA"/>
              </w:rPr>
              <w:t>2010 ABQB 536</w:t>
            </w:r>
          </w:p>
          <w:p w:rsidR="00732907" w:rsidRPr="003E4A8C" w:rsidRDefault="00732907" w:rsidP="009A57C7">
            <w:pPr>
              <w:jc w:val="both"/>
              <w:rPr>
                <w:rFonts w:eastAsia="Calibri"/>
                <w:sz w:val="20"/>
                <w:lang w:val="fr-CA"/>
              </w:rPr>
            </w:pPr>
          </w:p>
        </w:tc>
        <w:tc>
          <w:tcPr>
            <w:tcW w:w="243" w:type="pct"/>
          </w:tcPr>
          <w:p w:rsidR="00732907" w:rsidRPr="003E4A8C" w:rsidRDefault="00732907" w:rsidP="009A57C7">
            <w:pPr>
              <w:jc w:val="both"/>
              <w:rPr>
                <w:rFonts w:eastAsia="Calibri"/>
                <w:sz w:val="20"/>
                <w:lang w:val="fr-CA"/>
              </w:rPr>
            </w:pPr>
          </w:p>
        </w:tc>
        <w:tc>
          <w:tcPr>
            <w:tcW w:w="2330" w:type="pct"/>
          </w:tcPr>
          <w:p w:rsidR="00732907" w:rsidRPr="003E4A8C" w:rsidRDefault="00732907" w:rsidP="009A57C7">
            <w:pPr>
              <w:jc w:val="both"/>
              <w:rPr>
                <w:rFonts w:eastAsia="Calibri"/>
                <w:sz w:val="20"/>
                <w:lang w:val="fr-CA"/>
              </w:rPr>
            </w:pPr>
            <w:r w:rsidRPr="003E4A8C">
              <w:rPr>
                <w:rFonts w:eastAsia="Calibri"/>
                <w:sz w:val="20"/>
                <w:lang w:val="fr-CA"/>
              </w:rPr>
              <w:t>Action accueillie</w:t>
            </w:r>
          </w:p>
        </w:tc>
      </w:tr>
      <w:tr w:rsidR="00732907" w:rsidRPr="00147672" w:rsidTr="0003600D">
        <w:trPr>
          <w:cantSplit/>
        </w:trPr>
        <w:tc>
          <w:tcPr>
            <w:tcW w:w="2427" w:type="pct"/>
          </w:tcPr>
          <w:p w:rsidR="00732907" w:rsidRPr="003E4A8C" w:rsidRDefault="00732907" w:rsidP="009A57C7">
            <w:pPr>
              <w:jc w:val="both"/>
              <w:rPr>
                <w:rFonts w:eastAsia="Calibri"/>
                <w:sz w:val="20"/>
                <w:lang w:val="fr-CA"/>
              </w:rPr>
            </w:pPr>
            <w:r w:rsidRPr="003E4A8C">
              <w:rPr>
                <w:rFonts w:eastAsia="Calibri"/>
                <w:sz w:val="20"/>
                <w:lang w:val="fr-CA"/>
              </w:rPr>
              <w:lastRenderedPageBreak/>
              <w:t>12 janvier 2011</w:t>
            </w:r>
          </w:p>
          <w:p w:rsidR="00732907" w:rsidRPr="003E4A8C" w:rsidRDefault="00732907" w:rsidP="009A57C7">
            <w:pPr>
              <w:jc w:val="both"/>
              <w:rPr>
                <w:rFonts w:eastAsia="Calibri"/>
                <w:sz w:val="20"/>
                <w:lang w:val="fr-CA"/>
              </w:rPr>
            </w:pPr>
            <w:r w:rsidRPr="003E4A8C">
              <w:rPr>
                <w:rFonts w:eastAsia="Calibri"/>
                <w:sz w:val="20"/>
                <w:lang w:val="fr-CA"/>
              </w:rPr>
              <w:t xml:space="preserve">Cour du Banc de la Reine de l'Alberta </w:t>
            </w:r>
          </w:p>
          <w:p w:rsidR="00732907" w:rsidRPr="003E4A8C" w:rsidRDefault="00732907" w:rsidP="009A57C7">
            <w:pPr>
              <w:jc w:val="both"/>
              <w:rPr>
                <w:rFonts w:eastAsia="Calibri"/>
                <w:sz w:val="20"/>
                <w:lang w:val="fr-CA"/>
              </w:rPr>
            </w:pPr>
            <w:r w:rsidRPr="003E4A8C">
              <w:rPr>
                <w:rFonts w:eastAsia="Calibri"/>
                <w:sz w:val="20"/>
                <w:lang w:val="fr-CA"/>
              </w:rPr>
              <w:t>(Juge Manderscheid)</w:t>
            </w:r>
          </w:p>
          <w:p w:rsidR="00732907" w:rsidRPr="003E4A8C" w:rsidRDefault="00732907" w:rsidP="009A57C7">
            <w:pPr>
              <w:jc w:val="both"/>
              <w:rPr>
                <w:rFonts w:eastAsia="Calibri"/>
                <w:sz w:val="20"/>
                <w:lang w:val="fr-CA"/>
              </w:rPr>
            </w:pPr>
            <w:r w:rsidRPr="003E4A8C">
              <w:rPr>
                <w:rFonts w:eastAsia="Calibri"/>
                <w:sz w:val="20"/>
                <w:lang w:val="fr-CA"/>
              </w:rPr>
              <w:t>2011 ABQB 20</w:t>
            </w:r>
          </w:p>
          <w:p w:rsidR="00732907" w:rsidRPr="003E4A8C" w:rsidRDefault="00732907" w:rsidP="009A57C7">
            <w:pPr>
              <w:jc w:val="both"/>
              <w:rPr>
                <w:rFonts w:eastAsia="Calibri"/>
                <w:sz w:val="20"/>
                <w:lang w:val="fr-CA"/>
              </w:rPr>
            </w:pPr>
          </w:p>
        </w:tc>
        <w:tc>
          <w:tcPr>
            <w:tcW w:w="243" w:type="pct"/>
          </w:tcPr>
          <w:p w:rsidR="00732907" w:rsidRPr="003E4A8C" w:rsidRDefault="00732907" w:rsidP="009A57C7">
            <w:pPr>
              <w:jc w:val="both"/>
              <w:rPr>
                <w:rFonts w:eastAsia="Calibri"/>
                <w:sz w:val="20"/>
                <w:lang w:val="fr-CA"/>
              </w:rPr>
            </w:pPr>
          </w:p>
        </w:tc>
        <w:tc>
          <w:tcPr>
            <w:tcW w:w="2330" w:type="pct"/>
          </w:tcPr>
          <w:p w:rsidR="00732907" w:rsidRPr="003E4A8C" w:rsidRDefault="00732907" w:rsidP="009A57C7">
            <w:pPr>
              <w:jc w:val="both"/>
              <w:rPr>
                <w:rFonts w:eastAsia="Calibri"/>
                <w:sz w:val="20"/>
                <w:lang w:val="fr-CA"/>
              </w:rPr>
            </w:pPr>
            <w:r w:rsidRPr="003E4A8C">
              <w:rPr>
                <w:rFonts w:eastAsia="Calibri"/>
                <w:sz w:val="20"/>
                <w:lang w:val="fr-CA"/>
              </w:rPr>
              <w:t>Demande de modification des actes de procédure, accueillie en partie</w:t>
            </w:r>
          </w:p>
        </w:tc>
      </w:tr>
      <w:tr w:rsidR="00732907" w:rsidRPr="003E4A8C" w:rsidTr="0003600D">
        <w:trPr>
          <w:cantSplit/>
        </w:trPr>
        <w:tc>
          <w:tcPr>
            <w:tcW w:w="2427" w:type="pct"/>
          </w:tcPr>
          <w:p w:rsidR="00732907" w:rsidRPr="003E4A8C" w:rsidRDefault="00732907" w:rsidP="009A57C7">
            <w:pPr>
              <w:jc w:val="both"/>
              <w:rPr>
                <w:rFonts w:eastAsia="Calibri"/>
                <w:sz w:val="20"/>
                <w:lang w:val="fr-CA"/>
              </w:rPr>
            </w:pPr>
            <w:r w:rsidRPr="003E4A8C">
              <w:rPr>
                <w:rFonts w:eastAsia="Calibri"/>
                <w:sz w:val="20"/>
                <w:lang w:val="fr-CA"/>
              </w:rPr>
              <w:t>22 novembre 2011</w:t>
            </w:r>
          </w:p>
          <w:p w:rsidR="00732907" w:rsidRPr="003E4A8C" w:rsidRDefault="00732907" w:rsidP="009A57C7">
            <w:pPr>
              <w:jc w:val="both"/>
              <w:rPr>
                <w:rFonts w:eastAsia="Calibri"/>
                <w:sz w:val="20"/>
                <w:lang w:val="fr-CA"/>
              </w:rPr>
            </w:pPr>
            <w:r w:rsidRPr="003E4A8C">
              <w:rPr>
                <w:rFonts w:eastAsia="Calibri"/>
                <w:sz w:val="20"/>
                <w:lang w:val="fr-CA"/>
              </w:rPr>
              <w:t xml:space="preserve">Cour d'appel de l'Alberta </w:t>
            </w:r>
          </w:p>
          <w:p w:rsidR="00732907" w:rsidRPr="003E4A8C" w:rsidRDefault="00732907" w:rsidP="009A57C7">
            <w:pPr>
              <w:jc w:val="both"/>
              <w:rPr>
                <w:rFonts w:eastAsia="Calibri"/>
                <w:sz w:val="20"/>
                <w:lang w:val="fr-CA"/>
              </w:rPr>
            </w:pPr>
            <w:r w:rsidRPr="003E4A8C">
              <w:rPr>
                <w:rFonts w:eastAsia="Calibri"/>
                <w:sz w:val="20"/>
                <w:lang w:val="fr-CA"/>
              </w:rPr>
              <w:t>(Juges Watson, Slatter et Bielby)</w:t>
            </w:r>
          </w:p>
          <w:p w:rsidR="00732907" w:rsidRPr="003E4A8C" w:rsidRDefault="00732907" w:rsidP="009A57C7">
            <w:pPr>
              <w:jc w:val="both"/>
              <w:rPr>
                <w:rFonts w:eastAsia="Calibri"/>
                <w:sz w:val="20"/>
                <w:lang w:val="fr-CA"/>
              </w:rPr>
            </w:pPr>
            <w:r w:rsidRPr="003E4A8C">
              <w:rPr>
                <w:rFonts w:eastAsia="Calibri"/>
                <w:sz w:val="20"/>
                <w:lang w:val="fr-CA"/>
              </w:rPr>
              <w:t>2011 ABCA 326</w:t>
            </w:r>
          </w:p>
          <w:p w:rsidR="00732907" w:rsidRPr="003E4A8C" w:rsidRDefault="00732907" w:rsidP="009A57C7">
            <w:pPr>
              <w:jc w:val="both"/>
              <w:rPr>
                <w:rFonts w:eastAsia="Calibri"/>
                <w:sz w:val="20"/>
                <w:lang w:val="fr-CA"/>
              </w:rPr>
            </w:pPr>
          </w:p>
        </w:tc>
        <w:tc>
          <w:tcPr>
            <w:tcW w:w="243" w:type="pct"/>
          </w:tcPr>
          <w:p w:rsidR="00732907" w:rsidRPr="003E4A8C" w:rsidRDefault="00732907" w:rsidP="009A57C7">
            <w:pPr>
              <w:jc w:val="both"/>
              <w:rPr>
                <w:rFonts w:eastAsia="Calibri"/>
                <w:sz w:val="20"/>
                <w:lang w:val="fr-CA"/>
              </w:rPr>
            </w:pPr>
          </w:p>
        </w:tc>
        <w:tc>
          <w:tcPr>
            <w:tcW w:w="2330" w:type="pct"/>
          </w:tcPr>
          <w:p w:rsidR="00732907" w:rsidRPr="003E4A8C" w:rsidRDefault="00732907" w:rsidP="009A57C7">
            <w:pPr>
              <w:jc w:val="both"/>
              <w:rPr>
                <w:rFonts w:eastAsia="Calibri"/>
                <w:sz w:val="20"/>
                <w:lang w:val="fr-CA"/>
              </w:rPr>
            </w:pPr>
            <w:r w:rsidRPr="003E4A8C">
              <w:rPr>
                <w:rFonts w:eastAsia="Calibri"/>
                <w:sz w:val="20"/>
                <w:lang w:val="fr-CA"/>
              </w:rPr>
              <w:t>Appel accueilli en partie</w:t>
            </w:r>
          </w:p>
        </w:tc>
      </w:tr>
      <w:tr w:rsidR="00732907" w:rsidRPr="003E4A8C" w:rsidTr="0003600D">
        <w:trPr>
          <w:cantSplit/>
        </w:trPr>
        <w:tc>
          <w:tcPr>
            <w:tcW w:w="2427" w:type="pct"/>
          </w:tcPr>
          <w:p w:rsidR="00732907" w:rsidRPr="003E4A8C" w:rsidRDefault="00732907" w:rsidP="009A57C7">
            <w:pPr>
              <w:jc w:val="both"/>
              <w:rPr>
                <w:rFonts w:eastAsia="Calibri"/>
                <w:sz w:val="20"/>
                <w:lang w:val="fr-CA"/>
              </w:rPr>
            </w:pPr>
            <w:r w:rsidRPr="003E4A8C">
              <w:rPr>
                <w:rFonts w:eastAsia="Calibri"/>
                <w:sz w:val="20"/>
                <w:lang w:val="fr-CA"/>
              </w:rPr>
              <w:t>23 janvier 2012</w:t>
            </w:r>
          </w:p>
          <w:p w:rsidR="00732907" w:rsidRPr="003E4A8C" w:rsidRDefault="00732907" w:rsidP="009A57C7">
            <w:pPr>
              <w:jc w:val="both"/>
              <w:rPr>
                <w:rFonts w:eastAsia="Calibri"/>
                <w:sz w:val="20"/>
                <w:lang w:val="fr-CA"/>
              </w:rPr>
            </w:pPr>
            <w:r w:rsidRPr="003E4A8C">
              <w:rPr>
                <w:rFonts w:eastAsia="Calibri"/>
                <w:sz w:val="20"/>
                <w:lang w:val="fr-CA"/>
              </w:rPr>
              <w:t>Cour suprême du Canada</w:t>
            </w:r>
          </w:p>
        </w:tc>
        <w:tc>
          <w:tcPr>
            <w:tcW w:w="243" w:type="pct"/>
          </w:tcPr>
          <w:p w:rsidR="00732907" w:rsidRPr="003E4A8C" w:rsidRDefault="00732907" w:rsidP="009A57C7">
            <w:pPr>
              <w:jc w:val="both"/>
              <w:rPr>
                <w:rFonts w:eastAsia="Calibri"/>
                <w:sz w:val="20"/>
                <w:lang w:val="fr-CA"/>
              </w:rPr>
            </w:pPr>
          </w:p>
        </w:tc>
        <w:tc>
          <w:tcPr>
            <w:tcW w:w="2330" w:type="pct"/>
          </w:tcPr>
          <w:p w:rsidR="00732907" w:rsidRPr="003E4A8C" w:rsidRDefault="00732907" w:rsidP="009A57C7">
            <w:pPr>
              <w:jc w:val="both"/>
              <w:rPr>
                <w:rFonts w:eastAsia="Calibri"/>
                <w:sz w:val="20"/>
                <w:lang w:val="fr-CA"/>
              </w:rPr>
            </w:pPr>
            <w:r w:rsidRPr="003E4A8C">
              <w:rPr>
                <w:rFonts w:eastAsia="Calibri"/>
                <w:sz w:val="20"/>
                <w:lang w:val="fr-CA"/>
              </w:rPr>
              <w:t>Demande d'autorisation d'appel, déposée</w:t>
            </w: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49"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B4358" w:rsidRPr="00706243" w:rsidTr="008B5DBF">
        <w:trPr>
          <w:cantSplit/>
        </w:trPr>
        <w:tc>
          <w:tcPr>
            <w:tcW w:w="1458" w:type="dxa"/>
          </w:tcPr>
          <w:p w:rsidR="00EB4358" w:rsidRPr="00706243" w:rsidRDefault="00EB4358" w:rsidP="008B5DBF">
            <w:pPr>
              <w:rPr>
                <w:rFonts w:cs="Times New Roman"/>
                <w:sz w:val="20"/>
                <w:szCs w:val="20"/>
              </w:rPr>
            </w:pPr>
            <w:r w:rsidRPr="00706243">
              <w:rPr>
                <w:rStyle w:val="SCCFileNumberChar"/>
                <w:sz w:val="20"/>
                <w:szCs w:val="20"/>
              </w:rPr>
              <w:t>34634</w:t>
            </w:r>
          </w:p>
          <w:p w:rsidR="00EB4358" w:rsidRPr="00706243" w:rsidRDefault="00EB4358" w:rsidP="008B5DBF">
            <w:pPr>
              <w:rPr>
                <w:rFonts w:cs="Times New Roman"/>
                <w:b/>
                <w:sz w:val="20"/>
                <w:szCs w:val="20"/>
                <w:lang w:val="fr-CA"/>
              </w:rPr>
            </w:pPr>
          </w:p>
        </w:tc>
        <w:tc>
          <w:tcPr>
            <w:tcW w:w="8118" w:type="dxa"/>
          </w:tcPr>
          <w:p w:rsidR="00EB4358" w:rsidRPr="00706243" w:rsidRDefault="00EB4358" w:rsidP="008B5DBF">
            <w:pPr>
              <w:jc w:val="both"/>
              <w:rPr>
                <w:rFonts w:cs="Times New Roman"/>
                <w:sz w:val="20"/>
                <w:szCs w:val="20"/>
              </w:rPr>
            </w:pPr>
            <w:r w:rsidRPr="00EB4358">
              <w:rPr>
                <w:rStyle w:val="SCCLsocChar"/>
                <w:rFonts w:cs="Times New Roman"/>
                <w:sz w:val="20"/>
                <w:szCs w:val="20"/>
                <w:lang w:val="en-CA"/>
              </w:rPr>
              <w:t>ABS Trucking Ltd. v. City of Edmonton as represented by the Edmonton Subdivision and Development Appeal Board</w:t>
            </w:r>
            <w:r w:rsidRPr="00706243">
              <w:rPr>
                <w:rFonts w:cs="Times New Roman"/>
                <w:sz w:val="20"/>
                <w:szCs w:val="20"/>
              </w:rPr>
              <w:t xml:space="preserve"> (Alta.) (Civil) (By Leave)</w:t>
            </w:r>
          </w:p>
          <w:p w:rsidR="00EB4358" w:rsidRPr="00706243" w:rsidRDefault="00EB4358" w:rsidP="008B5DBF">
            <w:pPr>
              <w:rPr>
                <w:rFonts w:cs="Times New Roman"/>
                <w:sz w:val="20"/>
                <w:szCs w:val="20"/>
              </w:rPr>
            </w:pPr>
          </w:p>
        </w:tc>
      </w:tr>
      <w:tr w:rsidR="00EB4358" w:rsidRPr="00706243" w:rsidTr="008B5DBF">
        <w:trPr>
          <w:cantSplit/>
        </w:trPr>
        <w:tc>
          <w:tcPr>
            <w:tcW w:w="1458" w:type="dxa"/>
          </w:tcPr>
          <w:p w:rsidR="00EB4358" w:rsidRPr="00706243" w:rsidRDefault="00EB4358" w:rsidP="008B5DBF">
            <w:pPr>
              <w:rPr>
                <w:rFonts w:cs="Times New Roman"/>
                <w:sz w:val="20"/>
                <w:szCs w:val="20"/>
              </w:rPr>
            </w:pPr>
            <w:r w:rsidRPr="00706243">
              <w:rPr>
                <w:rFonts w:cs="Times New Roman"/>
                <w:sz w:val="20"/>
                <w:szCs w:val="20"/>
              </w:rPr>
              <w:t>Coram :</w:t>
            </w:r>
          </w:p>
        </w:tc>
        <w:tc>
          <w:tcPr>
            <w:tcW w:w="8118" w:type="dxa"/>
          </w:tcPr>
          <w:p w:rsidR="00EB4358" w:rsidRPr="00706243" w:rsidRDefault="00EB4358" w:rsidP="008B5DBF">
            <w:pPr>
              <w:rPr>
                <w:rFonts w:cs="Times New Roman"/>
                <w:sz w:val="20"/>
                <w:szCs w:val="20"/>
              </w:rPr>
            </w:pPr>
            <w:r w:rsidRPr="00EB4358">
              <w:rPr>
                <w:rStyle w:val="SCCCoramChar"/>
                <w:rFonts w:cs="Times New Roman"/>
                <w:sz w:val="20"/>
                <w:szCs w:val="20"/>
                <w:lang w:val="en-CA"/>
              </w:rPr>
              <w:t>McLachlin C.J. and Rothstein and Moldaver JJ.</w:t>
            </w:r>
          </w:p>
          <w:p w:rsidR="00EB4358" w:rsidRPr="00706243" w:rsidRDefault="00EB4358" w:rsidP="008B5DBF">
            <w:pPr>
              <w:rPr>
                <w:rFonts w:cs="Times New Roman"/>
                <w:sz w:val="20"/>
                <w:szCs w:val="20"/>
                <w:u w:val="single"/>
              </w:rPr>
            </w:pPr>
          </w:p>
        </w:tc>
      </w:tr>
      <w:tr w:rsidR="00EB4358" w:rsidRPr="00147672" w:rsidTr="008B5DBF">
        <w:trPr>
          <w:cantSplit/>
        </w:trPr>
        <w:tc>
          <w:tcPr>
            <w:tcW w:w="9576" w:type="dxa"/>
            <w:gridSpan w:val="2"/>
          </w:tcPr>
          <w:p w:rsidR="00EB4358" w:rsidRPr="00706243" w:rsidRDefault="00EB4358" w:rsidP="008B5DBF">
            <w:pPr>
              <w:pStyle w:val="SCCShortJudgment"/>
              <w:rPr>
                <w:rFonts w:cs="Times New Roman"/>
                <w:szCs w:val="20"/>
              </w:rPr>
            </w:pPr>
            <w:r w:rsidRPr="00706243">
              <w:rPr>
                <w:rFonts w:cs="Times New Roman"/>
                <w:szCs w:val="20"/>
              </w:rPr>
              <w:t>The application for leave to appeal from the judgment of the Court of Appeal of Alberta (Edmonton), Number 1003-0222-AC, 2011 ABCA 353, dated November 29, 2011, is dismissed with costs.</w:t>
            </w:r>
          </w:p>
          <w:p w:rsidR="00EB4358" w:rsidRPr="00706243" w:rsidRDefault="00EB4358" w:rsidP="008B5DBF">
            <w:pPr>
              <w:pStyle w:val="SCCShortJudgment"/>
              <w:ind w:firstLine="0"/>
              <w:rPr>
                <w:rFonts w:cs="Times New Roman"/>
                <w:szCs w:val="20"/>
              </w:rPr>
            </w:pPr>
          </w:p>
          <w:p w:rsidR="00EB4358" w:rsidRPr="00706243" w:rsidRDefault="00EB4358" w:rsidP="008B5DBF">
            <w:pPr>
              <w:pStyle w:val="SCCShortJudgment"/>
              <w:rPr>
                <w:rFonts w:cs="Times New Roman"/>
                <w:szCs w:val="20"/>
                <w:lang w:val="fr-CA"/>
              </w:rPr>
            </w:pPr>
            <w:r w:rsidRPr="00706243">
              <w:rPr>
                <w:rFonts w:cs="Times New Roman"/>
                <w:szCs w:val="20"/>
                <w:lang w:val="fr-CA"/>
              </w:rPr>
              <w:t>La demande d’autorisation d’appel de l’arrêt de la Cour d’appel de l’Alberta (Edmonton), numéro 1003-0222-AC, 2011 ABCA 353, daté du 29 novembre 2011, est rejetée avec dépens.</w:t>
            </w:r>
          </w:p>
        </w:tc>
      </w:tr>
    </w:tbl>
    <w:p w:rsidR="00F96FE7" w:rsidRPr="00EB4358"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37CC" w:rsidRPr="003E4A8C" w:rsidTr="009A57C7">
        <w:tc>
          <w:tcPr>
            <w:tcW w:w="5000" w:type="pct"/>
            <w:gridSpan w:val="3"/>
          </w:tcPr>
          <w:p w:rsidR="00BE37CC" w:rsidRPr="003E4A8C" w:rsidRDefault="00BE37CC" w:rsidP="009A57C7">
            <w:pPr>
              <w:jc w:val="both"/>
              <w:rPr>
                <w:rFonts w:eastAsia="Calibri"/>
                <w:sz w:val="20"/>
              </w:rPr>
            </w:pPr>
            <w:r w:rsidRPr="003E4A8C">
              <w:rPr>
                <w:rFonts w:eastAsia="Calibri"/>
                <w:sz w:val="20"/>
              </w:rPr>
              <w:t>Municipal law – By-laws – Zoning – Interpretation – Burden of proof -  Administrative law – Judicial review - Under what circumstances is it justifiable in proceeding before a subdivision and development appeal authority to depart from the requirement that he who asserts a proposition must prove it - Who must prove that a building is not permanent because it can be moved at “nominal cost”.</w:t>
            </w:r>
          </w:p>
        </w:tc>
      </w:tr>
      <w:tr w:rsidR="00BE37CC" w:rsidRPr="003E4A8C" w:rsidTr="009A57C7">
        <w:tc>
          <w:tcPr>
            <w:tcW w:w="5000" w:type="pct"/>
            <w:gridSpan w:val="3"/>
          </w:tcPr>
          <w:p w:rsidR="00BE37CC" w:rsidRPr="003E4A8C" w:rsidRDefault="00BE37CC" w:rsidP="009A57C7">
            <w:pPr>
              <w:jc w:val="both"/>
              <w:rPr>
                <w:rFonts w:eastAsia="Calibri"/>
                <w:sz w:val="20"/>
              </w:rPr>
            </w:pPr>
          </w:p>
        </w:tc>
      </w:tr>
      <w:tr w:rsidR="00BE37CC" w:rsidRPr="003E4A8C" w:rsidTr="009A57C7">
        <w:tc>
          <w:tcPr>
            <w:tcW w:w="5000" w:type="pct"/>
            <w:gridSpan w:val="3"/>
          </w:tcPr>
          <w:p w:rsidR="00BE37CC" w:rsidRPr="003E4A8C" w:rsidRDefault="00BE37CC" w:rsidP="009A57C7">
            <w:pPr>
              <w:jc w:val="both"/>
              <w:rPr>
                <w:rFonts w:eastAsia="Calibri"/>
                <w:sz w:val="20"/>
              </w:rPr>
            </w:pPr>
            <w:r w:rsidRPr="003E4A8C">
              <w:rPr>
                <w:rFonts w:eastAsia="Calibri"/>
                <w:sz w:val="20"/>
              </w:rPr>
              <w:t>The applicant operates a trucking business.  It erected a metal building on lands classified as an AGI Industrial Reserve Zone.  The building sits on foundation pads supported by wooden piles sunk five feet into the ground. It is serviced with power and gas and has a floating concrete slab.</w:t>
            </w:r>
          </w:p>
          <w:p w:rsidR="00BE37CC" w:rsidRPr="003E4A8C" w:rsidRDefault="00BE37CC" w:rsidP="009A57C7">
            <w:pPr>
              <w:jc w:val="both"/>
              <w:rPr>
                <w:rFonts w:eastAsia="Calibri"/>
                <w:sz w:val="20"/>
              </w:rPr>
            </w:pPr>
          </w:p>
          <w:p w:rsidR="00BE37CC" w:rsidRPr="003E4A8C" w:rsidRDefault="00BE37CC" w:rsidP="009A57C7">
            <w:pPr>
              <w:jc w:val="both"/>
              <w:rPr>
                <w:rFonts w:eastAsia="Calibri"/>
                <w:sz w:val="20"/>
              </w:rPr>
            </w:pPr>
            <w:r w:rsidRPr="003E4A8C">
              <w:rPr>
                <w:rFonts w:eastAsia="Calibri"/>
                <w:sz w:val="20"/>
              </w:rPr>
              <w:t>The building is used in the operation of a temporary storage facility, approval for which was predicated on not erecting “permanent structures” on the land.   A development officer later determined that the building was a permanent structure and asked the applicant to remove the building. The Development Authority refused an application by the applicant to continue operating the temporary storage facility. The Edmonton Subdivision and Development Appeal Board denied an appeal of that decision and the Alberta Court of Appeal dismissed a further appeal.</w:t>
            </w:r>
          </w:p>
          <w:p w:rsidR="00BE37CC" w:rsidRPr="003E4A8C" w:rsidRDefault="00BE37CC" w:rsidP="009A57C7">
            <w:pPr>
              <w:jc w:val="both"/>
              <w:rPr>
                <w:rFonts w:eastAsia="Calibri"/>
                <w:sz w:val="20"/>
              </w:rPr>
            </w:pPr>
          </w:p>
        </w:tc>
      </w:tr>
      <w:tr w:rsidR="00BE37CC" w:rsidRPr="003E4A8C" w:rsidTr="009A57C7">
        <w:tc>
          <w:tcPr>
            <w:tcW w:w="2427" w:type="pct"/>
          </w:tcPr>
          <w:p w:rsidR="00BE37CC" w:rsidRPr="003E4A8C" w:rsidRDefault="00BE37CC" w:rsidP="009A57C7">
            <w:pPr>
              <w:jc w:val="both"/>
              <w:rPr>
                <w:rFonts w:eastAsia="Calibri"/>
                <w:sz w:val="20"/>
              </w:rPr>
            </w:pPr>
            <w:r w:rsidRPr="003E4A8C">
              <w:rPr>
                <w:rFonts w:eastAsia="Calibri"/>
                <w:sz w:val="20"/>
              </w:rPr>
              <w:t>July 2, 2010</w:t>
            </w:r>
          </w:p>
          <w:p w:rsidR="00BE37CC" w:rsidRPr="003E4A8C" w:rsidRDefault="00BE37CC" w:rsidP="009A57C7">
            <w:pPr>
              <w:jc w:val="both"/>
              <w:rPr>
                <w:rFonts w:eastAsia="Calibri"/>
                <w:sz w:val="20"/>
              </w:rPr>
            </w:pPr>
            <w:r w:rsidRPr="003E4A8C">
              <w:rPr>
                <w:rFonts w:eastAsia="Calibri"/>
                <w:sz w:val="20"/>
              </w:rPr>
              <w:t>Edmonton Subdivision and Development Appeal Board</w:t>
            </w:r>
          </w:p>
          <w:p w:rsidR="00BE37CC" w:rsidRPr="003E4A8C" w:rsidRDefault="00BE37CC" w:rsidP="009A57C7">
            <w:pPr>
              <w:jc w:val="both"/>
              <w:rPr>
                <w:rFonts w:eastAsia="Calibri"/>
                <w:sz w:val="20"/>
              </w:rPr>
            </w:pPr>
            <w:r w:rsidRPr="003E4A8C">
              <w:rPr>
                <w:rFonts w:eastAsia="Calibri"/>
                <w:sz w:val="20"/>
              </w:rPr>
              <w:t>(Thomas Craig)</w:t>
            </w:r>
          </w:p>
          <w:p w:rsidR="00BE37CC" w:rsidRPr="003E4A8C" w:rsidRDefault="00BE37CC" w:rsidP="009A57C7">
            <w:pPr>
              <w:jc w:val="both"/>
              <w:rPr>
                <w:rFonts w:eastAsia="Calibri"/>
                <w:sz w:val="20"/>
              </w:rPr>
            </w:pPr>
          </w:p>
        </w:tc>
        <w:tc>
          <w:tcPr>
            <w:tcW w:w="243" w:type="pct"/>
          </w:tcPr>
          <w:p w:rsidR="00BE37CC" w:rsidRPr="003E4A8C" w:rsidRDefault="00BE37CC" w:rsidP="009A57C7">
            <w:pPr>
              <w:jc w:val="both"/>
              <w:rPr>
                <w:rFonts w:eastAsia="Calibri"/>
                <w:sz w:val="20"/>
              </w:rPr>
            </w:pPr>
          </w:p>
        </w:tc>
        <w:tc>
          <w:tcPr>
            <w:tcW w:w="2330" w:type="pct"/>
          </w:tcPr>
          <w:p w:rsidR="00BE37CC" w:rsidRPr="003E4A8C" w:rsidRDefault="00BE37CC" w:rsidP="009A57C7">
            <w:pPr>
              <w:jc w:val="both"/>
              <w:rPr>
                <w:rFonts w:eastAsia="Calibri"/>
                <w:sz w:val="20"/>
              </w:rPr>
            </w:pPr>
            <w:r w:rsidRPr="003E4A8C">
              <w:rPr>
                <w:rFonts w:eastAsia="Calibri"/>
                <w:sz w:val="20"/>
              </w:rPr>
              <w:t>Appeal denied, decision of Development Authority confirmed</w:t>
            </w:r>
          </w:p>
          <w:p w:rsidR="00BE37CC" w:rsidRPr="003E4A8C" w:rsidRDefault="00BE37CC" w:rsidP="009A57C7">
            <w:pPr>
              <w:jc w:val="both"/>
              <w:rPr>
                <w:rFonts w:eastAsia="Calibri"/>
                <w:sz w:val="20"/>
              </w:rPr>
            </w:pPr>
          </w:p>
        </w:tc>
      </w:tr>
      <w:tr w:rsidR="00BE37CC" w:rsidRPr="003E4A8C" w:rsidTr="0003600D">
        <w:trPr>
          <w:cantSplit/>
        </w:trPr>
        <w:tc>
          <w:tcPr>
            <w:tcW w:w="2427" w:type="pct"/>
          </w:tcPr>
          <w:p w:rsidR="00BE37CC" w:rsidRPr="003E4A8C" w:rsidRDefault="00BE37CC" w:rsidP="009A57C7">
            <w:pPr>
              <w:jc w:val="both"/>
              <w:rPr>
                <w:rFonts w:eastAsia="Calibri"/>
                <w:sz w:val="20"/>
              </w:rPr>
            </w:pPr>
            <w:r w:rsidRPr="003E4A8C">
              <w:rPr>
                <w:rFonts w:eastAsia="Calibri"/>
                <w:sz w:val="20"/>
              </w:rPr>
              <w:lastRenderedPageBreak/>
              <w:t>November 29, 2011</w:t>
            </w:r>
          </w:p>
          <w:p w:rsidR="00BE37CC" w:rsidRPr="003E4A8C" w:rsidRDefault="00BE37CC" w:rsidP="009A57C7">
            <w:pPr>
              <w:jc w:val="both"/>
              <w:rPr>
                <w:rFonts w:eastAsia="Calibri"/>
                <w:sz w:val="20"/>
              </w:rPr>
            </w:pPr>
            <w:r w:rsidRPr="003E4A8C">
              <w:rPr>
                <w:rFonts w:eastAsia="Calibri"/>
                <w:sz w:val="20"/>
              </w:rPr>
              <w:t>Court of Appeal of Alberta (Edmonton)</w:t>
            </w:r>
          </w:p>
          <w:p w:rsidR="00BE37CC" w:rsidRPr="003E4A8C" w:rsidRDefault="00BE37CC" w:rsidP="009A57C7">
            <w:pPr>
              <w:jc w:val="both"/>
              <w:rPr>
                <w:rFonts w:eastAsia="Calibri"/>
                <w:sz w:val="20"/>
              </w:rPr>
            </w:pPr>
            <w:r w:rsidRPr="003E4A8C">
              <w:rPr>
                <w:rFonts w:eastAsia="Calibri"/>
                <w:sz w:val="20"/>
              </w:rPr>
              <w:t>(Berger, Watson and Rowbotham JJ.A.)</w:t>
            </w:r>
          </w:p>
          <w:p w:rsidR="00BE37CC" w:rsidRPr="003E4A8C" w:rsidRDefault="00BE37CC" w:rsidP="00CB6F62">
            <w:pPr>
              <w:jc w:val="both"/>
              <w:rPr>
                <w:rFonts w:eastAsia="Calibri"/>
                <w:sz w:val="20"/>
              </w:rPr>
            </w:pPr>
            <w:r w:rsidRPr="003E4A8C">
              <w:rPr>
                <w:rFonts w:eastAsia="Calibri"/>
                <w:sz w:val="20"/>
              </w:rPr>
              <w:t>2011 ABCA 353; 1003-0222-AC</w:t>
            </w:r>
          </w:p>
        </w:tc>
        <w:tc>
          <w:tcPr>
            <w:tcW w:w="243" w:type="pct"/>
          </w:tcPr>
          <w:p w:rsidR="00BE37CC" w:rsidRPr="003E4A8C" w:rsidRDefault="00BE37CC" w:rsidP="009A57C7">
            <w:pPr>
              <w:jc w:val="both"/>
              <w:rPr>
                <w:rFonts w:eastAsia="Calibri"/>
                <w:sz w:val="20"/>
              </w:rPr>
            </w:pPr>
          </w:p>
        </w:tc>
        <w:tc>
          <w:tcPr>
            <w:tcW w:w="2330" w:type="pct"/>
          </w:tcPr>
          <w:p w:rsidR="00BE37CC" w:rsidRPr="003E4A8C" w:rsidRDefault="00BE37CC" w:rsidP="009A57C7">
            <w:pPr>
              <w:jc w:val="both"/>
              <w:rPr>
                <w:rFonts w:eastAsia="Calibri"/>
                <w:sz w:val="20"/>
              </w:rPr>
            </w:pPr>
            <w:r w:rsidRPr="003E4A8C">
              <w:rPr>
                <w:rFonts w:eastAsia="Calibri"/>
                <w:sz w:val="20"/>
              </w:rPr>
              <w:t>Appeal dismissed</w:t>
            </w:r>
          </w:p>
          <w:p w:rsidR="00BE37CC" w:rsidRPr="003E4A8C" w:rsidRDefault="00BE37CC" w:rsidP="009A57C7">
            <w:pPr>
              <w:jc w:val="both"/>
              <w:rPr>
                <w:rFonts w:eastAsia="Calibri"/>
                <w:sz w:val="20"/>
              </w:rPr>
            </w:pPr>
          </w:p>
        </w:tc>
      </w:tr>
    </w:tbl>
    <w:p w:rsidR="00CB6F62" w:rsidRDefault="00CB6F62"/>
    <w:tbl>
      <w:tblPr>
        <w:tblW w:w="4952" w:type="pct"/>
        <w:tblLayout w:type="fixed"/>
        <w:tblCellMar>
          <w:left w:w="0" w:type="dxa"/>
          <w:bottom w:w="99" w:type="dxa"/>
          <w:right w:w="0" w:type="dxa"/>
        </w:tblCellMar>
        <w:tblLook w:val="04A0"/>
      </w:tblPr>
      <w:tblGrid>
        <w:gridCol w:w="4624"/>
        <w:gridCol w:w="463"/>
        <w:gridCol w:w="4440"/>
      </w:tblGrid>
      <w:tr w:rsidR="00BE37CC" w:rsidRPr="003E4A8C" w:rsidTr="00EB4358">
        <w:trPr>
          <w:cantSplit/>
        </w:trPr>
        <w:tc>
          <w:tcPr>
            <w:tcW w:w="2427" w:type="pct"/>
          </w:tcPr>
          <w:p w:rsidR="00BE37CC" w:rsidRPr="003E4A8C" w:rsidRDefault="00BE37CC" w:rsidP="009A57C7">
            <w:pPr>
              <w:jc w:val="both"/>
              <w:rPr>
                <w:rFonts w:eastAsia="Calibri"/>
                <w:sz w:val="20"/>
              </w:rPr>
            </w:pPr>
            <w:r w:rsidRPr="003E4A8C">
              <w:rPr>
                <w:rFonts w:eastAsia="Calibri"/>
                <w:sz w:val="20"/>
              </w:rPr>
              <w:t>January 25, 2012</w:t>
            </w:r>
          </w:p>
          <w:p w:rsidR="00BE37CC" w:rsidRPr="003E4A8C" w:rsidRDefault="00BE37CC" w:rsidP="00CB6F62">
            <w:pPr>
              <w:jc w:val="both"/>
              <w:rPr>
                <w:rFonts w:eastAsia="Calibri"/>
                <w:sz w:val="20"/>
              </w:rPr>
            </w:pPr>
            <w:r w:rsidRPr="003E4A8C">
              <w:rPr>
                <w:rFonts w:eastAsia="Calibri"/>
                <w:sz w:val="20"/>
              </w:rPr>
              <w:t>Supreme Court of Canada</w:t>
            </w:r>
          </w:p>
        </w:tc>
        <w:tc>
          <w:tcPr>
            <w:tcW w:w="243" w:type="pct"/>
          </w:tcPr>
          <w:p w:rsidR="00BE37CC" w:rsidRPr="003E4A8C" w:rsidRDefault="00BE37CC" w:rsidP="009A57C7">
            <w:pPr>
              <w:jc w:val="both"/>
              <w:rPr>
                <w:rFonts w:eastAsia="Calibri"/>
                <w:sz w:val="20"/>
              </w:rPr>
            </w:pPr>
          </w:p>
        </w:tc>
        <w:tc>
          <w:tcPr>
            <w:tcW w:w="2330" w:type="pct"/>
          </w:tcPr>
          <w:p w:rsidR="00BE37CC" w:rsidRPr="003E4A8C" w:rsidRDefault="00BE37CC" w:rsidP="009A57C7">
            <w:pPr>
              <w:jc w:val="both"/>
              <w:rPr>
                <w:rFonts w:eastAsia="Calibri"/>
                <w:sz w:val="20"/>
              </w:rPr>
            </w:pPr>
            <w:r w:rsidRPr="003E4A8C">
              <w:rPr>
                <w:rFonts w:eastAsia="Calibri"/>
                <w:sz w:val="20"/>
              </w:rPr>
              <w:t>Application for leave to appeal filed</w:t>
            </w:r>
          </w:p>
          <w:p w:rsidR="00BE37CC" w:rsidRPr="003E4A8C" w:rsidRDefault="00BE37CC"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50"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37CC" w:rsidRPr="00147672" w:rsidTr="009A57C7">
        <w:tc>
          <w:tcPr>
            <w:tcW w:w="5000" w:type="pct"/>
            <w:gridSpan w:val="3"/>
          </w:tcPr>
          <w:p w:rsidR="00BE37CC" w:rsidRPr="003E4A8C" w:rsidRDefault="00BE37CC" w:rsidP="009A57C7">
            <w:pPr>
              <w:jc w:val="both"/>
              <w:rPr>
                <w:rFonts w:eastAsia="Calibri"/>
                <w:sz w:val="20"/>
                <w:lang w:val="fr-FR"/>
              </w:rPr>
            </w:pPr>
            <w:r w:rsidRPr="003E4A8C">
              <w:rPr>
                <w:rFonts w:eastAsia="Calibri"/>
                <w:sz w:val="20"/>
                <w:lang w:val="fr-FR"/>
              </w:rPr>
              <w:t>Droit municipal – Règlements – Zonage – Interprétation – Fardeau de la preuve - Droit administratif – Contrôle judiciaire – Dans quelles circonstances est-il justifiable, dans une procédure engagée devant une instance d’appel en matière de lotissement et d’aménagement, de s’écarter de la règle selon laquelle il incombe à la partie faisant valoir un argument d’en établir le bien-fondé? – Qui doit prouver qu’un bâtiment n’est pas permanent vu la possibilité de le déplacer moyennant des « frais minimes »?</w:t>
            </w:r>
          </w:p>
        </w:tc>
      </w:tr>
      <w:tr w:rsidR="00BE37CC" w:rsidRPr="00147672" w:rsidTr="009A57C7">
        <w:tc>
          <w:tcPr>
            <w:tcW w:w="5000" w:type="pct"/>
            <w:gridSpan w:val="3"/>
          </w:tcPr>
          <w:p w:rsidR="00BE37CC" w:rsidRPr="003E4A8C" w:rsidRDefault="00BE37CC" w:rsidP="009A57C7">
            <w:pPr>
              <w:jc w:val="both"/>
              <w:rPr>
                <w:rFonts w:eastAsia="Calibri"/>
                <w:sz w:val="20"/>
                <w:lang w:val="fr-FR"/>
              </w:rPr>
            </w:pPr>
          </w:p>
        </w:tc>
      </w:tr>
      <w:tr w:rsidR="00BE37CC" w:rsidRPr="00147672" w:rsidTr="009A57C7">
        <w:tc>
          <w:tcPr>
            <w:tcW w:w="5000" w:type="pct"/>
            <w:gridSpan w:val="3"/>
          </w:tcPr>
          <w:p w:rsidR="00BE37CC" w:rsidRPr="003E4A8C" w:rsidRDefault="00BE37CC" w:rsidP="009A57C7">
            <w:pPr>
              <w:jc w:val="both"/>
              <w:rPr>
                <w:rFonts w:eastAsia="Calibri"/>
                <w:sz w:val="20"/>
                <w:lang w:val="fr-FR"/>
              </w:rPr>
            </w:pPr>
            <w:r w:rsidRPr="003E4A8C">
              <w:rPr>
                <w:rFonts w:eastAsia="Calibri"/>
                <w:sz w:val="20"/>
                <w:lang w:val="fr-FR"/>
              </w:rPr>
              <w:t xml:space="preserve">La demanderesse exploite une entreprise de camionnage. Elle a érigé un bâtiment de métal sur un terrain désigné zone industrielle AGI. Le bâtiment repose sur des dalles de fondation supportées par des piles de bois cinq pieds sous terre. Desservi en électricité et en gaz naturel, il est muni d’une plaque de béton flottante. </w:t>
            </w:r>
          </w:p>
          <w:p w:rsidR="00BE37CC" w:rsidRPr="003E4A8C" w:rsidRDefault="00BE37CC" w:rsidP="009A57C7">
            <w:pPr>
              <w:jc w:val="both"/>
              <w:rPr>
                <w:rFonts w:eastAsia="Calibri"/>
                <w:sz w:val="20"/>
                <w:lang w:val="fr-FR"/>
              </w:rPr>
            </w:pPr>
          </w:p>
          <w:p w:rsidR="00BE37CC" w:rsidRPr="003E4A8C" w:rsidRDefault="00BE37CC" w:rsidP="009A57C7">
            <w:pPr>
              <w:jc w:val="both"/>
              <w:rPr>
                <w:rFonts w:eastAsia="Calibri"/>
                <w:sz w:val="20"/>
                <w:lang w:val="fr-FR"/>
              </w:rPr>
            </w:pPr>
            <w:r w:rsidRPr="003E4A8C">
              <w:rPr>
                <w:rFonts w:eastAsia="Calibri"/>
                <w:sz w:val="20"/>
                <w:lang w:val="fr-FR"/>
              </w:rPr>
              <w:t>Le bâtiment est utilisé pour exploiter un entrepôt temporaire, et l’autorisation de l’exploiter avait été accordée à la condition qu’aucune « structure permanente » ne soit érigée sur le terrain.    Un agent d’aménagement a décidé par la suite que le bâtiment était une structure permanente et a demandé à la demanderesse de l’enlever. Le bureau de l’aménagement a refusé la demande de la demanderesse visant à poursuivre l’exploitation de l’entrepôt temporaire. Le Subdivision and Development Appeal Board d’Edmonton a rejeté l’appel formé contre cette décision et la Cour d’appel de l’Alberta a rejeté un autre appel.</w:t>
            </w:r>
          </w:p>
          <w:p w:rsidR="00BE37CC" w:rsidRPr="003E4A8C" w:rsidRDefault="00BE37CC" w:rsidP="009A57C7">
            <w:pPr>
              <w:jc w:val="both"/>
              <w:rPr>
                <w:rFonts w:eastAsia="Calibri"/>
                <w:sz w:val="20"/>
                <w:lang w:val="fr-FR"/>
              </w:rPr>
            </w:pPr>
          </w:p>
        </w:tc>
      </w:tr>
      <w:tr w:rsidR="00BE37CC" w:rsidRPr="00147672" w:rsidTr="009A57C7">
        <w:tc>
          <w:tcPr>
            <w:tcW w:w="2427" w:type="pct"/>
          </w:tcPr>
          <w:p w:rsidR="00BE37CC" w:rsidRPr="003E4A8C" w:rsidRDefault="00BE37CC" w:rsidP="009A57C7">
            <w:pPr>
              <w:jc w:val="both"/>
              <w:rPr>
                <w:rFonts w:eastAsia="Calibri"/>
                <w:sz w:val="20"/>
              </w:rPr>
            </w:pPr>
            <w:r w:rsidRPr="003E4A8C">
              <w:rPr>
                <w:rFonts w:eastAsia="Calibri"/>
                <w:sz w:val="20"/>
              </w:rPr>
              <w:t>2 juillet 2010</w:t>
            </w:r>
          </w:p>
          <w:p w:rsidR="00BE37CC" w:rsidRPr="003E4A8C" w:rsidRDefault="00BE37CC" w:rsidP="009A57C7">
            <w:pPr>
              <w:jc w:val="both"/>
              <w:rPr>
                <w:rFonts w:eastAsia="Calibri"/>
                <w:sz w:val="20"/>
              </w:rPr>
            </w:pPr>
            <w:r w:rsidRPr="003E4A8C">
              <w:rPr>
                <w:rFonts w:eastAsia="Calibri"/>
                <w:sz w:val="20"/>
              </w:rPr>
              <w:t>Subdivision and Development Appeal Board d’Edmonton</w:t>
            </w:r>
          </w:p>
          <w:p w:rsidR="00BE37CC" w:rsidRPr="003E4A8C" w:rsidRDefault="00BE37CC" w:rsidP="009A57C7">
            <w:pPr>
              <w:jc w:val="both"/>
              <w:rPr>
                <w:rFonts w:eastAsia="Calibri"/>
                <w:sz w:val="20"/>
              </w:rPr>
            </w:pPr>
            <w:r w:rsidRPr="003E4A8C">
              <w:rPr>
                <w:rFonts w:eastAsia="Calibri"/>
                <w:sz w:val="20"/>
              </w:rPr>
              <w:t>(Thomas Craig)</w:t>
            </w:r>
          </w:p>
          <w:p w:rsidR="00BE37CC" w:rsidRPr="003E4A8C" w:rsidRDefault="00BE37CC" w:rsidP="009A57C7">
            <w:pPr>
              <w:jc w:val="both"/>
              <w:rPr>
                <w:rFonts w:eastAsia="Calibri"/>
                <w:sz w:val="20"/>
              </w:rPr>
            </w:pPr>
          </w:p>
        </w:tc>
        <w:tc>
          <w:tcPr>
            <w:tcW w:w="243" w:type="pct"/>
          </w:tcPr>
          <w:p w:rsidR="00BE37CC" w:rsidRPr="003E4A8C" w:rsidRDefault="00BE37CC" w:rsidP="009A57C7">
            <w:pPr>
              <w:jc w:val="both"/>
              <w:rPr>
                <w:rFonts w:eastAsia="Calibri"/>
                <w:sz w:val="20"/>
              </w:rPr>
            </w:pPr>
          </w:p>
        </w:tc>
        <w:tc>
          <w:tcPr>
            <w:tcW w:w="2330" w:type="pct"/>
          </w:tcPr>
          <w:p w:rsidR="00BE37CC" w:rsidRPr="003E4A8C" w:rsidRDefault="00BE37CC" w:rsidP="009A57C7">
            <w:pPr>
              <w:jc w:val="both"/>
              <w:rPr>
                <w:rFonts w:eastAsia="Calibri"/>
                <w:sz w:val="20"/>
                <w:lang w:val="fr-FR"/>
              </w:rPr>
            </w:pPr>
            <w:r w:rsidRPr="003E4A8C">
              <w:rPr>
                <w:rFonts w:eastAsia="Calibri"/>
                <w:sz w:val="20"/>
                <w:lang w:val="fr-FR"/>
              </w:rPr>
              <w:t>Appel rejeté, décision du bureau de l’aménagement confirmée</w:t>
            </w:r>
          </w:p>
          <w:p w:rsidR="00BE37CC" w:rsidRPr="003E4A8C" w:rsidRDefault="00BE37CC" w:rsidP="009A57C7">
            <w:pPr>
              <w:jc w:val="both"/>
              <w:rPr>
                <w:rFonts w:eastAsia="Calibri"/>
                <w:sz w:val="20"/>
                <w:lang w:val="fr-FR"/>
              </w:rPr>
            </w:pPr>
          </w:p>
        </w:tc>
      </w:tr>
      <w:tr w:rsidR="00BE37CC" w:rsidRPr="003E4A8C" w:rsidTr="009A57C7">
        <w:tc>
          <w:tcPr>
            <w:tcW w:w="2427" w:type="pct"/>
          </w:tcPr>
          <w:p w:rsidR="00BE37CC" w:rsidRPr="003E4A8C" w:rsidRDefault="00BE37CC" w:rsidP="009A57C7">
            <w:pPr>
              <w:jc w:val="both"/>
              <w:rPr>
                <w:rFonts w:eastAsia="Calibri"/>
                <w:sz w:val="20"/>
                <w:lang w:val="fr-FR"/>
              </w:rPr>
            </w:pPr>
            <w:r w:rsidRPr="003E4A8C">
              <w:rPr>
                <w:rFonts w:eastAsia="Calibri"/>
                <w:sz w:val="20"/>
                <w:lang w:val="fr-FR"/>
              </w:rPr>
              <w:t>29 novembre 2011</w:t>
            </w:r>
          </w:p>
          <w:p w:rsidR="00BE37CC" w:rsidRPr="003E4A8C" w:rsidRDefault="00BE37CC" w:rsidP="009A57C7">
            <w:pPr>
              <w:jc w:val="both"/>
              <w:rPr>
                <w:rFonts w:eastAsia="Calibri"/>
                <w:sz w:val="20"/>
                <w:lang w:val="fr-FR"/>
              </w:rPr>
            </w:pPr>
            <w:r w:rsidRPr="003E4A8C">
              <w:rPr>
                <w:rFonts w:eastAsia="Calibri"/>
                <w:sz w:val="20"/>
                <w:lang w:val="fr-FR"/>
              </w:rPr>
              <w:t>Cour d’appel de l’Alberta (Edmonton)</w:t>
            </w:r>
          </w:p>
          <w:p w:rsidR="00BE37CC" w:rsidRPr="003E4A8C" w:rsidRDefault="00BE37CC" w:rsidP="009A57C7">
            <w:pPr>
              <w:jc w:val="both"/>
              <w:rPr>
                <w:rFonts w:eastAsia="Calibri"/>
                <w:sz w:val="20"/>
                <w:lang w:val="fr-FR"/>
              </w:rPr>
            </w:pPr>
            <w:r w:rsidRPr="003E4A8C">
              <w:rPr>
                <w:rFonts w:eastAsia="Calibri"/>
                <w:sz w:val="20"/>
                <w:lang w:val="fr-FR"/>
              </w:rPr>
              <w:t>(Juges Berger, Watson et Rowbotham)</w:t>
            </w:r>
          </w:p>
          <w:p w:rsidR="00BE37CC" w:rsidRPr="003E4A8C" w:rsidRDefault="00BE37CC" w:rsidP="009A57C7">
            <w:pPr>
              <w:jc w:val="both"/>
              <w:rPr>
                <w:rFonts w:eastAsia="Calibri"/>
                <w:sz w:val="20"/>
              </w:rPr>
            </w:pPr>
            <w:r w:rsidRPr="003E4A8C">
              <w:rPr>
                <w:rFonts w:eastAsia="Calibri"/>
                <w:sz w:val="20"/>
              </w:rPr>
              <w:t>2011 ABCA 353; 1003-0222-AC</w:t>
            </w:r>
          </w:p>
          <w:p w:rsidR="00BE37CC" w:rsidRPr="003E4A8C" w:rsidRDefault="00BE37CC" w:rsidP="009A57C7">
            <w:pPr>
              <w:jc w:val="both"/>
              <w:rPr>
                <w:rFonts w:eastAsia="Calibri"/>
                <w:sz w:val="20"/>
              </w:rPr>
            </w:pPr>
          </w:p>
        </w:tc>
        <w:tc>
          <w:tcPr>
            <w:tcW w:w="243" w:type="pct"/>
          </w:tcPr>
          <w:p w:rsidR="00BE37CC" w:rsidRPr="003E4A8C" w:rsidRDefault="00BE37CC" w:rsidP="009A57C7">
            <w:pPr>
              <w:jc w:val="both"/>
              <w:rPr>
                <w:rFonts w:eastAsia="Calibri"/>
                <w:sz w:val="20"/>
              </w:rPr>
            </w:pPr>
          </w:p>
        </w:tc>
        <w:tc>
          <w:tcPr>
            <w:tcW w:w="2330" w:type="pct"/>
          </w:tcPr>
          <w:p w:rsidR="00BE37CC" w:rsidRPr="003E4A8C" w:rsidRDefault="00BE37CC" w:rsidP="009A57C7">
            <w:pPr>
              <w:jc w:val="both"/>
              <w:rPr>
                <w:rFonts w:eastAsia="Calibri"/>
                <w:sz w:val="20"/>
              </w:rPr>
            </w:pPr>
            <w:r w:rsidRPr="003E4A8C">
              <w:rPr>
                <w:rFonts w:eastAsia="Calibri"/>
                <w:sz w:val="20"/>
              </w:rPr>
              <w:t>Appel rejeté</w:t>
            </w:r>
          </w:p>
          <w:p w:rsidR="00BE37CC" w:rsidRPr="003E4A8C" w:rsidRDefault="00BE37CC" w:rsidP="009A57C7">
            <w:pPr>
              <w:jc w:val="both"/>
              <w:rPr>
                <w:rFonts w:eastAsia="Calibri"/>
                <w:sz w:val="20"/>
              </w:rPr>
            </w:pPr>
          </w:p>
        </w:tc>
      </w:tr>
      <w:tr w:rsidR="00BE37CC" w:rsidRPr="003E4A8C" w:rsidTr="009A57C7">
        <w:tc>
          <w:tcPr>
            <w:tcW w:w="2427" w:type="pct"/>
          </w:tcPr>
          <w:p w:rsidR="00BE37CC" w:rsidRPr="00E75C8D" w:rsidRDefault="00BE37CC" w:rsidP="009A57C7">
            <w:pPr>
              <w:jc w:val="both"/>
              <w:rPr>
                <w:rFonts w:eastAsia="Calibri"/>
                <w:sz w:val="20"/>
                <w:lang w:val="fr-CA"/>
              </w:rPr>
            </w:pPr>
            <w:r w:rsidRPr="00E75C8D">
              <w:rPr>
                <w:rFonts w:eastAsia="Calibri"/>
                <w:sz w:val="20"/>
                <w:lang w:val="fr-CA"/>
              </w:rPr>
              <w:t>25 janvier 2012</w:t>
            </w:r>
          </w:p>
          <w:p w:rsidR="00BE37CC" w:rsidRPr="00E75C8D" w:rsidRDefault="00BE37CC" w:rsidP="009A57C7">
            <w:pPr>
              <w:jc w:val="both"/>
              <w:rPr>
                <w:rFonts w:eastAsia="Calibri"/>
                <w:sz w:val="20"/>
                <w:lang w:val="fr-CA"/>
              </w:rPr>
            </w:pPr>
            <w:r w:rsidRPr="00E75C8D">
              <w:rPr>
                <w:rFonts w:eastAsia="Calibri"/>
                <w:sz w:val="20"/>
                <w:lang w:val="fr-CA"/>
              </w:rPr>
              <w:t>Cour suprême du Canada</w:t>
            </w:r>
          </w:p>
        </w:tc>
        <w:tc>
          <w:tcPr>
            <w:tcW w:w="243" w:type="pct"/>
          </w:tcPr>
          <w:p w:rsidR="00BE37CC" w:rsidRPr="00E75C8D" w:rsidRDefault="00BE37CC" w:rsidP="009A57C7">
            <w:pPr>
              <w:jc w:val="both"/>
              <w:rPr>
                <w:rFonts w:eastAsia="Calibri"/>
                <w:sz w:val="20"/>
                <w:lang w:val="fr-CA"/>
              </w:rPr>
            </w:pPr>
          </w:p>
        </w:tc>
        <w:tc>
          <w:tcPr>
            <w:tcW w:w="2330" w:type="pct"/>
          </w:tcPr>
          <w:p w:rsidR="00BE37CC" w:rsidRPr="003E4A8C" w:rsidRDefault="00BE37CC" w:rsidP="009A57C7">
            <w:pPr>
              <w:jc w:val="both"/>
              <w:rPr>
                <w:rFonts w:eastAsia="Calibri"/>
                <w:sz w:val="20"/>
              </w:rPr>
            </w:pPr>
            <w:r w:rsidRPr="003E4A8C">
              <w:rPr>
                <w:rFonts w:eastAsia="Calibri"/>
                <w:sz w:val="20"/>
              </w:rPr>
              <w:t>Demande d’autorisation d’appel déposée</w:t>
            </w:r>
          </w:p>
          <w:p w:rsidR="00BE37CC" w:rsidRPr="003E4A8C" w:rsidRDefault="00BE37CC" w:rsidP="009A57C7">
            <w:pPr>
              <w:jc w:val="both"/>
              <w:rPr>
                <w:rFonts w:eastAsia="Calibri"/>
                <w:sz w:val="20"/>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51"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B4358" w:rsidRPr="00706243" w:rsidTr="008B5DBF">
        <w:trPr>
          <w:cantSplit/>
        </w:trPr>
        <w:tc>
          <w:tcPr>
            <w:tcW w:w="1458" w:type="dxa"/>
          </w:tcPr>
          <w:p w:rsidR="00EB4358" w:rsidRPr="00706243" w:rsidRDefault="00EB4358" w:rsidP="008B5DBF">
            <w:pPr>
              <w:rPr>
                <w:rFonts w:cs="Times New Roman"/>
                <w:sz w:val="20"/>
                <w:szCs w:val="20"/>
              </w:rPr>
            </w:pPr>
            <w:r w:rsidRPr="00706243">
              <w:rPr>
                <w:rStyle w:val="SCCFileNumberChar"/>
                <w:sz w:val="20"/>
                <w:szCs w:val="20"/>
              </w:rPr>
              <w:t>34641</w:t>
            </w:r>
          </w:p>
          <w:p w:rsidR="00EB4358" w:rsidRPr="00706243" w:rsidRDefault="00EB4358" w:rsidP="008B5DBF">
            <w:pPr>
              <w:rPr>
                <w:rFonts w:cs="Times New Roman"/>
                <w:b/>
                <w:sz w:val="20"/>
                <w:szCs w:val="20"/>
                <w:lang w:val="fr-CA"/>
              </w:rPr>
            </w:pPr>
          </w:p>
        </w:tc>
        <w:tc>
          <w:tcPr>
            <w:tcW w:w="8118" w:type="dxa"/>
          </w:tcPr>
          <w:p w:rsidR="00EB4358" w:rsidRPr="00706243" w:rsidRDefault="00EB4358" w:rsidP="008B5DBF">
            <w:pPr>
              <w:jc w:val="both"/>
              <w:rPr>
                <w:rFonts w:cs="Times New Roman"/>
                <w:sz w:val="20"/>
                <w:szCs w:val="20"/>
              </w:rPr>
            </w:pPr>
            <w:r w:rsidRPr="00EB4358">
              <w:rPr>
                <w:rStyle w:val="SCCLsocChar"/>
                <w:rFonts w:cs="Times New Roman"/>
                <w:sz w:val="20"/>
                <w:szCs w:val="20"/>
                <w:lang w:val="en-CA"/>
              </w:rPr>
              <w:t>Robert Hryniak v. Fred Mauldin, Dan Myers, Robert Blomberg, Theodore Landkammer, Lloyd Chelli, Stephen Yee, Marvin Cleair, Carolyn Cleair, Richard Hanna, Douglas Laird, Charles Ivans, Lyn White and Athena Smith</w:t>
            </w:r>
            <w:r w:rsidRPr="00706243">
              <w:rPr>
                <w:rFonts w:cs="Times New Roman"/>
                <w:sz w:val="20"/>
                <w:szCs w:val="20"/>
              </w:rPr>
              <w:t xml:space="preserve"> (Ont.) (Civil) (By Leave)</w:t>
            </w:r>
          </w:p>
          <w:p w:rsidR="00EB4358" w:rsidRPr="00706243" w:rsidRDefault="00EB4358" w:rsidP="008B5DBF">
            <w:pPr>
              <w:rPr>
                <w:rFonts w:cs="Times New Roman"/>
                <w:sz w:val="20"/>
                <w:szCs w:val="20"/>
              </w:rPr>
            </w:pPr>
          </w:p>
        </w:tc>
      </w:tr>
      <w:tr w:rsidR="00EB4358" w:rsidRPr="00706243" w:rsidTr="008B5DBF">
        <w:trPr>
          <w:cantSplit/>
        </w:trPr>
        <w:tc>
          <w:tcPr>
            <w:tcW w:w="1458" w:type="dxa"/>
          </w:tcPr>
          <w:p w:rsidR="00EB4358" w:rsidRPr="00706243" w:rsidRDefault="00EB4358" w:rsidP="008B5DBF">
            <w:pPr>
              <w:rPr>
                <w:rFonts w:cs="Times New Roman"/>
                <w:sz w:val="20"/>
                <w:szCs w:val="20"/>
              </w:rPr>
            </w:pPr>
            <w:r w:rsidRPr="00706243">
              <w:rPr>
                <w:rFonts w:cs="Times New Roman"/>
                <w:sz w:val="20"/>
                <w:szCs w:val="20"/>
              </w:rPr>
              <w:t>Coram :</w:t>
            </w:r>
          </w:p>
        </w:tc>
        <w:tc>
          <w:tcPr>
            <w:tcW w:w="8118" w:type="dxa"/>
          </w:tcPr>
          <w:p w:rsidR="00EB4358" w:rsidRPr="00706243" w:rsidRDefault="00EB4358" w:rsidP="008B5DBF">
            <w:pPr>
              <w:rPr>
                <w:rFonts w:cs="Times New Roman"/>
                <w:sz w:val="20"/>
                <w:szCs w:val="20"/>
              </w:rPr>
            </w:pPr>
            <w:r w:rsidRPr="00EB4358">
              <w:rPr>
                <w:rStyle w:val="SCCCoramChar"/>
                <w:rFonts w:cs="Times New Roman"/>
                <w:sz w:val="20"/>
                <w:szCs w:val="20"/>
                <w:lang w:val="en-CA"/>
              </w:rPr>
              <w:t>McLachlin C.J. and Rothstein and Moldaver JJ.</w:t>
            </w:r>
          </w:p>
          <w:p w:rsidR="00EB4358" w:rsidRPr="00706243" w:rsidRDefault="00EB4358" w:rsidP="008B5DBF">
            <w:pPr>
              <w:rPr>
                <w:rFonts w:cs="Times New Roman"/>
                <w:sz w:val="20"/>
                <w:szCs w:val="20"/>
                <w:u w:val="single"/>
              </w:rPr>
            </w:pPr>
          </w:p>
        </w:tc>
      </w:tr>
      <w:tr w:rsidR="00EB4358" w:rsidRPr="00147672" w:rsidTr="008B5DBF">
        <w:trPr>
          <w:cantSplit/>
        </w:trPr>
        <w:tc>
          <w:tcPr>
            <w:tcW w:w="9576" w:type="dxa"/>
            <w:gridSpan w:val="2"/>
          </w:tcPr>
          <w:p w:rsidR="00EB4358" w:rsidRPr="00706243" w:rsidRDefault="00EB4358" w:rsidP="008B5DBF">
            <w:pPr>
              <w:pStyle w:val="SCCShortJudgment"/>
              <w:rPr>
                <w:rFonts w:cs="Times New Roman"/>
                <w:szCs w:val="20"/>
              </w:rPr>
            </w:pPr>
            <w:r w:rsidRPr="00706243">
              <w:rPr>
                <w:rFonts w:cs="Times New Roman"/>
                <w:szCs w:val="20"/>
              </w:rPr>
              <w:lastRenderedPageBreak/>
              <w:t xml:space="preserve">The application for leave to appeal from the judgment of the Court of Appeal for Ontario, Number C52912, 2011 ONCA 764, dated December 5, 2011, is granted with costs in the cause.  The appeal is to be heard with </w:t>
            </w:r>
            <w:r w:rsidRPr="00706243">
              <w:rPr>
                <w:rFonts w:cs="Times New Roman"/>
                <w:i/>
                <w:szCs w:val="20"/>
              </w:rPr>
              <w:t>Bruno Appliance and Furniture, Inc. v. Robert Hryniak</w:t>
            </w:r>
            <w:r w:rsidRPr="00706243">
              <w:rPr>
                <w:rFonts w:cs="Times New Roman"/>
                <w:szCs w:val="20"/>
              </w:rPr>
              <w:t xml:space="preserve"> (34645).</w:t>
            </w:r>
          </w:p>
          <w:p w:rsidR="00EB4358" w:rsidRPr="00706243" w:rsidRDefault="00EB4358" w:rsidP="008B5DBF">
            <w:pPr>
              <w:pStyle w:val="SCCShortJudgment"/>
              <w:ind w:firstLine="0"/>
              <w:rPr>
                <w:rFonts w:cs="Times New Roman"/>
                <w:szCs w:val="20"/>
              </w:rPr>
            </w:pPr>
          </w:p>
          <w:p w:rsidR="00EB4358" w:rsidRPr="00706243" w:rsidRDefault="00EB4358" w:rsidP="008B5DBF">
            <w:pPr>
              <w:pStyle w:val="SCCShortJudgment"/>
              <w:rPr>
                <w:rFonts w:cs="Times New Roman"/>
                <w:szCs w:val="20"/>
                <w:lang w:val="fr-CA"/>
              </w:rPr>
            </w:pPr>
            <w:r w:rsidRPr="00706243">
              <w:rPr>
                <w:rFonts w:cs="Times New Roman"/>
                <w:szCs w:val="20"/>
                <w:lang w:val="fr-CA"/>
              </w:rPr>
              <w:t xml:space="preserve">La demande d’autorisation d’appel de l’arrêt de la Cour d’appel de l’Ontario, numéro C52912, 2011 ONCA 764, daté du 5 décembre 2011, est accueillie avec dépens suivant l’issue de la cause.  L’appel sera entendu avec </w:t>
            </w:r>
            <w:r w:rsidRPr="00706243">
              <w:rPr>
                <w:rFonts w:cs="Times New Roman"/>
                <w:i/>
                <w:szCs w:val="20"/>
                <w:lang w:val="fr-CA"/>
              </w:rPr>
              <w:t>Bruno Appliance and Furniture, Inc. c. Robert Hryniak</w:t>
            </w:r>
            <w:r w:rsidRPr="00706243">
              <w:rPr>
                <w:rFonts w:cs="Times New Roman"/>
                <w:szCs w:val="20"/>
                <w:lang w:val="fr-CA"/>
              </w:rPr>
              <w:t xml:space="preserve"> (34645).</w:t>
            </w:r>
          </w:p>
        </w:tc>
      </w:tr>
    </w:tbl>
    <w:p w:rsidR="00F96FE7" w:rsidRPr="00EB4358"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50EA3" w:rsidRPr="003E4A8C" w:rsidTr="009A57C7">
        <w:tc>
          <w:tcPr>
            <w:tcW w:w="5000" w:type="pct"/>
            <w:gridSpan w:val="3"/>
          </w:tcPr>
          <w:p w:rsidR="00B50EA3" w:rsidRPr="003E4A8C" w:rsidRDefault="00B50EA3" w:rsidP="009A57C7">
            <w:pPr>
              <w:jc w:val="both"/>
              <w:rPr>
                <w:rFonts w:eastAsia="Calibri"/>
                <w:sz w:val="20"/>
              </w:rPr>
            </w:pPr>
            <w:r w:rsidRPr="003E4A8C">
              <w:rPr>
                <w:rFonts w:eastAsia="Calibri"/>
                <w:sz w:val="20"/>
              </w:rPr>
              <w:t xml:space="preserve">Judgments and orders ― Summary judgments ― Civil procedure ― Amended Ontario </w:t>
            </w:r>
            <w:r w:rsidRPr="003E4A8C">
              <w:rPr>
                <w:rFonts w:eastAsia="Calibri"/>
                <w:i/>
                <w:sz w:val="20"/>
              </w:rPr>
              <w:t>Rules of Civil Procedure</w:t>
            </w:r>
            <w:r w:rsidRPr="003E4A8C">
              <w:rPr>
                <w:rFonts w:eastAsia="Calibri"/>
                <w:sz w:val="20"/>
              </w:rPr>
              <w:t xml:space="preserve"> changed </w:t>
            </w:r>
            <w:r w:rsidRPr="003E4A8C">
              <w:rPr>
                <w:rFonts w:eastAsia="Calibri"/>
                <w:color w:val="000000"/>
                <w:sz w:val="20"/>
              </w:rPr>
              <w:t xml:space="preserve">summary judgment mechanism </w:t>
            </w:r>
            <w:r w:rsidRPr="003E4A8C">
              <w:rPr>
                <w:rFonts w:eastAsia="Calibri"/>
                <w:sz w:val="20"/>
              </w:rPr>
              <w:t xml:space="preserve">― Applicant appealing to Court of Appeal to have summary judgment set aside ― Court of Appeal examining Rule 20 and establishing “full appreciation test” ― Court of Appeal dismissing Applicant’s appeal to set aside summary judgment ―  Court of Appeal finding future cases of this nature requiring a trial and should not be decided by summary judgment ― Whether courts can prospectively overrule in private law cases ― If courts can prospectively overrule in private law cases, what guidelines should structure their exercise of that discretion ― Ontario </w:t>
            </w:r>
            <w:r w:rsidRPr="003E4A8C">
              <w:rPr>
                <w:rFonts w:eastAsia="Calibri"/>
                <w:i/>
                <w:sz w:val="20"/>
              </w:rPr>
              <w:t>Rules of Civil Procedure</w:t>
            </w:r>
            <w:r w:rsidRPr="003E4A8C">
              <w:rPr>
                <w:rFonts w:eastAsia="Calibri"/>
                <w:sz w:val="20"/>
              </w:rPr>
              <w:t>, amended Rule 20</w:t>
            </w:r>
          </w:p>
        </w:tc>
      </w:tr>
      <w:tr w:rsidR="00B50EA3" w:rsidRPr="003E4A8C" w:rsidTr="009A57C7">
        <w:tc>
          <w:tcPr>
            <w:tcW w:w="5000" w:type="pct"/>
            <w:gridSpan w:val="3"/>
          </w:tcPr>
          <w:p w:rsidR="00B50EA3" w:rsidRPr="003E4A8C" w:rsidRDefault="00B50EA3" w:rsidP="009A57C7">
            <w:pPr>
              <w:jc w:val="both"/>
              <w:rPr>
                <w:rFonts w:eastAsia="Calibri"/>
                <w:sz w:val="20"/>
              </w:rPr>
            </w:pPr>
          </w:p>
        </w:tc>
      </w:tr>
      <w:tr w:rsidR="00B50EA3" w:rsidRPr="003E4A8C" w:rsidTr="009A57C7">
        <w:tc>
          <w:tcPr>
            <w:tcW w:w="5000" w:type="pct"/>
            <w:gridSpan w:val="3"/>
          </w:tcPr>
          <w:p w:rsidR="00B50EA3" w:rsidRPr="003E4A8C" w:rsidRDefault="00B50EA3" w:rsidP="009A57C7">
            <w:pPr>
              <w:jc w:val="both"/>
              <w:rPr>
                <w:rFonts w:eastAsia="Calibri"/>
                <w:color w:val="000000"/>
                <w:sz w:val="20"/>
              </w:rPr>
            </w:pPr>
            <w:bookmarkStart w:id="5" w:name="OLE_LINK3"/>
            <w:bookmarkStart w:id="6" w:name="OLE_LINK4"/>
            <w:r w:rsidRPr="003E4A8C">
              <w:rPr>
                <w:rFonts w:eastAsia="Calibri"/>
                <w:color w:val="000000"/>
                <w:sz w:val="20"/>
              </w:rPr>
              <w:t xml:space="preserve">In the months following the amendments to Rule 20 of the Ontario </w:t>
            </w:r>
            <w:r w:rsidRPr="003E4A8C">
              <w:rPr>
                <w:rFonts w:eastAsia="Calibri"/>
                <w:i/>
                <w:color w:val="000000"/>
                <w:sz w:val="20"/>
              </w:rPr>
              <w:t>Rules of Civil Procedure</w:t>
            </w:r>
            <w:r w:rsidRPr="003E4A8C">
              <w:rPr>
                <w:rFonts w:eastAsia="Calibri"/>
                <w:color w:val="000000"/>
                <w:sz w:val="20"/>
              </w:rPr>
              <w:t xml:space="preserve">, there was controversy and uncertainty as to whether it is appropriate for a motion judge to use the new powers conferred by the amended Rule 20 to decide an action on the basis of the evidence presented on a motion for summary judgment. To provide guidance to the profession, the Ontario Court of Appeal convened a five-judge panel to hear five appeals from decisions under the amended rule. In addition to hearing from counsel representing the parties on the appeals, the court appointed five </w:t>
            </w:r>
            <w:r w:rsidRPr="003E4A8C">
              <w:rPr>
                <w:rFonts w:eastAsia="Calibri"/>
                <w:i/>
                <w:color w:val="000000"/>
                <w:sz w:val="20"/>
              </w:rPr>
              <w:t>amicus curiae</w:t>
            </w:r>
            <w:r w:rsidRPr="003E4A8C">
              <w:rPr>
                <w:rFonts w:eastAsia="Calibri"/>
                <w:color w:val="000000"/>
                <w:sz w:val="20"/>
              </w:rPr>
              <w:t xml:space="preserve"> to provide submissions on how the amended rule should be interpreted and applied.</w:t>
            </w:r>
          </w:p>
          <w:p w:rsidR="00B50EA3" w:rsidRPr="003E4A8C" w:rsidRDefault="00B50EA3" w:rsidP="009A57C7">
            <w:pPr>
              <w:jc w:val="both"/>
              <w:rPr>
                <w:rFonts w:eastAsia="Calibri"/>
                <w:color w:val="000000"/>
                <w:sz w:val="20"/>
              </w:rPr>
            </w:pPr>
          </w:p>
          <w:p w:rsidR="00B50EA3" w:rsidRPr="003E4A8C" w:rsidRDefault="00B50EA3" w:rsidP="009A57C7">
            <w:pPr>
              <w:jc w:val="both"/>
              <w:rPr>
                <w:rFonts w:eastAsia="Calibri"/>
                <w:color w:val="000000"/>
                <w:sz w:val="20"/>
              </w:rPr>
            </w:pPr>
            <w:r w:rsidRPr="003E4A8C">
              <w:rPr>
                <w:rFonts w:eastAsia="Calibri"/>
                <w:color w:val="000000"/>
                <w:sz w:val="20"/>
              </w:rPr>
              <w:t xml:space="preserve">One of the appeals the Court of Appeal heard was the applicant, Mr. Hryniak’s motion to set aside the summary judgment that had been ordered by the Ontario Superior Court of Justice based on the amended Rule 20.  The Court of Appeal dismissed Mr. Hryniak’s appeal.  </w:t>
            </w:r>
            <w:bookmarkEnd w:id="5"/>
            <w:bookmarkEnd w:id="6"/>
          </w:p>
          <w:p w:rsidR="00B50EA3" w:rsidRPr="003E4A8C" w:rsidRDefault="00B50EA3" w:rsidP="009A57C7">
            <w:pPr>
              <w:ind w:right="302"/>
              <w:jc w:val="both"/>
              <w:rPr>
                <w:rFonts w:eastAsia="Calibri"/>
                <w:color w:val="000000"/>
                <w:sz w:val="20"/>
              </w:rPr>
            </w:pPr>
          </w:p>
        </w:tc>
      </w:tr>
      <w:tr w:rsidR="00B50EA3" w:rsidRPr="003E4A8C" w:rsidTr="009A57C7">
        <w:tc>
          <w:tcPr>
            <w:tcW w:w="2427" w:type="pct"/>
          </w:tcPr>
          <w:p w:rsidR="00B50EA3" w:rsidRPr="003E4A8C" w:rsidRDefault="00B50EA3" w:rsidP="009A57C7">
            <w:pPr>
              <w:jc w:val="both"/>
              <w:rPr>
                <w:rFonts w:eastAsia="Calibri"/>
                <w:sz w:val="20"/>
              </w:rPr>
            </w:pPr>
            <w:r w:rsidRPr="003E4A8C">
              <w:rPr>
                <w:rFonts w:eastAsia="Calibri"/>
                <w:sz w:val="20"/>
              </w:rPr>
              <w:t>October 22, 2010</w:t>
            </w:r>
          </w:p>
          <w:p w:rsidR="00B50EA3" w:rsidRPr="003E4A8C" w:rsidRDefault="00B50EA3" w:rsidP="009A57C7">
            <w:pPr>
              <w:jc w:val="both"/>
              <w:rPr>
                <w:rFonts w:eastAsia="Calibri"/>
                <w:sz w:val="20"/>
              </w:rPr>
            </w:pPr>
            <w:r w:rsidRPr="003E4A8C">
              <w:rPr>
                <w:rFonts w:eastAsia="Calibri"/>
                <w:sz w:val="20"/>
              </w:rPr>
              <w:t>Ontario Superior Court of Justice</w:t>
            </w:r>
          </w:p>
          <w:p w:rsidR="00B50EA3" w:rsidRPr="003E4A8C" w:rsidRDefault="00B50EA3" w:rsidP="009A57C7">
            <w:pPr>
              <w:jc w:val="both"/>
              <w:rPr>
                <w:rFonts w:eastAsia="Calibri"/>
                <w:sz w:val="20"/>
              </w:rPr>
            </w:pPr>
            <w:r w:rsidRPr="003E4A8C">
              <w:rPr>
                <w:rFonts w:eastAsia="Calibri"/>
                <w:sz w:val="20"/>
              </w:rPr>
              <w:t>(Grace J.)</w:t>
            </w:r>
          </w:p>
          <w:p w:rsidR="00B50EA3" w:rsidRPr="003E4A8C" w:rsidRDefault="00B50EA3" w:rsidP="009A57C7">
            <w:pPr>
              <w:jc w:val="both"/>
              <w:rPr>
                <w:rFonts w:eastAsia="Calibri"/>
                <w:sz w:val="20"/>
              </w:rPr>
            </w:pPr>
            <w:r w:rsidRPr="003E4A8C">
              <w:rPr>
                <w:rFonts w:eastAsia="Calibri"/>
                <w:sz w:val="20"/>
              </w:rPr>
              <w:t>2010 ONSC 5490</w:t>
            </w:r>
          </w:p>
          <w:p w:rsidR="00B50EA3" w:rsidRPr="003E4A8C" w:rsidRDefault="00B50EA3" w:rsidP="009A57C7">
            <w:pPr>
              <w:jc w:val="both"/>
              <w:rPr>
                <w:rFonts w:eastAsia="Calibri"/>
                <w:sz w:val="20"/>
              </w:rPr>
            </w:pPr>
          </w:p>
        </w:tc>
        <w:tc>
          <w:tcPr>
            <w:tcW w:w="243" w:type="pct"/>
          </w:tcPr>
          <w:p w:rsidR="00B50EA3" w:rsidRPr="003E4A8C" w:rsidRDefault="00B50EA3" w:rsidP="009A57C7">
            <w:pPr>
              <w:jc w:val="both"/>
              <w:rPr>
                <w:rFonts w:eastAsia="Calibri"/>
                <w:sz w:val="20"/>
              </w:rPr>
            </w:pPr>
          </w:p>
        </w:tc>
        <w:tc>
          <w:tcPr>
            <w:tcW w:w="2330" w:type="pct"/>
          </w:tcPr>
          <w:p w:rsidR="00B50EA3" w:rsidRPr="003E4A8C" w:rsidRDefault="00B50EA3" w:rsidP="009A57C7">
            <w:pPr>
              <w:jc w:val="both"/>
              <w:rPr>
                <w:rFonts w:eastAsia="Calibri"/>
                <w:sz w:val="20"/>
              </w:rPr>
            </w:pPr>
            <w:r w:rsidRPr="003E4A8C">
              <w:rPr>
                <w:rFonts w:eastAsia="Calibri"/>
                <w:sz w:val="20"/>
              </w:rPr>
              <w:t>Summary judgment granted against Mr. Hryniak</w:t>
            </w:r>
          </w:p>
          <w:p w:rsidR="00B50EA3" w:rsidRPr="003E4A8C" w:rsidRDefault="00B50EA3" w:rsidP="009A57C7">
            <w:pPr>
              <w:jc w:val="both"/>
              <w:rPr>
                <w:rFonts w:eastAsia="Calibri"/>
                <w:sz w:val="20"/>
              </w:rPr>
            </w:pPr>
          </w:p>
        </w:tc>
      </w:tr>
      <w:tr w:rsidR="00B50EA3" w:rsidRPr="003E4A8C" w:rsidTr="009A57C7">
        <w:tc>
          <w:tcPr>
            <w:tcW w:w="2427" w:type="pct"/>
          </w:tcPr>
          <w:p w:rsidR="00B50EA3" w:rsidRPr="003E4A8C" w:rsidRDefault="00B50EA3" w:rsidP="009A57C7">
            <w:pPr>
              <w:jc w:val="both"/>
              <w:rPr>
                <w:rFonts w:eastAsia="Calibri"/>
                <w:sz w:val="20"/>
              </w:rPr>
            </w:pPr>
            <w:r w:rsidRPr="003E4A8C">
              <w:rPr>
                <w:rFonts w:eastAsia="Calibri"/>
                <w:sz w:val="20"/>
              </w:rPr>
              <w:t>December 5, 2011</w:t>
            </w:r>
          </w:p>
          <w:p w:rsidR="00B50EA3" w:rsidRPr="003E4A8C" w:rsidRDefault="00B50EA3" w:rsidP="009A57C7">
            <w:pPr>
              <w:jc w:val="both"/>
              <w:rPr>
                <w:rFonts w:eastAsia="Calibri"/>
                <w:sz w:val="20"/>
              </w:rPr>
            </w:pPr>
            <w:r w:rsidRPr="003E4A8C">
              <w:rPr>
                <w:rFonts w:eastAsia="Calibri"/>
                <w:sz w:val="20"/>
              </w:rPr>
              <w:t>Court of Appeal for Ontario</w:t>
            </w:r>
          </w:p>
          <w:p w:rsidR="00B50EA3" w:rsidRPr="003E4A8C" w:rsidRDefault="00B50EA3" w:rsidP="009A57C7">
            <w:pPr>
              <w:jc w:val="both"/>
              <w:rPr>
                <w:rFonts w:eastAsia="Calibri"/>
                <w:sz w:val="20"/>
              </w:rPr>
            </w:pPr>
            <w:r w:rsidRPr="003E4A8C">
              <w:rPr>
                <w:rFonts w:eastAsia="Calibri"/>
                <w:sz w:val="20"/>
              </w:rPr>
              <w:t>(Winkler C.J.O and Laskin, Sharpe, Armstrong and Rouleau JJ.A.)</w:t>
            </w:r>
          </w:p>
          <w:p w:rsidR="00B50EA3" w:rsidRPr="003E4A8C" w:rsidRDefault="00B50EA3" w:rsidP="009A57C7">
            <w:pPr>
              <w:jc w:val="both"/>
              <w:rPr>
                <w:rFonts w:eastAsia="Calibri"/>
                <w:sz w:val="20"/>
              </w:rPr>
            </w:pPr>
            <w:r w:rsidRPr="003E4A8C">
              <w:rPr>
                <w:rFonts w:eastAsia="Calibri"/>
                <w:sz w:val="20"/>
              </w:rPr>
              <w:t>2011 ONCA 764</w:t>
            </w:r>
          </w:p>
          <w:p w:rsidR="00B50EA3" w:rsidRPr="003E4A8C" w:rsidRDefault="00B50EA3" w:rsidP="009A57C7">
            <w:pPr>
              <w:jc w:val="both"/>
              <w:rPr>
                <w:rFonts w:eastAsia="Calibri"/>
                <w:sz w:val="20"/>
              </w:rPr>
            </w:pPr>
          </w:p>
        </w:tc>
        <w:tc>
          <w:tcPr>
            <w:tcW w:w="243" w:type="pct"/>
          </w:tcPr>
          <w:p w:rsidR="00B50EA3" w:rsidRPr="003E4A8C" w:rsidRDefault="00B50EA3" w:rsidP="009A57C7">
            <w:pPr>
              <w:jc w:val="both"/>
              <w:rPr>
                <w:rFonts w:eastAsia="Calibri"/>
                <w:sz w:val="20"/>
              </w:rPr>
            </w:pPr>
          </w:p>
        </w:tc>
        <w:tc>
          <w:tcPr>
            <w:tcW w:w="2330" w:type="pct"/>
          </w:tcPr>
          <w:p w:rsidR="00B50EA3" w:rsidRPr="003E4A8C" w:rsidRDefault="00B50EA3" w:rsidP="009A57C7">
            <w:pPr>
              <w:jc w:val="both"/>
              <w:rPr>
                <w:rFonts w:eastAsia="Calibri"/>
                <w:sz w:val="20"/>
              </w:rPr>
            </w:pPr>
            <w:r w:rsidRPr="003E4A8C">
              <w:rPr>
                <w:rFonts w:eastAsia="Calibri"/>
                <w:sz w:val="20"/>
              </w:rPr>
              <w:t>Appeal dismissed.</w:t>
            </w:r>
          </w:p>
          <w:p w:rsidR="00B50EA3" w:rsidRPr="003E4A8C" w:rsidRDefault="00B50EA3" w:rsidP="009A57C7">
            <w:pPr>
              <w:jc w:val="both"/>
              <w:rPr>
                <w:rFonts w:eastAsia="Calibri"/>
                <w:sz w:val="20"/>
              </w:rPr>
            </w:pPr>
          </w:p>
        </w:tc>
      </w:tr>
      <w:tr w:rsidR="00B50EA3" w:rsidRPr="003E4A8C" w:rsidTr="009A57C7">
        <w:tc>
          <w:tcPr>
            <w:tcW w:w="2427" w:type="pct"/>
          </w:tcPr>
          <w:p w:rsidR="00B50EA3" w:rsidRPr="003E4A8C" w:rsidRDefault="00B50EA3" w:rsidP="009A57C7">
            <w:pPr>
              <w:jc w:val="both"/>
              <w:rPr>
                <w:rFonts w:eastAsia="Calibri"/>
                <w:sz w:val="20"/>
              </w:rPr>
            </w:pPr>
            <w:r w:rsidRPr="003E4A8C">
              <w:rPr>
                <w:rFonts w:eastAsia="Calibri"/>
                <w:sz w:val="20"/>
              </w:rPr>
              <w:t>February 2, 2012</w:t>
            </w:r>
          </w:p>
          <w:p w:rsidR="00B50EA3" w:rsidRPr="003E4A8C" w:rsidRDefault="00B50EA3" w:rsidP="009A57C7">
            <w:pPr>
              <w:jc w:val="both"/>
              <w:rPr>
                <w:rFonts w:eastAsia="Calibri"/>
                <w:sz w:val="20"/>
              </w:rPr>
            </w:pPr>
            <w:r w:rsidRPr="003E4A8C">
              <w:rPr>
                <w:rFonts w:eastAsia="Calibri"/>
                <w:sz w:val="20"/>
              </w:rPr>
              <w:t>Supreme Court of Canada</w:t>
            </w:r>
          </w:p>
        </w:tc>
        <w:tc>
          <w:tcPr>
            <w:tcW w:w="243" w:type="pct"/>
          </w:tcPr>
          <w:p w:rsidR="00B50EA3" w:rsidRPr="003E4A8C" w:rsidRDefault="00B50EA3" w:rsidP="009A57C7">
            <w:pPr>
              <w:jc w:val="both"/>
              <w:rPr>
                <w:rFonts w:eastAsia="Calibri"/>
                <w:sz w:val="20"/>
              </w:rPr>
            </w:pPr>
          </w:p>
        </w:tc>
        <w:tc>
          <w:tcPr>
            <w:tcW w:w="2330" w:type="pct"/>
          </w:tcPr>
          <w:p w:rsidR="00B50EA3" w:rsidRPr="003E4A8C" w:rsidRDefault="00B50EA3" w:rsidP="009A57C7">
            <w:pPr>
              <w:jc w:val="both"/>
              <w:rPr>
                <w:rFonts w:eastAsia="Calibri"/>
                <w:sz w:val="20"/>
              </w:rPr>
            </w:pPr>
            <w:r w:rsidRPr="003E4A8C">
              <w:rPr>
                <w:rFonts w:eastAsia="Calibri"/>
                <w:sz w:val="20"/>
              </w:rPr>
              <w:t>Application for leave to appeal filed</w:t>
            </w:r>
          </w:p>
          <w:p w:rsidR="00B50EA3" w:rsidRPr="003E4A8C" w:rsidRDefault="00B50EA3"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52"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50EA3" w:rsidRPr="00147672" w:rsidTr="009A57C7">
        <w:tc>
          <w:tcPr>
            <w:tcW w:w="5000" w:type="pct"/>
            <w:gridSpan w:val="3"/>
          </w:tcPr>
          <w:p w:rsidR="00B50EA3" w:rsidRPr="003E4A8C" w:rsidRDefault="00B50EA3" w:rsidP="009A57C7">
            <w:pPr>
              <w:jc w:val="both"/>
              <w:rPr>
                <w:rFonts w:eastAsia="Calibri"/>
                <w:sz w:val="20"/>
                <w:lang w:val="fr-CA"/>
              </w:rPr>
            </w:pPr>
            <w:r w:rsidRPr="003E4A8C">
              <w:rPr>
                <w:rFonts w:eastAsia="Calibri"/>
                <w:sz w:val="20"/>
                <w:lang w:val="fr-CA"/>
              </w:rPr>
              <w:t xml:space="preserve">Jugements et ordonnances ― Jugements sommaires ― Procédure civile ― Les </w:t>
            </w:r>
            <w:r w:rsidRPr="003E4A8C">
              <w:rPr>
                <w:rFonts w:eastAsia="Calibri"/>
                <w:i/>
                <w:sz w:val="20"/>
                <w:lang w:val="fr-CA"/>
              </w:rPr>
              <w:t>Règles de procédure civile</w:t>
            </w:r>
            <w:r w:rsidRPr="003E4A8C">
              <w:rPr>
                <w:rFonts w:eastAsia="Calibri"/>
                <w:sz w:val="20"/>
                <w:lang w:val="fr-CA"/>
              </w:rPr>
              <w:t xml:space="preserve"> modifiées de l'Ontario ont changé le mécanisme relatif aux jugements sommaires ― Le demandeur interjette appel à la Cour d'appel pour faire annuler un jugement sommaire ― La Cour d'appel examine la règle 20 et établit un nouveau « critère d’appréciation totale » ― La Cour d'appel rejette l'appel du demandeur en annulation du jugement sommaire </w:t>
            </w:r>
            <w:r w:rsidRPr="003E4A8C">
              <w:rPr>
                <w:rFonts w:eastAsia="Calibri"/>
                <w:sz w:val="20"/>
                <w:lang w:val="fr-CA"/>
              </w:rPr>
              <w:lastRenderedPageBreak/>
              <w:t xml:space="preserve">et ordonne la tenue d’un procès ― La Cour d'appel conclut qu'à l'avenir, les affaires comme celle en l’espèce doivent faire l'objet d'un procès et ne devraient pas être tranchées par jugement sommaire ― Les tribunaux peuvent-ils prospectivement infirmer une décision dans les affaires de droit privé? ― Dans l’affirmative, quelles lignes directrices devraient encadrer l’exercice de ce pouvoir discrétionnaire? ― </w:t>
            </w:r>
            <w:r w:rsidRPr="003E4A8C">
              <w:rPr>
                <w:rFonts w:eastAsia="Calibri"/>
                <w:i/>
                <w:sz w:val="20"/>
                <w:lang w:val="fr-CA"/>
              </w:rPr>
              <w:t>Règles de procédure civile</w:t>
            </w:r>
            <w:r w:rsidRPr="003E4A8C">
              <w:rPr>
                <w:rFonts w:eastAsia="Calibri"/>
                <w:sz w:val="20"/>
                <w:lang w:val="fr-CA"/>
              </w:rPr>
              <w:t xml:space="preserve"> de l'Ontario, règle 20 modifiée.</w:t>
            </w:r>
          </w:p>
        </w:tc>
      </w:tr>
      <w:tr w:rsidR="00B50EA3" w:rsidRPr="00147672" w:rsidTr="009A57C7">
        <w:tc>
          <w:tcPr>
            <w:tcW w:w="5000" w:type="pct"/>
            <w:gridSpan w:val="3"/>
          </w:tcPr>
          <w:p w:rsidR="00B50EA3" w:rsidRPr="003E4A8C" w:rsidRDefault="00B50EA3" w:rsidP="009A57C7">
            <w:pPr>
              <w:jc w:val="both"/>
              <w:rPr>
                <w:rFonts w:eastAsia="Calibri"/>
                <w:sz w:val="20"/>
                <w:lang w:val="fr-CA"/>
              </w:rPr>
            </w:pPr>
          </w:p>
        </w:tc>
      </w:tr>
      <w:tr w:rsidR="00B50EA3" w:rsidRPr="003E4A8C" w:rsidTr="009A57C7">
        <w:tc>
          <w:tcPr>
            <w:tcW w:w="5000" w:type="pct"/>
            <w:gridSpan w:val="3"/>
          </w:tcPr>
          <w:p w:rsidR="00B50EA3" w:rsidRPr="003E4A8C" w:rsidRDefault="00B50EA3" w:rsidP="009A57C7">
            <w:pPr>
              <w:jc w:val="both"/>
              <w:rPr>
                <w:rFonts w:eastAsia="Calibri"/>
                <w:color w:val="000000"/>
                <w:sz w:val="20"/>
                <w:lang w:val="fr-CA"/>
              </w:rPr>
            </w:pPr>
            <w:r w:rsidRPr="003E4A8C">
              <w:rPr>
                <w:rFonts w:eastAsia="Calibri"/>
                <w:color w:val="000000"/>
                <w:sz w:val="20"/>
                <w:lang w:val="fr-CA"/>
              </w:rPr>
              <w:t>Dans les mois qui ont suivi les modifications apportées à la règle 20 des</w:t>
            </w:r>
            <w:r w:rsidRPr="003E4A8C">
              <w:rPr>
                <w:rFonts w:eastAsia="Calibri"/>
                <w:i/>
                <w:color w:val="000000"/>
                <w:sz w:val="20"/>
                <w:lang w:val="fr-CA"/>
              </w:rPr>
              <w:t xml:space="preserve"> Règles de procédure civile</w:t>
            </w:r>
            <w:r w:rsidRPr="003E4A8C">
              <w:rPr>
                <w:rFonts w:eastAsia="Calibri"/>
                <w:color w:val="000000"/>
                <w:sz w:val="20"/>
                <w:lang w:val="fr-CA"/>
              </w:rPr>
              <w:t xml:space="preserve"> de l'Ontario, il y a eu une controverse et de l'incertitude quant à la question de savoir si un juge saisi d’une motion peut exercer les nouveaux pouvoirs conférés par la règle 20 modifiée pour juger une action sur le fondement de la preuve présentée dans le cadre d'une motion en jugement sommaire. Pour la gouverne de la profession, la Cour d'appel de l'Ontario a chargé une formation de cinq juges d'instruire cinq appels de décisions rendues en vertu de la règle modifiée. En plus d'entendre les avocats représentant les parties en appel, la Cour a nommé cinq intervenants désintéressés chargés de faire des observations sur la manière dont la règle modifiée devrait être interprétée et appliquée.</w:t>
            </w:r>
          </w:p>
          <w:p w:rsidR="00B50EA3" w:rsidRPr="003E4A8C" w:rsidRDefault="00B50EA3" w:rsidP="009A57C7">
            <w:pPr>
              <w:ind w:right="302"/>
              <w:jc w:val="both"/>
              <w:rPr>
                <w:rFonts w:eastAsia="Calibri"/>
                <w:color w:val="000000"/>
                <w:sz w:val="20"/>
                <w:lang w:val="fr-CA"/>
              </w:rPr>
            </w:pPr>
          </w:p>
          <w:p w:rsidR="00B50EA3" w:rsidRPr="003E4A8C" w:rsidRDefault="00B50EA3" w:rsidP="009A57C7">
            <w:pPr>
              <w:jc w:val="both"/>
              <w:rPr>
                <w:rFonts w:eastAsia="Calibri"/>
                <w:color w:val="000000"/>
                <w:sz w:val="20"/>
                <w:lang w:val="fr-CA"/>
              </w:rPr>
            </w:pPr>
            <w:r w:rsidRPr="003E4A8C">
              <w:rPr>
                <w:rFonts w:eastAsia="Calibri"/>
                <w:color w:val="000000"/>
                <w:sz w:val="20"/>
                <w:lang w:val="fr-CA"/>
              </w:rPr>
              <w:t xml:space="preserve">Un des appels entendus par la Cour d'appel portait sur la motion du demandeur M. Hryniak en annulation du jugement sommaire qui avait été prononcé par la Cour supérieure de justice sur le fondement de la règle 20 modifiée. La Cour d'appel a rejeté l'appel de M. Hryniak.  </w:t>
            </w:r>
          </w:p>
          <w:p w:rsidR="00B50EA3" w:rsidRPr="003E4A8C" w:rsidRDefault="00B50EA3" w:rsidP="009A57C7">
            <w:pPr>
              <w:jc w:val="both"/>
              <w:rPr>
                <w:rFonts w:eastAsia="Calibri"/>
                <w:sz w:val="20"/>
                <w:lang w:val="fr-CA"/>
              </w:rPr>
            </w:pPr>
          </w:p>
        </w:tc>
      </w:tr>
      <w:tr w:rsidR="00B50EA3" w:rsidRPr="00147672" w:rsidTr="009A57C7">
        <w:tc>
          <w:tcPr>
            <w:tcW w:w="2427" w:type="pct"/>
          </w:tcPr>
          <w:p w:rsidR="00B50EA3" w:rsidRPr="003E4A8C" w:rsidRDefault="00B50EA3" w:rsidP="009A57C7">
            <w:pPr>
              <w:jc w:val="both"/>
              <w:rPr>
                <w:rFonts w:eastAsia="Calibri"/>
                <w:sz w:val="20"/>
                <w:lang w:val="fr-CA"/>
              </w:rPr>
            </w:pPr>
            <w:r w:rsidRPr="003E4A8C">
              <w:rPr>
                <w:rFonts w:eastAsia="Calibri"/>
                <w:sz w:val="20"/>
                <w:lang w:val="fr-CA"/>
              </w:rPr>
              <w:t>22 octobre 2010</w:t>
            </w:r>
          </w:p>
          <w:p w:rsidR="00B50EA3" w:rsidRPr="003E4A8C" w:rsidRDefault="00B50EA3" w:rsidP="009A57C7">
            <w:pPr>
              <w:jc w:val="both"/>
              <w:rPr>
                <w:rFonts w:eastAsia="Calibri"/>
                <w:sz w:val="20"/>
                <w:lang w:val="fr-CA"/>
              </w:rPr>
            </w:pPr>
            <w:r w:rsidRPr="003E4A8C">
              <w:rPr>
                <w:rFonts w:eastAsia="Calibri"/>
                <w:sz w:val="20"/>
                <w:lang w:val="fr-CA"/>
              </w:rPr>
              <w:t xml:space="preserve">Cour supérieure de justice de l'Ontario </w:t>
            </w:r>
          </w:p>
          <w:p w:rsidR="00B50EA3" w:rsidRPr="003E4A8C" w:rsidRDefault="00B50EA3" w:rsidP="009A57C7">
            <w:pPr>
              <w:jc w:val="both"/>
              <w:rPr>
                <w:rFonts w:eastAsia="Calibri"/>
                <w:sz w:val="20"/>
                <w:lang w:val="fr-CA"/>
              </w:rPr>
            </w:pPr>
            <w:r w:rsidRPr="003E4A8C">
              <w:rPr>
                <w:rFonts w:eastAsia="Calibri"/>
                <w:sz w:val="20"/>
                <w:lang w:val="fr-CA"/>
              </w:rPr>
              <w:t>(Juge Grace)</w:t>
            </w:r>
          </w:p>
          <w:p w:rsidR="00B50EA3" w:rsidRPr="003E4A8C" w:rsidRDefault="00B50EA3" w:rsidP="009A57C7">
            <w:pPr>
              <w:jc w:val="both"/>
              <w:rPr>
                <w:rFonts w:eastAsia="Calibri"/>
                <w:sz w:val="20"/>
                <w:lang w:val="fr-CA"/>
              </w:rPr>
            </w:pPr>
            <w:r w:rsidRPr="003E4A8C">
              <w:rPr>
                <w:rFonts w:eastAsia="Calibri"/>
                <w:sz w:val="20"/>
                <w:lang w:val="fr-CA"/>
              </w:rPr>
              <w:t>2010 ONSC 5490</w:t>
            </w:r>
          </w:p>
          <w:p w:rsidR="00B50EA3" w:rsidRPr="003E4A8C" w:rsidRDefault="00B50EA3" w:rsidP="009A57C7">
            <w:pPr>
              <w:jc w:val="both"/>
              <w:rPr>
                <w:rFonts w:eastAsia="Calibri"/>
                <w:sz w:val="20"/>
                <w:lang w:val="fr-CA"/>
              </w:rPr>
            </w:pPr>
          </w:p>
        </w:tc>
        <w:tc>
          <w:tcPr>
            <w:tcW w:w="243" w:type="pct"/>
          </w:tcPr>
          <w:p w:rsidR="00B50EA3" w:rsidRPr="003E4A8C" w:rsidRDefault="00B50EA3" w:rsidP="009A57C7">
            <w:pPr>
              <w:jc w:val="both"/>
              <w:rPr>
                <w:rFonts w:eastAsia="Calibri"/>
                <w:sz w:val="20"/>
                <w:lang w:val="fr-CA"/>
              </w:rPr>
            </w:pPr>
          </w:p>
        </w:tc>
        <w:tc>
          <w:tcPr>
            <w:tcW w:w="2330" w:type="pct"/>
          </w:tcPr>
          <w:p w:rsidR="00B50EA3" w:rsidRPr="003E4A8C" w:rsidRDefault="00B50EA3" w:rsidP="009A57C7">
            <w:pPr>
              <w:jc w:val="both"/>
              <w:rPr>
                <w:rFonts w:eastAsia="Calibri"/>
                <w:sz w:val="20"/>
                <w:lang w:val="fr-CA"/>
              </w:rPr>
            </w:pPr>
            <w:r w:rsidRPr="003E4A8C">
              <w:rPr>
                <w:rFonts w:eastAsia="Calibri"/>
                <w:sz w:val="20"/>
                <w:lang w:val="fr-CA"/>
              </w:rPr>
              <w:t>Jugement sommaire prononcé contre M. Hryniak</w:t>
            </w:r>
          </w:p>
          <w:p w:rsidR="00B50EA3" w:rsidRPr="003E4A8C" w:rsidRDefault="00B50EA3" w:rsidP="009A57C7">
            <w:pPr>
              <w:jc w:val="both"/>
              <w:rPr>
                <w:rFonts w:eastAsia="Calibri"/>
                <w:sz w:val="20"/>
                <w:lang w:val="fr-CA"/>
              </w:rPr>
            </w:pPr>
          </w:p>
        </w:tc>
      </w:tr>
      <w:tr w:rsidR="00B50EA3" w:rsidRPr="003E4A8C" w:rsidTr="009A57C7">
        <w:tc>
          <w:tcPr>
            <w:tcW w:w="2427" w:type="pct"/>
          </w:tcPr>
          <w:p w:rsidR="00B50EA3" w:rsidRPr="003E4A8C" w:rsidRDefault="00B50EA3" w:rsidP="009A57C7">
            <w:pPr>
              <w:jc w:val="both"/>
              <w:rPr>
                <w:rFonts w:eastAsia="Calibri"/>
                <w:sz w:val="20"/>
                <w:lang w:val="fr-CA"/>
              </w:rPr>
            </w:pPr>
            <w:r w:rsidRPr="003E4A8C">
              <w:rPr>
                <w:rFonts w:eastAsia="Calibri"/>
                <w:sz w:val="20"/>
                <w:lang w:val="fr-CA"/>
              </w:rPr>
              <w:t>5 décembre 2011</w:t>
            </w:r>
          </w:p>
          <w:p w:rsidR="00B50EA3" w:rsidRPr="003E4A8C" w:rsidRDefault="00B50EA3" w:rsidP="009A57C7">
            <w:pPr>
              <w:jc w:val="both"/>
              <w:rPr>
                <w:rFonts w:eastAsia="Calibri"/>
                <w:sz w:val="20"/>
                <w:lang w:val="fr-CA"/>
              </w:rPr>
            </w:pPr>
            <w:r w:rsidRPr="003E4A8C">
              <w:rPr>
                <w:rFonts w:eastAsia="Calibri"/>
                <w:sz w:val="20"/>
                <w:lang w:val="fr-CA"/>
              </w:rPr>
              <w:t xml:space="preserve">Cour d'appel de l'Ontario </w:t>
            </w:r>
          </w:p>
          <w:p w:rsidR="00B50EA3" w:rsidRPr="003E4A8C" w:rsidRDefault="00B50EA3" w:rsidP="009A57C7">
            <w:pPr>
              <w:jc w:val="both"/>
              <w:rPr>
                <w:rFonts w:eastAsia="Calibri"/>
                <w:sz w:val="20"/>
                <w:lang w:val="fr-CA"/>
              </w:rPr>
            </w:pPr>
            <w:r w:rsidRPr="003E4A8C">
              <w:rPr>
                <w:rFonts w:eastAsia="Calibri"/>
                <w:sz w:val="20"/>
                <w:lang w:val="fr-CA"/>
              </w:rPr>
              <w:t>(Juge en chef Winkler, juges Laskin, Sharpe,  Armstrong et Rouleau)</w:t>
            </w:r>
          </w:p>
          <w:p w:rsidR="00B50EA3" w:rsidRPr="003E4A8C" w:rsidRDefault="00B50EA3" w:rsidP="009A57C7">
            <w:pPr>
              <w:jc w:val="both"/>
              <w:rPr>
                <w:rFonts w:eastAsia="Calibri"/>
                <w:sz w:val="20"/>
                <w:lang w:val="fr-CA"/>
              </w:rPr>
            </w:pPr>
            <w:r w:rsidRPr="003E4A8C">
              <w:rPr>
                <w:rFonts w:eastAsia="Calibri"/>
                <w:sz w:val="20"/>
                <w:lang w:val="fr-CA"/>
              </w:rPr>
              <w:t>2011 ONCA 764</w:t>
            </w:r>
          </w:p>
          <w:p w:rsidR="00B50EA3" w:rsidRPr="003E4A8C" w:rsidRDefault="00B50EA3" w:rsidP="009A57C7">
            <w:pPr>
              <w:jc w:val="both"/>
              <w:rPr>
                <w:rFonts w:eastAsia="Calibri"/>
                <w:sz w:val="20"/>
                <w:lang w:val="fr-CA"/>
              </w:rPr>
            </w:pPr>
          </w:p>
        </w:tc>
        <w:tc>
          <w:tcPr>
            <w:tcW w:w="243" w:type="pct"/>
          </w:tcPr>
          <w:p w:rsidR="00B50EA3" w:rsidRPr="003E4A8C" w:rsidRDefault="00B50EA3" w:rsidP="009A57C7">
            <w:pPr>
              <w:jc w:val="both"/>
              <w:rPr>
                <w:rFonts w:eastAsia="Calibri"/>
                <w:sz w:val="20"/>
                <w:lang w:val="fr-CA"/>
              </w:rPr>
            </w:pPr>
          </w:p>
        </w:tc>
        <w:tc>
          <w:tcPr>
            <w:tcW w:w="2330" w:type="pct"/>
          </w:tcPr>
          <w:p w:rsidR="00B50EA3" w:rsidRPr="003E4A8C" w:rsidRDefault="00B50EA3" w:rsidP="009A57C7">
            <w:pPr>
              <w:jc w:val="both"/>
              <w:rPr>
                <w:rFonts w:eastAsia="Calibri"/>
                <w:sz w:val="20"/>
                <w:lang w:val="fr-CA"/>
              </w:rPr>
            </w:pPr>
            <w:r w:rsidRPr="003E4A8C">
              <w:rPr>
                <w:rFonts w:eastAsia="Calibri"/>
                <w:sz w:val="20"/>
                <w:lang w:val="fr-CA"/>
              </w:rPr>
              <w:t>Appel rejeté</w:t>
            </w:r>
          </w:p>
          <w:p w:rsidR="00B50EA3" w:rsidRPr="003E4A8C" w:rsidRDefault="00B50EA3" w:rsidP="009A57C7">
            <w:pPr>
              <w:jc w:val="both"/>
              <w:rPr>
                <w:rFonts w:eastAsia="Calibri"/>
                <w:sz w:val="20"/>
                <w:lang w:val="fr-CA"/>
              </w:rPr>
            </w:pPr>
          </w:p>
        </w:tc>
      </w:tr>
      <w:tr w:rsidR="00B50EA3" w:rsidRPr="003E4A8C" w:rsidTr="009A57C7">
        <w:tc>
          <w:tcPr>
            <w:tcW w:w="2427" w:type="pct"/>
          </w:tcPr>
          <w:p w:rsidR="00B50EA3" w:rsidRPr="003E4A8C" w:rsidRDefault="00B50EA3" w:rsidP="009A57C7">
            <w:pPr>
              <w:jc w:val="both"/>
              <w:rPr>
                <w:rFonts w:eastAsia="Calibri"/>
                <w:sz w:val="20"/>
                <w:lang w:val="fr-CA"/>
              </w:rPr>
            </w:pPr>
            <w:r w:rsidRPr="003E4A8C">
              <w:rPr>
                <w:rFonts w:eastAsia="Calibri"/>
                <w:sz w:val="20"/>
                <w:lang w:val="fr-CA"/>
              </w:rPr>
              <w:t>3 février 2012</w:t>
            </w:r>
          </w:p>
          <w:p w:rsidR="00B50EA3" w:rsidRPr="003E4A8C" w:rsidRDefault="00B50EA3" w:rsidP="009A57C7">
            <w:pPr>
              <w:jc w:val="both"/>
              <w:rPr>
                <w:rFonts w:eastAsia="Calibri"/>
                <w:sz w:val="20"/>
                <w:lang w:val="fr-CA"/>
              </w:rPr>
            </w:pPr>
            <w:r w:rsidRPr="003E4A8C">
              <w:rPr>
                <w:rFonts w:eastAsia="Calibri"/>
                <w:sz w:val="20"/>
                <w:lang w:val="fr-CA"/>
              </w:rPr>
              <w:t>Cour suprême d</w:t>
            </w:r>
            <w:r>
              <w:rPr>
                <w:rFonts w:eastAsia="Calibri"/>
                <w:sz w:val="20"/>
                <w:lang w:val="fr-CA"/>
              </w:rPr>
              <w:t>u Canada</w:t>
            </w:r>
          </w:p>
        </w:tc>
        <w:tc>
          <w:tcPr>
            <w:tcW w:w="243" w:type="pct"/>
          </w:tcPr>
          <w:p w:rsidR="00B50EA3" w:rsidRPr="003E4A8C" w:rsidRDefault="00B50EA3" w:rsidP="009A57C7">
            <w:pPr>
              <w:jc w:val="both"/>
              <w:rPr>
                <w:rFonts w:eastAsia="Calibri"/>
                <w:sz w:val="20"/>
                <w:lang w:val="fr-CA"/>
              </w:rPr>
            </w:pPr>
          </w:p>
        </w:tc>
        <w:tc>
          <w:tcPr>
            <w:tcW w:w="2330" w:type="pct"/>
          </w:tcPr>
          <w:p w:rsidR="00B50EA3" w:rsidRPr="003E4A8C" w:rsidRDefault="00B50EA3" w:rsidP="009A57C7">
            <w:pPr>
              <w:jc w:val="both"/>
              <w:rPr>
                <w:rFonts w:eastAsia="Calibri"/>
                <w:sz w:val="20"/>
                <w:lang w:val="fr-CA"/>
              </w:rPr>
            </w:pPr>
            <w:r w:rsidRPr="003E4A8C">
              <w:rPr>
                <w:rFonts w:eastAsia="Calibri"/>
                <w:sz w:val="20"/>
                <w:lang w:val="fr-CA"/>
              </w:rPr>
              <w:t>Demande d'autorisation d'appel, déposée</w:t>
            </w:r>
          </w:p>
          <w:p w:rsidR="00B50EA3" w:rsidRPr="003E4A8C" w:rsidRDefault="00B50EA3" w:rsidP="009A57C7">
            <w:pPr>
              <w:jc w:val="both"/>
              <w:rPr>
                <w:rFonts w:eastAsia="Calibri"/>
                <w:sz w:val="20"/>
                <w:lang w:val="fr-CA"/>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53"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82EB3" w:rsidRPr="00982EB3" w:rsidTr="008B5DBF">
        <w:trPr>
          <w:cantSplit/>
        </w:trPr>
        <w:tc>
          <w:tcPr>
            <w:tcW w:w="1458" w:type="dxa"/>
          </w:tcPr>
          <w:p w:rsidR="00982EB3" w:rsidRPr="00982EB3" w:rsidRDefault="00982EB3" w:rsidP="008B5DBF">
            <w:pPr>
              <w:rPr>
                <w:rFonts w:cs="Times New Roman"/>
                <w:sz w:val="20"/>
                <w:szCs w:val="20"/>
              </w:rPr>
            </w:pPr>
            <w:r w:rsidRPr="00982EB3">
              <w:rPr>
                <w:rStyle w:val="SCCFileNumberChar"/>
                <w:sz w:val="20"/>
                <w:szCs w:val="20"/>
              </w:rPr>
              <w:t>34645</w:t>
            </w:r>
          </w:p>
          <w:p w:rsidR="00982EB3" w:rsidRPr="00982EB3" w:rsidRDefault="00982EB3" w:rsidP="008B5DBF">
            <w:pPr>
              <w:rPr>
                <w:rFonts w:cs="Times New Roman"/>
                <w:b/>
                <w:sz w:val="20"/>
                <w:szCs w:val="20"/>
                <w:lang w:val="fr-CA"/>
              </w:rPr>
            </w:pPr>
          </w:p>
        </w:tc>
        <w:tc>
          <w:tcPr>
            <w:tcW w:w="8118" w:type="dxa"/>
          </w:tcPr>
          <w:p w:rsidR="00982EB3" w:rsidRPr="00982EB3" w:rsidRDefault="00982EB3" w:rsidP="008B5DBF">
            <w:pPr>
              <w:rPr>
                <w:rFonts w:cs="Times New Roman"/>
                <w:sz w:val="20"/>
                <w:szCs w:val="20"/>
              </w:rPr>
            </w:pPr>
            <w:r w:rsidRPr="00982EB3">
              <w:rPr>
                <w:rStyle w:val="SCCLsocChar"/>
                <w:rFonts w:cs="Times New Roman"/>
                <w:sz w:val="20"/>
                <w:szCs w:val="20"/>
                <w:lang w:val="en-CA"/>
              </w:rPr>
              <w:t>Bruno Appliance and Furniture, Inc. v. Robert Hryniak</w:t>
            </w:r>
            <w:r w:rsidRPr="00982EB3">
              <w:rPr>
                <w:rFonts w:cs="Times New Roman"/>
                <w:sz w:val="20"/>
                <w:szCs w:val="20"/>
              </w:rPr>
              <w:t xml:space="preserve"> (Ont.) (Civil) (By Leave)</w:t>
            </w:r>
          </w:p>
          <w:p w:rsidR="00982EB3" w:rsidRPr="00982EB3" w:rsidRDefault="00982EB3" w:rsidP="008B5DBF">
            <w:pPr>
              <w:rPr>
                <w:rFonts w:cs="Times New Roman"/>
                <w:sz w:val="20"/>
                <w:szCs w:val="20"/>
              </w:rPr>
            </w:pPr>
          </w:p>
        </w:tc>
      </w:tr>
      <w:tr w:rsidR="00982EB3" w:rsidRPr="00982EB3" w:rsidTr="008B5DBF">
        <w:trPr>
          <w:cantSplit/>
        </w:trPr>
        <w:tc>
          <w:tcPr>
            <w:tcW w:w="1458" w:type="dxa"/>
          </w:tcPr>
          <w:p w:rsidR="00982EB3" w:rsidRPr="00982EB3" w:rsidRDefault="00982EB3" w:rsidP="008B5DBF">
            <w:pPr>
              <w:rPr>
                <w:rFonts w:cs="Times New Roman"/>
                <w:sz w:val="20"/>
                <w:szCs w:val="20"/>
              </w:rPr>
            </w:pPr>
            <w:r w:rsidRPr="00982EB3">
              <w:rPr>
                <w:rFonts w:cs="Times New Roman"/>
                <w:sz w:val="20"/>
                <w:szCs w:val="20"/>
              </w:rPr>
              <w:t>Coram :</w:t>
            </w:r>
          </w:p>
        </w:tc>
        <w:tc>
          <w:tcPr>
            <w:tcW w:w="8118" w:type="dxa"/>
          </w:tcPr>
          <w:p w:rsidR="00982EB3" w:rsidRPr="00982EB3" w:rsidRDefault="00982EB3" w:rsidP="008B5DBF">
            <w:pPr>
              <w:rPr>
                <w:rFonts w:cs="Times New Roman"/>
                <w:sz w:val="20"/>
                <w:szCs w:val="20"/>
              </w:rPr>
            </w:pPr>
            <w:r w:rsidRPr="00982EB3">
              <w:rPr>
                <w:rStyle w:val="SCCCoramChar"/>
                <w:rFonts w:cs="Times New Roman"/>
                <w:sz w:val="20"/>
                <w:szCs w:val="20"/>
                <w:lang w:val="en-CA"/>
              </w:rPr>
              <w:t>McLachlin C.J. and Rothstein and Moldaver JJ.</w:t>
            </w:r>
          </w:p>
          <w:p w:rsidR="00982EB3" w:rsidRPr="00982EB3" w:rsidRDefault="00982EB3" w:rsidP="008B5DBF">
            <w:pPr>
              <w:rPr>
                <w:rFonts w:cs="Times New Roman"/>
                <w:sz w:val="20"/>
                <w:szCs w:val="20"/>
                <w:u w:val="single"/>
              </w:rPr>
            </w:pPr>
          </w:p>
        </w:tc>
      </w:tr>
      <w:tr w:rsidR="00982EB3" w:rsidRPr="00982EB3" w:rsidTr="008B5DBF">
        <w:trPr>
          <w:cantSplit/>
        </w:trPr>
        <w:tc>
          <w:tcPr>
            <w:tcW w:w="9576" w:type="dxa"/>
            <w:gridSpan w:val="2"/>
          </w:tcPr>
          <w:p w:rsidR="00982EB3" w:rsidRPr="00982EB3" w:rsidRDefault="00982EB3" w:rsidP="008B5DBF">
            <w:pPr>
              <w:pStyle w:val="SCCShortJudgment"/>
              <w:rPr>
                <w:rFonts w:cs="Times New Roman"/>
                <w:szCs w:val="20"/>
                <w:lang w:val="fr-CA"/>
              </w:rPr>
            </w:pPr>
            <w:r w:rsidRPr="00982EB3">
              <w:rPr>
                <w:rFonts w:cs="Times New Roman"/>
                <w:szCs w:val="20"/>
              </w:rPr>
              <w:t xml:space="preserve">The application for leave to appeal from the judgment of the Court of Appeal for Ontario, Number C52913, 2011 ONCA 764, dated December 5, 2011, is granted with costs in the cause.  The appeal is to be heard with </w:t>
            </w:r>
            <w:r w:rsidRPr="00982EB3">
              <w:rPr>
                <w:rFonts w:cs="Times New Roman"/>
                <w:i/>
                <w:szCs w:val="20"/>
              </w:rPr>
              <w:t>Robert Hryniak v. Fred Mauldin, et al.</w:t>
            </w:r>
            <w:r w:rsidRPr="00982EB3">
              <w:rPr>
                <w:rFonts w:cs="Times New Roman"/>
                <w:szCs w:val="20"/>
              </w:rPr>
              <w:t xml:space="preserve"> </w:t>
            </w:r>
            <w:r w:rsidRPr="00982EB3">
              <w:rPr>
                <w:rFonts w:cs="Times New Roman"/>
                <w:szCs w:val="20"/>
                <w:lang w:val="fr-CA"/>
              </w:rPr>
              <w:t>(34641).</w:t>
            </w:r>
          </w:p>
          <w:p w:rsidR="00982EB3" w:rsidRPr="00982EB3" w:rsidRDefault="00982EB3" w:rsidP="008B5DBF">
            <w:pPr>
              <w:pStyle w:val="SCCShortJudgment"/>
              <w:ind w:firstLine="0"/>
              <w:rPr>
                <w:rFonts w:cs="Times New Roman"/>
                <w:szCs w:val="20"/>
                <w:lang w:val="fr-CA"/>
              </w:rPr>
            </w:pPr>
          </w:p>
          <w:p w:rsidR="00982EB3" w:rsidRPr="00982EB3" w:rsidRDefault="00982EB3" w:rsidP="008B5DBF">
            <w:pPr>
              <w:pStyle w:val="SCCShortJudgment"/>
              <w:rPr>
                <w:rFonts w:cs="Times New Roman"/>
                <w:szCs w:val="20"/>
              </w:rPr>
            </w:pPr>
            <w:r w:rsidRPr="00982EB3">
              <w:rPr>
                <w:rFonts w:cs="Times New Roman"/>
                <w:szCs w:val="20"/>
                <w:lang w:val="fr-CA"/>
              </w:rPr>
              <w:t xml:space="preserve">La demande d’autorisation d’appel de l’arrêt de la Cour d’appel de l’Ontario, numéro C52913, 2011 ONCA 764, daté du 5 décembre 2011, est accueillie avec dépens suivant l’issue de la cause.  L’appel sera entendu avec </w:t>
            </w:r>
            <w:r w:rsidRPr="00982EB3">
              <w:rPr>
                <w:rFonts w:cs="Times New Roman"/>
                <w:i/>
                <w:szCs w:val="20"/>
                <w:lang w:val="fr-CA"/>
              </w:rPr>
              <w:t>Robert Hryniak c. Fred Mauldin, et al.</w:t>
            </w:r>
            <w:r w:rsidRPr="00982EB3">
              <w:rPr>
                <w:rFonts w:cs="Times New Roman"/>
                <w:szCs w:val="20"/>
                <w:lang w:val="fr-CA"/>
              </w:rPr>
              <w:t xml:space="preserve"> </w:t>
            </w:r>
            <w:r w:rsidRPr="00982EB3">
              <w:rPr>
                <w:rFonts w:cs="Times New Roman"/>
                <w:szCs w:val="20"/>
              </w:rPr>
              <w:t>(34641).</w:t>
            </w:r>
          </w:p>
        </w:tc>
      </w:tr>
    </w:tbl>
    <w:p w:rsidR="00F96FE7" w:rsidRDefault="00F96FE7" w:rsidP="00F96FE7">
      <w:pPr>
        <w:rPr>
          <w:sz w:val="20"/>
          <w:szCs w:val="20"/>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C1E42" w:rsidRPr="003E4A8C" w:rsidTr="009A57C7">
        <w:tc>
          <w:tcPr>
            <w:tcW w:w="5000" w:type="pct"/>
            <w:gridSpan w:val="3"/>
          </w:tcPr>
          <w:p w:rsidR="004C1E42" w:rsidRPr="003E4A8C" w:rsidRDefault="004C1E42" w:rsidP="009A57C7">
            <w:pPr>
              <w:jc w:val="both"/>
              <w:rPr>
                <w:rFonts w:eastAsia="Calibri"/>
                <w:sz w:val="20"/>
              </w:rPr>
            </w:pPr>
            <w:r w:rsidRPr="003E4A8C">
              <w:rPr>
                <w:rFonts w:eastAsia="Calibri"/>
                <w:sz w:val="20"/>
              </w:rPr>
              <w:t xml:space="preserve">Judgments and orders ― Summary judgments ― Civil procedure ― Amended Ontario </w:t>
            </w:r>
            <w:r w:rsidRPr="003E4A8C">
              <w:rPr>
                <w:rFonts w:eastAsia="Calibri"/>
                <w:i/>
                <w:sz w:val="20"/>
              </w:rPr>
              <w:t>Rules of Civil Procedure</w:t>
            </w:r>
            <w:r w:rsidRPr="003E4A8C">
              <w:rPr>
                <w:rFonts w:eastAsia="Calibri"/>
                <w:sz w:val="20"/>
              </w:rPr>
              <w:t xml:space="preserve"> changed </w:t>
            </w:r>
            <w:r w:rsidRPr="003E4A8C">
              <w:rPr>
                <w:rFonts w:eastAsia="Calibri"/>
                <w:color w:val="000000"/>
                <w:sz w:val="20"/>
              </w:rPr>
              <w:t xml:space="preserve">summary judgment mechanism </w:t>
            </w:r>
            <w:r w:rsidRPr="003E4A8C">
              <w:rPr>
                <w:rFonts w:eastAsia="Calibri"/>
                <w:sz w:val="20"/>
              </w:rPr>
              <w:t xml:space="preserve">― Respondent appealing to Court of Appeal to have summary judgment set </w:t>
            </w:r>
            <w:r w:rsidRPr="003E4A8C">
              <w:rPr>
                <w:rFonts w:eastAsia="Calibri"/>
                <w:sz w:val="20"/>
              </w:rPr>
              <w:lastRenderedPageBreak/>
              <w:t xml:space="preserve">aside ― Court of Appeal examining Rule 20 and establishing new “full appreciation test” ― Court of Appeal allowing Respondent’s appeal to set aside summary judgment and ordering trial ―  Court of Appeal finding future cases of this nature requiring a trial and should not be decided by summary judgment ― What is the appropriate test for summary disposition under Rule 20 of Ontario’s </w:t>
            </w:r>
            <w:r w:rsidRPr="003E4A8C">
              <w:rPr>
                <w:rFonts w:eastAsia="Calibri"/>
                <w:i/>
                <w:sz w:val="20"/>
              </w:rPr>
              <w:t xml:space="preserve">Rules of Civil Procedure </w:t>
            </w:r>
            <w:r w:rsidRPr="003E4A8C">
              <w:rPr>
                <w:rFonts w:eastAsia="Calibri"/>
                <w:sz w:val="20"/>
              </w:rPr>
              <w:t xml:space="preserve">― What are the elements and standard of proof applicable to the common law tort of civil fraud ― Ontario </w:t>
            </w:r>
            <w:r w:rsidRPr="003E4A8C">
              <w:rPr>
                <w:rFonts w:eastAsia="Calibri"/>
                <w:i/>
                <w:sz w:val="20"/>
              </w:rPr>
              <w:t>Rules of Civil Procedure</w:t>
            </w:r>
            <w:r w:rsidRPr="003E4A8C">
              <w:rPr>
                <w:rFonts w:eastAsia="Calibri"/>
                <w:sz w:val="20"/>
              </w:rPr>
              <w:t>, amended Rule 20</w:t>
            </w:r>
          </w:p>
        </w:tc>
      </w:tr>
      <w:tr w:rsidR="004C1E42" w:rsidRPr="003E4A8C" w:rsidTr="009A57C7">
        <w:tc>
          <w:tcPr>
            <w:tcW w:w="5000" w:type="pct"/>
            <w:gridSpan w:val="3"/>
          </w:tcPr>
          <w:p w:rsidR="004C1E42" w:rsidRPr="003E4A8C" w:rsidRDefault="004C1E42" w:rsidP="009A57C7">
            <w:pPr>
              <w:jc w:val="both"/>
              <w:rPr>
                <w:rFonts w:eastAsia="Calibri"/>
                <w:sz w:val="20"/>
              </w:rPr>
            </w:pPr>
          </w:p>
        </w:tc>
      </w:tr>
      <w:tr w:rsidR="004C1E42" w:rsidRPr="003E4A8C" w:rsidTr="009A57C7">
        <w:tc>
          <w:tcPr>
            <w:tcW w:w="5000" w:type="pct"/>
            <w:gridSpan w:val="3"/>
          </w:tcPr>
          <w:p w:rsidR="004C1E42" w:rsidRPr="003E4A8C" w:rsidRDefault="004C1E42" w:rsidP="009A57C7">
            <w:pPr>
              <w:jc w:val="both"/>
              <w:rPr>
                <w:rFonts w:eastAsia="Calibri"/>
                <w:color w:val="000000"/>
                <w:sz w:val="20"/>
              </w:rPr>
            </w:pPr>
            <w:r w:rsidRPr="003E4A8C">
              <w:rPr>
                <w:rFonts w:eastAsia="Calibri"/>
                <w:color w:val="000000"/>
                <w:sz w:val="20"/>
              </w:rPr>
              <w:t xml:space="preserve">In the months following the amendments to Rule 20 of the Ontario </w:t>
            </w:r>
            <w:r w:rsidRPr="003E4A8C">
              <w:rPr>
                <w:rFonts w:eastAsia="Calibri"/>
                <w:i/>
                <w:color w:val="000000"/>
                <w:sz w:val="20"/>
              </w:rPr>
              <w:t>Rules of Civil Procedure</w:t>
            </w:r>
            <w:r w:rsidRPr="003E4A8C">
              <w:rPr>
                <w:rFonts w:eastAsia="Calibri"/>
                <w:color w:val="000000"/>
                <w:sz w:val="20"/>
              </w:rPr>
              <w:t xml:space="preserve">, there was controversy and uncertainty as to whether it is appropriate for a motion judge to use the new powers conferred by the amended Rule 20 to decide an action on the basis of the evidence presented on a motion for summary judgment. To provide some guidance to the profession, the Ontario Court of Appeal convened a five-judge panel to hear five appeals from decisions under the amended rule. In addition to hearing from counsel representing the parties on the appeals, the court appointed five </w:t>
            </w:r>
            <w:r w:rsidRPr="003E4A8C">
              <w:rPr>
                <w:rFonts w:eastAsia="Calibri"/>
                <w:i/>
                <w:color w:val="000000"/>
                <w:sz w:val="20"/>
              </w:rPr>
              <w:t>amicus curiae</w:t>
            </w:r>
            <w:r w:rsidRPr="003E4A8C">
              <w:rPr>
                <w:rFonts w:eastAsia="Calibri"/>
                <w:color w:val="000000"/>
                <w:sz w:val="20"/>
              </w:rPr>
              <w:t xml:space="preserve"> to provide submissions on how the amended rule should be interpreted and applied.</w:t>
            </w:r>
          </w:p>
          <w:p w:rsidR="004C1E42" w:rsidRPr="003E4A8C" w:rsidRDefault="004C1E42" w:rsidP="009A57C7">
            <w:pPr>
              <w:jc w:val="both"/>
              <w:rPr>
                <w:rFonts w:eastAsia="Calibri"/>
                <w:color w:val="000000"/>
                <w:sz w:val="20"/>
              </w:rPr>
            </w:pPr>
          </w:p>
          <w:p w:rsidR="004C1E42" w:rsidRPr="003E4A8C" w:rsidRDefault="004C1E42" w:rsidP="009A57C7">
            <w:pPr>
              <w:jc w:val="both"/>
              <w:rPr>
                <w:rFonts w:eastAsia="Calibri"/>
                <w:color w:val="000000"/>
                <w:sz w:val="20"/>
              </w:rPr>
            </w:pPr>
            <w:r w:rsidRPr="003E4A8C">
              <w:rPr>
                <w:rFonts w:eastAsia="Calibri"/>
                <w:color w:val="000000"/>
                <w:sz w:val="20"/>
              </w:rPr>
              <w:t xml:space="preserve">One of the appeals the Court of Appeal heard was the respondent, Mr. Hryniak’s motion to set aside the summary judgment that had been ordered by the Ontario Superior Court of Justice based on the amended Rule 20.  The Court of Appeal allowed the appeal and ordered a trial finding there were genuine issues requiring a trial.  </w:t>
            </w:r>
          </w:p>
          <w:p w:rsidR="004C1E42" w:rsidRPr="003E4A8C" w:rsidRDefault="004C1E42" w:rsidP="009A57C7">
            <w:pPr>
              <w:jc w:val="both"/>
              <w:rPr>
                <w:rFonts w:eastAsia="Calibri"/>
                <w:sz w:val="20"/>
              </w:rPr>
            </w:pP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October 22, 2010</w:t>
            </w:r>
          </w:p>
          <w:p w:rsidR="004C1E42" w:rsidRPr="003E4A8C" w:rsidRDefault="004C1E42" w:rsidP="009A57C7">
            <w:pPr>
              <w:jc w:val="both"/>
              <w:rPr>
                <w:rFonts w:eastAsia="Calibri"/>
                <w:sz w:val="20"/>
              </w:rPr>
            </w:pPr>
            <w:r w:rsidRPr="003E4A8C">
              <w:rPr>
                <w:rFonts w:eastAsia="Calibri"/>
                <w:sz w:val="20"/>
              </w:rPr>
              <w:t>Ontario Superior Court of Justice</w:t>
            </w:r>
          </w:p>
          <w:p w:rsidR="004C1E42" w:rsidRPr="003E4A8C" w:rsidRDefault="004C1E42" w:rsidP="009A57C7">
            <w:pPr>
              <w:jc w:val="both"/>
              <w:rPr>
                <w:rFonts w:eastAsia="Calibri"/>
                <w:sz w:val="20"/>
              </w:rPr>
            </w:pPr>
            <w:r w:rsidRPr="003E4A8C">
              <w:rPr>
                <w:rFonts w:eastAsia="Calibri"/>
                <w:sz w:val="20"/>
              </w:rPr>
              <w:t>(Grace J.)</w:t>
            </w:r>
          </w:p>
          <w:p w:rsidR="004C1E42" w:rsidRPr="003E4A8C" w:rsidRDefault="004C1E42" w:rsidP="009A57C7">
            <w:pPr>
              <w:jc w:val="both"/>
              <w:rPr>
                <w:rFonts w:eastAsia="Calibri"/>
                <w:sz w:val="20"/>
              </w:rPr>
            </w:pPr>
            <w:r w:rsidRPr="003E4A8C">
              <w:rPr>
                <w:rFonts w:eastAsia="Calibri"/>
                <w:sz w:val="20"/>
              </w:rPr>
              <w:t>2010 ONSC 5490</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Summary judgment granted against Mr. Hryniak</w:t>
            </w:r>
          </w:p>
          <w:p w:rsidR="004C1E42" w:rsidRPr="003E4A8C" w:rsidRDefault="004C1E42" w:rsidP="009A57C7">
            <w:pPr>
              <w:jc w:val="both"/>
              <w:rPr>
                <w:rFonts w:eastAsia="Calibri"/>
                <w:sz w:val="20"/>
              </w:rPr>
            </w:pP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December 5, 2011</w:t>
            </w:r>
          </w:p>
          <w:p w:rsidR="004C1E42" w:rsidRPr="003E4A8C" w:rsidRDefault="004C1E42" w:rsidP="009A57C7">
            <w:pPr>
              <w:jc w:val="both"/>
              <w:rPr>
                <w:rFonts w:eastAsia="Calibri"/>
                <w:sz w:val="20"/>
              </w:rPr>
            </w:pPr>
            <w:r w:rsidRPr="003E4A8C">
              <w:rPr>
                <w:rFonts w:eastAsia="Calibri"/>
                <w:sz w:val="20"/>
              </w:rPr>
              <w:t>Court of Appeal for Ontario</w:t>
            </w:r>
          </w:p>
          <w:p w:rsidR="004C1E42" w:rsidRPr="003E4A8C" w:rsidRDefault="004C1E42" w:rsidP="009A57C7">
            <w:pPr>
              <w:jc w:val="both"/>
              <w:rPr>
                <w:rFonts w:eastAsia="Calibri"/>
                <w:sz w:val="20"/>
              </w:rPr>
            </w:pPr>
            <w:r w:rsidRPr="003E4A8C">
              <w:rPr>
                <w:rFonts w:eastAsia="Calibri"/>
                <w:sz w:val="20"/>
              </w:rPr>
              <w:t>(Winkler C.J.O and Laskin, Sharpe, Armstrong and Rouleau JJ.A.)</w:t>
            </w:r>
          </w:p>
          <w:p w:rsidR="004C1E42" w:rsidRPr="003E4A8C" w:rsidRDefault="004C1E42" w:rsidP="009A57C7">
            <w:pPr>
              <w:jc w:val="both"/>
              <w:rPr>
                <w:rFonts w:eastAsia="Calibri"/>
                <w:sz w:val="20"/>
              </w:rPr>
            </w:pPr>
            <w:r w:rsidRPr="003E4A8C">
              <w:rPr>
                <w:rFonts w:eastAsia="Calibri"/>
                <w:sz w:val="20"/>
              </w:rPr>
              <w:t>2011 ONCA 764</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Appeal allowed; Bruno action ordered to proceed to trial expeditiously</w:t>
            </w:r>
          </w:p>
          <w:p w:rsidR="004C1E42" w:rsidRPr="003E4A8C" w:rsidRDefault="004C1E42" w:rsidP="009A57C7">
            <w:pPr>
              <w:jc w:val="both"/>
              <w:rPr>
                <w:rFonts w:eastAsia="Calibri"/>
                <w:sz w:val="20"/>
              </w:rPr>
            </w:pP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February 3, 2012</w:t>
            </w:r>
          </w:p>
          <w:p w:rsidR="004C1E42" w:rsidRPr="003E4A8C" w:rsidRDefault="004C1E42" w:rsidP="009A57C7">
            <w:pPr>
              <w:jc w:val="both"/>
              <w:rPr>
                <w:rFonts w:eastAsia="Calibri"/>
                <w:sz w:val="20"/>
              </w:rPr>
            </w:pPr>
            <w:r w:rsidRPr="003E4A8C">
              <w:rPr>
                <w:rFonts w:eastAsia="Calibri"/>
                <w:sz w:val="20"/>
              </w:rPr>
              <w:t>Supreme Court of Canada</w:t>
            </w: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Application for leave to appeal filed</w:t>
            </w:r>
          </w:p>
          <w:p w:rsidR="004C1E42" w:rsidRPr="003E4A8C" w:rsidRDefault="004C1E42"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54"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C1E42" w:rsidRPr="00147672" w:rsidTr="009A57C7">
        <w:tc>
          <w:tcPr>
            <w:tcW w:w="5000" w:type="pct"/>
            <w:gridSpan w:val="3"/>
          </w:tcPr>
          <w:p w:rsidR="004C1E42" w:rsidRPr="003E4A8C" w:rsidRDefault="004C1E42" w:rsidP="009A57C7">
            <w:pPr>
              <w:jc w:val="both"/>
              <w:rPr>
                <w:rFonts w:eastAsia="Calibri"/>
                <w:sz w:val="20"/>
                <w:lang w:val="fr-CA"/>
              </w:rPr>
            </w:pPr>
            <w:r w:rsidRPr="003E4A8C">
              <w:rPr>
                <w:rFonts w:eastAsia="Calibri"/>
                <w:sz w:val="20"/>
                <w:lang w:val="fr-CA"/>
              </w:rPr>
              <w:t xml:space="preserve">Jugements et ordonnances ― Jugements sommaires ― Procédure civile ― Les </w:t>
            </w:r>
            <w:r w:rsidRPr="003E4A8C">
              <w:rPr>
                <w:rFonts w:eastAsia="Calibri"/>
                <w:i/>
                <w:sz w:val="20"/>
                <w:lang w:val="fr-CA"/>
              </w:rPr>
              <w:t>Règles de procédure civile</w:t>
            </w:r>
            <w:r w:rsidRPr="003E4A8C">
              <w:rPr>
                <w:rFonts w:eastAsia="Calibri"/>
                <w:sz w:val="20"/>
                <w:lang w:val="fr-CA"/>
              </w:rPr>
              <w:t xml:space="preserve"> modifiées de l'Ontario ont changé le mécanisme relatif aux jugements sommaires ― L'intimé interjette appel à la Cour d'appel pour faire annuler un jugement sommaire ― La Cour d'appel examine la règle 20 et établit un nouveau « critère de l’appréciation totale » ― La Cour d'appel accueille l'appel de l'intimé en annulation du jugement sommaire et ordonne la tenue d’un procès ― La Cour d'appel conclut qu'à l'avenir, les affaires comme celle en l’espèce doivent faire l'objet d'un procès et ne devraient pas être tranchées par jugement sommaire ― Quelle critère convient-il d'appliquer pour trancher une affaire sommairement en vertu de la règle 20 des</w:t>
            </w:r>
            <w:r w:rsidRPr="003E4A8C">
              <w:rPr>
                <w:rFonts w:eastAsia="Calibri"/>
                <w:i/>
                <w:sz w:val="20"/>
                <w:lang w:val="fr-CA"/>
              </w:rPr>
              <w:t xml:space="preserve"> Règles de procédure civile </w:t>
            </w:r>
            <w:r w:rsidRPr="003E4A8C">
              <w:rPr>
                <w:rFonts w:eastAsia="Calibri"/>
                <w:sz w:val="20"/>
                <w:lang w:val="fr-CA"/>
              </w:rPr>
              <w:t xml:space="preserve">de l'Ontario? ― Quels sont les éléments et la norme de preuve applicables au délit civil de common law de fraude civile? ― </w:t>
            </w:r>
            <w:r w:rsidRPr="003E4A8C">
              <w:rPr>
                <w:rFonts w:eastAsia="Calibri"/>
                <w:i/>
                <w:sz w:val="20"/>
                <w:lang w:val="fr-CA"/>
              </w:rPr>
              <w:t>Règles de procédure civile</w:t>
            </w:r>
            <w:r w:rsidRPr="003E4A8C">
              <w:rPr>
                <w:rFonts w:eastAsia="Calibri"/>
                <w:sz w:val="20"/>
                <w:lang w:val="fr-CA"/>
              </w:rPr>
              <w:t xml:space="preserve"> de l'Ontario, règle 20 modifiée.</w:t>
            </w:r>
          </w:p>
        </w:tc>
      </w:tr>
      <w:tr w:rsidR="004C1E42" w:rsidRPr="00147672" w:rsidTr="009A57C7">
        <w:tc>
          <w:tcPr>
            <w:tcW w:w="5000" w:type="pct"/>
            <w:gridSpan w:val="3"/>
          </w:tcPr>
          <w:p w:rsidR="004C1E42" w:rsidRPr="003E4A8C" w:rsidRDefault="004C1E42" w:rsidP="009A57C7">
            <w:pPr>
              <w:jc w:val="both"/>
              <w:rPr>
                <w:rFonts w:eastAsia="Calibri"/>
                <w:sz w:val="20"/>
                <w:lang w:val="fr-CA"/>
              </w:rPr>
            </w:pPr>
          </w:p>
        </w:tc>
      </w:tr>
      <w:tr w:rsidR="004C1E42" w:rsidRPr="00147672" w:rsidTr="009A57C7">
        <w:tc>
          <w:tcPr>
            <w:tcW w:w="5000" w:type="pct"/>
            <w:gridSpan w:val="3"/>
          </w:tcPr>
          <w:p w:rsidR="004C1E42" w:rsidRPr="003E4A8C" w:rsidRDefault="004C1E42" w:rsidP="009A57C7">
            <w:pPr>
              <w:jc w:val="both"/>
              <w:rPr>
                <w:rFonts w:eastAsia="Calibri"/>
                <w:color w:val="000000"/>
                <w:sz w:val="20"/>
                <w:lang w:val="fr-CA"/>
              </w:rPr>
            </w:pPr>
            <w:r w:rsidRPr="003E4A8C">
              <w:rPr>
                <w:rFonts w:eastAsia="Calibri"/>
                <w:color w:val="000000"/>
                <w:sz w:val="20"/>
                <w:lang w:val="fr-CA"/>
              </w:rPr>
              <w:t>Dans les mois qui ont suivi les modifications apportées à la règle 20 des</w:t>
            </w:r>
            <w:r w:rsidRPr="003E4A8C">
              <w:rPr>
                <w:rFonts w:eastAsia="Calibri"/>
                <w:i/>
                <w:color w:val="000000"/>
                <w:sz w:val="20"/>
                <w:lang w:val="fr-CA"/>
              </w:rPr>
              <w:t xml:space="preserve"> Règles de procédure civile</w:t>
            </w:r>
            <w:r w:rsidRPr="003E4A8C">
              <w:rPr>
                <w:rFonts w:eastAsia="Calibri"/>
                <w:color w:val="000000"/>
                <w:sz w:val="20"/>
                <w:lang w:val="fr-CA"/>
              </w:rPr>
              <w:t xml:space="preserve"> de l'Ontario, il y a eu une controverse et de l'incertitude quant à la question de savoir si un juge saisi d’une motion peut exercer les nouveaux pouvoirs conférés par la règle 20 modifiée pour juger une action sur le fondement de la preuve présentée dans le cadre d'une motion en jugement sommaire. Pour la gouverne de la profession, la Cour d'appel de l'Ontario a chargé une formation de cinq juges d'instruire cinq appels de décisions rendues en vertu de la règle modifiée. En plus </w:t>
            </w:r>
            <w:r w:rsidRPr="003E4A8C">
              <w:rPr>
                <w:rFonts w:eastAsia="Calibri"/>
                <w:color w:val="000000"/>
                <w:sz w:val="20"/>
                <w:lang w:val="fr-CA"/>
              </w:rPr>
              <w:lastRenderedPageBreak/>
              <w:t>d'entendre les avocats représentant les parties en appel, la Cour a nommé cinq intervenants désintéressés chargés de faire des observations sur la manière dont la règle modifiée devrait être interprétée et appliquée.</w:t>
            </w:r>
          </w:p>
          <w:p w:rsidR="004C1E42" w:rsidRPr="003E4A8C" w:rsidRDefault="004C1E42" w:rsidP="009A57C7">
            <w:pPr>
              <w:jc w:val="both"/>
              <w:rPr>
                <w:rFonts w:eastAsia="Calibri"/>
                <w:color w:val="000000"/>
                <w:sz w:val="20"/>
                <w:lang w:val="fr-CA"/>
              </w:rPr>
            </w:pPr>
          </w:p>
          <w:p w:rsidR="004C1E42" w:rsidRPr="003E4A8C" w:rsidRDefault="004C1E42" w:rsidP="009A57C7">
            <w:pPr>
              <w:jc w:val="both"/>
              <w:rPr>
                <w:rFonts w:eastAsia="Calibri"/>
                <w:color w:val="000000"/>
                <w:sz w:val="20"/>
                <w:lang w:val="fr-CA"/>
              </w:rPr>
            </w:pPr>
            <w:r w:rsidRPr="003E4A8C">
              <w:rPr>
                <w:rFonts w:eastAsia="Calibri"/>
                <w:color w:val="000000"/>
                <w:sz w:val="20"/>
                <w:lang w:val="fr-CA"/>
              </w:rPr>
              <w:t xml:space="preserve">Un des appels entendus par la Cour d'appel portait sur la motion de l'intimé M. Hryniak en annulation du jugement sommaire qui avait été prononcé par la Cour supérieure de justice sur le fondement de la règle 20 modifiée. La Cour d'appel a accueilli l'appel et ordonné la tenue d'un procès, concluant qu'il existait de véritables questions litigieuses en l'espèce.  </w:t>
            </w:r>
          </w:p>
          <w:p w:rsidR="004C1E42" w:rsidRPr="003E4A8C" w:rsidRDefault="004C1E42" w:rsidP="009A57C7">
            <w:pPr>
              <w:jc w:val="both"/>
              <w:rPr>
                <w:rFonts w:eastAsia="Calibri"/>
                <w:sz w:val="20"/>
                <w:lang w:val="fr-CA"/>
              </w:rPr>
            </w:pP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lastRenderedPageBreak/>
              <w:t>22 octobre 2010</w:t>
            </w:r>
          </w:p>
          <w:p w:rsidR="004C1E42" w:rsidRPr="003E4A8C" w:rsidRDefault="004C1E42" w:rsidP="009A57C7">
            <w:pPr>
              <w:jc w:val="both"/>
              <w:rPr>
                <w:rFonts w:eastAsia="Calibri"/>
                <w:sz w:val="20"/>
                <w:lang w:val="fr-CA"/>
              </w:rPr>
            </w:pPr>
            <w:r w:rsidRPr="003E4A8C">
              <w:rPr>
                <w:rFonts w:eastAsia="Calibri"/>
                <w:sz w:val="20"/>
                <w:lang w:val="fr-CA"/>
              </w:rPr>
              <w:t xml:space="preserve">Cour supérieure de justice de l'Ontario </w:t>
            </w:r>
          </w:p>
          <w:p w:rsidR="004C1E42" w:rsidRPr="003E4A8C" w:rsidRDefault="004C1E42" w:rsidP="009A57C7">
            <w:pPr>
              <w:jc w:val="both"/>
              <w:rPr>
                <w:rFonts w:eastAsia="Calibri"/>
                <w:sz w:val="20"/>
                <w:lang w:val="fr-CA"/>
              </w:rPr>
            </w:pPr>
            <w:r w:rsidRPr="003E4A8C">
              <w:rPr>
                <w:rFonts w:eastAsia="Calibri"/>
                <w:sz w:val="20"/>
                <w:lang w:val="fr-CA"/>
              </w:rPr>
              <w:t>(Juge Grace)</w:t>
            </w:r>
          </w:p>
          <w:p w:rsidR="004C1E42" w:rsidRPr="003E4A8C" w:rsidRDefault="004C1E42" w:rsidP="009A57C7">
            <w:pPr>
              <w:jc w:val="both"/>
              <w:rPr>
                <w:rFonts w:eastAsia="Calibri"/>
                <w:sz w:val="20"/>
                <w:lang w:val="fr-CA"/>
              </w:rPr>
            </w:pPr>
            <w:r w:rsidRPr="003E4A8C">
              <w:rPr>
                <w:rFonts w:eastAsia="Calibri"/>
                <w:sz w:val="20"/>
                <w:lang w:val="fr-CA"/>
              </w:rPr>
              <w:t>2010 ONSC 5490</w:t>
            </w:r>
          </w:p>
          <w:p w:rsidR="004C1E42" w:rsidRPr="003E4A8C" w:rsidRDefault="004C1E42" w:rsidP="009A57C7">
            <w:pPr>
              <w:jc w:val="both"/>
              <w:rPr>
                <w:rFonts w:eastAsia="Calibri"/>
                <w:sz w:val="20"/>
                <w:lang w:val="fr-CA"/>
              </w:rPr>
            </w:pP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Jugement sommaire prononcé contre M. Hryniak</w:t>
            </w:r>
          </w:p>
          <w:p w:rsidR="004C1E42" w:rsidRPr="003E4A8C" w:rsidRDefault="004C1E42" w:rsidP="009A57C7">
            <w:pPr>
              <w:jc w:val="both"/>
              <w:rPr>
                <w:rFonts w:eastAsia="Calibri"/>
                <w:sz w:val="20"/>
                <w:lang w:val="fr-CA"/>
              </w:rPr>
            </w:pP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5 décembre 2011</w:t>
            </w:r>
          </w:p>
          <w:p w:rsidR="004C1E42" w:rsidRPr="003E4A8C" w:rsidRDefault="004C1E42" w:rsidP="009A57C7">
            <w:pPr>
              <w:jc w:val="both"/>
              <w:rPr>
                <w:rFonts w:eastAsia="Calibri"/>
                <w:sz w:val="20"/>
                <w:lang w:val="fr-CA"/>
              </w:rPr>
            </w:pPr>
            <w:r w:rsidRPr="003E4A8C">
              <w:rPr>
                <w:rFonts w:eastAsia="Calibri"/>
                <w:sz w:val="20"/>
                <w:lang w:val="fr-CA"/>
              </w:rPr>
              <w:t xml:space="preserve">Cour d'appel de l'Ontario </w:t>
            </w:r>
          </w:p>
          <w:p w:rsidR="004C1E42" w:rsidRPr="003E4A8C" w:rsidRDefault="004C1E42" w:rsidP="009A57C7">
            <w:pPr>
              <w:jc w:val="both"/>
              <w:rPr>
                <w:rFonts w:eastAsia="Calibri"/>
                <w:sz w:val="20"/>
                <w:lang w:val="fr-CA"/>
              </w:rPr>
            </w:pPr>
            <w:r w:rsidRPr="003E4A8C">
              <w:rPr>
                <w:rFonts w:eastAsia="Calibri"/>
                <w:sz w:val="20"/>
                <w:lang w:val="fr-CA"/>
              </w:rPr>
              <w:t>(Juge en chef Winkler, juges Laskin, Sharpe, Armstrong et Rouleau)</w:t>
            </w:r>
          </w:p>
          <w:p w:rsidR="004C1E42" w:rsidRPr="003E4A8C" w:rsidRDefault="004C1E42" w:rsidP="009A57C7">
            <w:pPr>
              <w:jc w:val="both"/>
              <w:rPr>
                <w:rFonts w:eastAsia="Calibri"/>
                <w:sz w:val="20"/>
                <w:lang w:val="fr-CA"/>
              </w:rPr>
            </w:pPr>
            <w:r w:rsidRPr="003E4A8C">
              <w:rPr>
                <w:rFonts w:eastAsia="Calibri"/>
                <w:sz w:val="20"/>
                <w:lang w:val="fr-CA"/>
              </w:rPr>
              <w:t>2011 ONCA 764</w:t>
            </w:r>
          </w:p>
          <w:p w:rsidR="004C1E42" w:rsidRPr="003E4A8C" w:rsidRDefault="004C1E42" w:rsidP="009A57C7">
            <w:pPr>
              <w:jc w:val="both"/>
              <w:rPr>
                <w:rFonts w:eastAsia="Calibri"/>
                <w:sz w:val="20"/>
                <w:lang w:val="fr-CA"/>
              </w:rPr>
            </w:pP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Appel accueilli; la Cour ordonne que l'action intentée par Bruno soit instruite dans les meilleurs délais</w:t>
            </w:r>
          </w:p>
          <w:p w:rsidR="004C1E42" w:rsidRPr="003E4A8C" w:rsidRDefault="004C1E42" w:rsidP="009A57C7">
            <w:pPr>
              <w:jc w:val="both"/>
              <w:rPr>
                <w:rFonts w:eastAsia="Calibri"/>
                <w:sz w:val="20"/>
                <w:lang w:val="fr-CA"/>
              </w:rPr>
            </w:pPr>
          </w:p>
        </w:tc>
      </w:tr>
      <w:tr w:rsidR="004C1E42" w:rsidRPr="003E4A8C"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3 février 2012</w:t>
            </w:r>
          </w:p>
          <w:p w:rsidR="004C1E42" w:rsidRPr="003E4A8C" w:rsidRDefault="004C1E42" w:rsidP="009A57C7">
            <w:pPr>
              <w:jc w:val="both"/>
              <w:rPr>
                <w:rFonts w:eastAsia="Calibri"/>
                <w:sz w:val="20"/>
                <w:lang w:val="fr-CA"/>
              </w:rPr>
            </w:pPr>
            <w:r w:rsidRPr="003E4A8C">
              <w:rPr>
                <w:rFonts w:eastAsia="Calibri"/>
                <w:sz w:val="20"/>
                <w:lang w:val="fr-CA"/>
              </w:rPr>
              <w:t>Cour suprême du Canada</w:t>
            </w: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Demande d'autorisation d'appel, déposée</w:t>
            </w:r>
          </w:p>
          <w:p w:rsidR="004C1E42" w:rsidRPr="003E4A8C" w:rsidRDefault="004C1E42" w:rsidP="009A57C7">
            <w:pPr>
              <w:jc w:val="both"/>
              <w:rPr>
                <w:rFonts w:eastAsia="Calibri"/>
                <w:sz w:val="20"/>
                <w:lang w:val="fr-CA"/>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55"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E2EB7" w:rsidRPr="00CE2EB7" w:rsidTr="008B5DBF">
        <w:trPr>
          <w:cantSplit/>
        </w:trPr>
        <w:tc>
          <w:tcPr>
            <w:tcW w:w="1458" w:type="dxa"/>
          </w:tcPr>
          <w:p w:rsidR="00CE2EB7" w:rsidRPr="00CE2EB7" w:rsidRDefault="00CE2EB7" w:rsidP="008B5DBF">
            <w:pPr>
              <w:rPr>
                <w:rFonts w:cs="Times New Roman"/>
                <w:sz w:val="20"/>
                <w:szCs w:val="20"/>
              </w:rPr>
            </w:pPr>
            <w:r w:rsidRPr="00CE2EB7">
              <w:rPr>
                <w:rStyle w:val="SCCFileNumberChar"/>
                <w:sz w:val="20"/>
                <w:szCs w:val="20"/>
              </w:rPr>
              <w:t>34650</w:t>
            </w:r>
          </w:p>
          <w:p w:rsidR="00CE2EB7" w:rsidRPr="00CE2EB7" w:rsidRDefault="00CE2EB7" w:rsidP="008B5DBF">
            <w:pPr>
              <w:rPr>
                <w:rFonts w:cs="Times New Roman"/>
                <w:b/>
                <w:sz w:val="20"/>
                <w:szCs w:val="20"/>
                <w:lang w:val="fr-CA"/>
              </w:rPr>
            </w:pPr>
          </w:p>
        </w:tc>
        <w:tc>
          <w:tcPr>
            <w:tcW w:w="8118" w:type="dxa"/>
          </w:tcPr>
          <w:p w:rsidR="00CE2EB7" w:rsidRPr="00CE2EB7" w:rsidRDefault="00CE2EB7" w:rsidP="008B5DBF">
            <w:pPr>
              <w:rPr>
                <w:rFonts w:cs="Times New Roman"/>
                <w:sz w:val="20"/>
                <w:szCs w:val="20"/>
              </w:rPr>
            </w:pPr>
            <w:r w:rsidRPr="00CE2EB7">
              <w:rPr>
                <w:rStyle w:val="SCCLsocChar"/>
                <w:rFonts w:cs="Times New Roman"/>
                <w:sz w:val="20"/>
                <w:szCs w:val="20"/>
                <w:lang w:val="en-CA"/>
              </w:rPr>
              <w:t>Her Majesty the Queen v. Ernest Fenwick MacIntosh</w:t>
            </w:r>
            <w:r w:rsidRPr="00CE2EB7">
              <w:rPr>
                <w:rFonts w:cs="Times New Roman"/>
                <w:sz w:val="20"/>
                <w:szCs w:val="20"/>
              </w:rPr>
              <w:t xml:space="preserve"> (N.S.) (Criminal) (By Leave)</w:t>
            </w:r>
          </w:p>
          <w:p w:rsidR="00CE2EB7" w:rsidRPr="00CE2EB7" w:rsidRDefault="00CE2EB7" w:rsidP="008B5DBF">
            <w:pPr>
              <w:rPr>
                <w:rFonts w:cs="Times New Roman"/>
                <w:sz w:val="20"/>
                <w:szCs w:val="20"/>
              </w:rPr>
            </w:pPr>
          </w:p>
        </w:tc>
      </w:tr>
      <w:tr w:rsidR="00CE2EB7" w:rsidRPr="00CE2EB7" w:rsidTr="008B5DBF">
        <w:trPr>
          <w:cantSplit/>
        </w:trPr>
        <w:tc>
          <w:tcPr>
            <w:tcW w:w="1458" w:type="dxa"/>
          </w:tcPr>
          <w:p w:rsidR="00CE2EB7" w:rsidRPr="00CE2EB7" w:rsidRDefault="00CE2EB7" w:rsidP="008B5DBF">
            <w:pPr>
              <w:rPr>
                <w:rFonts w:cs="Times New Roman"/>
                <w:sz w:val="20"/>
                <w:szCs w:val="20"/>
              </w:rPr>
            </w:pPr>
            <w:r w:rsidRPr="00CE2EB7">
              <w:rPr>
                <w:rFonts w:cs="Times New Roman"/>
                <w:sz w:val="20"/>
                <w:szCs w:val="20"/>
              </w:rPr>
              <w:t>Coram :</w:t>
            </w:r>
          </w:p>
        </w:tc>
        <w:tc>
          <w:tcPr>
            <w:tcW w:w="8118" w:type="dxa"/>
          </w:tcPr>
          <w:p w:rsidR="00CE2EB7" w:rsidRPr="00CE2EB7" w:rsidRDefault="00CE2EB7" w:rsidP="008B5DBF">
            <w:pPr>
              <w:rPr>
                <w:rFonts w:cs="Times New Roman"/>
                <w:sz w:val="20"/>
                <w:szCs w:val="20"/>
              </w:rPr>
            </w:pPr>
            <w:r w:rsidRPr="00CE2EB7">
              <w:rPr>
                <w:rStyle w:val="SCCCoramChar"/>
                <w:rFonts w:cs="Times New Roman"/>
                <w:sz w:val="20"/>
                <w:szCs w:val="20"/>
                <w:lang w:val="en-CA"/>
              </w:rPr>
              <w:t>McLachlin C.J. and Rothstein and Moldaver JJ.</w:t>
            </w:r>
          </w:p>
          <w:p w:rsidR="00CE2EB7" w:rsidRPr="00CE2EB7" w:rsidRDefault="00CE2EB7" w:rsidP="008B5DBF">
            <w:pPr>
              <w:rPr>
                <w:rFonts w:cs="Times New Roman"/>
                <w:sz w:val="20"/>
                <w:szCs w:val="20"/>
                <w:u w:val="single"/>
              </w:rPr>
            </w:pPr>
          </w:p>
        </w:tc>
      </w:tr>
      <w:tr w:rsidR="00CE2EB7" w:rsidRPr="00147672" w:rsidTr="008B5DBF">
        <w:trPr>
          <w:cantSplit/>
        </w:trPr>
        <w:tc>
          <w:tcPr>
            <w:tcW w:w="9576" w:type="dxa"/>
            <w:gridSpan w:val="2"/>
          </w:tcPr>
          <w:p w:rsidR="00CE2EB7" w:rsidRPr="00CE2EB7" w:rsidRDefault="00CE2EB7" w:rsidP="008B5DBF">
            <w:pPr>
              <w:pStyle w:val="SCCShortJudgment"/>
              <w:rPr>
                <w:rFonts w:cs="Times New Roman"/>
                <w:szCs w:val="20"/>
              </w:rPr>
            </w:pPr>
            <w:r w:rsidRPr="00CE2EB7">
              <w:rPr>
                <w:rFonts w:cs="Times New Roman"/>
                <w:szCs w:val="20"/>
              </w:rPr>
              <w:t>The application for leave to appeal from the judgment of the Nova Scotia Court of Appeal, Numbers CAC 338534 and CAC 333361, 2011 NSCA 111, dated December 8, 2011, is granted without costs.</w:t>
            </w:r>
          </w:p>
          <w:p w:rsidR="00CE2EB7" w:rsidRPr="00CE2EB7" w:rsidRDefault="00CE2EB7" w:rsidP="008B5DBF">
            <w:pPr>
              <w:pStyle w:val="SCCShortJudgment"/>
              <w:ind w:firstLine="0"/>
              <w:rPr>
                <w:rFonts w:cs="Times New Roman"/>
                <w:szCs w:val="20"/>
              </w:rPr>
            </w:pPr>
          </w:p>
          <w:p w:rsidR="00CE2EB7" w:rsidRPr="00CE2EB7" w:rsidRDefault="00CE2EB7" w:rsidP="008B5DBF">
            <w:pPr>
              <w:pStyle w:val="SCCShortJudgment"/>
              <w:rPr>
                <w:rFonts w:cs="Times New Roman"/>
                <w:szCs w:val="20"/>
                <w:lang w:val="fr-CA"/>
              </w:rPr>
            </w:pPr>
            <w:r w:rsidRPr="00CE2EB7">
              <w:rPr>
                <w:rFonts w:cs="Times New Roman"/>
                <w:szCs w:val="20"/>
                <w:lang w:val="fr-CA"/>
              </w:rPr>
              <w:t>La demande d’autorisation d’appel de l’arrêt de la Cour d’appel de la Nouvelle-Écosse, numéros CAC 338534 et CAC 333361, 2011 NSCA 111, daté du 8 décembre 2011, est accueillie sans dépens.</w:t>
            </w:r>
          </w:p>
        </w:tc>
      </w:tr>
    </w:tbl>
    <w:p w:rsidR="00F96FE7" w:rsidRPr="00CE2EB7"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C1E42" w:rsidRPr="003E4A8C" w:rsidTr="009A57C7">
        <w:tc>
          <w:tcPr>
            <w:tcW w:w="5000" w:type="pct"/>
            <w:gridSpan w:val="3"/>
          </w:tcPr>
          <w:p w:rsidR="004C1E42" w:rsidRPr="003E4A8C" w:rsidRDefault="004C1E42" w:rsidP="009A57C7">
            <w:pPr>
              <w:jc w:val="both"/>
              <w:rPr>
                <w:rFonts w:eastAsia="Calibri"/>
                <w:smallCaps/>
                <w:sz w:val="20"/>
              </w:rPr>
            </w:pPr>
            <w:r w:rsidRPr="003E4A8C">
              <w:rPr>
                <w:rFonts w:eastAsia="Calibri"/>
                <w:smallCaps/>
                <w:sz w:val="20"/>
              </w:rPr>
              <w:t>(Publication Ban in Case)</w:t>
            </w:r>
          </w:p>
          <w:p w:rsidR="004C1E42" w:rsidRPr="003E4A8C" w:rsidRDefault="004C1E42" w:rsidP="009A57C7">
            <w:pPr>
              <w:jc w:val="both"/>
              <w:rPr>
                <w:rFonts w:eastAsia="Calibri"/>
                <w:smallCaps/>
                <w:sz w:val="20"/>
              </w:rPr>
            </w:pPr>
          </w:p>
          <w:p w:rsidR="004C1E42" w:rsidRPr="003E4A8C" w:rsidRDefault="004C1E42" w:rsidP="009A57C7">
            <w:pPr>
              <w:jc w:val="both"/>
              <w:rPr>
                <w:rFonts w:eastAsia="Calibri"/>
                <w:sz w:val="20"/>
              </w:rPr>
            </w:pPr>
            <w:r w:rsidRPr="003E4A8C">
              <w:rPr>
                <w:rFonts w:eastAsia="Calibri"/>
                <w:i/>
                <w:sz w:val="20"/>
              </w:rPr>
              <w:t>Charter of Rights and Freedoms</w:t>
            </w:r>
            <w:r w:rsidRPr="003E4A8C">
              <w:rPr>
                <w:rFonts w:eastAsia="Calibri"/>
                <w:sz w:val="20"/>
              </w:rPr>
              <w:t xml:space="preserve"> – Right to be tried within a reasonable time –  Extradition – How accused’s decision to remain outside jurisdiction of Canada informs the analysis of the right to be tried within a reasonable time – Whether failure to return to Canada to face charges is the predominant consideration in the balancing of interests under s. 11(b) of the </w:t>
            </w:r>
            <w:r w:rsidRPr="003E4A8C">
              <w:rPr>
                <w:rFonts w:eastAsia="Calibri"/>
                <w:i/>
                <w:sz w:val="20"/>
              </w:rPr>
              <w:t xml:space="preserve">Charter </w:t>
            </w:r>
            <w:r w:rsidRPr="003E4A8C">
              <w:rPr>
                <w:rFonts w:eastAsia="Calibri"/>
                <w:sz w:val="20"/>
              </w:rPr>
              <w:t xml:space="preserve">– Whether Court of Appeal erred by imposing a stay and quashing convictions including convictions not before it – Whether respondent’s decision not to return to Canada negated a finding of prejudice under s. 11(b) of the </w:t>
            </w:r>
            <w:r w:rsidRPr="003E4A8C">
              <w:rPr>
                <w:rFonts w:eastAsia="Calibri"/>
                <w:i/>
                <w:sz w:val="20"/>
              </w:rPr>
              <w:t>Charter</w:t>
            </w:r>
            <w:r w:rsidRPr="003E4A8C">
              <w:rPr>
                <w:rFonts w:eastAsia="Calibri"/>
                <w:sz w:val="20"/>
              </w:rPr>
              <w:t xml:space="preserve"> – Whether Court of Appeal erred in law by failing to properly consider society’s interest in a trial of allegations of sexual violence against children and young persons – Whether trial judge misapprehended evidence – Whether trial judge failed to consider collusion – Whether trial judge erred with respect to credibility.</w:t>
            </w:r>
          </w:p>
        </w:tc>
      </w:tr>
      <w:tr w:rsidR="004C1E42" w:rsidRPr="003E4A8C" w:rsidTr="009A57C7">
        <w:tc>
          <w:tcPr>
            <w:tcW w:w="5000" w:type="pct"/>
            <w:gridSpan w:val="3"/>
          </w:tcPr>
          <w:p w:rsidR="004C1E42" w:rsidRPr="003E4A8C" w:rsidRDefault="004C1E42" w:rsidP="009A57C7">
            <w:pPr>
              <w:jc w:val="both"/>
              <w:rPr>
                <w:rFonts w:eastAsia="Calibri"/>
                <w:sz w:val="20"/>
              </w:rPr>
            </w:pPr>
          </w:p>
        </w:tc>
      </w:tr>
      <w:tr w:rsidR="004C1E42" w:rsidRPr="003E4A8C" w:rsidTr="009A57C7">
        <w:tc>
          <w:tcPr>
            <w:tcW w:w="5000" w:type="pct"/>
            <w:gridSpan w:val="3"/>
          </w:tcPr>
          <w:p w:rsidR="004C1E42" w:rsidRPr="003E4A8C" w:rsidRDefault="004C1E42" w:rsidP="009A57C7">
            <w:pPr>
              <w:jc w:val="both"/>
              <w:rPr>
                <w:rFonts w:eastAsia="Calibri"/>
                <w:sz w:val="20"/>
              </w:rPr>
            </w:pPr>
            <w:r w:rsidRPr="003E4A8C">
              <w:rPr>
                <w:rFonts w:eastAsia="Calibri"/>
                <w:sz w:val="20"/>
              </w:rPr>
              <w:t xml:space="preserve">When the respondent left Canada for India in 1994, no charges had been brought against him.   On January 4, 1995, the police received the first of many complaints of indecent assault and gross indecency alleged to have occurred in the 1970s.  Over time, more complainants came forward and the last complainant came forward in August of 2001. </w:t>
            </w:r>
            <w:r w:rsidRPr="003E4A8C">
              <w:rPr>
                <w:rFonts w:eastAsia="Calibri"/>
                <w:sz w:val="20"/>
              </w:rPr>
              <w:lastRenderedPageBreak/>
              <w:t>The first warrant for the respondent’s arrest was issued on February 21, 1996.  The respondent did not voluntarily return to Canada.  Although the Crown Attorney’s office commenced the process to seek extradition in September 1997, a formal request for extradition was not forwarded to India until July 2006. India agreed to extradite the respondent on May 26, 2007 and he made his first appearance in pre-trial proceedings in Canada on June 8, 2007.</w:t>
            </w:r>
          </w:p>
          <w:p w:rsidR="004C1E42" w:rsidRPr="003E4A8C" w:rsidRDefault="004C1E42" w:rsidP="009A57C7">
            <w:pPr>
              <w:jc w:val="both"/>
              <w:rPr>
                <w:rFonts w:eastAsia="Calibri"/>
                <w:sz w:val="20"/>
              </w:rPr>
            </w:pP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lastRenderedPageBreak/>
              <w:t>March 19, 2010</w:t>
            </w:r>
          </w:p>
          <w:p w:rsidR="004C1E42" w:rsidRPr="003E4A8C" w:rsidRDefault="004C1E42" w:rsidP="009A57C7">
            <w:pPr>
              <w:jc w:val="both"/>
              <w:rPr>
                <w:rFonts w:eastAsia="Calibri"/>
                <w:sz w:val="20"/>
              </w:rPr>
            </w:pPr>
            <w:r w:rsidRPr="003E4A8C">
              <w:rPr>
                <w:rFonts w:eastAsia="Calibri"/>
                <w:sz w:val="20"/>
              </w:rPr>
              <w:t>Supreme Court of Nova Scotia, Trial Division</w:t>
            </w:r>
          </w:p>
          <w:p w:rsidR="004C1E42" w:rsidRPr="003E4A8C" w:rsidRDefault="004C1E42" w:rsidP="009A57C7">
            <w:pPr>
              <w:jc w:val="both"/>
              <w:rPr>
                <w:rFonts w:eastAsia="Calibri"/>
                <w:sz w:val="20"/>
              </w:rPr>
            </w:pPr>
            <w:r w:rsidRPr="003E4A8C">
              <w:rPr>
                <w:rFonts w:eastAsia="Calibri"/>
                <w:sz w:val="20"/>
              </w:rPr>
              <w:t>(Kennedy C.J.)</w:t>
            </w:r>
          </w:p>
          <w:p w:rsidR="004C1E42" w:rsidRPr="003E4A8C" w:rsidRDefault="004C1E42" w:rsidP="009A57C7">
            <w:pPr>
              <w:jc w:val="both"/>
              <w:rPr>
                <w:rFonts w:eastAsia="Calibri"/>
                <w:sz w:val="20"/>
              </w:rPr>
            </w:pPr>
            <w:r w:rsidRPr="003E4A8C">
              <w:rPr>
                <w:rFonts w:eastAsia="Calibri"/>
                <w:sz w:val="20"/>
              </w:rPr>
              <w:t>2010 NSSC 105</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 xml:space="preserve">Application to stay proceedings for breach of s. 11(b) of </w:t>
            </w:r>
            <w:r w:rsidRPr="003E4A8C">
              <w:rPr>
                <w:rFonts w:eastAsia="Calibri"/>
                <w:i/>
                <w:sz w:val="20"/>
              </w:rPr>
              <w:t>Canadian Charter</w:t>
            </w:r>
            <w:r w:rsidRPr="003E4A8C">
              <w:rPr>
                <w:rFonts w:eastAsia="Calibri"/>
                <w:sz w:val="20"/>
              </w:rPr>
              <w:t xml:space="preserve"> </w:t>
            </w:r>
            <w:r w:rsidRPr="003E4A8C">
              <w:rPr>
                <w:rFonts w:eastAsia="Calibri"/>
                <w:i/>
                <w:sz w:val="20"/>
              </w:rPr>
              <w:t>of Rights and Freedoms</w:t>
            </w:r>
            <w:r w:rsidRPr="003E4A8C">
              <w:rPr>
                <w:rFonts w:eastAsia="Calibri"/>
                <w:sz w:val="20"/>
              </w:rPr>
              <w:t xml:space="preserve"> dismissed</w:t>
            </w:r>
          </w:p>
          <w:p w:rsidR="004C1E42" w:rsidRPr="003E4A8C" w:rsidRDefault="004C1E42" w:rsidP="009A57C7">
            <w:pPr>
              <w:jc w:val="both"/>
              <w:rPr>
                <w:rFonts w:eastAsia="Calibri"/>
                <w:sz w:val="20"/>
              </w:rPr>
            </w:pP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July 27, 2010</w:t>
            </w:r>
          </w:p>
          <w:p w:rsidR="004C1E42" w:rsidRPr="003E4A8C" w:rsidRDefault="004C1E42" w:rsidP="009A57C7">
            <w:pPr>
              <w:jc w:val="both"/>
              <w:rPr>
                <w:rFonts w:eastAsia="Calibri"/>
                <w:sz w:val="20"/>
              </w:rPr>
            </w:pPr>
            <w:r w:rsidRPr="003E4A8C">
              <w:rPr>
                <w:rFonts w:eastAsia="Calibri"/>
                <w:sz w:val="20"/>
              </w:rPr>
              <w:t>Supreme Court of Nova Scotia, Trial Division</w:t>
            </w:r>
          </w:p>
          <w:p w:rsidR="004C1E42" w:rsidRPr="003E4A8C" w:rsidRDefault="004C1E42" w:rsidP="009A57C7">
            <w:pPr>
              <w:jc w:val="both"/>
              <w:rPr>
                <w:rFonts w:eastAsia="Calibri"/>
                <w:sz w:val="20"/>
              </w:rPr>
            </w:pPr>
            <w:r w:rsidRPr="003E4A8C">
              <w:rPr>
                <w:rFonts w:eastAsia="Calibri"/>
                <w:sz w:val="20"/>
              </w:rPr>
              <w:t>(MacDonald J.)</w:t>
            </w:r>
          </w:p>
          <w:p w:rsidR="004C1E42" w:rsidRPr="003E4A8C" w:rsidRDefault="004C1E42" w:rsidP="009A57C7">
            <w:pPr>
              <w:jc w:val="both"/>
              <w:rPr>
                <w:rFonts w:eastAsia="Calibri"/>
                <w:color w:val="000000"/>
                <w:sz w:val="20"/>
              </w:rPr>
            </w:pPr>
            <w:r w:rsidRPr="003E4A8C">
              <w:rPr>
                <w:rFonts w:eastAsia="Calibri"/>
                <w:color w:val="000000"/>
                <w:sz w:val="20"/>
              </w:rPr>
              <w:t>2010 NSSC 300</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 xml:space="preserve">Convictions on 6 counts of indecent assault and 7 counts of gross indecency; Acquittals on 13 counts </w:t>
            </w: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January 31, 2011</w:t>
            </w:r>
          </w:p>
          <w:p w:rsidR="004C1E42" w:rsidRPr="003E4A8C" w:rsidRDefault="004C1E42" w:rsidP="009A57C7">
            <w:pPr>
              <w:jc w:val="both"/>
              <w:rPr>
                <w:rFonts w:eastAsia="Calibri"/>
                <w:sz w:val="20"/>
              </w:rPr>
            </w:pPr>
            <w:r w:rsidRPr="003E4A8C">
              <w:rPr>
                <w:rFonts w:eastAsia="Calibri"/>
                <w:sz w:val="20"/>
              </w:rPr>
              <w:t>Supreme Court of Nova Scotia, Trial Division</w:t>
            </w:r>
          </w:p>
          <w:p w:rsidR="004C1E42" w:rsidRPr="003E4A8C" w:rsidRDefault="004C1E42" w:rsidP="009A57C7">
            <w:pPr>
              <w:jc w:val="both"/>
              <w:rPr>
                <w:rFonts w:eastAsia="Calibri"/>
                <w:sz w:val="20"/>
              </w:rPr>
            </w:pPr>
            <w:r w:rsidRPr="003E4A8C">
              <w:rPr>
                <w:rFonts w:eastAsia="Calibri"/>
                <w:sz w:val="20"/>
              </w:rPr>
              <w:t>(Kennedy C.J.)</w:t>
            </w:r>
          </w:p>
          <w:p w:rsidR="004C1E42" w:rsidRPr="003E4A8C" w:rsidRDefault="004C1E42" w:rsidP="009A57C7">
            <w:pPr>
              <w:jc w:val="both"/>
              <w:rPr>
                <w:rFonts w:eastAsia="Calibri"/>
                <w:color w:val="000000"/>
                <w:sz w:val="20"/>
              </w:rPr>
            </w:pPr>
            <w:r w:rsidRPr="003E4A8C">
              <w:rPr>
                <w:rFonts w:eastAsia="Calibri"/>
                <w:color w:val="000000"/>
                <w:sz w:val="20"/>
              </w:rPr>
              <w:t>2011 NSSC 340</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 xml:space="preserve">Convictions on 2 counts of indecent assault and 2 counts of gross indecency; Acquittals on 6 counts </w:t>
            </w: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December 8, 2011</w:t>
            </w:r>
          </w:p>
          <w:p w:rsidR="004C1E42" w:rsidRPr="003E4A8C" w:rsidRDefault="004C1E42" w:rsidP="009A57C7">
            <w:pPr>
              <w:jc w:val="both"/>
              <w:rPr>
                <w:rFonts w:eastAsia="Calibri"/>
                <w:sz w:val="20"/>
              </w:rPr>
            </w:pPr>
            <w:r w:rsidRPr="003E4A8C">
              <w:rPr>
                <w:rFonts w:eastAsia="Calibri"/>
                <w:sz w:val="20"/>
              </w:rPr>
              <w:t>Nova Scotia Court of Appeal</w:t>
            </w:r>
          </w:p>
          <w:p w:rsidR="004C1E42" w:rsidRPr="003E4A8C" w:rsidRDefault="004C1E42" w:rsidP="009A57C7">
            <w:pPr>
              <w:jc w:val="both"/>
              <w:rPr>
                <w:rFonts w:eastAsia="Calibri"/>
                <w:sz w:val="20"/>
              </w:rPr>
            </w:pPr>
            <w:r w:rsidRPr="003E4A8C">
              <w:rPr>
                <w:rFonts w:eastAsia="Calibri"/>
                <w:sz w:val="20"/>
              </w:rPr>
              <w:t>(Hamilton, Beveridge, Bryson JJ.A.)</w:t>
            </w:r>
          </w:p>
          <w:p w:rsidR="004C1E42" w:rsidRPr="003E4A8C" w:rsidRDefault="004C1E42" w:rsidP="009A57C7">
            <w:pPr>
              <w:jc w:val="both"/>
              <w:rPr>
                <w:rFonts w:eastAsia="Calibri"/>
                <w:sz w:val="20"/>
              </w:rPr>
            </w:pPr>
            <w:r w:rsidRPr="003E4A8C">
              <w:rPr>
                <w:rFonts w:eastAsia="Calibri"/>
                <w:sz w:val="20"/>
              </w:rPr>
              <w:t>2011 NSCA 111</w:t>
            </w:r>
          </w:p>
          <w:p w:rsidR="004C1E42" w:rsidRPr="003E4A8C" w:rsidRDefault="004C1E42" w:rsidP="009A57C7">
            <w:pPr>
              <w:jc w:val="both"/>
              <w:rPr>
                <w:rFonts w:eastAsia="Calibri"/>
                <w:sz w:val="20"/>
              </w:rPr>
            </w:pPr>
            <w:r w:rsidRPr="003E4A8C">
              <w:rPr>
                <w:rFonts w:eastAsia="Calibri"/>
                <w:sz w:val="20"/>
              </w:rPr>
              <w:t>CAC 338534; CAC333361</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Appeal from dismissal of application to stay proceedings and from convictions by MacDonald J. allowed, convictions by MacDonald J. and Kennedy C.J. quashed, proceedings stayed on all charges</w:t>
            </w: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February 3, 2012</w:t>
            </w:r>
          </w:p>
          <w:p w:rsidR="004C1E42" w:rsidRPr="003E4A8C" w:rsidRDefault="004C1E42" w:rsidP="009A57C7">
            <w:pPr>
              <w:jc w:val="both"/>
              <w:rPr>
                <w:rFonts w:eastAsia="Calibri"/>
                <w:sz w:val="20"/>
              </w:rPr>
            </w:pPr>
            <w:r w:rsidRPr="003E4A8C">
              <w:rPr>
                <w:rFonts w:eastAsia="Calibri"/>
                <w:sz w:val="20"/>
              </w:rPr>
              <w:t>Supreme Court of Canada</w:t>
            </w: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Application for leave to appeal filed</w:t>
            </w:r>
          </w:p>
          <w:p w:rsidR="004C1E42" w:rsidRPr="003E4A8C" w:rsidRDefault="004C1E42"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56"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C1E42" w:rsidRPr="00147672" w:rsidTr="009A57C7">
        <w:tc>
          <w:tcPr>
            <w:tcW w:w="5000" w:type="pct"/>
            <w:gridSpan w:val="3"/>
          </w:tcPr>
          <w:p w:rsidR="004C1E42" w:rsidRPr="003E4A8C" w:rsidRDefault="004C1E42" w:rsidP="009A57C7">
            <w:pPr>
              <w:jc w:val="both"/>
              <w:rPr>
                <w:rFonts w:eastAsia="Calibri"/>
                <w:smallCaps/>
                <w:sz w:val="20"/>
                <w:lang w:val="fr-CA"/>
              </w:rPr>
            </w:pPr>
            <w:r w:rsidRPr="003E4A8C">
              <w:rPr>
                <w:rFonts w:eastAsia="Calibri"/>
                <w:smallCaps/>
                <w:sz w:val="20"/>
                <w:lang w:val="fr-CA"/>
              </w:rPr>
              <w:t>(Ordonnance de non-publication dans le dossier)</w:t>
            </w:r>
          </w:p>
          <w:p w:rsidR="004C1E42" w:rsidRPr="003E4A8C" w:rsidRDefault="004C1E42" w:rsidP="009A57C7">
            <w:pPr>
              <w:jc w:val="both"/>
              <w:rPr>
                <w:rFonts w:eastAsia="Calibri"/>
                <w:smallCaps/>
                <w:sz w:val="20"/>
                <w:lang w:val="fr-CA"/>
              </w:rPr>
            </w:pPr>
          </w:p>
          <w:p w:rsidR="004C1E42" w:rsidRPr="003E4A8C" w:rsidRDefault="004C1E42" w:rsidP="009A57C7">
            <w:pPr>
              <w:jc w:val="both"/>
              <w:rPr>
                <w:rFonts w:eastAsia="Calibri"/>
                <w:sz w:val="20"/>
                <w:lang w:val="fr-CA"/>
              </w:rPr>
            </w:pPr>
            <w:r w:rsidRPr="003E4A8C">
              <w:rPr>
                <w:rFonts w:eastAsia="Calibri"/>
                <w:i/>
                <w:sz w:val="20"/>
                <w:lang w:val="fr-CA"/>
              </w:rPr>
              <w:t xml:space="preserve">Charte des droits et libertés </w:t>
            </w:r>
            <w:r w:rsidRPr="003E4A8C">
              <w:rPr>
                <w:rFonts w:eastAsia="Calibri"/>
                <w:sz w:val="20"/>
                <w:lang w:val="fr-CA"/>
              </w:rPr>
              <w:t>– Procès dans un délai raisonnable –  Extradition – En quoi la décision de l'accusé de demeurer à l'extérieur du Canada influence-t-elle l'analyse du droit d'être jugé dans un délai raisonnable? – Le défaut de rentrer au Canada pour répondre à des accusations constitue-t-il la principale considération dans la détermination des intérêts en jeu en application de l'al. 11</w:t>
            </w:r>
            <w:r w:rsidRPr="003E4A8C">
              <w:rPr>
                <w:rFonts w:eastAsia="Calibri"/>
                <w:i/>
                <w:sz w:val="20"/>
                <w:lang w:val="fr-CA"/>
              </w:rPr>
              <w:t>b</w:t>
            </w:r>
            <w:r w:rsidRPr="003E4A8C">
              <w:rPr>
                <w:rFonts w:eastAsia="Calibri"/>
                <w:sz w:val="20"/>
                <w:lang w:val="fr-CA"/>
              </w:rPr>
              <w:t xml:space="preserve">) de la </w:t>
            </w:r>
            <w:r w:rsidRPr="003E4A8C">
              <w:rPr>
                <w:rFonts w:eastAsia="Calibri"/>
                <w:i/>
                <w:sz w:val="20"/>
                <w:lang w:val="fr-CA"/>
              </w:rPr>
              <w:t>Charte</w:t>
            </w:r>
            <w:r w:rsidRPr="003E4A8C">
              <w:rPr>
                <w:rFonts w:eastAsia="Calibri"/>
                <w:sz w:val="20"/>
                <w:lang w:val="fr-CA"/>
              </w:rPr>
              <w:t>?</w:t>
            </w:r>
            <w:r w:rsidRPr="003E4A8C">
              <w:rPr>
                <w:rFonts w:eastAsia="Calibri"/>
                <w:i/>
                <w:sz w:val="20"/>
                <w:lang w:val="fr-CA"/>
              </w:rPr>
              <w:t xml:space="preserve"> </w:t>
            </w:r>
            <w:r w:rsidRPr="003E4A8C">
              <w:rPr>
                <w:rFonts w:eastAsia="Calibri"/>
                <w:sz w:val="20"/>
                <w:lang w:val="fr-CA"/>
              </w:rPr>
              <w:t>– La Cour d'appel a-t-elle eu tort d'imposer l’arrêt des procédures et d’annuler les déclarations de culpabilité, y compris des déclarations de culpabilité dont elle n'était pas saisie? – La décision de l'intimé de ne pas rentrer au Canada repoussait-elle la conclusion selon laquelle il y avait eu préjudice aux termes de l'al. 11</w:t>
            </w:r>
            <w:r w:rsidRPr="003E4A8C">
              <w:rPr>
                <w:rFonts w:eastAsia="Calibri"/>
                <w:i/>
                <w:sz w:val="20"/>
                <w:lang w:val="fr-CA"/>
              </w:rPr>
              <w:t>b</w:t>
            </w:r>
            <w:r w:rsidRPr="003E4A8C">
              <w:rPr>
                <w:rFonts w:eastAsia="Calibri"/>
                <w:sz w:val="20"/>
                <w:lang w:val="fr-CA"/>
              </w:rPr>
              <w:t xml:space="preserve">) de la </w:t>
            </w:r>
            <w:r w:rsidRPr="003E4A8C">
              <w:rPr>
                <w:rFonts w:eastAsia="Calibri"/>
                <w:i/>
                <w:sz w:val="20"/>
                <w:lang w:val="fr-CA"/>
              </w:rPr>
              <w:t>Charte</w:t>
            </w:r>
            <w:r w:rsidRPr="003E4A8C">
              <w:rPr>
                <w:rFonts w:eastAsia="Calibri"/>
                <w:sz w:val="20"/>
                <w:lang w:val="fr-CA"/>
              </w:rPr>
              <w:t>? – La Cour d'appel a-t-elle commis une erreur de droit en n’ayant pas dûment considéré l'intérêt de la société à l'égard d'un procès portant sur des allégations de violence sexuelle contre des enfants et des adolescents? – Le juge du procès a-t-il mal interprété la preuve? – Le juge du procès a-t-il omis de considérer la collusion? – Le juge du procès a-t-il commis une erreur quant à la crédibilité?</w:t>
            </w:r>
          </w:p>
        </w:tc>
      </w:tr>
      <w:tr w:rsidR="004C1E42" w:rsidRPr="00147672" w:rsidTr="009A57C7">
        <w:tc>
          <w:tcPr>
            <w:tcW w:w="5000" w:type="pct"/>
            <w:gridSpan w:val="3"/>
          </w:tcPr>
          <w:p w:rsidR="004C1E42" w:rsidRPr="003E4A8C" w:rsidRDefault="004C1E42" w:rsidP="009A57C7">
            <w:pPr>
              <w:jc w:val="both"/>
              <w:rPr>
                <w:rFonts w:eastAsia="Calibri"/>
                <w:sz w:val="20"/>
                <w:lang w:val="fr-CA"/>
              </w:rPr>
            </w:pPr>
          </w:p>
        </w:tc>
      </w:tr>
      <w:tr w:rsidR="004C1E42" w:rsidRPr="00147672" w:rsidTr="009A57C7">
        <w:tc>
          <w:tcPr>
            <w:tcW w:w="5000" w:type="pct"/>
            <w:gridSpan w:val="3"/>
          </w:tcPr>
          <w:p w:rsidR="004C1E42" w:rsidRPr="003E4A8C" w:rsidRDefault="004C1E42" w:rsidP="009A57C7">
            <w:pPr>
              <w:jc w:val="both"/>
              <w:rPr>
                <w:rFonts w:eastAsia="Calibri"/>
                <w:sz w:val="20"/>
                <w:lang w:val="fr-CA"/>
              </w:rPr>
            </w:pPr>
            <w:r w:rsidRPr="003E4A8C">
              <w:rPr>
                <w:rFonts w:eastAsia="Calibri"/>
                <w:sz w:val="20"/>
                <w:lang w:val="fr-CA"/>
              </w:rPr>
              <w:t xml:space="preserve">Lorsque que l'intimé a quitté le Canada pour se rendre en Inde en 1994, aucune accusation n'avait été portée contre lui. Le 4 janvier 1995, la police a reçu la première de plusieurs plaintes d'attentats à la pudeur et de grossière indécence qui se seraient produits dans les années 1970.  Au fil du temps, d'autres plaignants se sont manifestés, le dernier en août 2001. Le premier mandat d'arrestation de l'intimé a été décerné le 21 février 1996. L'intimé n'est pas rentré au Canada </w:t>
            </w:r>
            <w:r w:rsidRPr="003E4A8C">
              <w:rPr>
                <w:rFonts w:eastAsia="Calibri"/>
                <w:sz w:val="20"/>
                <w:lang w:val="fr-CA"/>
              </w:rPr>
              <w:lastRenderedPageBreak/>
              <w:t>de son plein gré.  Même si le bureau du procureur de la Couronne avait entrepris le processus d'extradition en septembre 1997, ce n'est qu'en juillet 2006 qu’une demande officielle d'extradition a été transmise à l’Inde. L'Inde a accepté d'extrader l'intimé le 26 mai 2007 et celui-ci a fait sa première comparution dans le cadre des procédures préliminaires au Canada le 8 juin 2007.</w:t>
            </w:r>
          </w:p>
          <w:p w:rsidR="004C1E42" w:rsidRPr="003E4A8C" w:rsidRDefault="004C1E42" w:rsidP="009A57C7">
            <w:pPr>
              <w:jc w:val="both"/>
              <w:rPr>
                <w:rFonts w:eastAsia="Calibri"/>
                <w:sz w:val="20"/>
                <w:lang w:val="fr-CA"/>
              </w:rPr>
            </w:pP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lastRenderedPageBreak/>
              <w:t>19 mars 2010</w:t>
            </w:r>
          </w:p>
          <w:p w:rsidR="004C1E42" w:rsidRPr="003E4A8C" w:rsidRDefault="004C1E42" w:rsidP="009A57C7">
            <w:pPr>
              <w:jc w:val="both"/>
              <w:rPr>
                <w:rFonts w:eastAsia="Calibri"/>
                <w:sz w:val="20"/>
                <w:lang w:val="fr-CA"/>
              </w:rPr>
            </w:pPr>
            <w:r w:rsidRPr="003E4A8C">
              <w:rPr>
                <w:rFonts w:eastAsia="Calibri"/>
                <w:sz w:val="20"/>
                <w:lang w:val="fr-CA"/>
              </w:rPr>
              <w:t xml:space="preserve">Cour suprême de la Nouvelle-Écosse, Section de première instance </w:t>
            </w:r>
          </w:p>
          <w:p w:rsidR="004C1E42" w:rsidRPr="003E4A8C" w:rsidRDefault="004C1E42" w:rsidP="009A57C7">
            <w:pPr>
              <w:jc w:val="both"/>
              <w:rPr>
                <w:rFonts w:eastAsia="Calibri"/>
                <w:sz w:val="20"/>
                <w:lang w:val="fr-CA"/>
              </w:rPr>
            </w:pPr>
            <w:r w:rsidRPr="003E4A8C">
              <w:rPr>
                <w:rFonts w:eastAsia="Calibri"/>
                <w:sz w:val="20"/>
                <w:lang w:val="fr-CA"/>
              </w:rPr>
              <w:t>(Juge en chef Kennedy)</w:t>
            </w:r>
          </w:p>
          <w:p w:rsidR="004C1E42" w:rsidRPr="003E4A8C" w:rsidRDefault="004C1E42" w:rsidP="009A57C7">
            <w:pPr>
              <w:jc w:val="both"/>
              <w:rPr>
                <w:rFonts w:eastAsia="Calibri"/>
                <w:sz w:val="20"/>
                <w:lang w:val="fr-CA"/>
              </w:rPr>
            </w:pPr>
            <w:r w:rsidRPr="003E4A8C">
              <w:rPr>
                <w:rFonts w:eastAsia="Calibri"/>
                <w:sz w:val="20"/>
                <w:lang w:val="fr-CA"/>
              </w:rPr>
              <w:t>2010 NSSC 105</w:t>
            </w:r>
          </w:p>
          <w:p w:rsidR="004C1E42" w:rsidRPr="003E4A8C" w:rsidRDefault="004C1E42" w:rsidP="009A57C7">
            <w:pPr>
              <w:jc w:val="both"/>
              <w:rPr>
                <w:rFonts w:eastAsia="Calibri"/>
                <w:sz w:val="20"/>
                <w:lang w:val="fr-CA"/>
              </w:rPr>
            </w:pP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Demande d'arrêt des procédures pour violation de l'al. 11</w:t>
            </w:r>
            <w:r w:rsidRPr="003E4A8C">
              <w:rPr>
                <w:rFonts w:eastAsia="Calibri"/>
                <w:i/>
                <w:sz w:val="20"/>
                <w:lang w:val="fr-CA"/>
              </w:rPr>
              <w:t>b</w:t>
            </w:r>
            <w:r w:rsidRPr="003E4A8C">
              <w:rPr>
                <w:rFonts w:eastAsia="Calibri"/>
                <w:sz w:val="20"/>
                <w:lang w:val="fr-CA"/>
              </w:rPr>
              <w:t>) de la</w:t>
            </w:r>
            <w:r w:rsidRPr="003E4A8C">
              <w:rPr>
                <w:rFonts w:eastAsia="Calibri"/>
                <w:i/>
                <w:sz w:val="20"/>
                <w:lang w:val="fr-CA"/>
              </w:rPr>
              <w:t xml:space="preserve"> Charte canadienne des droits et libertés</w:t>
            </w:r>
            <w:r w:rsidRPr="003E4A8C">
              <w:rPr>
                <w:rFonts w:eastAsia="Calibri"/>
                <w:sz w:val="20"/>
                <w:lang w:val="fr-CA"/>
              </w:rPr>
              <w:t>, rejetée</w:t>
            </w:r>
          </w:p>
          <w:p w:rsidR="004C1E42" w:rsidRPr="003E4A8C" w:rsidRDefault="004C1E42" w:rsidP="009A57C7">
            <w:pPr>
              <w:jc w:val="both"/>
              <w:rPr>
                <w:rFonts w:eastAsia="Calibri"/>
                <w:sz w:val="20"/>
                <w:lang w:val="fr-CA"/>
              </w:rPr>
            </w:pP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27 juillet 2010</w:t>
            </w:r>
          </w:p>
          <w:p w:rsidR="004C1E42" w:rsidRPr="003E4A8C" w:rsidRDefault="004C1E42" w:rsidP="009A57C7">
            <w:pPr>
              <w:jc w:val="both"/>
              <w:rPr>
                <w:rFonts w:eastAsia="Calibri"/>
                <w:sz w:val="20"/>
                <w:lang w:val="fr-CA"/>
              </w:rPr>
            </w:pPr>
            <w:r w:rsidRPr="003E4A8C">
              <w:rPr>
                <w:rFonts w:eastAsia="Calibri"/>
                <w:sz w:val="20"/>
                <w:lang w:val="fr-CA"/>
              </w:rPr>
              <w:t xml:space="preserve">Cour suprême de la Nouvelle-Écosse, Section de première instance </w:t>
            </w:r>
          </w:p>
          <w:p w:rsidR="004C1E42" w:rsidRPr="003E4A8C" w:rsidRDefault="004C1E42" w:rsidP="009A57C7">
            <w:pPr>
              <w:jc w:val="both"/>
              <w:rPr>
                <w:rFonts w:eastAsia="Calibri"/>
                <w:sz w:val="20"/>
                <w:lang w:val="fr-CA"/>
              </w:rPr>
            </w:pPr>
            <w:r w:rsidRPr="003E4A8C">
              <w:rPr>
                <w:rFonts w:eastAsia="Calibri"/>
                <w:sz w:val="20"/>
                <w:lang w:val="fr-CA"/>
              </w:rPr>
              <w:t>(Juge MacDonald)</w:t>
            </w:r>
          </w:p>
          <w:p w:rsidR="004C1E42" w:rsidRPr="003E4A8C" w:rsidRDefault="004C1E42" w:rsidP="009A57C7">
            <w:pPr>
              <w:jc w:val="both"/>
              <w:rPr>
                <w:rFonts w:eastAsia="Calibri"/>
                <w:color w:val="000000"/>
                <w:sz w:val="20"/>
                <w:lang w:val="fr-CA"/>
              </w:rPr>
            </w:pPr>
            <w:r w:rsidRPr="003E4A8C">
              <w:rPr>
                <w:rFonts w:eastAsia="Calibri"/>
                <w:color w:val="000000"/>
                <w:sz w:val="20"/>
                <w:lang w:val="fr-CA"/>
              </w:rPr>
              <w:t>2010 NSSC 300</w:t>
            </w:r>
          </w:p>
          <w:p w:rsidR="004C1E42" w:rsidRPr="003E4A8C" w:rsidRDefault="004C1E42" w:rsidP="009A57C7">
            <w:pPr>
              <w:jc w:val="both"/>
              <w:rPr>
                <w:rFonts w:eastAsia="Calibri"/>
                <w:sz w:val="20"/>
                <w:lang w:val="fr-CA"/>
              </w:rPr>
            </w:pP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Déclarations de culpabilité sous 6 chefs d'attentats à la pudeur et 7 chefs de grossière indécence; acquittement sous 13 chefs</w:t>
            </w: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31 janvier 2011</w:t>
            </w:r>
          </w:p>
          <w:p w:rsidR="004C1E42" w:rsidRPr="003E4A8C" w:rsidRDefault="004C1E42" w:rsidP="009A57C7">
            <w:pPr>
              <w:jc w:val="both"/>
              <w:rPr>
                <w:rFonts w:eastAsia="Calibri"/>
                <w:sz w:val="20"/>
                <w:lang w:val="fr-CA"/>
              </w:rPr>
            </w:pPr>
            <w:r w:rsidRPr="003E4A8C">
              <w:rPr>
                <w:rFonts w:eastAsia="Calibri"/>
                <w:sz w:val="20"/>
                <w:lang w:val="fr-CA"/>
              </w:rPr>
              <w:t xml:space="preserve">Cour suprême de la Nouvelle-Écosse, Section de première instance </w:t>
            </w:r>
          </w:p>
          <w:p w:rsidR="004C1E42" w:rsidRPr="003E4A8C" w:rsidRDefault="004C1E42" w:rsidP="009A57C7">
            <w:pPr>
              <w:jc w:val="both"/>
              <w:rPr>
                <w:rFonts w:eastAsia="Calibri"/>
                <w:sz w:val="20"/>
                <w:lang w:val="fr-CA"/>
              </w:rPr>
            </w:pPr>
            <w:r w:rsidRPr="003E4A8C">
              <w:rPr>
                <w:rFonts w:eastAsia="Calibri"/>
                <w:sz w:val="20"/>
                <w:lang w:val="fr-CA"/>
              </w:rPr>
              <w:t>(Juge en chef Kennedy)</w:t>
            </w:r>
          </w:p>
          <w:p w:rsidR="004C1E42" w:rsidRPr="003E4A8C" w:rsidRDefault="004C1E42" w:rsidP="009A57C7">
            <w:pPr>
              <w:jc w:val="both"/>
              <w:rPr>
                <w:rFonts w:eastAsia="Calibri"/>
                <w:color w:val="000000"/>
                <w:sz w:val="20"/>
                <w:lang w:val="fr-CA"/>
              </w:rPr>
            </w:pPr>
            <w:r w:rsidRPr="003E4A8C">
              <w:rPr>
                <w:rFonts w:eastAsia="Calibri"/>
                <w:color w:val="000000"/>
                <w:sz w:val="20"/>
                <w:lang w:val="fr-CA"/>
              </w:rPr>
              <w:t>2011 NSSC 340</w:t>
            </w:r>
          </w:p>
          <w:p w:rsidR="004C1E42" w:rsidRPr="003E4A8C" w:rsidRDefault="004C1E42" w:rsidP="009A57C7">
            <w:pPr>
              <w:jc w:val="both"/>
              <w:rPr>
                <w:rFonts w:eastAsia="Calibri"/>
                <w:sz w:val="20"/>
                <w:lang w:val="fr-CA"/>
              </w:rPr>
            </w:pP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Déclarations de culpabilité sous 2 chefs d'attentats à la pudeur et 2 chefs de grossière indécence; acquittement sous 6 chefs</w:t>
            </w: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8 décembre 2011</w:t>
            </w:r>
          </w:p>
          <w:p w:rsidR="004C1E42" w:rsidRPr="003E4A8C" w:rsidRDefault="004C1E42" w:rsidP="009A57C7">
            <w:pPr>
              <w:jc w:val="both"/>
              <w:rPr>
                <w:rFonts w:eastAsia="Calibri"/>
                <w:sz w:val="20"/>
                <w:lang w:val="fr-CA"/>
              </w:rPr>
            </w:pPr>
            <w:r w:rsidRPr="003E4A8C">
              <w:rPr>
                <w:rFonts w:eastAsia="Calibri"/>
                <w:sz w:val="20"/>
                <w:lang w:val="fr-CA"/>
              </w:rPr>
              <w:t xml:space="preserve">Cour d'appel de la Nouvelle-Écosse </w:t>
            </w:r>
          </w:p>
          <w:p w:rsidR="004C1E42" w:rsidRPr="003E4A8C" w:rsidRDefault="004C1E42" w:rsidP="009A57C7">
            <w:pPr>
              <w:jc w:val="both"/>
              <w:rPr>
                <w:rFonts w:eastAsia="Calibri"/>
                <w:sz w:val="20"/>
                <w:lang w:val="fr-CA"/>
              </w:rPr>
            </w:pPr>
            <w:r w:rsidRPr="003E4A8C">
              <w:rPr>
                <w:rFonts w:eastAsia="Calibri"/>
                <w:sz w:val="20"/>
                <w:lang w:val="fr-CA"/>
              </w:rPr>
              <w:t>(Juges Hamilton, Beveridge et Bryson)</w:t>
            </w:r>
          </w:p>
          <w:p w:rsidR="004C1E42" w:rsidRPr="003E4A8C" w:rsidRDefault="004C1E42" w:rsidP="009A57C7">
            <w:pPr>
              <w:jc w:val="both"/>
              <w:rPr>
                <w:rFonts w:eastAsia="Calibri"/>
                <w:sz w:val="20"/>
                <w:lang w:val="fr-CA"/>
              </w:rPr>
            </w:pPr>
            <w:r w:rsidRPr="003E4A8C">
              <w:rPr>
                <w:rFonts w:eastAsia="Calibri"/>
                <w:sz w:val="20"/>
                <w:lang w:val="fr-CA"/>
              </w:rPr>
              <w:t>2011 NSCA 111</w:t>
            </w:r>
          </w:p>
          <w:p w:rsidR="004C1E42" w:rsidRPr="003E4A8C" w:rsidRDefault="004C1E42" w:rsidP="009A57C7">
            <w:pPr>
              <w:jc w:val="both"/>
              <w:rPr>
                <w:rFonts w:eastAsia="Calibri"/>
                <w:sz w:val="20"/>
                <w:lang w:val="fr-CA"/>
              </w:rPr>
            </w:pPr>
            <w:r w:rsidRPr="003E4A8C">
              <w:rPr>
                <w:rFonts w:eastAsia="Calibri"/>
                <w:sz w:val="20"/>
                <w:lang w:val="fr-CA"/>
              </w:rPr>
              <w:t>CAC 338534; CAC333361</w:t>
            </w: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Appel du rejet des demandes d'arrêt des procédures et des déclarations de culpabilité prononcées par le juge MacDonald, accueilli, déclarations de culpabilité prononcées par le juge MacDonald et le juge en chef Kennedy annulées, arrêt des procédures sous toutes les accusations</w:t>
            </w:r>
          </w:p>
          <w:p w:rsidR="004C1E42" w:rsidRPr="003E4A8C" w:rsidRDefault="004C1E42" w:rsidP="009A57C7">
            <w:pPr>
              <w:jc w:val="both"/>
              <w:rPr>
                <w:rFonts w:eastAsia="Calibri"/>
                <w:sz w:val="20"/>
                <w:lang w:val="fr-CA"/>
              </w:rPr>
            </w:pPr>
          </w:p>
        </w:tc>
      </w:tr>
      <w:tr w:rsidR="004C1E42" w:rsidRPr="003E4A8C"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3 février 2012</w:t>
            </w:r>
          </w:p>
          <w:p w:rsidR="004C1E42" w:rsidRPr="003E4A8C" w:rsidRDefault="004C1E42" w:rsidP="009A57C7">
            <w:pPr>
              <w:jc w:val="both"/>
              <w:rPr>
                <w:rFonts w:eastAsia="Calibri"/>
                <w:sz w:val="20"/>
                <w:lang w:val="fr-CA"/>
              </w:rPr>
            </w:pPr>
            <w:r w:rsidRPr="003E4A8C">
              <w:rPr>
                <w:rFonts w:eastAsia="Calibri"/>
                <w:sz w:val="20"/>
                <w:lang w:val="fr-CA"/>
              </w:rPr>
              <w:t>Cour suprême du Canada</w:t>
            </w: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Demande d'autorisation d'appel, déposé</w:t>
            </w:r>
          </w:p>
          <w:p w:rsidR="004C1E42" w:rsidRPr="003E4A8C" w:rsidRDefault="004C1E42" w:rsidP="009A57C7">
            <w:pPr>
              <w:jc w:val="both"/>
              <w:rPr>
                <w:rFonts w:eastAsia="Calibri"/>
                <w:sz w:val="20"/>
                <w:lang w:val="fr-CA"/>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57"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A369C" w:rsidRPr="00C60066" w:rsidTr="008B5DBF">
        <w:trPr>
          <w:cantSplit/>
        </w:trPr>
        <w:tc>
          <w:tcPr>
            <w:tcW w:w="1458" w:type="dxa"/>
          </w:tcPr>
          <w:p w:rsidR="001A369C" w:rsidRPr="00C60066" w:rsidRDefault="001A369C" w:rsidP="008B5DBF">
            <w:pPr>
              <w:rPr>
                <w:rFonts w:cs="Times New Roman"/>
                <w:sz w:val="20"/>
                <w:szCs w:val="20"/>
              </w:rPr>
            </w:pPr>
            <w:r w:rsidRPr="00C60066">
              <w:rPr>
                <w:rStyle w:val="SCCFileNumberChar"/>
                <w:sz w:val="20"/>
                <w:szCs w:val="20"/>
              </w:rPr>
              <w:t>34658</w:t>
            </w:r>
          </w:p>
          <w:p w:rsidR="001A369C" w:rsidRPr="00C60066" w:rsidRDefault="001A369C" w:rsidP="008B5DBF">
            <w:pPr>
              <w:rPr>
                <w:rFonts w:cs="Times New Roman"/>
                <w:b/>
                <w:sz w:val="20"/>
                <w:szCs w:val="20"/>
                <w:lang w:val="fr-CA"/>
              </w:rPr>
            </w:pPr>
          </w:p>
        </w:tc>
        <w:tc>
          <w:tcPr>
            <w:tcW w:w="8118" w:type="dxa"/>
          </w:tcPr>
          <w:p w:rsidR="001A369C" w:rsidRPr="00C60066" w:rsidRDefault="001A369C" w:rsidP="008B5DBF">
            <w:pPr>
              <w:rPr>
                <w:rFonts w:cs="Times New Roman"/>
                <w:sz w:val="20"/>
                <w:szCs w:val="20"/>
              </w:rPr>
            </w:pPr>
            <w:r w:rsidRPr="001A369C">
              <w:rPr>
                <w:rStyle w:val="SCCLsocChar"/>
                <w:rFonts w:cs="Times New Roman"/>
                <w:sz w:val="20"/>
                <w:szCs w:val="20"/>
                <w:lang w:val="en-CA"/>
              </w:rPr>
              <w:t>Frank Dean Rudge v. Her Majesty the Queen</w:t>
            </w:r>
            <w:r w:rsidRPr="00C60066">
              <w:rPr>
                <w:rFonts w:cs="Times New Roman"/>
                <w:sz w:val="20"/>
                <w:szCs w:val="20"/>
              </w:rPr>
              <w:t xml:space="preserve"> (Ont.) (Criminal) (By Leave)</w:t>
            </w:r>
          </w:p>
          <w:p w:rsidR="001A369C" w:rsidRPr="00C60066" w:rsidRDefault="001A369C" w:rsidP="008B5DBF">
            <w:pPr>
              <w:rPr>
                <w:rFonts w:cs="Times New Roman"/>
                <w:sz w:val="20"/>
                <w:szCs w:val="20"/>
              </w:rPr>
            </w:pPr>
          </w:p>
        </w:tc>
      </w:tr>
      <w:tr w:rsidR="001A369C" w:rsidRPr="00C60066" w:rsidTr="008B5DBF">
        <w:trPr>
          <w:cantSplit/>
        </w:trPr>
        <w:tc>
          <w:tcPr>
            <w:tcW w:w="1458" w:type="dxa"/>
          </w:tcPr>
          <w:p w:rsidR="001A369C" w:rsidRPr="00C60066" w:rsidRDefault="001A369C" w:rsidP="008B5DBF">
            <w:pPr>
              <w:rPr>
                <w:rFonts w:cs="Times New Roman"/>
                <w:sz w:val="20"/>
                <w:szCs w:val="20"/>
              </w:rPr>
            </w:pPr>
            <w:r w:rsidRPr="00C60066">
              <w:rPr>
                <w:rFonts w:cs="Times New Roman"/>
                <w:sz w:val="20"/>
                <w:szCs w:val="20"/>
              </w:rPr>
              <w:t>Coram :</w:t>
            </w:r>
          </w:p>
        </w:tc>
        <w:tc>
          <w:tcPr>
            <w:tcW w:w="8118" w:type="dxa"/>
          </w:tcPr>
          <w:p w:rsidR="001A369C" w:rsidRPr="00C60066" w:rsidRDefault="001A369C" w:rsidP="008B5DBF">
            <w:pPr>
              <w:rPr>
                <w:rFonts w:cs="Times New Roman"/>
                <w:sz w:val="20"/>
                <w:szCs w:val="20"/>
              </w:rPr>
            </w:pPr>
            <w:r w:rsidRPr="001A369C">
              <w:rPr>
                <w:rStyle w:val="SCCCoramChar"/>
                <w:rFonts w:cs="Times New Roman"/>
                <w:sz w:val="20"/>
                <w:szCs w:val="20"/>
                <w:lang w:val="en-CA"/>
              </w:rPr>
              <w:t>Deschamps, Fish and Karakatsanis JJ.</w:t>
            </w:r>
          </w:p>
          <w:p w:rsidR="001A369C" w:rsidRPr="00C60066" w:rsidRDefault="001A369C" w:rsidP="008B5DBF">
            <w:pPr>
              <w:rPr>
                <w:rFonts w:cs="Times New Roman"/>
                <w:sz w:val="20"/>
                <w:szCs w:val="20"/>
                <w:u w:val="single"/>
              </w:rPr>
            </w:pPr>
          </w:p>
        </w:tc>
      </w:tr>
      <w:tr w:rsidR="001A369C" w:rsidRPr="00147672" w:rsidTr="008B5DBF">
        <w:trPr>
          <w:cantSplit/>
        </w:trPr>
        <w:tc>
          <w:tcPr>
            <w:tcW w:w="9576" w:type="dxa"/>
            <w:gridSpan w:val="2"/>
          </w:tcPr>
          <w:p w:rsidR="001A369C" w:rsidRPr="00C60066" w:rsidRDefault="001A369C" w:rsidP="008B5DBF">
            <w:pPr>
              <w:pStyle w:val="SCCShortJudgment"/>
              <w:rPr>
                <w:rFonts w:cs="Times New Roman"/>
                <w:szCs w:val="20"/>
              </w:rPr>
            </w:pPr>
            <w:r w:rsidRPr="00C60066">
              <w:rPr>
                <w:rFonts w:cs="Times New Roman"/>
                <w:szCs w:val="20"/>
              </w:rPr>
              <w:t>The application for leave to appeal from the judgment of the Court of Appeal for Ontario, Number C52233, 2011 ONCA 791, dated December 15, 2011, is dismissed without costs.</w:t>
            </w:r>
          </w:p>
          <w:p w:rsidR="001A369C" w:rsidRPr="00C60066" w:rsidRDefault="001A369C" w:rsidP="008B5DBF">
            <w:pPr>
              <w:pStyle w:val="SCCShortJudgment"/>
              <w:ind w:firstLine="0"/>
              <w:rPr>
                <w:rFonts w:cs="Times New Roman"/>
                <w:szCs w:val="20"/>
              </w:rPr>
            </w:pPr>
          </w:p>
          <w:p w:rsidR="001A369C" w:rsidRPr="00C60066" w:rsidRDefault="001A369C" w:rsidP="008B5DBF">
            <w:pPr>
              <w:pStyle w:val="SCCShortJudgment"/>
              <w:rPr>
                <w:rFonts w:cs="Times New Roman"/>
                <w:szCs w:val="20"/>
                <w:lang w:val="fr-CA"/>
              </w:rPr>
            </w:pPr>
            <w:r w:rsidRPr="00C60066">
              <w:rPr>
                <w:rFonts w:cs="Times New Roman"/>
                <w:szCs w:val="20"/>
                <w:lang w:val="fr-CA"/>
              </w:rPr>
              <w:t>La demande d’autorisation d’appel de l’arrêt de la Cour d’appel de l’Ontario, numéro C52233, 2011 ONCA 791, daté du 15 décembre 2011, est rejetée sans dépens.</w:t>
            </w:r>
          </w:p>
        </w:tc>
      </w:tr>
    </w:tbl>
    <w:p w:rsidR="00F96FE7" w:rsidRPr="001A369C"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33166" w:rsidRPr="003E4A8C" w:rsidTr="009A57C7">
        <w:tc>
          <w:tcPr>
            <w:tcW w:w="5000" w:type="pct"/>
            <w:gridSpan w:val="3"/>
          </w:tcPr>
          <w:p w:rsidR="00133166" w:rsidRPr="003E4A8C" w:rsidRDefault="00133166" w:rsidP="009A57C7">
            <w:pPr>
              <w:jc w:val="both"/>
              <w:rPr>
                <w:rFonts w:eastAsia="Calibri"/>
                <w:sz w:val="20"/>
              </w:rPr>
            </w:pPr>
            <w:r w:rsidRPr="003E4A8C">
              <w:rPr>
                <w:rFonts w:eastAsia="Calibri"/>
                <w:sz w:val="20"/>
              </w:rPr>
              <w:t>Criminal law – Breach of trust by public officer – Evidence – Assessment – Whether the trial judge failed to consider the whole of the evidence – Whether the trial judge’s assessment of the evidence was incorrect and gave rise to an error of law justifying appellate intervention and the ordering of a new trial.</w:t>
            </w:r>
          </w:p>
        </w:tc>
      </w:tr>
      <w:tr w:rsidR="00133166" w:rsidRPr="003E4A8C" w:rsidTr="009A57C7">
        <w:tc>
          <w:tcPr>
            <w:tcW w:w="5000" w:type="pct"/>
            <w:gridSpan w:val="3"/>
          </w:tcPr>
          <w:p w:rsidR="00133166" w:rsidRPr="003E4A8C" w:rsidRDefault="00133166" w:rsidP="009A57C7">
            <w:pPr>
              <w:jc w:val="both"/>
              <w:rPr>
                <w:rFonts w:eastAsia="Calibri"/>
                <w:sz w:val="20"/>
              </w:rPr>
            </w:pPr>
          </w:p>
        </w:tc>
      </w:tr>
      <w:tr w:rsidR="00133166" w:rsidRPr="003E4A8C" w:rsidTr="009A57C7">
        <w:tc>
          <w:tcPr>
            <w:tcW w:w="5000" w:type="pct"/>
            <w:gridSpan w:val="3"/>
          </w:tcPr>
          <w:p w:rsidR="00133166" w:rsidRPr="003E4A8C" w:rsidRDefault="00133166" w:rsidP="009A57C7">
            <w:pPr>
              <w:jc w:val="both"/>
              <w:rPr>
                <w:rFonts w:eastAsia="Calibri"/>
                <w:sz w:val="20"/>
              </w:rPr>
            </w:pPr>
            <w:r w:rsidRPr="003E4A8C">
              <w:rPr>
                <w:rFonts w:eastAsia="Calibri"/>
                <w:sz w:val="20"/>
              </w:rPr>
              <w:t xml:space="preserve">The applicant, Mr. Rudge, was charged with breach of trust by a public officer. It is alleged that he, a police officer with the Niagara Regional Police Services, released confidential police information to the Hell’s Angels. The police found a number of confidential documents in the possession of members of the gang, which the Crown alleged, could be traced back to Rudge. The Crown’s case was entirely circumstantial. The trial judge acquitted Rudge. The Court of Appeal allowed the appeal and ordered a new trial. In its view, the trial judge failed to examine the evidence as a whole and failed to factor into his analysis important evidence relevant to a key issue. </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May 13, 2010</w:t>
            </w:r>
          </w:p>
          <w:p w:rsidR="00133166" w:rsidRPr="003E4A8C" w:rsidRDefault="00133166" w:rsidP="009A57C7">
            <w:pPr>
              <w:jc w:val="both"/>
              <w:rPr>
                <w:rFonts w:eastAsia="Calibri"/>
                <w:sz w:val="20"/>
              </w:rPr>
            </w:pPr>
            <w:r w:rsidRPr="003E4A8C">
              <w:rPr>
                <w:rFonts w:eastAsia="Calibri"/>
                <w:sz w:val="20"/>
              </w:rPr>
              <w:t>Ontario Superior Court of Justice</w:t>
            </w:r>
          </w:p>
          <w:p w:rsidR="00133166" w:rsidRPr="003E4A8C" w:rsidRDefault="00133166" w:rsidP="009A57C7">
            <w:pPr>
              <w:jc w:val="both"/>
              <w:rPr>
                <w:rFonts w:eastAsia="Calibri"/>
                <w:sz w:val="20"/>
              </w:rPr>
            </w:pPr>
            <w:r w:rsidRPr="003E4A8C">
              <w:rPr>
                <w:rFonts w:eastAsia="Calibri"/>
                <w:sz w:val="20"/>
              </w:rPr>
              <w:t>(Arrell J.)</w:t>
            </w:r>
          </w:p>
          <w:p w:rsidR="00133166" w:rsidRPr="003E4A8C" w:rsidRDefault="00133166" w:rsidP="009A57C7">
            <w:pPr>
              <w:jc w:val="both"/>
              <w:rPr>
                <w:rFonts w:eastAsia="Calibri"/>
                <w:sz w:val="20"/>
              </w:rPr>
            </w:pPr>
            <w:r w:rsidRPr="003E4A8C">
              <w:rPr>
                <w:rFonts w:eastAsia="Calibri"/>
                <w:sz w:val="20"/>
              </w:rPr>
              <w:t>2010 ONSC 2587</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Applicant acquitted of breach of trust by a public officer</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December 15, 2011</w:t>
            </w:r>
          </w:p>
          <w:p w:rsidR="00133166" w:rsidRPr="003E4A8C" w:rsidRDefault="00133166" w:rsidP="009A57C7">
            <w:pPr>
              <w:jc w:val="both"/>
              <w:rPr>
                <w:rFonts w:eastAsia="Calibri"/>
                <w:sz w:val="20"/>
              </w:rPr>
            </w:pPr>
            <w:r w:rsidRPr="003E4A8C">
              <w:rPr>
                <w:rFonts w:eastAsia="Calibri"/>
                <w:sz w:val="20"/>
              </w:rPr>
              <w:t>Court of Appeal for Ontario</w:t>
            </w:r>
          </w:p>
          <w:p w:rsidR="00133166" w:rsidRPr="003E4A8C" w:rsidRDefault="00133166" w:rsidP="009A57C7">
            <w:pPr>
              <w:jc w:val="both"/>
              <w:rPr>
                <w:rFonts w:eastAsia="Calibri"/>
                <w:sz w:val="20"/>
              </w:rPr>
            </w:pPr>
            <w:r w:rsidRPr="003E4A8C">
              <w:rPr>
                <w:rFonts w:eastAsia="Calibri"/>
                <w:sz w:val="20"/>
              </w:rPr>
              <w:t>(O'Connor, Blair and Epstein JJ.A.)</w:t>
            </w:r>
          </w:p>
          <w:p w:rsidR="00133166" w:rsidRPr="003E4A8C" w:rsidRDefault="00133166" w:rsidP="009A57C7">
            <w:pPr>
              <w:jc w:val="both"/>
              <w:rPr>
                <w:rFonts w:eastAsia="Calibri"/>
                <w:sz w:val="20"/>
              </w:rPr>
            </w:pPr>
            <w:r w:rsidRPr="003E4A8C">
              <w:rPr>
                <w:rFonts w:eastAsia="Calibri"/>
                <w:sz w:val="20"/>
              </w:rPr>
              <w:t>2011 ONCA 791</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Appeal allowed; new trial ordered</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February 8, 2012</w:t>
            </w:r>
          </w:p>
          <w:p w:rsidR="00133166" w:rsidRPr="003E4A8C" w:rsidRDefault="00133166" w:rsidP="009A57C7">
            <w:pPr>
              <w:jc w:val="both"/>
              <w:rPr>
                <w:rFonts w:eastAsia="Calibri"/>
                <w:sz w:val="20"/>
              </w:rPr>
            </w:pPr>
            <w:r w:rsidRPr="003E4A8C">
              <w:rPr>
                <w:rFonts w:eastAsia="Calibri"/>
                <w:sz w:val="20"/>
              </w:rPr>
              <w:t>Supreme Court of Canada</w:t>
            </w: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Application for leave to appeal filed</w:t>
            </w:r>
          </w:p>
          <w:p w:rsidR="00133166" w:rsidRPr="003E4A8C" w:rsidRDefault="00133166"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58"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33166" w:rsidRPr="00147672" w:rsidTr="009A57C7">
        <w:tc>
          <w:tcPr>
            <w:tcW w:w="5000" w:type="pct"/>
            <w:gridSpan w:val="3"/>
          </w:tcPr>
          <w:p w:rsidR="00133166" w:rsidRPr="003E4A8C" w:rsidRDefault="00133166" w:rsidP="009A57C7">
            <w:pPr>
              <w:jc w:val="both"/>
              <w:rPr>
                <w:rFonts w:eastAsia="Calibri"/>
                <w:sz w:val="20"/>
                <w:lang w:val="fr-FR"/>
              </w:rPr>
            </w:pPr>
            <w:r w:rsidRPr="003E4A8C">
              <w:rPr>
                <w:rFonts w:eastAsia="Calibri"/>
                <w:sz w:val="20"/>
                <w:lang w:val="fr-FR"/>
              </w:rPr>
              <w:t xml:space="preserve">Droit criminel – Abus de confiance par un fonctionnaire – Preuve – Appréciation – Le juge du procès a-t-il omis de tenir compte de toute la preuve? – Le juge du procès a-t-il mal apprécié la preuve et commis ainsi une erreur de droit justifiant l’intervention de la cour d’appel et la tenue d’un nouveau procès? </w:t>
            </w:r>
          </w:p>
        </w:tc>
      </w:tr>
      <w:tr w:rsidR="00133166" w:rsidRPr="00147672" w:rsidTr="009A57C7">
        <w:tc>
          <w:tcPr>
            <w:tcW w:w="5000" w:type="pct"/>
            <w:gridSpan w:val="3"/>
          </w:tcPr>
          <w:p w:rsidR="00133166" w:rsidRPr="003E4A8C" w:rsidRDefault="00133166" w:rsidP="009A57C7">
            <w:pPr>
              <w:jc w:val="both"/>
              <w:rPr>
                <w:rFonts w:eastAsia="Calibri"/>
                <w:sz w:val="20"/>
                <w:lang w:val="fr-FR"/>
              </w:rPr>
            </w:pPr>
          </w:p>
        </w:tc>
      </w:tr>
      <w:tr w:rsidR="00133166" w:rsidRPr="00147672" w:rsidTr="009A57C7">
        <w:tc>
          <w:tcPr>
            <w:tcW w:w="5000" w:type="pct"/>
            <w:gridSpan w:val="3"/>
          </w:tcPr>
          <w:p w:rsidR="00133166" w:rsidRPr="003E4A8C" w:rsidRDefault="00133166" w:rsidP="009A57C7">
            <w:pPr>
              <w:jc w:val="both"/>
              <w:rPr>
                <w:rFonts w:eastAsia="Calibri"/>
                <w:sz w:val="20"/>
                <w:lang w:val="fr-FR"/>
              </w:rPr>
            </w:pPr>
            <w:r w:rsidRPr="003E4A8C">
              <w:rPr>
                <w:rFonts w:eastAsia="Calibri"/>
                <w:sz w:val="20"/>
                <w:lang w:val="fr-FR"/>
              </w:rPr>
              <w:t xml:space="preserve">Le demandeur, M. Rudge, a été inculpé d’abus de confiance par un fonctionnaire. M. Rudge, un policier travaillant au service de police régional du Niagara, a communiqué des renseignements  policiers confidentiels aux Hell’s Angels. La police a trouvé plusieurs documents confidentiels détenus par des membres de la bande et, d’après le ministère public, la filière de ces documents remonte à M. Rudge. La preuve du ministère public était entièrement circonstancielle. Le juge du procès a acquitté M. Rudge. La Cour d’appel a accueilli l’appel et ordonné un nouveau procès, estimant que le juge du procès n’avait pas examiné toute la preuve et pris en considération, dans son analyse, des éléments de preuve importants quant à une question clé. </w:t>
            </w:r>
          </w:p>
          <w:p w:rsidR="00133166" w:rsidRPr="003E4A8C" w:rsidRDefault="00133166" w:rsidP="009A57C7">
            <w:pPr>
              <w:jc w:val="both"/>
              <w:rPr>
                <w:rFonts w:eastAsia="Calibri"/>
                <w:sz w:val="20"/>
                <w:lang w:val="fr-FR"/>
              </w:rPr>
            </w:pPr>
          </w:p>
        </w:tc>
      </w:tr>
      <w:tr w:rsidR="00133166" w:rsidRPr="00147672" w:rsidTr="009A57C7">
        <w:tc>
          <w:tcPr>
            <w:tcW w:w="2427" w:type="pct"/>
          </w:tcPr>
          <w:p w:rsidR="00133166" w:rsidRPr="003E4A8C" w:rsidRDefault="00133166" w:rsidP="009A57C7">
            <w:pPr>
              <w:jc w:val="both"/>
              <w:rPr>
                <w:rFonts w:eastAsia="Calibri"/>
                <w:sz w:val="20"/>
                <w:lang w:val="fr-FR"/>
              </w:rPr>
            </w:pPr>
            <w:r w:rsidRPr="003E4A8C">
              <w:rPr>
                <w:rFonts w:eastAsia="Calibri"/>
                <w:sz w:val="20"/>
                <w:lang w:val="fr-FR"/>
              </w:rPr>
              <w:t>13 mai 2010</w:t>
            </w:r>
          </w:p>
          <w:p w:rsidR="00133166" w:rsidRPr="003E4A8C" w:rsidRDefault="00133166" w:rsidP="009A57C7">
            <w:pPr>
              <w:jc w:val="both"/>
              <w:rPr>
                <w:rFonts w:eastAsia="Calibri"/>
                <w:sz w:val="20"/>
                <w:lang w:val="fr-FR"/>
              </w:rPr>
            </w:pPr>
            <w:r w:rsidRPr="003E4A8C">
              <w:rPr>
                <w:rFonts w:eastAsia="Calibri"/>
                <w:sz w:val="20"/>
                <w:lang w:val="fr-FR"/>
              </w:rPr>
              <w:t xml:space="preserve">Cour supérieure de justice de l’Ontario </w:t>
            </w:r>
          </w:p>
          <w:p w:rsidR="00133166" w:rsidRPr="003E4A8C" w:rsidRDefault="00133166" w:rsidP="009A57C7">
            <w:pPr>
              <w:jc w:val="both"/>
              <w:rPr>
                <w:rFonts w:eastAsia="Calibri"/>
                <w:sz w:val="20"/>
              </w:rPr>
            </w:pPr>
            <w:r w:rsidRPr="003E4A8C">
              <w:rPr>
                <w:rFonts w:eastAsia="Calibri"/>
                <w:sz w:val="20"/>
              </w:rPr>
              <w:t>(Juge Arrell)</w:t>
            </w:r>
          </w:p>
          <w:p w:rsidR="00133166" w:rsidRPr="003E4A8C" w:rsidRDefault="00133166" w:rsidP="009A57C7">
            <w:pPr>
              <w:jc w:val="both"/>
              <w:rPr>
                <w:rFonts w:eastAsia="Calibri"/>
                <w:sz w:val="20"/>
              </w:rPr>
            </w:pPr>
            <w:r w:rsidRPr="003E4A8C">
              <w:rPr>
                <w:rFonts w:eastAsia="Calibri"/>
                <w:sz w:val="20"/>
              </w:rPr>
              <w:t>2010 ONSC 2587</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lang w:val="fr-FR"/>
              </w:rPr>
            </w:pPr>
            <w:r w:rsidRPr="003E4A8C">
              <w:rPr>
                <w:rFonts w:eastAsia="Calibri"/>
                <w:sz w:val="20"/>
                <w:lang w:val="fr-FR"/>
              </w:rPr>
              <w:t xml:space="preserve">Demandeur acquitté d’abus de confiance par un fonctionnaire </w:t>
            </w:r>
          </w:p>
          <w:p w:rsidR="00133166" w:rsidRPr="003E4A8C" w:rsidRDefault="00133166" w:rsidP="009A57C7">
            <w:pPr>
              <w:jc w:val="both"/>
              <w:rPr>
                <w:rFonts w:eastAsia="Calibri"/>
                <w:sz w:val="20"/>
                <w:lang w:val="fr-FR"/>
              </w:rPr>
            </w:pPr>
          </w:p>
        </w:tc>
      </w:tr>
      <w:tr w:rsidR="00133166" w:rsidRPr="003E4A8C" w:rsidTr="009A57C7">
        <w:tc>
          <w:tcPr>
            <w:tcW w:w="2427" w:type="pct"/>
          </w:tcPr>
          <w:p w:rsidR="00133166" w:rsidRPr="003E4A8C" w:rsidRDefault="00133166" w:rsidP="009A57C7">
            <w:pPr>
              <w:jc w:val="both"/>
              <w:rPr>
                <w:rFonts w:eastAsia="Calibri"/>
                <w:sz w:val="20"/>
                <w:lang w:val="fr-FR"/>
              </w:rPr>
            </w:pPr>
            <w:r w:rsidRPr="003E4A8C">
              <w:rPr>
                <w:rFonts w:eastAsia="Calibri"/>
                <w:sz w:val="20"/>
                <w:lang w:val="fr-FR"/>
              </w:rPr>
              <w:t>15 décembre 2011</w:t>
            </w:r>
          </w:p>
          <w:p w:rsidR="00133166" w:rsidRPr="003E4A8C" w:rsidRDefault="00133166" w:rsidP="009A57C7">
            <w:pPr>
              <w:jc w:val="both"/>
              <w:rPr>
                <w:rFonts w:eastAsia="Calibri"/>
                <w:sz w:val="20"/>
                <w:lang w:val="fr-FR"/>
              </w:rPr>
            </w:pPr>
            <w:r w:rsidRPr="003E4A8C">
              <w:rPr>
                <w:rFonts w:eastAsia="Calibri"/>
                <w:sz w:val="20"/>
                <w:lang w:val="fr-FR"/>
              </w:rPr>
              <w:t>Cour d’appel de l’Ontario</w:t>
            </w:r>
          </w:p>
          <w:p w:rsidR="00133166" w:rsidRPr="003E4A8C" w:rsidRDefault="00133166" w:rsidP="009A57C7">
            <w:pPr>
              <w:jc w:val="both"/>
              <w:rPr>
                <w:rFonts w:eastAsia="Calibri"/>
                <w:sz w:val="20"/>
                <w:lang w:val="fr-FR"/>
              </w:rPr>
            </w:pPr>
            <w:r w:rsidRPr="003E4A8C">
              <w:rPr>
                <w:rFonts w:eastAsia="Calibri"/>
                <w:sz w:val="20"/>
                <w:lang w:val="fr-FR"/>
              </w:rPr>
              <w:t>(Juges O'Connor, Blair et Epstein)</w:t>
            </w:r>
          </w:p>
          <w:p w:rsidR="00133166" w:rsidRPr="003E4A8C" w:rsidRDefault="00133166" w:rsidP="001A369C">
            <w:pPr>
              <w:jc w:val="both"/>
              <w:rPr>
                <w:rFonts w:eastAsia="Calibri"/>
                <w:sz w:val="20"/>
              </w:rPr>
            </w:pPr>
            <w:r w:rsidRPr="003E4A8C">
              <w:rPr>
                <w:rFonts w:eastAsia="Calibri"/>
                <w:sz w:val="20"/>
              </w:rPr>
              <w:t>2011 ONCA 791</w:t>
            </w: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Appel accueilli; nouveau procès ordonné</w:t>
            </w:r>
          </w:p>
          <w:p w:rsidR="00133166" w:rsidRPr="003E4A8C" w:rsidRDefault="00133166" w:rsidP="009A57C7">
            <w:pPr>
              <w:jc w:val="both"/>
              <w:rPr>
                <w:rFonts w:eastAsia="Calibri"/>
                <w:sz w:val="20"/>
              </w:rPr>
            </w:pPr>
          </w:p>
        </w:tc>
      </w:tr>
    </w:tbl>
    <w:p w:rsidR="001A369C" w:rsidRDefault="001A369C"/>
    <w:p w:rsidR="001A369C" w:rsidRDefault="001A369C">
      <w:r>
        <w:br w:type="page"/>
      </w:r>
    </w:p>
    <w:tbl>
      <w:tblPr>
        <w:tblW w:w="4952" w:type="pct"/>
        <w:tblLayout w:type="fixed"/>
        <w:tblCellMar>
          <w:left w:w="0" w:type="dxa"/>
          <w:bottom w:w="99" w:type="dxa"/>
          <w:right w:w="0" w:type="dxa"/>
        </w:tblCellMar>
        <w:tblLook w:val="04A0"/>
      </w:tblPr>
      <w:tblGrid>
        <w:gridCol w:w="4624"/>
        <w:gridCol w:w="463"/>
        <w:gridCol w:w="4440"/>
      </w:tblGrid>
      <w:tr w:rsidR="00133166" w:rsidRPr="003E4A8C" w:rsidTr="001A369C">
        <w:trPr>
          <w:cantSplit/>
        </w:trPr>
        <w:tc>
          <w:tcPr>
            <w:tcW w:w="2427" w:type="pct"/>
          </w:tcPr>
          <w:p w:rsidR="00133166" w:rsidRPr="00E75C8D" w:rsidRDefault="00133166" w:rsidP="009A57C7">
            <w:pPr>
              <w:jc w:val="both"/>
              <w:rPr>
                <w:rFonts w:eastAsia="Calibri"/>
                <w:sz w:val="20"/>
                <w:lang w:val="fr-CA"/>
              </w:rPr>
            </w:pPr>
            <w:r w:rsidRPr="00E75C8D">
              <w:rPr>
                <w:rFonts w:eastAsia="Calibri"/>
                <w:sz w:val="20"/>
                <w:lang w:val="fr-CA"/>
              </w:rPr>
              <w:lastRenderedPageBreak/>
              <w:t>8 février 2012</w:t>
            </w:r>
          </w:p>
          <w:p w:rsidR="00133166" w:rsidRPr="00E75C8D" w:rsidRDefault="00133166" w:rsidP="009A57C7">
            <w:pPr>
              <w:jc w:val="both"/>
              <w:rPr>
                <w:rFonts w:eastAsia="Calibri"/>
                <w:sz w:val="20"/>
                <w:lang w:val="fr-CA"/>
              </w:rPr>
            </w:pPr>
            <w:r w:rsidRPr="00E75C8D">
              <w:rPr>
                <w:rFonts w:eastAsia="Calibri"/>
                <w:sz w:val="20"/>
                <w:lang w:val="fr-CA"/>
              </w:rPr>
              <w:t>Cour suprême du Canada</w:t>
            </w:r>
          </w:p>
        </w:tc>
        <w:tc>
          <w:tcPr>
            <w:tcW w:w="243" w:type="pct"/>
          </w:tcPr>
          <w:p w:rsidR="00133166" w:rsidRPr="00E75C8D" w:rsidRDefault="00133166" w:rsidP="009A57C7">
            <w:pPr>
              <w:jc w:val="both"/>
              <w:rPr>
                <w:rFonts w:eastAsia="Calibri"/>
                <w:sz w:val="20"/>
                <w:lang w:val="fr-CA"/>
              </w:rPr>
            </w:pPr>
          </w:p>
        </w:tc>
        <w:tc>
          <w:tcPr>
            <w:tcW w:w="2330" w:type="pct"/>
          </w:tcPr>
          <w:p w:rsidR="00133166" w:rsidRPr="003E4A8C" w:rsidRDefault="00133166" w:rsidP="009A57C7">
            <w:pPr>
              <w:jc w:val="both"/>
              <w:rPr>
                <w:rFonts w:eastAsia="Calibri"/>
                <w:sz w:val="20"/>
              </w:rPr>
            </w:pPr>
            <w:r w:rsidRPr="003E4A8C">
              <w:rPr>
                <w:rFonts w:eastAsia="Calibri"/>
                <w:sz w:val="20"/>
              </w:rPr>
              <w:t xml:space="preserve">Demande d’autorisation d’appel déposée </w:t>
            </w:r>
          </w:p>
          <w:p w:rsidR="00133166" w:rsidRPr="003E4A8C" w:rsidRDefault="00133166" w:rsidP="009A57C7">
            <w:pPr>
              <w:jc w:val="both"/>
              <w:rPr>
                <w:rFonts w:eastAsia="Calibri"/>
                <w:sz w:val="20"/>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59"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6F62" w:rsidRPr="00CB6F62" w:rsidTr="008B5DBF">
        <w:trPr>
          <w:cantSplit/>
        </w:trPr>
        <w:tc>
          <w:tcPr>
            <w:tcW w:w="1458" w:type="dxa"/>
          </w:tcPr>
          <w:p w:rsidR="00CB6F62" w:rsidRPr="00CB6F62" w:rsidRDefault="00CB6F62" w:rsidP="008B5DBF">
            <w:pPr>
              <w:rPr>
                <w:rFonts w:cs="Times New Roman"/>
                <w:sz w:val="20"/>
                <w:szCs w:val="20"/>
              </w:rPr>
            </w:pPr>
            <w:r w:rsidRPr="00CB6F62">
              <w:rPr>
                <w:rStyle w:val="SCCFileNumberChar"/>
                <w:sz w:val="20"/>
                <w:szCs w:val="20"/>
              </w:rPr>
              <w:t>34660</w:t>
            </w:r>
          </w:p>
          <w:p w:rsidR="00CB6F62" w:rsidRPr="00CB6F62" w:rsidRDefault="00CB6F62" w:rsidP="008B5DBF">
            <w:pPr>
              <w:rPr>
                <w:rFonts w:cs="Times New Roman"/>
                <w:b/>
                <w:sz w:val="20"/>
                <w:szCs w:val="20"/>
                <w:lang w:val="fr-CA"/>
              </w:rPr>
            </w:pPr>
          </w:p>
        </w:tc>
        <w:tc>
          <w:tcPr>
            <w:tcW w:w="8118" w:type="dxa"/>
          </w:tcPr>
          <w:p w:rsidR="00CB6F62" w:rsidRPr="00CB6F62" w:rsidRDefault="00CB6F62" w:rsidP="008B5DBF">
            <w:pPr>
              <w:rPr>
                <w:rFonts w:cs="Times New Roman"/>
                <w:sz w:val="20"/>
                <w:szCs w:val="20"/>
              </w:rPr>
            </w:pPr>
            <w:r w:rsidRPr="00CB6F62">
              <w:rPr>
                <w:rStyle w:val="SCCLsocChar"/>
                <w:rFonts w:cs="Times New Roman"/>
                <w:sz w:val="20"/>
                <w:szCs w:val="20"/>
                <w:lang w:val="en-CA"/>
              </w:rPr>
              <w:t>Her Majesty the Queen v. Derek Berish</w:t>
            </w:r>
            <w:r w:rsidRPr="00CB6F62">
              <w:rPr>
                <w:rFonts w:cs="Times New Roman"/>
                <w:sz w:val="20"/>
                <w:szCs w:val="20"/>
              </w:rPr>
              <w:t xml:space="preserve"> (Que.) (Criminal) (By Leave)</w:t>
            </w:r>
          </w:p>
          <w:p w:rsidR="00CB6F62" w:rsidRPr="00CB6F62" w:rsidRDefault="00CB6F62" w:rsidP="008B5DBF">
            <w:pPr>
              <w:rPr>
                <w:rFonts w:cs="Times New Roman"/>
                <w:sz w:val="20"/>
                <w:szCs w:val="20"/>
              </w:rPr>
            </w:pPr>
          </w:p>
        </w:tc>
      </w:tr>
      <w:tr w:rsidR="00CB6F62" w:rsidRPr="00CB6F62" w:rsidTr="008B5DBF">
        <w:trPr>
          <w:cantSplit/>
        </w:trPr>
        <w:tc>
          <w:tcPr>
            <w:tcW w:w="1458" w:type="dxa"/>
          </w:tcPr>
          <w:p w:rsidR="00CB6F62" w:rsidRPr="00CB6F62" w:rsidRDefault="00CB6F62" w:rsidP="008B5DBF">
            <w:pPr>
              <w:rPr>
                <w:rFonts w:cs="Times New Roman"/>
                <w:sz w:val="20"/>
                <w:szCs w:val="20"/>
              </w:rPr>
            </w:pPr>
            <w:r w:rsidRPr="00CB6F62">
              <w:rPr>
                <w:rFonts w:cs="Times New Roman"/>
                <w:sz w:val="20"/>
                <w:szCs w:val="20"/>
              </w:rPr>
              <w:t>Coram :</w:t>
            </w:r>
          </w:p>
        </w:tc>
        <w:tc>
          <w:tcPr>
            <w:tcW w:w="8118" w:type="dxa"/>
          </w:tcPr>
          <w:p w:rsidR="00CB6F62" w:rsidRPr="00CB6F62" w:rsidRDefault="00CB6F62" w:rsidP="008B5DBF">
            <w:pPr>
              <w:rPr>
                <w:rFonts w:cs="Times New Roman"/>
                <w:sz w:val="20"/>
                <w:szCs w:val="20"/>
              </w:rPr>
            </w:pPr>
            <w:r w:rsidRPr="00CB6F62">
              <w:rPr>
                <w:rStyle w:val="SCCCoramChar"/>
                <w:rFonts w:cs="Times New Roman"/>
                <w:sz w:val="20"/>
                <w:szCs w:val="20"/>
                <w:lang w:val="en-CA"/>
              </w:rPr>
              <w:t>Deschamps, Fish and Karakatsanis JJ.</w:t>
            </w:r>
          </w:p>
          <w:p w:rsidR="00CB6F62" w:rsidRPr="00CB6F62" w:rsidRDefault="00CB6F62" w:rsidP="008B5DBF">
            <w:pPr>
              <w:rPr>
                <w:rFonts w:cs="Times New Roman"/>
                <w:sz w:val="20"/>
                <w:szCs w:val="20"/>
                <w:u w:val="single"/>
              </w:rPr>
            </w:pPr>
          </w:p>
        </w:tc>
      </w:tr>
      <w:tr w:rsidR="00CB6F62" w:rsidRPr="00147672" w:rsidTr="008B5DBF">
        <w:trPr>
          <w:cantSplit/>
        </w:trPr>
        <w:tc>
          <w:tcPr>
            <w:tcW w:w="9576" w:type="dxa"/>
            <w:gridSpan w:val="2"/>
          </w:tcPr>
          <w:p w:rsidR="00CB6F62" w:rsidRPr="00CB6F62" w:rsidRDefault="00CB6F62" w:rsidP="008B5DBF">
            <w:pPr>
              <w:pStyle w:val="SCCShortJudgment"/>
              <w:rPr>
                <w:rFonts w:cs="Times New Roman"/>
                <w:szCs w:val="20"/>
              </w:rPr>
            </w:pPr>
            <w:r w:rsidRPr="00CB6F62">
              <w:rPr>
                <w:rFonts w:cs="Times New Roman"/>
                <w:szCs w:val="20"/>
              </w:rPr>
              <w:t>The application for leave to appeal from the judgment of the Court of Appeal of Quebec (Montréal), Number 500-10-004937-114, 2011 QCCA 2288, dated December 12, 2011, is dismissed without costs.</w:t>
            </w:r>
          </w:p>
          <w:p w:rsidR="00CB6F62" w:rsidRPr="00CB6F62" w:rsidRDefault="00CB6F62" w:rsidP="008B5DBF">
            <w:pPr>
              <w:pStyle w:val="SCCShortJudgment"/>
              <w:ind w:firstLine="0"/>
              <w:rPr>
                <w:rFonts w:cs="Times New Roman"/>
                <w:szCs w:val="20"/>
              </w:rPr>
            </w:pPr>
          </w:p>
          <w:p w:rsidR="00CB6F62" w:rsidRPr="00CB6F62" w:rsidRDefault="00CB6F62" w:rsidP="008B5DBF">
            <w:pPr>
              <w:pStyle w:val="SCCShortJudgment"/>
              <w:rPr>
                <w:rFonts w:cs="Times New Roman"/>
                <w:szCs w:val="20"/>
                <w:lang w:val="fr-CA"/>
              </w:rPr>
            </w:pPr>
            <w:r w:rsidRPr="00CB6F62">
              <w:rPr>
                <w:rFonts w:cs="Times New Roman"/>
                <w:szCs w:val="20"/>
                <w:lang w:val="fr-CA"/>
              </w:rPr>
              <w:t>La demande d’autorisation d’appel de l’arrêt de la Cour d’appel du Québec (Montréal), numéro 500-10-004937-114, 2011 QCCA 2288, daté du 12 décembre 2011, est rejetée sans dépens.</w:t>
            </w:r>
          </w:p>
        </w:tc>
      </w:tr>
    </w:tbl>
    <w:p w:rsidR="00F96FE7" w:rsidRPr="00CB6F62"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33166" w:rsidRPr="003E4A8C" w:rsidTr="009A57C7">
        <w:tc>
          <w:tcPr>
            <w:tcW w:w="5000" w:type="pct"/>
            <w:gridSpan w:val="3"/>
          </w:tcPr>
          <w:p w:rsidR="00133166" w:rsidRPr="003E4A8C" w:rsidRDefault="00133166" w:rsidP="009A57C7">
            <w:pPr>
              <w:jc w:val="both"/>
              <w:rPr>
                <w:rFonts w:eastAsia="Calibri"/>
                <w:sz w:val="20"/>
              </w:rPr>
            </w:pPr>
            <w:r w:rsidRPr="003E4A8C">
              <w:rPr>
                <w:rFonts w:eastAsia="Calibri"/>
                <w:sz w:val="20"/>
              </w:rPr>
              <w:t xml:space="preserve">Criminal law – Sentencing – Considerations – Conditional discharge – Whether the Court of Appeal erred in law in taking the “best interest of the accused” requirement for granted, while said requirement was not established by any evidence according to the criteria that should apply to section 730 of the </w:t>
            </w:r>
            <w:r w:rsidRPr="003E4A8C">
              <w:rPr>
                <w:rFonts w:eastAsia="Calibri"/>
                <w:i/>
                <w:sz w:val="20"/>
              </w:rPr>
              <w:t>Criminal Code</w:t>
            </w:r>
            <w:r w:rsidRPr="003E4A8C">
              <w:rPr>
                <w:rFonts w:eastAsia="Calibri"/>
                <w:sz w:val="20"/>
              </w:rPr>
              <w:t xml:space="preserve"> – Whether the Court of Appeal erred in law in completely omitting to consider the second criterion of section 730 of the </w:t>
            </w:r>
            <w:r w:rsidRPr="003E4A8C">
              <w:rPr>
                <w:rFonts w:eastAsia="Calibri"/>
                <w:i/>
                <w:sz w:val="20"/>
              </w:rPr>
              <w:t>Criminal Code</w:t>
            </w:r>
            <w:r w:rsidRPr="003E4A8C">
              <w:rPr>
                <w:rFonts w:eastAsia="Calibri"/>
                <w:sz w:val="20"/>
              </w:rPr>
              <w:t xml:space="preserve">, referring to the public interest – </w:t>
            </w:r>
            <w:r w:rsidRPr="003E4A8C">
              <w:rPr>
                <w:rFonts w:eastAsia="Calibri"/>
                <w:i/>
                <w:sz w:val="20"/>
              </w:rPr>
              <w:t>Criminal Code</w:t>
            </w:r>
            <w:r w:rsidRPr="003E4A8C">
              <w:rPr>
                <w:rFonts w:eastAsia="Calibri"/>
                <w:sz w:val="20"/>
              </w:rPr>
              <w:t>, R.S.C. 1985, c. C-46, s. 730.</w:t>
            </w:r>
          </w:p>
        </w:tc>
      </w:tr>
      <w:tr w:rsidR="00133166" w:rsidRPr="003E4A8C" w:rsidTr="009A57C7">
        <w:tc>
          <w:tcPr>
            <w:tcW w:w="5000" w:type="pct"/>
            <w:gridSpan w:val="3"/>
          </w:tcPr>
          <w:p w:rsidR="00133166" w:rsidRPr="003E4A8C" w:rsidRDefault="00133166" w:rsidP="009A57C7">
            <w:pPr>
              <w:jc w:val="both"/>
              <w:rPr>
                <w:rFonts w:eastAsia="Calibri"/>
                <w:sz w:val="20"/>
              </w:rPr>
            </w:pPr>
          </w:p>
        </w:tc>
      </w:tr>
      <w:tr w:rsidR="00133166" w:rsidRPr="003E4A8C" w:rsidTr="009A57C7">
        <w:tc>
          <w:tcPr>
            <w:tcW w:w="5000" w:type="pct"/>
            <w:gridSpan w:val="3"/>
          </w:tcPr>
          <w:p w:rsidR="00133166" w:rsidRPr="003E4A8C" w:rsidRDefault="00133166" w:rsidP="009A57C7">
            <w:pPr>
              <w:jc w:val="both"/>
              <w:rPr>
                <w:rFonts w:eastAsia="Calibri"/>
                <w:sz w:val="20"/>
              </w:rPr>
            </w:pPr>
            <w:r w:rsidRPr="003E4A8C">
              <w:rPr>
                <w:rFonts w:eastAsia="Calibri"/>
                <w:sz w:val="20"/>
              </w:rPr>
              <w:t xml:space="preserve">The respondent pled guilty to the offences of possession of marijuana for the purpose of trafficking, contrary to s. 5(2)(4) of the </w:t>
            </w:r>
            <w:r w:rsidRPr="003E4A8C">
              <w:rPr>
                <w:rFonts w:eastAsia="Calibri"/>
                <w:i/>
                <w:sz w:val="20"/>
              </w:rPr>
              <w:t>Controlled Drugs and Substances Act</w:t>
            </w:r>
            <w:r w:rsidRPr="003E4A8C">
              <w:rPr>
                <w:rFonts w:eastAsia="Calibri"/>
                <w:sz w:val="20"/>
              </w:rPr>
              <w:t xml:space="preserve">, and possession of amphetamines for the purpose of trafficking, contrary to s. 5(2)(3)b)l) of the </w:t>
            </w:r>
            <w:r w:rsidRPr="003E4A8C">
              <w:rPr>
                <w:rFonts w:eastAsia="Calibri"/>
                <w:i/>
                <w:sz w:val="20"/>
              </w:rPr>
              <w:t>Controlled Drugs and Substances Act</w:t>
            </w:r>
            <w:r w:rsidRPr="003E4A8C">
              <w:rPr>
                <w:rFonts w:eastAsia="Calibri"/>
                <w:sz w:val="20"/>
              </w:rPr>
              <w:t>. The Court of Quebec ordered that the respondent be conditionally discharged, with probation for two years, 240 hours of community service, a donation of $500 to CAVAC, a prohibition to communicate with a co-accused, a firearm prohibition, and an order of forfeiture of $70,656.00 seized from the respondent’s residence. The Court of Appeal dismissed the Crown’s appeal and upheld the conditional discharge order. The Court of Appeal was of the view that the sentencing judge’s reasons were well set out and that his decision could not be qualified as unreasonable.</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May 10, 2011</w:t>
            </w:r>
          </w:p>
          <w:p w:rsidR="00133166" w:rsidRPr="003E4A8C" w:rsidRDefault="00133166" w:rsidP="009A57C7">
            <w:pPr>
              <w:jc w:val="both"/>
              <w:rPr>
                <w:rFonts w:eastAsia="Calibri"/>
                <w:sz w:val="20"/>
              </w:rPr>
            </w:pPr>
            <w:r w:rsidRPr="003E4A8C">
              <w:rPr>
                <w:rFonts w:eastAsia="Calibri"/>
                <w:sz w:val="20"/>
              </w:rPr>
              <w:t>Court of Quebec</w:t>
            </w:r>
          </w:p>
          <w:p w:rsidR="00133166" w:rsidRPr="003E4A8C" w:rsidRDefault="00133166" w:rsidP="009A57C7">
            <w:pPr>
              <w:jc w:val="both"/>
              <w:rPr>
                <w:rFonts w:eastAsia="Calibri"/>
                <w:sz w:val="20"/>
              </w:rPr>
            </w:pPr>
            <w:r w:rsidRPr="003E4A8C">
              <w:rPr>
                <w:rFonts w:eastAsia="Calibri"/>
                <w:sz w:val="20"/>
              </w:rPr>
              <w:t>(Boyer J.)</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Order of conditional discharge for possession of marijuana and amphetamines for the purpose of trafficking</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December 12, 2011</w:t>
            </w:r>
          </w:p>
          <w:p w:rsidR="00133166" w:rsidRPr="003E4A8C" w:rsidRDefault="00133166" w:rsidP="009A57C7">
            <w:pPr>
              <w:jc w:val="both"/>
              <w:rPr>
                <w:rFonts w:eastAsia="Calibri"/>
                <w:sz w:val="20"/>
              </w:rPr>
            </w:pPr>
            <w:r w:rsidRPr="003E4A8C">
              <w:rPr>
                <w:rFonts w:eastAsia="Calibri"/>
                <w:sz w:val="20"/>
              </w:rPr>
              <w:t>Court of Appeal of Quebec (Montréal)</w:t>
            </w:r>
          </w:p>
          <w:p w:rsidR="00133166" w:rsidRPr="003E4A8C" w:rsidRDefault="00133166" w:rsidP="009A57C7">
            <w:pPr>
              <w:jc w:val="both"/>
              <w:rPr>
                <w:rFonts w:eastAsia="Calibri"/>
                <w:sz w:val="20"/>
                <w:lang w:val="fr-CA"/>
              </w:rPr>
            </w:pPr>
            <w:r w:rsidRPr="003E4A8C">
              <w:rPr>
                <w:rFonts w:eastAsia="Calibri"/>
                <w:sz w:val="20"/>
                <w:lang w:val="fr-CA"/>
              </w:rPr>
              <w:t>(Doyon, Vézina et Viens [</w:t>
            </w:r>
            <w:r w:rsidRPr="003E4A8C">
              <w:rPr>
                <w:rFonts w:eastAsia="Calibri"/>
                <w:i/>
                <w:sz w:val="20"/>
                <w:lang w:val="fr-CA"/>
              </w:rPr>
              <w:t>ad hoc</w:t>
            </w:r>
            <w:r w:rsidRPr="003E4A8C">
              <w:rPr>
                <w:rFonts w:eastAsia="Calibri"/>
                <w:sz w:val="20"/>
                <w:lang w:val="fr-CA"/>
              </w:rPr>
              <w:t>] JJ.A.)</w:t>
            </w:r>
          </w:p>
          <w:p w:rsidR="00133166" w:rsidRPr="003E4A8C" w:rsidRDefault="00133166" w:rsidP="009A57C7">
            <w:pPr>
              <w:jc w:val="both"/>
              <w:rPr>
                <w:rFonts w:eastAsia="Calibri"/>
                <w:sz w:val="20"/>
              </w:rPr>
            </w:pPr>
            <w:r w:rsidRPr="003E4A8C">
              <w:rPr>
                <w:rFonts w:eastAsia="Calibri"/>
                <w:sz w:val="20"/>
              </w:rPr>
              <w:t>2011 QCCA 2288</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Leave to appeal from sentence by applicant granted; appeal dismissed</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February 9, 2012</w:t>
            </w:r>
          </w:p>
          <w:p w:rsidR="00133166" w:rsidRPr="003E4A8C" w:rsidRDefault="00133166" w:rsidP="009A57C7">
            <w:pPr>
              <w:jc w:val="both"/>
              <w:rPr>
                <w:rFonts w:eastAsia="Calibri"/>
                <w:sz w:val="20"/>
              </w:rPr>
            </w:pPr>
            <w:r w:rsidRPr="003E4A8C">
              <w:rPr>
                <w:rFonts w:eastAsia="Calibri"/>
                <w:sz w:val="20"/>
              </w:rPr>
              <w:t>Supreme Court of Canada</w:t>
            </w: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Application for leave to appeal filed</w:t>
            </w:r>
          </w:p>
          <w:p w:rsidR="00133166" w:rsidRPr="003E4A8C" w:rsidRDefault="00133166"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60"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33166" w:rsidRPr="003E4A8C" w:rsidTr="009A57C7">
        <w:tc>
          <w:tcPr>
            <w:tcW w:w="5000" w:type="pct"/>
            <w:gridSpan w:val="3"/>
          </w:tcPr>
          <w:p w:rsidR="00133166" w:rsidRPr="003E4A8C" w:rsidRDefault="00133166" w:rsidP="009A57C7">
            <w:pPr>
              <w:jc w:val="both"/>
              <w:rPr>
                <w:rFonts w:eastAsia="Calibri"/>
                <w:sz w:val="20"/>
                <w:lang w:val="fr-CA"/>
              </w:rPr>
            </w:pPr>
            <w:r w:rsidRPr="003E4A8C">
              <w:rPr>
                <w:rFonts w:eastAsia="Calibri"/>
                <w:sz w:val="20"/>
                <w:lang w:val="fr-FR"/>
              </w:rPr>
              <w:t xml:space="preserve">Droit criminel – Détermination de la peine – Facteurs devant être pris en considération – Absolution conditionnelle – </w:t>
            </w:r>
            <w:r w:rsidRPr="003E4A8C">
              <w:rPr>
                <w:rFonts w:eastAsia="Calibri"/>
                <w:sz w:val="20"/>
                <w:lang w:val="fr-FR"/>
              </w:rPr>
              <w:lastRenderedPageBreak/>
              <w:t xml:space="preserve">La Cour d’appel a-t-elle commis une erreur de droit en tenant pour acquis qu’il avait été satisfait, comme il se doit, à l’« intérêt véritable de l’accusé », alors que le respect de cette exigence n’avait pas été établi par quelque élément de preuve que ce soit conformément au critère qui doit s’appliquer à l’article 730 du </w:t>
            </w:r>
            <w:r w:rsidRPr="003E4A8C">
              <w:rPr>
                <w:rFonts w:eastAsia="Calibri"/>
                <w:i/>
                <w:sz w:val="20"/>
                <w:lang w:val="fr-FR"/>
              </w:rPr>
              <w:t>Code criminel</w:t>
            </w:r>
            <w:r w:rsidRPr="003E4A8C">
              <w:rPr>
                <w:rFonts w:eastAsia="Calibri"/>
                <w:sz w:val="20"/>
                <w:lang w:val="fr-FR"/>
              </w:rPr>
              <w:t xml:space="preserve">? – La Cour d’appel a-t-elle commis une erreur de droit en ne prenant pas du tout en considération la deuxième condition prévue à l’article 730 du </w:t>
            </w:r>
            <w:r w:rsidRPr="003E4A8C">
              <w:rPr>
                <w:rFonts w:eastAsia="Calibri"/>
                <w:i/>
                <w:sz w:val="20"/>
                <w:lang w:val="fr-FR"/>
              </w:rPr>
              <w:t>Code criminel</w:t>
            </w:r>
            <w:r w:rsidRPr="003E4A8C">
              <w:rPr>
                <w:rFonts w:eastAsia="Calibri"/>
                <w:sz w:val="20"/>
                <w:lang w:val="fr-FR"/>
              </w:rPr>
              <w:t xml:space="preserve">, où il est question de l’intérêt public? – </w:t>
            </w:r>
            <w:r w:rsidRPr="003E4A8C">
              <w:rPr>
                <w:rFonts w:eastAsia="Calibri"/>
                <w:i/>
                <w:sz w:val="20"/>
                <w:lang w:val="fr-FR"/>
              </w:rPr>
              <w:t>Code criminel</w:t>
            </w:r>
            <w:r w:rsidRPr="003E4A8C">
              <w:rPr>
                <w:rFonts w:eastAsia="Calibri"/>
                <w:sz w:val="20"/>
                <w:lang w:val="fr-FR"/>
              </w:rPr>
              <w:t xml:space="preserve">, L.R.C. 1985, ch. </w:t>
            </w:r>
            <w:r w:rsidRPr="003E4A8C">
              <w:rPr>
                <w:rFonts w:eastAsia="Calibri"/>
                <w:sz w:val="20"/>
                <w:lang w:val="fr-CA"/>
              </w:rPr>
              <w:t>C-46, art. 730.</w:t>
            </w:r>
          </w:p>
        </w:tc>
      </w:tr>
      <w:tr w:rsidR="00133166" w:rsidRPr="003E4A8C" w:rsidTr="009A57C7">
        <w:tc>
          <w:tcPr>
            <w:tcW w:w="5000" w:type="pct"/>
            <w:gridSpan w:val="3"/>
          </w:tcPr>
          <w:p w:rsidR="00133166" w:rsidRPr="003E4A8C" w:rsidRDefault="00133166" w:rsidP="009A57C7">
            <w:pPr>
              <w:jc w:val="both"/>
              <w:rPr>
                <w:rFonts w:eastAsia="Calibri"/>
                <w:sz w:val="20"/>
                <w:lang w:val="fr-CA"/>
              </w:rPr>
            </w:pPr>
          </w:p>
        </w:tc>
      </w:tr>
      <w:tr w:rsidR="00133166" w:rsidRPr="00147672" w:rsidTr="009A57C7">
        <w:tc>
          <w:tcPr>
            <w:tcW w:w="5000" w:type="pct"/>
            <w:gridSpan w:val="3"/>
          </w:tcPr>
          <w:p w:rsidR="00133166" w:rsidRPr="003E4A8C" w:rsidRDefault="00133166" w:rsidP="009A57C7">
            <w:pPr>
              <w:jc w:val="both"/>
              <w:rPr>
                <w:rFonts w:eastAsia="Calibri"/>
                <w:sz w:val="20"/>
                <w:lang w:val="fr-FR"/>
              </w:rPr>
            </w:pPr>
            <w:r w:rsidRPr="003E4A8C">
              <w:rPr>
                <w:rFonts w:eastAsia="Calibri"/>
                <w:sz w:val="20"/>
                <w:lang w:val="fr-FR"/>
              </w:rPr>
              <w:t xml:space="preserve">L’intimé a plaidé coupable à des infractions de possession de marijuana et d’amphétamines en vue d’en faire le trafic. La Cour du Québec a prononcé une absolution conditionnelle à l’endroit de l’intimé, l’a condamné à deux ans de probation, à 240 heures de travaux communautaires, et à donner 500 $ au CAVAC, lui a interdit de communiquer avec un coaccusé et de posséder des armes à feu, et a ordonné la confiscation des 70 656 $ saisis à la résidence de l’intimé. La Cour d’appel a rejeté l’appel formé par le ministère public et a confirmé l’absolution conditionnelle, estimant que le juge chargé de déterminer la peine avait bien expliqué ses motifs et que sa décision ne pouvait pas être qualifiée de déraisonnable. </w:t>
            </w:r>
          </w:p>
          <w:p w:rsidR="00133166" w:rsidRPr="003E4A8C" w:rsidRDefault="00133166" w:rsidP="009A57C7">
            <w:pPr>
              <w:jc w:val="both"/>
              <w:rPr>
                <w:rFonts w:eastAsia="Calibri"/>
                <w:sz w:val="20"/>
                <w:lang w:val="fr-FR"/>
              </w:rPr>
            </w:pPr>
          </w:p>
        </w:tc>
      </w:tr>
      <w:tr w:rsidR="00133166" w:rsidRPr="00147672" w:rsidTr="009A57C7">
        <w:tc>
          <w:tcPr>
            <w:tcW w:w="2427" w:type="pct"/>
          </w:tcPr>
          <w:p w:rsidR="00133166" w:rsidRPr="003E4A8C" w:rsidRDefault="00133166" w:rsidP="009A57C7">
            <w:pPr>
              <w:jc w:val="both"/>
              <w:rPr>
                <w:rFonts w:eastAsia="Calibri"/>
                <w:sz w:val="20"/>
                <w:lang w:val="fr-FR"/>
              </w:rPr>
            </w:pPr>
            <w:r w:rsidRPr="003E4A8C">
              <w:rPr>
                <w:rFonts w:eastAsia="Calibri"/>
                <w:sz w:val="20"/>
                <w:lang w:val="fr-FR"/>
              </w:rPr>
              <w:t>10 mai 2011</w:t>
            </w:r>
          </w:p>
          <w:p w:rsidR="00133166" w:rsidRPr="003E4A8C" w:rsidRDefault="00133166" w:rsidP="009A57C7">
            <w:pPr>
              <w:jc w:val="both"/>
              <w:rPr>
                <w:rFonts w:eastAsia="Calibri"/>
                <w:sz w:val="20"/>
                <w:lang w:val="fr-FR"/>
              </w:rPr>
            </w:pPr>
            <w:r w:rsidRPr="003E4A8C">
              <w:rPr>
                <w:rFonts w:eastAsia="Calibri"/>
                <w:sz w:val="20"/>
                <w:lang w:val="fr-FR"/>
              </w:rPr>
              <w:t>Cour du Québec</w:t>
            </w:r>
          </w:p>
          <w:p w:rsidR="00133166" w:rsidRPr="003E4A8C" w:rsidRDefault="00133166" w:rsidP="009A57C7">
            <w:pPr>
              <w:jc w:val="both"/>
              <w:rPr>
                <w:rFonts w:eastAsia="Calibri"/>
                <w:sz w:val="20"/>
                <w:lang w:val="fr-FR"/>
              </w:rPr>
            </w:pPr>
            <w:r w:rsidRPr="003E4A8C">
              <w:rPr>
                <w:rFonts w:eastAsia="Calibri"/>
                <w:sz w:val="20"/>
                <w:lang w:val="fr-FR"/>
              </w:rPr>
              <w:t>(Juge Boyer)</w:t>
            </w:r>
          </w:p>
          <w:p w:rsidR="00133166" w:rsidRPr="003E4A8C" w:rsidRDefault="00133166" w:rsidP="009A57C7">
            <w:pPr>
              <w:jc w:val="both"/>
              <w:rPr>
                <w:rFonts w:eastAsia="Calibri"/>
                <w:sz w:val="20"/>
                <w:lang w:val="fr-FR"/>
              </w:rPr>
            </w:pPr>
          </w:p>
        </w:tc>
        <w:tc>
          <w:tcPr>
            <w:tcW w:w="243" w:type="pct"/>
          </w:tcPr>
          <w:p w:rsidR="00133166" w:rsidRPr="003E4A8C" w:rsidRDefault="00133166" w:rsidP="009A57C7">
            <w:pPr>
              <w:jc w:val="both"/>
              <w:rPr>
                <w:rFonts w:eastAsia="Calibri"/>
                <w:sz w:val="20"/>
                <w:lang w:val="fr-FR"/>
              </w:rPr>
            </w:pPr>
          </w:p>
        </w:tc>
        <w:tc>
          <w:tcPr>
            <w:tcW w:w="2330" w:type="pct"/>
          </w:tcPr>
          <w:p w:rsidR="00133166" w:rsidRPr="003E4A8C" w:rsidRDefault="00133166" w:rsidP="009A57C7">
            <w:pPr>
              <w:jc w:val="both"/>
              <w:rPr>
                <w:rFonts w:eastAsia="Calibri"/>
                <w:sz w:val="20"/>
                <w:lang w:val="fr-FR"/>
              </w:rPr>
            </w:pPr>
            <w:r w:rsidRPr="003E4A8C">
              <w:rPr>
                <w:rFonts w:eastAsia="Calibri"/>
                <w:sz w:val="20"/>
                <w:lang w:val="fr-FR"/>
              </w:rPr>
              <w:t>Absolution conditionnelle prononcée pour possession de marijuana et d’amphétamines en vue d’en faire le trafic</w:t>
            </w:r>
          </w:p>
          <w:p w:rsidR="00133166" w:rsidRPr="003E4A8C" w:rsidRDefault="00133166" w:rsidP="009A57C7">
            <w:pPr>
              <w:jc w:val="both"/>
              <w:rPr>
                <w:rFonts w:eastAsia="Calibri"/>
                <w:sz w:val="20"/>
                <w:lang w:val="fr-FR"/>
              </w:rPr>
            </w:pPr>
          </w:p>
        </w:tc>
      </w:tr>
      <w:tr w:rsidR="00133166" w:rsidRPr="00147672" w:rsidTr="009A57C7">
        <w:tc>
          <w:tcPr>
            <w:tcW w:w="2427" w:type="pct"/>
          </w:tcPr>
          <w:p w:rsidR="00133166" w:rsidRPr="003E4A8C" w:rsidRDefault="00133166" w:rsidP="009A57C7">
            <w:pPr>
              <w:jc w:val="both"/>
              <w:rPr>
                <w:rFonts w:eastAsia="Calibri"/>
                <w:sz w:val="20"/>
                <w:lang w:val="fr-FR"/>
              </w:rPr>
            </w:pPr>
            <w:r w:rsidRPr="003E4A8C">
              <w:rPr>
                <w:rFonts w:eastAsia="Calibri"/>
                <w:sz w:val="20"/>
                <w:lang w:val="fr-FR"/>
              </w:rPr>
              <w:t>12 décembre 2011</w:t>
            </w:r>
          </w:p>
          <w:p w:rsidR="00133166" w:rsidRPr="003E4A8C" w:rsidRDefault="00133166" w:rsidP="009A57C7">
            <w:pPr>
              <w:jc w:val="both"/>
              <w:rPr>
                <w:rFonts w:eastAsia="Calibri"/>
                <w:sz w:val="20"/>
                <w:lang w:val="fr-FR"/>
              </w:rPr>
            </w:pPr>
            <w:r w:rsidRPr="003E4A8C">
              <w:rPr>
                <w:rFonts w:eastAsia="Calibri"/>
                <w:sz w:val="20"/>
                <w:lang w:val="fr-FR"/>
              </w:rPr>
              <w:t>Cour d’appel du Québec (Montréal)</w:t>
            </w:r>
          </w:p>
          <w:p w:rsidR="00133166" w:rsidRPr="003E4A8C" w:rsidRDefault="00133166" w:rsidP="009A57C7">
            <w:pPr>
              <w:jc w:val="both"/>
              <w:rPr>
                <w:rFonts w:eastAsia="Calibri"/>
                <w:sz w:val="20"/>
                <w:lang w:val="fr-CA"/>
              </w:rPr>
            </w:pPr>
            <w:r w:rsidRPr="003E4A8C">
              <w:rPr>
                <w:rFonts w:eastAsia="Calibri"/>
                <w:sz w:val="20"/>
                <w:lang w:val="fr-CA"/>
              </w:rPr>
              <w:t>(Juges Doyon, Vézina et Viens (</w:t>
            </w:r>
            <w:r w:rsidRPr="003E4A8C">
              <w:rPr>
                <w:rFonts w:eastAsia="Calibri"/>
                <w:i/>
                <w:sz w:val="20"/>
                <w:lang w:val="fr-CA"/>
              </w:rPr>
              <w:t>ad hoc</w:t>
            </w:r>
            <w:r w:rsidRPr="003E4A8C">
              <w:rPr>
                <w:rFonts w:eastAsia="Calibri"/>
                <w:sz w:val="20"/>
                <w:lang w:val="fr-CA"/>
              </w:rPr>
              <w:t>))</w:t>
            </w:r>
          </w:p>
          <w:p w:rsidR="00133166" w:rsidRPr="003E4A8C" w:rsidRDefault="00133166" w:rsidP="009A57C7">
            <w:pPr>
              <w:jc w:val="both"/>
              <w:rPr>
                <w:rFonts w:eastAsia="Calibri"/>
                <w:sz w:val="20"/>
              </w:rPr>
            </w:pPr>
            <w:r w:rsidRPr="003E4A8C">
              <w:rPr>
                <w:rFonts w:eastAsia="Calibri"/>
                <w:sz w:val="20"/>
              </w:rPr>
              <w:t>2011 QCCA 2288</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lang w:val="fr-FR"/>
              </w:rPr>
            </w:pPr>
            <w:r w:rsidRPr="003E4A8C">
              <w:rPr>
                <w:rFonts w:eastAsia="Calibri"/>
                <w:sz w:val="20"/>
                <w:lang w:val="fr-FR"/>
              </w:rPr>
              <w:t>Autorisation accordée au demandeur d’interjeter appel de la peine; appel rejeté</w:t>
            </w:r>
          </w:p>
          <w:p w:rsidR="00133166" w:rsidRPr="003E4A8C" w:rsidRDefault="00133166" w:rsidP="009A57C7">
            <w:pPr>
              <w:jc w:val="both"/>
              <w:rPr>
                <w:rFonts w:eastAsia="Calibri"/>
                <w:sz w:val="20"/>
                <w:lang w:val="fr-FR"/>
              </w:rPr>
            </w:pPr>
          </w:p>
        </w:tc>
      </w:tr>
      <w:tr w:rsidR="00133166" w:rsidRPr="003E4A8C" w:rsidTr="009A57C7">
        <w:tc>
          <w:tcPr>
            <w:tcW w:w="2427" w:type="pct"/>
          </w:tcPr>
          <w:p w:rsidR="00133166" w:rsidRPr="003E4A8C" w:rsidRDefault="00133166" w:rsidP="009A57C7">
            <w:pPr>
              <w:jc w:val="both"/>
              <w:rPr>
                <w:rFonts w:eastAsia="Calibri"/>
                <w:sz w:val="20"/>
                <w:lang w:val="fr-FR"/>
              </w:rPr>
            </w:pPr>
            <w:r w:rsidRPr="003E4A8C">
              <w:rPr>
                <w:rFonts w:eastAsia="Calibri"/>
                <w:sz w:val="20"/>
                <w:lang w:val="fr-FR"/>
              </w:rPr>
              <w:t>9 février 2012</w:t>
            </w:r>
          </w:p>
          <w:p w:rsidR="00133166" w:rsidRPr="003E4A8C" w:rsidRDefault="00133166" w:rsidP="009A57C7">
            <w:pPr>
              <w:jc w:val="both"/>
              <w:rPr>
                <w:rFonts w:eastAsia="Calibri"/>
                <w:sz w:val="20"/>
                <w:lang w:val="fr-FR"/>
              </w:rPr>
            </w:pPr>
            <w:r w:rsidRPr="003E4A8C">
              <w:rPr>
                <w:rFonts w:eastAsia="Calibri"/>
                <w:sz w:val="20"/>
                <w:lang w:val="fr-FR"/>
              </w:rPr>
              <w:t>Cour suprême du Canada</w:t>
            </w:r>
          </w:p>
        </w:tc>
        <w:tc>
          <w:tcPr>
            <w:tcW w:w="243" w:type="pct"/>
          </w:tcPr>
          <w:p w:rsidR="00133166" w:rsidRPr="003E4A8C" w:rsidRDefault="00133166" w:rsidP="009A57C7">
            <w:pPr>
              <w:jc w:val="both"/>
              <w:rPr>
                <w:rFonts w:eastAsia="Calibri"/>
                <w:sz w:val="20"/>
                <w:lang w:val="fr-FR"/>
              </w:rPr>
            </w:pPr>
          </w:p>
        </w:tc>
        <w:tc>
          <w:tcPr>
            <w:tcW w:w="2330" w:type="pct"/>
          </w:tcPr>
          <w:p w:rsidR="00133166" w:rsidRPr="00133166" w:rsidRDefault="00133166" w:rsidP="009A57C7">
            <w:pPr>
              <w:jc w:val="both"/>
              <w:rPr>
                <w:rFonts w:eastAsia="Calibri"/>
                <w:sz w:val="20"/>
                <w:lang w:val="fr-CA"/>
              </w:rPr>
            </w:pPr>
            <w:r w:rsidRPr="00133166">
              <w:rPr>
                <w:rFonts w:eastAsia="Calibri"/>
                <w:sz w:val="20"/>
                <w:lang w:val="fr-CA"/>
              </w:rPr>
              <w:t xml:space="preserve">Demande d’autorisation d’appel déposée </w:t>
            </w:r>
          </w:p>
          <w:p w:rsidR="00133166" w:rsidRPr="003E4A8C" w:rsidRDefault="00133166" w:rsidP="009A57C7">
            <w:pPr>
              <w:jc w:val="both"/>
              <w:rPr>
                <w:rFonts w:eastAsia="Calibri"/>
                <w:sz w:val="20"/>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61"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85D1A" w:rsidRPr="00B85D1A" w:rsidTr="008B5DBF">
        <w:trPr>
          <w:cantSplit/>
        </w:trPr>
        <w:tc>
          <w:tcPr>
            <w:tcW w:w="1458" w:type="dxa"/>
          </w:tcPr>
          <w:p w:rsidR="00B85D1A" w:rsidRPr="00B85D1A" w:rsidRDefault="00B85D1A" w:rsidP="008B5DBF">
            <w:pPr>
              <w:rPr>
                <w:rFonts w:cs="Times New Roman"/>
                <w:sz w:val="20"/>
                <w:szCs w:val="20"/>
              </w:rPr>
            </w:pPr>
            <w:r w:rsidRPr="00B85D1A">
              <w:rPr>
                <w:rStyle w:val="SCCFileNumberChar"/>
                <w:sz w:val="20"/>
                <w:szCs w:val="20"/>
              </w:rPr>
              <w:t>34678</w:t>
            </w:r>
          </w:p>
          <w:p w:rsidR="00B85D1A" w:rsidRPr="00B85D1A" w:rsidRDefault="00B85D1A" w:rsidP="008B5DBF">
            <w:pPr>
              <w:rPr>
                <w:rFonts w:cs="Times New Roman"/>
                <w:b/>
                <w:sz w:val="20"/>
                <w:szCs w:val="20"/>
                <w:lang w:val="fr-CA"/>
              </w:rPr>
            </w:pPr>
          </w:p>
        </w:tc>
        <w:tc>
          <w:tcPr>
            <w:tcW w:w="8118" w:type="dxa"/>
          </w:tcPr>
          <w:p w:rsidR="00B85D1A" w:rsidRPr="00B85D1A" w:rsidRDefault="00B85D1A" w:rsidP="008B5DBF">
            <w:pPr>
              <w:jc w:val="both"/>
              <w:rPr>
                <w:rFonts w:cs="Times New Roman"/>
                <w:sz w:val="20"/>
                <w:szCs w:val="20"/>
              </w:rPr>
            </w:pPr>
            <w:r w:rsidRPr="00B85D1A">
              <w:rPr>
                <w:rStyle w:val="SCCLsocChar"/>
                <w:rFonts w:cs="Times New Roman"/>
                <w:sz w:val="20"/>
                <w:szCs w:val="20"/>
                <w:lang w:val="en-CA"/>
              </w:rPr>
              <w:t xml:space="preserve">Sable Offshore Energy Inc., as agent for and on behalf of the Working Interest Owners of the Sable Offshore Energy Project, Exxon Mobil Canada Properties, Shell Canada Limited, Imperial Oil Resources, Mosbacher Operating Ltd., Pengrowth Corporation and Exxon Mobil Canada Properties, as operator of the Sable Offshore Energy Project v. Ameron International Corporation, Ameron B.V., Allcolor Paint Limited, Amercoat Canada, Rubyco Ltd., </w:t>
            </w:r>
            <w:r w:rsidR="004A766B">
              <w:rPr>
                <w:rStyle w:val="SCCLsocChar"/>
                <w:rFonts w:cs="Times New Roman"/>
                <w:sz w:val="20"/>
                <w:szCs w:val="20"/>
                <w:lang w:val="en-CA"/>
              </w:rPr>
              <w:t>Danroh Inc.</w:t>
            </w:r>
            <w:r w:rsidRPr="00B85D1A">
              <w:rPr>
                <w:rStyle w:val="SCCLsocChar"/>
                <w:rFonts w:cs="Times New Roman"/>
                <w:sz w:val="20"/>
                <w:szCs w:val="20"/>
                <w:lang w:val="en-CA"/>
              </w:rPr>
              <w:t xml:space="preserve"> and Serious Business Inc.</w:t>
            </w:r>
            <w:r w:rsidRPr="00B85D1A">
              <w:rPr>
                <w:rFonts w:cs="Times New Roman"/>
                <w:sz w:val="20"/>
                <w:szCs w:val="20"/>
              </w:rPr>
              <w:t xml:space="preserve"> (N.S.) (Civil) (By Leave)</w:t>
            </w:r>
          </w:p>
          <w:p w:rsidR="00B85D1A" w:rsidRPr="00B85D1A" w:rsidRDefault="00B85D1A" w:rsidP="008B5DBF">
            <w:pPr>
              <w:rPr>
                <w:rFonts w:cs="Times New Roman"/>
                <w:sz w:val="20"/>
                <w:szCs w:val="20"/>
              </w:rPr>
            </w:pPr>
          </w:p>
        </w:tc>
      </w:tr>
      <w:tr w:rsidR="00B85D1A" w:rsidRPr="00B85D1A" w:rsidTr="008B5DBF">
        <w:trPr>
          <w:cantSplit/>
        </w:trPr>
        <w:tc>
          <w:tcPr>
            <w:tcW w:w="1458" w:type="dxa"/>
          </w:tcPr>
          <w:p w:rsidR="00B85D1A" w:rsidRPr="00B85D1A" w:rsidRDefault="00B85D1A" w:rsidP="008B5DBF">
            <w:pPr>
              <w:rPr>
                <w:rFonts w:cs="Times New Roman"/>
                <w:sz w:val="20"/>
                <w:szCs w:val="20"/>
              </w:rPr>
            </w:pPr>
            <w:r w:rsidRPr="00B85D1A">
              <w:rPr>
                <w:rFonts w:cs="Times New Roman"/>
                <w:sz w:val="20"/>
                <w:szCs w:val="20"/>
              </w:rPr>
              <w:t>Coram :</w:t>
            </w:r>
          </w:p>
        </w:tc>
        <w:tc>
          <w:tcPr>
            <w:tcW w:w="8118" w:type="dxa"/>
          </w:tcPr>
          <w:p w:rsidR="00B85D1A" w:rsidRPr="00B85D1A" w:rsidRDefault="00B85D1A" w:rsidP="008B5DBF">
            <w:pPr>
              <w:rPr>
                <w:rFonts w:cs="Times New Roman"/>
                <w:sz w:val="20"/>
                <w:szCs w:val="20"/>
              </w:rPr>
            </w:pPr>
            <w:r w:rsidRPr="00B85D1A">
              <w:rPr>
                <w:rStyle w:val="SCCCoramChar"/>
                <w:rFonts w:cs="Times New Roman"/>
                <w:sz w:val="20"/>
                <w:szCs w:val="20"/>
                <w:lang w:val="en-CA"/>
              </w:rPr>
              <w:t>McLachlin C.J. and Rothstein and Moldaver JJ.</w:t>
            </w:r>
          </w:p>
          <w:p w:rsidR="00B85D1A" w:rsidRPr="00B85D1A" w:rsidRDefault="00B85D1A" w:rsidP="008B5DBF">
            <w:pPr>
              <w:rPr>
                <w:rFonts w:cs="Times New Roman"/>
                <w:sz w:val="20"/>
                <w:szCs w:val="20"/>
                <w:u w:val="single"/>
              </w:rPr>
            </w:pPr>
          </w:p>
        </w:tc>
      </w:tr>
      <w:tr w:rsidR="00B85D1A" w:rsidRPr="00147672" w:rsidTr="008B5DBF">
        <w:trPr>
          <w:cantSplit/>
        </w:trPr>
        <w:tc>
          <w:tcPr>
            <w:tcW w:w="9576" w:type="dxa"/>
            <w:gridSpan w:val="2"/>
          </w:tcPr>
          <w:p w:rsidR="00B85D1A" w:rsidRPr="00B85D1A" w:rsidRDefault="00B85D1A" w:rsidP="008B5DBF">
            <w:pPr>
              <w:pStyle w:val="SCCShortJudgment"/>
              <w:rPr>
                <w:rFonts w:cs="Times New Roman"/>
                <w:szCs w:val="20"/>
              </w:rPr>
            </w:pPr>
            <w:r w:rsidRPr="00B85D1A">
              <w:rPr>
                <w:rFonts w:cs="Times New Roman"/>
                <w:szCs w:val="20"/>
              </w:rPr>
              <w:t>The application for leave to appeal from the judgment of the Nova Scotia Court of Appeal, Number CA 347078, 2011 NSCA 121, dated December 22, 2011, is granted with costs in the cause.</w:t>
            </w:r>
          </w:p>
          <w:p w:rsidR="00B85D1A" w:rsidRPr="00B85D1A" w:rsidRDefault="00B85D1A" w:rsidP="008B5DBF">
            <w:pPr>
              <w:pStyle w:val="SCCShortJudgment"/>
              <w:ind w:firstLine="0"/>
              <w:rPr>
                <w:rFonts w:cs="Times New Roman"/>
                <w:szCs w:val="20"/>
              </w:rPr>
            </w:pPr>
          </w:p>
          <w:p w:rsidR="00B85D1A" w:rsidRPr="00B85D1A" w:rsidRDefault="00B85D1A" w:rsidP="008B5DBF">
            <w:pPr>
              <w:pStyle w:val="SCCShortJudgment"/>
              <w:rPr>
                <w:rFonts w:cs="Times New Roman"/>
                <w:szCs w:val="20"/>
                <w:lang w:val="fr-CA"/>
              </w:rPr>
            </w:pPr>
            <w:r w:rsidRPr="00B85D1A">
              <w:rPr>
                <w:rFonts w:cs="Times New Roman"/>
                <w:szCs w:val="20"/>
                <w:lang w:val="fr-CA"/>
              </w:rPr>
              <w:t>La demande d’autorisation d’appel de l’arrêt de la Cour d’appel de la Nouvelle-Écosse, numéro CA 347078, 2011 NSCA 121, daté du 22 décembre 2011, est accueillie avec dépens suivant l’issue de la cause.</w:t>
            </w:r>
          </w:p>
        </w:tc>
      </w:tr>
    </w:tbl>
    <w:p w:rsidR="00F96FE7" w:rsidRPr="00B85D1A"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C65FFF" w:rsidRPr="003E4A8C" w:rsidTr="009A57C7">
        <w:tc>
          <w:tcPr>
            <w:tcW w:w="5000" w:type="pct"/>
            <w:gridSpan w:val="3"/>
          </w:tcPr>
          <w:p w:rsidR="00C65FFF" w:rsidRPr="003E4A8C" w:rsidRDefault="00C65FFF" w:rsidP="009A57C7">
            <w:pPr>
              <w:jc w:val="both"/>
              <w:rPr>
                <w:rFonts w:eastAsia="Calibri"/>
                <w:sz w:val="20"/>
              </w:rPr>
            </w:pPr>
            <w:r w:rsidRPr="003E4A8C">
              <w:rPr>
                <w:rFonts w:eastAsia="Calibri"/>
                <w:sz w:val="20"/>
              </w:rPr>
              <w:t>Civil Procedure – Disclosure – Settlement amounts – Multi-party claims – Whether a party to a settlement agreement in multi-party litigation must disclose the financial terms of the settlement to the remaining opposing parties before trial – Whether privilege extends to a concluded settlement agreement.</w:t>
            </w:r>
          </w:p>
        </w:tc>
      </w:tr>
      <w:tr w:rsidR="00C65FFF" w:rsidRPr="003E4A8C" w:rsidTr="009A57C7">
        <w:tc>
          <w:tcPr>
            <w:tcW w:w="5000" w:type="pct"/>
            <w:gridSpan w:val="3"/>
          </w:tcPr>
          <w:p w:rsidR="00C65FFF" w:rsidRPr="003E4A8C" w:rsidRDefault="00C65FFF" w:rsidP="009A57C7">
            <w:pPr>
              <w:jc w:val="both"/>
              <w:rPr>
                <w:rFonts w:eastAsia="Calibri"/>
                <w:sz w:val="20"/>
              </w:rPr>
            </w:pPr>
          </w:p>
        </w:tc>
      </w:tr>
      <w:tr w:rsidR="00C65FFF" w:rsidRPr="003E4A8C" w:rsidTr="009A57C7">
        <w:tc>
          <w:tcPr>
            <w:tcW w:w="5000" w:type="pct"/>
            <w:gridSpan w:val="3"/>
          </w:tcPr>
          <w:p w:rsidR="00C65FFF" w:rsidRPr="003E4A8C" w:rsidRDefault="00C65FFF" w:rsidP="009A57C7">
            <w:pPr>
              <w:jc w:val="both"/>
              <w:rPr>
                <w:rFonts w:eastAsia="Calibri"/>
                <w:sz w:val="20"/>
              </w:rPr>
            </w:pPr>
            <w:r w:rsidRPr="003E4A8C">
              <w:rPr>
                <w:rFonts w:eastAsia="Calibri"/>
                <w:sz w:val="20"/>
              </w:rPr>
              <w:lastRenderedPageBreak/>
              <w:t>The applicants commenced three actions against multiple defendants arising from paint failures on their offshore and onshore facilities. The respondents were among the defendants.  Some of the defendants entered into proportionate share settlement agreements (“Pierrenger settlements”) with the applicants.  These agreements permitted the settling defendants to withdraw from the litigation, leaving the respondents as the remaining defendants responsible only for their proportionate share of the loss.  The respondents requested disclosure of the settlement amounts.  The motions judge denied disclosure.  The Court of Appeal allowed an appeal and ordered disclosure of the settlement amounts.</w:t>
            </w:r>
          </w:p>
          <w:p w:rsidR="00C65FFF" w:rsidRPr="003E4A8C" w:rsidRDefault="00C65FFF" w:rsidP="009A57C7">
            <w:pPr>
              <w:jc w:val="both"/>
              <w:rPr>
                <w:rFonts w:eastAsia="Calibri"/>
                <w:sz w:val="20"/>
              </w:rPr>
            </w:pPr>
          </w:p>
        </w:tc>
      </w:tr>
      <w:tr w:rsidR="00C65FFF" w:rsidRPr="003E4A8C" w:rsidTr="009A57C7">
        <w:tblPrEx>
          <w:tblCellMar>
            <w:bottom w:w="0" w:type="dxa"/>
          </w:tblCellMar>
        </w:tblPrEx>
        <w:tc>
          <w:tcPr>
            <w:tcW w:w="2390" w:type="pct"/>
          </w:tcPr>
          <w:p w:rsidR="00C65FFF" w:rsidRPr="003E4A8C" w:rsidRDefault="00C65FFF" w:rsidP="009A57C7">
            <w:pPr>
              <w:jc w:val="both"/>
              <w:rPr>
                <w:rFonts w:eastAsia="Calibri"/>
                <w:sz w:val="20"/>
              </w:rPr>
            </w:pPr>
            <w:r w:rsidRPr="003E4A8C">
              <w:rPr>
                <w:rFonts w:eastAsia="Calibri"/>
                <w:sz w:val="20"/>
              </w:rPr>
              <w:t>December 23, 2010</w:t>
            </w:r>
          </w:p>
          <w:p w:rsidR="00C65FFF" w:rsidRPr="003E4A8C" w:rsidRDefault="00C65FFF" w:rsidP="009A57C7">
            <w:pPr>
              <w:jc w:val="both"/>
              <w:rPr>
                <w:rFonts w:eastAsia="Calibri"/>
                <w:sz w:val="20"/>
              </w:rPr>
            </w:pPr>
            <w:r w:rsidRPr="003E4A8C">
              <w:rPr>
                <w:rFonts w:eastAsia="Calibri"/>
                <w:sz w:val="20"/>
              </w:rPr>
              <w:t>Supreme Court of Nova Scotia, Trial Division</w:t>
            </w:r>
          </w:p>
          <w:p w:rsidR="00C65FFF" w:rsidRPr="003E4A8C" w:rsidRDefault="00C65FFF" w:rsidP="009A57C7">
            <w:pPr>
              <w:jc w:val="both"/>
              <w:rPr>
                <w:rFonts w:eastAsia="Calibri"/>
                <w:sz w:val="20"/>
              </w:rPr>
            </w:pPr>
            <w:r w:rsidRPr="003E4A8C">
              <w:rPr>
                <w:rFonts w:eastAsia="Calibri"/>
                <w:sz w:val="20"/>
              </w:rPr>
              <w:t xml:space="preserve">(Hood J.) </w:t>
            </w:r>
          </w:p>
          <w:p w:rsidR="00C65FFF" w:rsidRPr="003E4A8C" w:rsidRDefault="00C65FFF" w:rsidP="009A57C7">
            <w:pPr>
              <w:jc w:val="both"/>
              <w:rPr>
                <w:rFonts w:eastAsia="Calibri"/>
                <w:sz w:val="20"/>
              </w:rPr>
            </w:pPr>
            <w:r w:rsidRPr="003E4A8C">
              <w:rPr>
                <w:rFonts w:eastAsia="Calibri"/>
                <w:sz w:val="20"/>
              </w:rPr>
              <w:t>2010 NSC 473</w:t>
            </w:r>
          </w:p>
          <w:p w:rsidR="00C65FFF" w:rsidRPr="003E4A8C" w:rsidRDefault="00C65FFF" w:rsidP="009A57C7">
            <w:pPr>
              <w:jc w:val="both"/>
              <w:rPr>
                <w:rFonts w:eastAsia="Calibri"/>
                <w:sz w:val="20"/>
              </w:rPr>
            </w:pPr>
          </w:p>
        </w:tc>
        <w:tc>
          <w:tcPr>
            <w:tcW w:w="270" w:type="pct"/>
          </w:tcPr>
          <w:p w:rsidR="00C65FFF" w:rsidRPr="003E4A8C" w:rsidRDefault="00C65FFF" w:rsidP="009A57C7">
            <w:pPr>
              <w:jc w:val="both"/>
              <w:rPr>
                <w:rFonts w:eastAsia="Calibri"/>
                <w:sz w:val="20"/>
              </w:rPr>
            </w:pPr>
          </w:p>
        </w:tc>
        <w:tc>
          <w:tcPr>
            <w:tcW w:w="2340" w:type="pct"/>
          </w:tcPr>
          <w:p w:rsidR="00C65FFF" w:rsidRPr="003E4A8C" w:rsidRDefault="00C65FFF" w:rsidP="009A57C7">
            <w:pPr>
              <w:jc w:val="both"/>
              <w:rPr>
                <w:rFonts w:eastAsia="Calibri"/>
                <w:sz w:val="20"/>
              </w:rPr>
            </w:pPr>
            <w:r w:rsidRPr="003E4A8C">
              <w:rPr>
                <w:rFonts w:eastAsia="Calibri"/>
                <w:sz w:val="20"/>
              </w:rPr>
              <w:t>Application for disclosure of settlement amounts dismissed</w:t>
            </w:r>
          </w:p>
        </w:tc>
      </w:tr>
      <w:tr w:rsidR="00C65FFF" w:rsidRPr="003E4A8C" w:rsidTr="009A57C7">
        <w:tblPrEx>
          <w:tblCellMar>
            <w:bottom w:w="0" w:type="dxa"/>
          </w:tblCellMar>
        </w:tblPrEx>
        <w:tc>
          <w:tcPr>
            <w:tcW w:w="2390" w:type="pct"/>
          </w:tcPr>
          <w:p w:rsidR="00C65FFF" w:rsidRPr="003E4A8C" w:rsidRDefault="00C65FFF" w:rsidP="009A57C7">
            <w:pPr>
              <w:jc w:val="both"/>
              <w:rPr>
                <w:rFonts w:eastAsia="Calibri"/>
                <w:sz w:val="20"/>
              </w:rPr>
            </w:pPr>
            <w:r w:rsidRPr="003E4A8C">
              <w:rPr>
                <w:rFonts w:eastAsia="Calibri"/>
                <w:sz w:val="20"/>
              </w:rPr>
              <w:t>December 22, 2011</w:t>
            </w:r>
          </w:p>
          <w:p w:rsidR="00C65FFF" w:rsidRPr="003E4A8C" w:rsidRDefault="00C65FFF" w:rsidP="009A57C7">
            <w:pPr>
              <w:jc w:val="both"/>
              <w:rPr>
                <w:rFonts w:eastAsia="Calibri"/>
                <w:sz w:val="20"/>
              </w:rPr>
            </w:pPr>
            <w:r w:rsidRPr="003E4A8C">
              <w:rPr>
                <w:rFonts w:eastAsia="Calibri"/>
                <w:sz w:val="20"/>
              </w:rPr>
              <w:t>Nova Scotia Court of Appeal</w:t>
            </w:r>
          </w:p>
          <w:p w:rsidR="00C65FFF" w:rsidRPr="003E4A8C" w:rsidRDefault="00C65FFF" w:rsidP="009A57C7">
            <w:pPr>
              <w:jc w:val="both"/>
              <w:rPr>
                <w:rFonts w:eastAsia="Calibri"/>
                <w:sz w:val="20"/>
              </w:rPr>
            </w:pPr>
            <w:r w:rsidRPr="003E4A8C">
              <w:rPr>
                <w:rFonts w:eastAsia="Calibri"/>
                <w:sz w:val="20"/>
              </w:rPr>
              <w:t>(MacDonald, Oland, Farrar JJ.A.)</w:t>
            </w:r>
          </w:p>
          <w:p w:rsidR="00C65FFF" w:rsidRPr="003E4A8C" w:rsidRDefault="00C65FFF" w:rsidP="009A57C7">
            <w:pPr>
              <w:jc w:val="both"/>
              <w:rPr>
                <w:rFonts w:eastAsia="Calibri"/>
                <w:sz w:val="20"/>
              </w:rPr>
            </w:pPr>
            <w:r w:rsidRPr="003E4A8C">
              <w:rPr>
                <w:rFonts w:eastAsia="Calibri"/>
                <w:sz w:val="20"/>
              </w:rPr>
              <w:t>2011 NSCA 121, CA 347078</w:t>
            </w:r>
          </w:p>
          <w:p w:rsidR="00C65FFF" w:rsidRPr="003E4A8C" w:rsidRDefault="00C65FFF" w:rsidP="009A57C7">
            <w:pPr>
              <w:jc w:val="both"/>
              <w:rPr>
                <w:rFonts w:eastAsia="Calibri"/>
                <w:sz w:val="20"/>
              </w:rPr>
            </w:pPr>
          </w:p>
        </w:tc>
        <w:tc>
          <w:tcPr>
            <w:tcW w:w="270" w:type="pct"/>
          </w:tcPr>
          <w:p w:rsidR="00C65FFF" w:rsidRPr="003E4A8C" w:rsidRDefault="00C65FFF" w:rsidP="009A57C7">
            <w:pPr>
              <w:jc w:val="both"/>
              <w:rPr>
                <w:rFonts w:eastAsia="Calibri"/>
                <w:sz w:val="20"/>
              </w:rPr>
            </w:pPr>
          </w:p>
        </w:tc>
        <w:tc>
          <w:tcPr>
            <w:tcW w:w="2340" w:type="pct"/>
          </w:tcPr>
          <w:p w:rsidR="00C65FFF" w:rsidRPr="003E4A8C" w:rsidRDefault="00C65FFF" w:rsidP="009A57C7">
            <w:pPr>
              <w:jc w:val="both"/>
              <w:rPr>
                <w:rFonts w:eastAsia="Calibri"/>
                <w:sz w:val="20"/>
              </w:rPr>
            </w:pPr>
            <w:r w:rsidRPr="003E4A8C">
              <w:rPr>
                <w:rFonts w:eastAsia="Calibri"/>
                <w:sz w:val="20"/>
              </w:rPr>
              <w:t xml:space="preserve">Appeal allowed and disclosure of  settlement amounts ordered </w:t>
            </w:r>
          </w:p>
        </w:tc>
      </w:tr>
      <w:tr w:rsidR="00C65FFF" w:rsidRPr="003E4A8C" w:rsidTr="009A57C7">
        <w:tblPrEx>
          <w:tblCellMar>
            <w:bottom w:w="0" w:type="dxa"/>
          </w:tblCellMar>
        </w:tblPrEx>
        <w:tc>
          <w:tcPr>
            <w:tcW w:w="2390" w:type="pct"/>
          </w:tcPr>
          <w:p w:rsidR="00C65FFF" w:rsidRPr="003E4A8C" w:rsidRDefault="00C65FFF" w:rsidP="009A57C7">
            <w:pPr>
              <w:jc w:val="both"/>
              <w:rPr>
                <w:rFonts w:eastAsia="Calibri"/>
                <w:sz w:val="20"/>
              </w:rPr>
            </w:pPr>
            <w:r w:rsidRPr="003E4A8C">
              <w:rPr>
                <w:rFonts w:eastAsia="Calibri"/>
                <w:sz w:val="20"/>
              </w:rPr>
              <w:t>February 20, 2012</w:t>
            </w:r>
          </w:p>
          <w:p w:rsidR="00C65FFF" w:rsidRPr="003E4A8C" w:rsidRDefault="00C65FFF" w:rsidP="009A57C7">
            <w:pPr>
              <w:jc w:val="both"/>
              <w:rPr>
                <w:rFonts w:eastAsia="Calibri"/>
                <w:sz w:val="20"/>
              </w:rPr>
            </w:pPr>
            <w:r w:rsidRPr="003E4A8C">
              <w:rPr>
                <w:rFonts w:eastAsia="Calibri"/>
                <w:sz w:val="20"/>
              </w:rPr>
              <w:t>Supreme Court of Canada</w:t>
            </w:r>
          </w:p>
        </w:tc>
        <w:tc>
          <w:tcPr>
            <w:tcW w:w="270" w:type="pct"/>
          </w:tcPr>
          <w:p w:rsidR="00C65FFF" w:rsidRPr="003E4A8C" w:rsidRDefault="00C65FFF" w:rsidP="009A57C7">
            <w:pPr>
              <w:jc w:val="both"/>
              <w:rPr>
                <w:rFonts w:eastAsia="Calibri"/>
                <w:sz w:val="20"/>
              </w:rPr>
            </w:pPr>
          </w:p>
        </w:tc>
        <w:tc>
          <w:tcPr>
            <w:tcW w:w="2340" w:type="pct"/>
          </w:tcPr>
          <w:p w:rsidR="00C65FFF" w:rsidRPr="003E4A8C" w:rsidRDefault="00C65FFF" w:rsidP="009A57C7">
            <w:pPr>
              <w:jc w:val="both"/>
              <w:rPr>
                <w:rFonts w:eastAsia="Calibri"/>
                <w:sz w:val="20"/>
              </w:rPr>
            </w:pPr>
            <w:r w:rsidRPr="003E4A8C">
              <w:rPr>
                <w:rFonts w:eastAsia="Calibri"/>
                <w:sz w:val="20"/>
              </w:rPr>
              <w:t>Application for leave to appeal filed</w:t>
            </w:r>
          </w:p>
          <w:p w:rsidR="00C65FFF" w:rsidRPr="003E4A8C" w:rsidRDefault="00C65FFF"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62"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C65FFF" w:rsidRPr="00147672" w:rsidTr="009A57C7">
        <w:tc>
          <w:tcPr>
            <w:tcW w:w="5000" w:type="pct"/>
            <w:gridSpan w:val="3"/>
          </w:tcPr>
          <w:p w:rsidR="00C65FFF" w:rsidRPr="003E4A8C" w:rsidRDefault="00C65FFF" w:rsidP="009A57C7">
            <w:pPr>
              <w:jc w:val="both"/>
              <w:rPr>
                <w:rFonts w:eastAsia="Calibri"/>
                <w:sz w:val="20"/>
                <w:lang w:val="fr-FR"/>
              </w:rPr>
            </w:pPr>
            <w:r w:rsidRPr="003E4A8C">
              <w:rPr>
                <w:rFonts w:eastAsia="Calibri"/>
                <w:sz w:val="20"/>
                <w:lang w:val="fr-FR"/>
              </w:rPr>
              <w:t>Procédure civile – Divulgation – Montants du règlement – Poursuites engagées par plusieurs parties – La partie à une entente portant règlement dans un litige qui met en cause plusieurs parties doit-elle divulguer les modalités financières du règlement aux autres parties adverses avant le procès? – Le privilège s’étend-il à une entente portant règlement?</w:t>
            </w:r>
          </w:p>
        </w:tc>
      </w:tr>
      <w:tr w:rsidR="00C65FFF" w:rsidRPr="00147672" w:rsidTr="009A57C7">
        <w:tc>
          <w:tcPr>
            <w:tcW w:w="5000" w:type="pct"/>
            <w:gridSpan w:val="3"/>
          </w:tcPr>
          <w:p w:rsidR="00C65FFF" w:rsidRPr="003E4A8C" w:rsidRDefault="00C65FFF" w:rsidP="009A57C7">
            <w:pPr>
              <w:jc w:val="both"/>
              <w:rPr>
                <w:rFonts w:eastAsia="Calibri"/>
                <w:sz w:val="20"/>
                <w:lang w:val="fr-FR"/>
              </w:rPr>
            </w:pPr>
          </w:p>
        </w:tc>
      </w:tr>
      <w:tr w:rsidR="00C65FFF" w:rsidRPr="00147672" w:rsidTr="009A57C7">
        <w:tc>
          <w:tcPr>
            <w:tcW w:w="5000" w:type="pct"/>
            <w:gridSpan w:val="3"/>
          </w:tcPr>
          <w:p w:rsidR="00C65FFF" w:rsidRPr="003E4A8C" w:rsidRDefault="00C65FFF" w:rsidP="009A57C7">
            <w:pPr>
              <w:jc w:val="both"/>
              <w:rPr>
                <w:rFonts w:eastAsia="Calibri"/>
                <w:sz w:val="20"/>
                <w:lang w:val="fr-CA"/>
              </w:rPr>
            </w:pPr>
            <w:r w:rsidRPr="003E4A8C">
              <w:rPr>
                <w:rFonts w:eastAsia="Calibri"/>
                <w:sz w:val="20"/>
                <w:lang w:val="fr-FR"/>
              </w:rPr>
              <w:t xml:space="preserve">Les demanderesses ont intenté trois actions contre de nombreuses défenderesses à la suite de  défectuosités de la peinture sur leurs installations extracôtières et terrestres. Les intimées étaient au nombre des défenderesses. Certaines des défenderesses ont conclu avec les demanderesses des ententes portant règlement sur la part proportionnelle (« ententes de type Pierrenger »). Ces ententes permettaient aux défenderesses parties au règlement de se retirer du litige et faisaient assumer par les intimées, en tant que défenderesses toujours parties au litige, uniquement la responsabilité de leur part proportionnelle de la perte. Les intimées ont sollicité la divulgation des montants du règlement, divulgation qui a été refusée par le juge des requêtes. La Cour d’appel a accueilli l’appel et ordonné la divulgation de ces montants. </w:t>
            </w:r>
          </w:p>
          <w:p w:rsidR="00C65FFF" w:rsidRPr="003E4A8C" w:rsidRDefault="00C65FFF" w:rsidP="009A57C7">
            <w:pPr>
              <w:jc w:val="both"/>
              <w:rPr>
                <w:rFonts w:eastAsia="Calibri"/>
                <w:sz w:val="20"/>
                <w:lang w:val="fr-CA"/>
              </w:rPr>
            </w:pPr>
          </w:p>
        </w:tc>
      </w:tr>
      <w:tr w:rsidR="00C65FFF" w:rsidRPr="00147672" w:rsidTr="009A57C7">
        <w:tblPrEx>
          <w:tblCellMar>
            <w:bottom w:w="0" w:type="dxa"/>
          </w:tblCellMar>
        </w:tblPrEx>
        <w:tc>
          <w:tcPr>
            <w:tcW w:w="2390" w:type="pct"/>
          </w:tcPr>
          <w:p w:rsidR="00C65FFF" w:rsidRPr="003E4A8C" w:rsidRDefault="00C65FFF" w:rsidP="009A57C7">
            <w:pPr>
              <w:jc w:val="both"/>
              <w:rPr>
                <w:rFonts w:eastAsia="Calibri"/>
                <w:sz w:val="20"/>
                <w:lang w:val="fr-FR"/>
              </w:rPr>
            </w:pPr>
            <w:r w:rsidRPr="003E4A8C">
              <w:rPr>
                <w:rFonts w:eastAsia="Calibri"/>
                <w:sz w:val="20"/>
                <w:lang w:val="fr-FR"/>
              </w:rPr>
              <w:t>23 décembre 2010</w:t>
            </w:r>
          </w:p>
          <w:p w:rsidR="00C65FFF" w:rsidRPr="003E4A8C" w:rsidRDefault="00C65FFF" w:rsidP="009A57C7">
            <w:pPr>
              <w:jc w:val="both"/>
              <w:rPr>
                <w:rFonts w:eastAsia="Calibri"/>
                <w:sz w:val="20"/>
                <w:lang w:val="fr-FR"/>
              </w:rPr>
            </w:pPr>
            <w:r w:rsidRPr="003E4A8C">
              <w:rPr>
                <w:rFonts w:eastAsia="Calibri"/>
                <w:sz w:val="20"/>
                <w:lang w:val="fr-FR"/>
              </w:rPr>
              <w:t>Cour suprême de la Nouvelle-Écosse, Section de première instance</w:t>
            </w:r>
          </w:p>
          <w:p w:rsidR="00C65FFF" w:rsidRPr="003E4A8C" w:rsidRDefault="00C65FFF" w:rsidP="009A57C7">
            <w:pPr>
              <w:jc w:val="both"/>
              <w:rPr>
                <w:rFonts w:eastAsia="Calibri"/>
                <w:sz w:val="20"/>
              </w:rPr>
            </w:pPr>
            <w:r w:rsidRPr="003E4A8C">
              <w:rPr>
                <w:rFonts w:eastAsia="Calibri"/>
                <w:sz w:val="20"/>
              </w:rPr>
              <w:t xml:space="preserve">(Juge Hood) </w:t>
            </w:r>
          </w:p>
          <w:p w:rsidR="00C65FFF" w:rsidRPr="003E4A8C" w:rsidRDefault="00C65FFF" w:rsidP="009A57C7">
            <w:pPr>
              <w:jc w:val="both"/>
              <w:rPr>
                <w:rFonts w:eastAsia="Calibri"/>
                <w:sz w:val="20"/>
              </w:rPr>
            </w:pPr>
            <w:r w:rsidRPr="003E4A8C">
              <w:rPr>
                <w:rFonts w:eastAsia="Calibri"/>
                <w:sz w:val="20"/>
              </w:rPr>
              <w:t>2010 NSC 473</w:t>
            </w:r>
          </w:p>
          <w:p w:rsidR="00C65FFF" w:rsidRPr="003E4A8C" w:rsidRDefault="00C65FFF" w:rsidP="009A57C7">
            <w:pPr>
              <w:jc w:val="both"/>
              <w:rPr>
                <w:rFonts w:eastAsia="Calibri"/>
                <w:sz w:val="20"/>
              </w:rPr>
            </w:pPr>
          </w:p>
        </w:tc>
        <w:tc>
          <w:tcPr>
            <w:tcW w:w="270" w:type="pct"/>
          </w:tcPr>
          <w:p w:rsidR="00C65FFF" w:rsidRPr="003E4A8C" w:rsidRDefault="00C65FFF" w:rsidP="009A57C7">
            <w:pPr>
              <w:jc w:val="both"/>
              <w:rPr>
                <w:rFonts w:eastAsia="Calibri"/>
                <w:sz w:val="20"/>
              </w:rPr>
            </w:pPr>
          </w:p>
        </w:tc>
        <w:tc>
          <w:tcPr>
            <w:tcW w:w="2340" w:type="pct"/>
          </w:tcPr>
          <w:p w:rsidR="00C65FFF" w:rsidRPr="003E4A8C" w:rsidRDefault="00C65FFF" w:rsidP="009A57C7">
            <w:pPr>
              <w:jc w:val="both"/>
              <w:rPr>
                <w:rFonts w:eastAsia="Calibri"/>
                <w:sz w:val="20"/>
                <w:lang w:val="fr-FR"/>
              </w:rPr>
            </w:pPr>
            <w:r w:rsidRPr="003E4A8C">
              <w:rPr>
                <w:rFonts w:eastAsia="Calibri"/>
                <w:sz w:val="20"/>
                <w:lang w:val="fr-FR"/>
              </w:rPr>
              <w:t>Demande de divulgation des montants du règlement rejetée</w:t>
            </w:r>
          </w:p>
        </w:tc>
      </w:tr>
      <w:tr w:rsidR="00C65FFF" w:rsidRPr="00147672" w:rsidTr="009A57C7">
        <w:tblPrEx>
          <w:tblCellMar>
            <w:bottom w:w="0" w:type="dxa"/>
          </w:tblCellMar>
        </w:tblPrEx>
        <w:tc>
          <w:tcPr>
            <w:tcW w:w="2390" w:type="pct"/>
          </w:tcPr>
          <w:p w:rsidR="00C65FFF" w:rsidRPr="003E4A8C" w:rsidRDefault="00C65FFF" w:rsidP="009A57C7">
            <w:pPr>
              <w:jc w:val="both"/>
              <w:rPr>
                <w:rFonts w:eastAsia="Calibri"/>
                <w:sz w:val="20"/>
                <w:lang w:val="fr-FR"/>
              </w:rPr>
            </w:pPr>
            <w:r w:rsidRPr="003E4A8C">
              <w:rPr>
                <w:rFonts w:eastAsia="Calibri"/>
                <w:sz w:val="20"/>
                <w:lang w:val="fr-FR"/>
              </w:rPr>
              <w:t>22 décembre 2011</w:t>
            </w:r>
          </w:p>
          <w:p w:rsidR="00C65FFF" w:rsidRPr="003E4A8C" w:rsidRDefault="00C65FFF" w:rsidP="009A57C7">
            <w:pPr>
              <w:jc w:val="both"/>
              <w:rPr>
                <w:rFonts w:eastAsia="Calibri"/>
                <w:sz w:val="20"/>
                <w:lang w:val="fr-FR"/>
              </w:rPr>
            </w:pPr>
            <w:r w:rsidRPr="003E4A8C">
              <w:rPr>
                <w:rFonts w:eastAsia="Calibri"/>
                <w:sz w:val="20"/>
                <w:lang w:val="fr-FR"/>
              </w:rPr>
              <w:t>Cour d’appel de la Nouvelle-Écosse</w:t>
            </w:r>
          </w:p>
          <w:p w:rsidR="00C65FFF" w:rsidRPr="003E4A8C" w:rsidRDefault="00C65FFF" w:rsidP="009A57C7">
            <w:pPr>
              <w:jc w:val="both"/>
              <w:rPr>
                <w:rFonts w:eastAsia="Calibri"/>
                <w:sz w:val="20"/>
                <w:lang w:val="fr-FR"/>
              </w:rPr>
            </w:pPr>
            <w:r w:rsidRPr="003E4A8C">
              <w:rPr>
                <w:rFonts w:eastAsia="Calibri"/>
                <w:sz w:val="20"/>
                <w:lang w:val="fr-FR"/>
              </w:rPr>
              <w:t>(Juges MacDonald, Oland et Farrar)</w:t>
            </w:r>
          </w:p>
          <w:p w:rsidR="00C65FFF" w:rsidRPr="003E4A8C" w:rsidRDefault="00C65FFF" w:rsidP="009A57C7">
            <w:pPr>
              <w:jc w:val="both"/>
              <w:rPr>
                <w:rFonts w:eastAsia="Calibri"/>
                <w:sz w:val="20"/>
              </w:rPr>
            </w:pPr>
            <w:r w:rsidRPr="003E4A8C">
              <w:rPr>
                <w:rFonts w:eastAsia="Calibri"/>
                <w:sz w:val="20"/>
              </w:rPr>
              <w:t>2011 NSCA 121, CA 347078</w:t>
            </w:r>
          </w:p>
          <w:p w:rsidR="00C65FFF" w:rsidRPr="003E4A8C" w:rsidRDefault="00C65FFF" w:rsidP="009A57C7">
            <w:pPr>
              <w:jc w:val="both"/>
              <w:rPr>
                <w:rFonts w:eastAsia="Calibri"/>
                <w:sz w:val="20"/>
              </w:rPr>
            </w:pPr>
          </w:p>
        </w:tc>
        <w:tc>
          <w:tcPr>
            <w:tcW w:w="270" w:type="pct"/>
          </w:tcPr>
          <w:p w:rsidR="00C65FFF" w:rsidRPr="003E4A8C" w:rsidRDefault="00C65FFF" w:rsidP="009A57C7">
            <w:pPr>
              <w:jc w:val="both"/>
              <w:rPr>
                <w:rFonts w:eastAsia="Calibri"/>
                <w:sz w:val="20"/>
              </w:rPr>
            </w:pPr>
          </w:p>
        </w:tc>
        <w:tc>
          <w:tcPr>
            <w:tcW w:w="2340" w:type="pct"/>
          </w:tcPr>
          <w:p w:rsidR="00C65FFF" w:rsidRPr="003E4A8C" w:rsidRDefault="00C65FFF" w:rsidP="009A57C7">
            <w:pPr>
              <w:jc w:val="both"/>
              <w:rPr>
                <w:rFonts w:eastAsia="Calibri"/>
                <w:sz w:val="20"/>
                <w:lang w:val="fr-FR"/>
              </w:rPr>
            </w:pPr>
            <w:r w:rsidRPr="003E4A8C">
              <w:rPr>
                <w:rFonts w:eastAsia="Calibri"/>
                <w:sz w:val="20"/>
                <w:lang w:val="fr-FR"/>
              </w:rPr>
              <w:t xml:space="preserve">Appel accueilli et divulgation des montants du règlement ordonnée </w:t>
            </w:r>
          </w:p>
        </w:tc>
      </w:tr>
      <w:tr w:rsidR="00C65FFF" w:rsidRPr="003E4A8C" w:rsidTr="009A57C7">
        <w:tblPrEx>
          <w:tblCellMar>
            <w:bottom w:w="0" w:type="dxa"/>
          </w:tblCellMar>
        </w:tblPrEx>
        <w:tc>
          <w:tcPr>
            <w:tcW w:w="2390" w:type="pct"/>
          </w:tcPr>
          <w:p w:rsidR="00C65FFF" w:rsidRPr="003E4A8C" w:rsidRDefault="00C65FFF" w:rsidP="009A57C7">
            <w:pPr>
              <w:jc w:val="both"/>
              <w:rPr>
                <w:rFonts w:eastAsia="Calibri"/>
                <w:sz w:val="20"/>
                <w:lang w:val="fr-FR"/>
              </w:rPr>
            </w:pPr>
            <w:r w:rsidRPr="003E4A8C">
              <w:rPr>
                <w:rFonts w:eastAsia="Calibri"/>
                <w:sz w:val="20"/>
                <w:lang w:val="fr-FR"/>
              </w:rPr>
              <w:t>20 février 2012</w:t>
            </w:r>
          </w:p>
          <w:p w:rsidR="00C65FFF" w:rsidRPr="003E4A8C" w:rsidRDefault="00C65FFF" w:rsidP="009A57C7">
            <w:pPr>
              <w:jc w:val="both"/>
              <w:rPr>
                <w:rFonts w:eastAsia="Calibri"/>
                <w:sz w:val="20"/>
                <w:lang w:val="fr-FR"/>
              </w:rPr>
            </w:pPr>
            <w:r w:rsidRPr="003E4A8C">
              <w:rPr>
                <w:rFonts w:eastAsia="Calibri"/>
                <w:sz w:val="20"/>
                <w:lang w:val="fr-FR"/>
              </w:rPr>
              <w:t>Cour suprême du Canada</w:t>
            </w:r>
          </w:p>
        </w:tc>
        <w:tc>
          <w:tcPr>
            <w:tcW w:w="270" w:type="pct"/>
          </w:tcPr>
          <w:p w:rsidR="00C65FFF" w:rsidRPr="003E4A8C" w:rsidRDefault="00C65FFF" w:rsidP="009A57C7">
            <w:pPr>
              <w:jc w:val="both"/>
              <w:rPr>
                <w:rFonts w:eastAsia="Calibri"/>
                <w:sz w:val="20"/>
                <w:lang w:val="fr-FR"/>
              </w:rPr>
            </w:pPr>
          </w:p>
        </w:tc>
        <w:tc>
          <w:tcPr>
            <w:tcW w:w="2340" w:type="pct"/>
          </w:tcPr>
          <w:p w:rsidR="00C65FFF" w:rsidRPr="003E4A8C" w:rsidRDefault="00C65FFF" w:rsidP="009A57C7">
            <w:pPr>
              <w:jc w:val="both"/>
              <w:rPr>
                <w:rFonts w:eastAsia="Calibri"/>
                <w:sz w:val="20"/>
              </w:rPr>
            </w:pPr>
            <w:r w:rsidRPr="003E4A8C">
              <w:rPr>
                <w:rFonts w:eastAsia="Calibri"/>
                <w:sz w:val="20"/>
                <w:lang w:val="fr-FR"/>
              </w:rPr>
              <w:t xml:space="preserve">Demande d’autorisation d’appel déposée </w:t>
            </w:r>
          </w:p>
          <w:p w:rsidR="00C65FFF" w:rsidRPr="003E4A8C" w:rsidRDefault="00C65FFF" w:rsidP="009A57C7">
            <w:pPr>
              <w:jc w:val="both"/>
              <w:rPr>
                <w:rFonts w:eastAsia="Calibri"/>
                <w:sz w:val="20"/>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63"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A0595" w:rsidRPr="00DA0595" w:rsidTr="008B5DBF">
        <w:trPr>
          <w:cantSplit/>
        </w:trPr>
        <w:tc>
          <w:tcPr>
            <w:tcW w:w="1458" w:type="dxa"/>
          </w:tcPr>
          <w:p w:rsidR="00DA0595" w:rsidRPr="00DA0595" w:rsidRDefault="00DA0595" w:rsidP="008B5DBF">
            <w:pPr>
              <w:rPr>
                <w:rFonts w:cs="Times New Roman"/>
                <w:sz w:val="20"/>
                <w:szCs w:val="20"/>
              </w:rPr>
            </w:pPr>
            <w:r w:rsidRPr="00DA0595">
              <w:rPr>
                <w:rStyle w:val="SCCFileNumberChar"/>
                <w:sz w:val="20"/>
                <w:szCs w:val="20"/>
              </w:rPr>
              <w:lastRenderedPageBreak/>
              <w:t>34680</w:t>
            </w:r>
          </w:p>
          <w:p w:rsidR="00DA0595" w:rsidRPr="00DA0595" w:rsidRDefault="00DA0595" w:rsidP="008B5DBF">
            <w:pPr>
              <w:rPr>
                <w:rFonts w:cs="Times New Roman"/>
                <w:b/>
                <w:sz w:val="20"/>
                <w:szCs w:val="20"/>
                <w:lang w:val="fr-CA"/>
              </w:rPr>
            </w:pPr>
          </w:p>
        </w:tc>
        <w:tc>
          <w:tcPr>
            <w:tcW w:w="8118" w:type="dxa"/>
          </w:tcPr>
          <w:p w:rsidR="00DA0595" w:rsidRPr="00DA0595" w:rsidRDefault="00DA0595" w:rsidP="008B5DBF">
            <w:pPr>
              <w:jc w:val="both"/>
              <w:rPr>
                <w:rFonts w:cs="Times New Roman"/>
                <w:sz w:val="20"/>
                <w:szCs w:val="20"/>
              </w:rPr>
            </w:pPr>
            <w:r w:rsidRPr="00DA0595">
              <w:rPr>
                <w:rStyle w:val="SCCLsocChar"/>
                <w:rFonts w:cs="Times New Roman"/>
                <w:sz w:val="20"/>
                <w:szCs w:val="20"/>
                <w:lang w:val="en-CA"/>
              </w:rPr>
              <w:t>Regional Municipality of Halton and Town of Milton v. Patrizia Giuliani and Tina Giuliani</w:t>
            </w:r>
            <w:r w:rsidRPr="00DA0595">
              <w:rPr>
                <w:rFonts w:cs="Times New Roman"/>
                <w:sz w:val="20"/>
                <w:szCs w:val="20"/>
              </w:rPr>
              <w:t xml:space="preserve"> (Ont.) (Civil) (By Leave)</w:t>
            </w:r>
          </w:p>
          <w:p w:rsidR="00DA0595" w:rsidRPr="00DA0595" w:rsidRDefault="00DA0595" w:rsidP="008B5DBF">
            <w:pPr>
              <w:rPr>
                <w:rFonts w:cs="Times New Roman"/>
                <w:sz w:val="20"/>
                <w:szCs w:val="20"/>
              </w:rPr>
            </w:pPr>
          </w:p>
        </w:tc>
      </w:tr>
      <w:tr w:rsidR="00DA0595" w:rsidRPr="00DA0595" w:rsidTr="008B5DBF">
        <w:trPr>
          <w:cantSplit/>
        </w:trPr>
        <w:tc>
          <w:tcPr>
            <w:tcW w:w="1458" w:type="dxa"/>
          </w:tcPr>
          <w:p w:rsidR="00DA0595" w:rsidRPr="00DA0595" w:rsidRDefault="00DA0595" w:rsidP="008B5DBF">
            <w:pPr>
              <w:rPr>
                <w:rFonts w:cs="Times New Roman"/>
                <w:sz w:val="20"/>
                <w:szCs w:val="20"/>
              </w:rPr>
            </w:pPr>
            <w:r w:rsidRPr="00DA0595">
              <w:rPr>
                <w:rFonts w:cs="Times New Roman"/>
                <w:sz w:val="20"/>
                <w:szCs w:val="20"/>
              </w:rPr>
              <w:t>Coram :</w:t>
            </w:r>
          </w:p>
        </w:tc>
        <w:tc>
          <w:tcPr>
            <w:tcW w:w="8118" w:type="dxa"/>
          </w:tcPr>
          <w:p w:rsidR="00DA0595" w:rsidRPr="00DA0595" w:rsidRDefault="00DA0595" w:rsidP="008B5DBF">
            <w:pPr>
              <w:rPr>
                <w:rFonts w:cs="Times New Roman"/>
                <w:sz w:val="20"/>
                <w:szCs w:val="20"/>
              </w:rPr>
            </w:pPr>
            <w:r w:rsidRPr="00DA0595">
              <w:rPr>
                <w:rStyle w:val="SCCCoramChar"/>
                <w:rFonts w:cs="Times New Roman"/>
                <w:sz w:val="20"/>
                <w:szCs w:val="20"/>
                <w:lang w:val="en-CA"/>
              </w:rPr>
              <w:t>McLachlin C.J. and Rothstein and Moldaver JJ.</w:t>
            </w:r>
          </w:p>
          <w:p w:rsidR="00DA0595" w:rsidRPr="00DA0595" w:rsidRDefault="00DA0595" w:rsidP="008B5DBF">
            <w:pPr>
              <w:rPr>
                <w:rFonts w:cs="Times New Roman"/>
                <w:sz w:val="20"/>
                <w:szCs w:val="20"/>
                <w:u w:val="single"/>
              </w:rPr>
            </w:pPr>
          </w:p>
        </w:tc>
      </w:tr>
      <w:tr w:rsidR="00DA0595" w:rsidRPr="00147672" w:rsidTr="008B5DBF">
        <w:trPr>
          <w:cantSplit/>
        </w:trPr>
        <w:tc>
          <w:tcPr>
            <w:tcW w:w="9576" w:type="dxa"/>
            <w:gridSpan w:val="2"/>
          </w:tcPr>
          <w:p w:rsidR="00DA0595" w:rsidRPr="00DA0595" w:rsidRDefault="00DA0595" w:rsidP="008B5DBF">
            <w:pPr>
              <w:pStyle w:val="SCCShortJudgment"/>
              <w:rPr>
                <w:rFonts w:cs="Times New Roman"/>
                <w:szCs w:val="20"/>
              </w:rPr>
            </w:pPr>
            <w:r w:rsidRPr="00DA0595">
              <w:rPr>
                <w:rFonts w:cs="Times New Roman"/>
                <w:szCs w:val="20"/>
              </w:rPr>
              <w:t>The application for leave to appeal from the judgment of the Court of Appeal for Ontario, Number C52734, 2011 ONCA 812, dated December 21, 2011, is dismissed with costs.</w:t>
            </w:r>
          </w:p>
          <w:p w:rsidR="00DA0595" w:rsidRPr="00DA0595" w:rsidRDefault="00DA0595" w:rsidP="008B5DBF">
            <w:pPr>
              <w:pStyle w:val="SCCShortJudgment"/>
              <w:ind w:firstLine="0"/>
              <w:rPr>
                <w:rFonts w:cs="Times New Roman"/>
                <w:szCs w:val="20"/>
              </w:rPr>
            </w:pPr>
          </w:p>
          <w:p w:rsidR="00DA0595" w:rsidRPr="00DA0595" w:rsidRDefault="00DA0595" w:rsidP="008B5DBF">
            <w:pPr>
              <w:pStyle w:val="SCCShortJudgment"/>
              <w:rPr>
                <w:rFonts w:cs="Times New Roman"/>
                <w:szCs w:val="20"/>
                <w:lang w:val="fr-CA"/>
              </w:rPr>
            </w:pPr>
            <w:r w:rsidRPr="00DA0595">
              <w:rPr>
                <w:rFonts w:cs="Times New Roman"/>
                <w:szCs w:val="20"/>
                <w:lang w:val="fr-CA"/>
              </w:rPr>
              <w:t>La demande d’autorisation d’appel de l’arrêt de la Cour d’appel de l’Ontario, numéro C52734, 2011 ONCA 812, daté du 21 décembre 2011, est rejetée avec dépens.</w:t>
            </w:r>
          </w:p>
        </w:tc>
      </w:tr>
    </w:tbl>
    <w:p w:rsidR="00F96FE7" w:rsidRPr="00DA0595"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425E0" w:rsidRPr="003E4A8C" w:rsidTr="009A57C7">
        <w:tc>
          <w:tcPr>
            <w:tcW w:w="5000" w:type="pct"/>
            <w:gridSpan w:val="3"/>
          </w:tcPr>
          <w:p w:rsidR="000425E0" w:rsidRPr="003E4A8C" w:rsidRDefault="000425E0" w:rsidP="009A57C7">
            <w:pPr>
              <w:jc w:val="both"/>
              <w:rPr>
                <w:rFonts w:eastAsia="Calibri"/>
                <w:sz w:val="20"/>
              </w:rPr>
            </w:pPr>
            <w:r w:rsidRPr="003E4A8C">
              <w:rPr>
                <w:rFonts w:eastAsia="Calibri"/>
                <w:sz w:val="20"/>
              </w:rPr>
              <w:t xml:space="preserve">Torts – Negligence – Municipalities – Road maintenance – Whether courts below erred in applying strict construction to s. 44(3)(c) of the </w:t>
            </w:r>
            <w:r w:rsidRPr="003E4A8C">
              <w:rPr>
                <w:rFonts w:eastAsia="Calibri"/>
                <w:i/>
                <w:sz w:val="20"/>
              </w:rPr>
              <w:t>Municipal Act</w:t>
            </w:r>
            <w:r w:rsidRPr="003E4A8C">
              <w:rPr>
                <w:rFonts w:eastAsia="Calibri"/>
                <w:sz w:val="20"/>
              </w:rPr>
              <w:t xml:space="preserve">, 2001, S.O. 2001, c. 25 and </w:t>
            </w:r>
            <w:r w:rsidRPr="003E4A8C">
              <w:rPr>
                <w:rFonts w:eastAsia="Calibri"/>
                <w:i/>
                <w:iCs/>
                <w:sz w:val="20"/>
              </w:rPr>
              <w:t>Minimum Maintenance Standards for Municipal Highways</w:t>
            </w:r>
            <w:r w:rsidRPr="003E4A8C">
              <w:rPr>
                <w:rFonts w:eastAsia="Calibri"/>
                <w:sz w:val="20"/>
              </w:rPr>
              <w:t>, O. Reg. 239/02 – Whether courts below sterilized the legislative intent of s. 44(3)(c) of the Act and the Regulation thereby frustrating the public policy of the Legislature and the Executive to enable municipalities to allocate their highway maintenance resources in a cost-effective and coherent manner – Whether courts below failed to respect the principle of legislative supremacy.</w:t>
            </w:r>
          </w:p>
        </w:tc>
      </w:tr>
      <w:tr w:rsidR="000425E0" w:rsidRPr="003E4A8C" w:rsidTr="009A57C7">
        <w:tc>
          <w:tcPr>
            <w:tcW w:w="5000" w:type="pct"/>
            <w:gridSpan w:val="3"/>
          </w:tcPr>
          <w:p w:rsidR="000425E0" w:rsidRPr="003E4A8C" w:rsidRDefault="000425E0" w:rsidP="009A57C7">
            <w:pPr>
              <w:jc w:val="both"/>
              <w:rPr>
                <w:rFonts w:eastAsia="Calibri"/>
                <w:sz w:val="20"/>
              </w:rPr>
            </w:pPr>
          </w:p>
        </w:tc>
      </w:tr>
      <w:tr w:rsidR="000425E0" w:rsidRPr="003E4A8C" w:rsidTr="009A57C7">
        <w:tc>
          <w:tcPr>
            <w:tcW w:w="5000" w:type="pct"/>
            <w:gridSpan w:val="3"/>
          </w:tcPr>
          <w:p w:rsidR="000425E0" w:rsidRPr="003E4A8C" w:rsidRDefault="000425E0" w:rsidP="009A57C7">
            <w:pPr>
              <w:jc w:val="both"/>
              <w:rPr>
                <w:rFonts w:eastAsia="Calibri"/>
                <w:sz w:val="20"/>
              </w:rPr>
            </w:pPr>
            <w:r w:rsidRPr="003E4A8C">
              <w:rPr>
                <w:rFonts w:eastAsia="Calibri"/>
                <w:sz w:val="20"/>
              </w:rPr>
              <w:t xml:space="preserve">The respondent, Patrizia Giuliani, suffered significant injuries in a car accident when she lost control of her vehicle while driving on an icy regional road of the Regional Municipality of Halton.  The road was maintained by the Town of Milton under contract with the regional municipality.  The accident occurred at 7:00 a.m. on April 1, 2003.  About 2 centimetres of snow had fallen in the three hours preceding the accident and highway traffic had compressed the falling snow into an icy surface.  The town commenced salting operations at about 7:15 a.m.  The respondents sued the applicants, claiming that they failed to meet their obligation to keep the road in a condition that was reasonable in the circumstances. In defence, the applicants argued in part that they had complied with the relevant sections of the </w:t>
            </w:r>
            <w:r w:rsidRPr="003E4A8C">
              <w:rPr>
                <w:rFonts w:eastAsia="Calibri"/>
                <w:i/>
                <w:iCs/>
                <w:sz w:val="20"/>
              </w:rPr>
              <w:t>Minimum Maintenance Standards for Municipal Highways</w:t>
            </w:r>
            <w:r w:rsidRPr="003E4A8C">
              <w:rPr>
                <w:rFonts w:eastAsia="Calibri"/>
                <w:sz w:val="20"/>
              </w:rPr>
              <w:t xml:space="preserve">, O. Reg. 239/02, therefore they had a defence under s. 44(3)(c) of the </w:t>
            </w:r>
            <w:r w:rsidRPr="003E4A8C">
              <w:rPr>
                <w:rFonts w:eastAsia="Calibri"/>
                <w:i/>
                <w:sz w:val="20"/>
              </w:rPr>
              <w:t>Municipal Act</w:t>
            </w:r>
            <w:r w:rsidRPr="003E4A8C">
              <w:rPr>
                <w:rFonts w:eastAsia="Calibri"/>
                <w:sz w:val="20"/>
              </w:rPr>
              <w:t>, 2001, S.O. 2001, c. 25.  Subsection 44(3)(c) sets out that a municipality is not liable for failing to keep a highway in a reasonable state of repair if, at the time the cause of action arose, it had met the applicable minimum standards.</w:t>
            </w:r>
          </w:p>
          <w:p w:rsidR="000425E0" w:rsidRPr="003E4A8C" w:rsidRDefault="000425E0" w:rsidP="009A57C7">
            <w:pPr>
              <w:jc w:val="both"/>
              <w:rPr>
                <w:rFonts w:eastAsia="Calibri"/>
                <w:sz w:val="20"/>
              </w:rPr>
            </w:pPr>
          </w:p>
        </w:tc>
      </w:tr>
      <w:tr w:rsidR="000425E0" w:rsidRPr="003E4A8C" w:rsidTr="009A57C7">
        <w:tc>
          <w:tcPr>
            <w:tcW w:w="2427" w:type="pct"/>
          </w:tcPr>
          <w:p w:rsidR="000425E0" w:rsidRPr="003E4A8C" w:rsidRDefault="000425E0" w:rsidP="009A57C7">
            <w:pPr>
              <w:jc w:val="both"/>
              <w:rPr>
                <w:rFonts w:eastAsia="Calibri"/>
                <w:sz w:val="20"/>
              </w:rPr>
            </w:pPr>
            <w:r w:rsidRPr="003E4A8C">
              <w:rPr>
                <w:rFonts w:eastAsia="Calibri"/>
                <w:sz w:val="20"/>
              </w:rPr>
              <w:t>August 31, 2010</w:t>
            </w:r>
          </w:p>
          <w:p w:rsidR="000425E0" w:rsidRPr="003E4A8C" w:rsidRDefault="000425E0" w:rsidP="009A57C7">
            <w:pPr>
              <w:jc w:val="both"/>
              <w:rPr>
                <w:rFonts w:eastAsia="Calibri"/>
                <w:sz w:val="20"/>
              </w:rPr>
            </w:pPr>
            <w:r w:rsidRPr="003E4A8C">
              <w:rPr>
                <w:rFonts w:eastAsia="Calibri"/>
                <w:sz w:val="20"/>
              </w:rPr>
              <w:t>Ontario Superior Court of Justice</w:t>
            </w:r>
          </w:p>
          <w:p w:rsidR="000425E0" w:rsidRPr="003E4A8C" w:rsidRDefault="000425E0" w:rsidP="009A57C7">
            <w:pPr>
              <w:jc w:val="both"/>
              <w:rPr>
                <w:rFonts w:eastAsia="Calibri"/>
                <w:sz w:val="20"/>
              </w:rPr>
            </w:pPr>
            <w:r w:rsidRPr="003E4A8C">
              <w:rPr>
                <w:rFonts w:eastAsia="Calibri"/>
                <w:sz w:val="20"/>
              </w:rPr>
              <w:t xml:space="preserve">(Murray J.) </w:t>
            </w:r>
          </w:p>
          <w:p w:rsidR="000425E0" w:rsidRPr="003E4A8C" w:rsidRDefault="000425E0" w:rsidP="009A57C7">
            <w:pPr>
              <w:jc w:val="both"/>
              <w:rPr>
                <w:rFonts w:eastAsia="Calibri"/>
                <w:sz w:val="20"/>
              </w:rPr>
            </w:pPr>
            <w:r w:rsidRPr="003E4A8C">
              <w:rPr>
                <w:rFonts w:eastAsia="Calibri"/>
                <w:sz w:val="20"/>
              </w:rPr>
              <w:t>2010 ONSC 4630</w:t>
            </w:r>
          </w:p>
          <w:p w:rsidR="000425E0" w:rsidRPr="003E4A8C" w:rsidRDefault="000425E0" w:rsidP="009A57C7">
            <w:pPr>
              <w:jc w:val="both"/>
              <w:rPr>
                <w:rFonts w:eastAsia="Calibri"/>
                <w:sz w:val="20"/>
              </w:rPr>
            </w:pPr>
          </w:p>
        </w:tc>
        <w:tc>
          <w:tcPr>
            <w:tcW w:w="243" w:type="pct"/>
          </w:tcPr>
          <w:p w:rsidR="000425E0" w:rsidRPr="003E4A8C" w:rsidRDefault="000425E0" w:rsidP="009A57C7">
            <w:pPr>
              <w:jc w:val="both"/>
              <w:rPr>
                <w:rFonts w:eastAsia="Calibri"/>
                <w:sz w:val="20"/>
              </w:rPr>
            </w:pPr>
          </w:p>
        </w:tc>
        <w:tc>
          <w:tcPr>
            <w:tcW w:w="2330" w:type="pct"/>
          </w:tcPr>
          <w:p w:rsidR="000425E0" w:rsidRPr="003E4A8C" w:rsidRDefault="000425E0" w:rsidP="009A57C7">
            <w:pPr>
              <w:jc w:val="both"/>
              <w:rPr>
                <w:rFonts w:eastAsia="Calibri"/>
                <w:sz w:val="20"/>
              </w:rPr>
            </w:pPr>
            <w:r w:rsidRPr="003E4A8C">
              <w:rPr>
                <w:rFonts w:eastAsia="Calibri"/>
                <w:sz w:val="20"/>
              </w:rPr>
              <w:t>Applicants found liable in negligence for 50% of respondents’ damages, $375,000 awarded to respondents</w:t>
            </w:r>
          </w:p>
          <w:p w:rsidR="000425E0" w:rsidRPr="003E4A8C" w:rsidRDefault="000425E0" w:rsidP="009A57C7">
            <w:pPr>
              <w:jc w:val="both"/>
              <w:rPr>
                <w:rFonts w:eastAsia="Calibri"/>
                <w:sz w:val="20"/>
              </w:rPr>
            </w:pPr>
          </w:p>
        </w:tc>
      </w:tr>
      <w:tr w:rsidR="000425E0" w:rsidRPr="003E4A8C" w:rsidTr="009A57C7">
        <w:tc>
          <w:tcPr>
            <w:tcW w:w="2427" w:type="pct"/>
          </w:tcPr>
          <w:p w:rsidR="000425E0" w:rsidRPr="003E4A8C" w:rsidRDefault="000425E0" w:rsidP="009A57C7">
            <w:pPr>
              <w:jc w:val="both"/>
              <w:rPr>
                <w:rFonts w:eastAsia="Calibri"/>
                <w:sz w:val="20"/>
              </w:rPr>
            </w:pPr>
            <w:r w:rsidRPr="003E4A8C">
              <w:rPr>
                <w:rFonts w:eastAsia="Calibri"/>
                <w:sz w:val="20"/>
              </w:rPr>
              <w:t>December 21, 2011</w:t>
            </w:r>
          </w:p>
          <w:p w:rsidR="000425E0" w:rsidRPr="003E4A8C" w:rsidRDefault="000425E0" w:rsidP="009A57C7">
            <w:pPr>
              <w:jc w:val="both"/>
              <w:rPr>
                <w:rFonts w:eastAsia="Calibri"/>
                <w:sz w:val="20"/>
              </w:rPr>
            </w:pPr>
            <w:r w:rsidRPr="003E4A8C">
              <w:rPr>
                <w:rFonts w:eastAsia="Calibri"/>
                <w:sz w:val="20"/>
              </w:rPr>
              <w:t>Court of Appeal for Ontario</w:t>
            </w:r>
          </w:p>
          <w:p w:rsidR="000425E0" w:rsidRPr="003E4A8C" w:rsidRDefault="000425E0" w:rsidP="009A57C7">
            <w:pPr>
              <w:jc w:val="both"/>
              <w:rPr>
                <w:rFonts w:eastAsia="Calibri"/>
                <w:sz w:val="20"/>
              </w:rPr>
            </w:pPr>
            <w:r w:rsidRPr="003E4A8C">
              <w:rPr>
                <w:rFonts w:eastAsia="Calibri"/>
                <w:sz w:val="20"/>
              </w:rPr>
              <w:t xml:space="preserve">(O'Connor, LaForme, Cunningham JJ.A.) </w:t>
            </w:r>
          </w:p>
          <w:p w:rsidR="000425E0" w:rsidRPr="003E4A8C" w:rsidRDefault="000425E0" w:rsidP="009A57C7">
            <w:pPr>
              <w:jc w:val="both"/>
              <w:rPr>
                <w:rFonts w:eastAsia="Calibri"/>
                <w:sz w:val="20"/>
              </w:rPr>
            </w:pPr>
            <w:r w:rsidRPr="003E4A8C">
              <w:rPr>
                <w:rFonts w:eastAsia="Calibri"/>
                <w:sz w:val="20"/>
              </w:rPr>
              <w:t>2011 ONCA 812; C52734</w:t>
            </w:r>
          </w:p>
          <w:p w:rsidR="000425E0" w:rsidRPr="003E4A8C" w:rsidRDefault="000425E0" w:rsidP="009A57C7">
            <w:pPr>
              <w:jc w:val="both"/>
              <w:rPr>
                <w:rFonts w:eastAsia="Calibri"/>
                <w:sz w:val="20"/>
              </w:rPr>
            </w:pPr>
          </w:p>
        </w:tc>
        <w:tc>
          <w:tcPr>
            <w:tcW w:w="243" w:type="pct"/>
          </w:tcPr>
          <w:p w:rsidR="000425E0" w:rsidRPr="003E4A8C" w:rsidRDefault="000425E0" w:rsidP="009A57C7">
            <w:pPr>
              <w:jc w:val="both"/>
              <w:rPr>
                <w:rFonts w:eastAsia="Calibri"/>
                <w:sz w:val="20"/>
              </w:rPr>
            </w:pPr>
          </w:p>
        </w:tc>
        <w:tc>
          <w:tcPr>
            <w:tcW w:w="2330" w:type="pct"/>
          </w:tcPr>
          <w:p w:rsidR="000425E0" w:rsidRPr="003E4A8C" w:rsidRDefault="000425E0" w:rsidP="009A57C7">
            <w:pPr>
              <w:jc w:val="both"/>
              <w:rPr>
                <w:rFonts w:eastAsia="Calibri"/>
                <w:sz w:val="20"/>
              </w:rPr>
            </w:pPr>
            <w:r w:rsidRPr="003E4A8C">
              <w:rPr>
                <w:rFonts w:eastAsia="Calibri"/>
                <w:sz w:val="20"/>
              </w:rPr>
              <w:t>Appeal and cross-appeal dismissed</w:t>
            </w:r>
          </w:p>
          <w:p w:rsidR="000425E0" w:rsidRPr="003E4A8C" w:rsidRDefault="000425E0" w:rsidP="009A57C7">
            <w:pPr>
              <w:jc w:val="both"/>
              <w:rPr>
                <w:rFonts w:eastAsia="Calibri"/>
                <w:sz w:val="20"/>
              </w:rPr>
            </w:pPr>
          </w:p>
        </w:tc>
      </w:tr>
      <w:tr w:rsidR="000425E0" w:rsidRPr="003E4A8C" w:rsidTr="009A57C7">
        <w:tc>
          <w:tcPr>
            <w:tcW w:w="2427" w:type="pct"/>
          </w:tcPr>
          <w:p w:rsidR="000425E0" w:rsidRPr="003E4A8C" w:rsidRDefault="000425E0" w:rsidP="009A57C7">
            <w:pPr>
              <w:jc w:val="both"/>
              <w:rPr>
                <w:rFonts w:eastAsia="Calibri"/>
                <w:sz w:val="20"/>
              </w:rPr>
            </w:pPr>
            <w:r w:rsidRPr="003E4A8C">
              <w:rPr>
                <w:rFonts w:eastAsia="Calibri"/>
                <w:sz w:val="20"/>
              </w:rPr>
              <w:t>February 20, 2012</w:t>
            </w:r>
          </w:p>
          <w:p w:rsidR="000425E0" w:rsidRPr="003E4A8C" w:rsidRDefault="000425E0" w:rsidP="009A57C7">
            <w:pPr>
              <w:jc w:val="both"/>
              <w:rPr>
                <w:rFonts w:eastAsia="Calibri"/>
                <w:sz w:val="20"/>
              </w:rPr>
            </w:pPr>
            <w:r w:rsidRPr="003E4A8C">
              <w:rPr>
                <w:rFonts w:eastAsia="Calibri"/>
                <w:sz w:val="20"/>
              </w:rPr>
              <w:t>Supreme Court of Canada</w:t>
            </w:r>
          </w:p>
        </w:tc>
        <w:tc>
          <w:tcPr>
            <w:tcW w:w="243" w:type="pct"/>
          </w:tcPr>
          <w:p w:rsidR="000425E0" w:rsidRPr="003E4A8C" w:rsidRDefault="000425E0" w:rsidP="009A57C7">
            <w:pPr>
              <w:jc w:val="both"/>
              <w:rPr>
                <w:rFonts w:eastAsia="Calibri"/>
                <w:sz w:val="20"/>
              </w:rPr>
            </w:pPr>
          </w:p>
        </w:tc>
        <w:tc>
          <w:tcPr>
            <w:tcW w:w="2330" w:type="pct"/>
          </w:tcPr>
          <w:p w:rsidR="000425E0" w:rsidRPr="003E4A8C" w:rsidRDefault="000425E0" w:rsidP="009A57C7">
            <w:pPr>
              <w:jc w:val="both"/>
              <w:rPr>
                <w:rFonts w:eastAsia="Calibri"/>
                <w:sz w:val="20"/>
              </w:rPr>
            </w:pPr>
            <w:r w:rsidRPr="003E4A8C">
              <w:rPr>
                <w:rFonts w:eastAsia="Calibri"/>
                <w:sz w:val="20"/>
              </w:rPr>
              <w:t>Application for leave to appeal filed</w:t>
            </w:r>
          </w:p>
          <w:p w:rsidR="000425E0" w:rsidRPr="003E4A8C" w:rsidRDefault="000425E0"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64"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425E0" w:rsidRPr="00147672" w:rsidTr="009A57C7">
        <w:tc>
          <w:tcPr>
            <w:tcW w:w="5000" w:type="pct"/>
            <w:gridSpan w:val="3"/>
          </w:tcPr>
          <w:p w:rsidR="000425E0" w:rsidRPr="003E4A8C" w:rsidRDefault="000425E0" w:rsidP="009A57C7">
            <w:pPr>
              <w:jc w:val="both"/>
              <w:rPr>
                <w:rFonts w:eastAsia="Calibri"/>
                <w:sz w:val="20"/>
                <w:lang w:val="fr-CA"/>
              </w:rPr>
            </w:pPr>
            <w:r w:rsidRPr="003E4A8C">
              <w:rPr>
                <w:rFonts w:eastAsia="Calibri"/>
                <w:sz w:val="20"/>
                <w:lang w:val="fr-CA"/>
              </w:rPr>
              <w:t xml:space="preserve">Responsabilité délictuelle – Négligence – Municipalités – Entretien des routes – Les juridictions inférieures ont-elles </w:t>
            </w:r>
            <w:r w:rsidRPr="003E4A8C">
              <w:rPr>
                <w:rFonts w:eastAsia="Calibri"/>
                <w:sz w:val="20"/>
                <w:lang w:val="fr-CA"/>
              </w:rPr>
              <w:lastRenderedPageBreak/>
              <w:t>eu tort d'appliquer le principe de l'interprétation rigoureuse à l'al. 44(3)</w:t>
            </w:r>
            <w:r w:rsidRPr="003E4A8C">
              <w:rPr>
                <w:rFonts w:eastAsia="Calibri"/>
                <w:i/>
                <w:sz w:val="20"/>
                <w:lang w:val="fr-CA"/>
              </w:rPr>
              <w:t>c</w:t>
            </w:r>
            <w:r w:rsidRPr="003E4A8C">
              <w:rPr>
                <w:rFonts w:eastAsia="Calibri"/>
                <w:sz w:val="20"/>
                <w:lang w:val="fr-CA"/>
              </w:rPr>
              <w:t>) de la</w:t>
            </w:r>
            <w:r w:rsidRPr="003E4A8C">
              <w:rPr>
                <w:rFonts w:eastAsia="Calibri"/>
                <w:i/>
                <w:sz w:val="20"/>
                <w:lang w:val="fr-CA"/>
              </w:rPr>
              <w:t xml:space="preserve"> Loi de 2001 sur les municipalités</w:t>
            </w:r>
            <w:r w:rsidRPr="003E4A8C">
              <w:rPr>
                <w:rFonts w:eastAsia="Calibri"/>
                <w:sz w:val="20"/>
                <w:lang w:val="fr-CA"/>
              </w:rPr>
              <w:t xml:space="preserve">, L.O. 2001, ch. 25 et aux </w:t>
            </w:r>
            <w:r w:rsidRPr="003E4A8C">
              <w:rPr>
                <w:rFonts w:eastAsia="Calibri"/>
                <w:i/>
                <w:iCs/>
                <w:sz w:val="20"/>
                <w:lang w:val="fr-CA"/>
              </w:rPr>
              <w:t>Minimum Maintenance Standards for Municipal Highways</w:t>
            </w:r>
            <w:r w:rsidRPr="003E4A8C">
              <w:rPr>
                <w:rFonts w:eastAsia="Calibri"/>
                <w:sz w:val="20"/>
                <w:lang w:val="fr-CA"/>
              </w:rPr>
              <w:t>, Règl. Ont. 239/02? – Les juridictions inférieures ont-elles contrecarré l'intention du législateur à l'al. 44(3)</w:t>
            </w:r>
            <w:r w:rsidRPr="003E4A8C">
              <w:rPr>
                <w:rFonts w:eastAsia="Calibri"/>
                <w:i/>
                <w:sz w:val="20"/>
                <w:lang w:val="fr-CA"/>
              </w:rPr>
              <w:t>c</w:t>
            </w:r>
            <w:r w:rsidRPr="003E4A8C">
              <w:rPr>
                <w:rFonts w:eastAsia="Calibri"/>
                <w:sz w:val="20"/>
                <w:lang w:val="fr-CA"/>
              </w:rPr>
              <w:t>) de la loi et dans le règlement, contrant ainsi la politique publique du législateur et de l'exécutif de permettre aux municipalités d'affecter les ressources pour entretien des routes de manière économique et cohérente? – Les juridictions inférieures ont-elles omis de respecter le principe de la suprématie législative?</w:t>
            </w:r>
          </w:p>
        </w:tc>
      </w:tr>
      <w:tr w:rsidR="000425E0" w:rsidRPr="00147672" w:rsidTr="009A57C7">
        <w:tc>
          <w:tcPr>
            <w:tcW w:w="5000" w:type="pct"/>
            <w:gridSpan w:val="3"/>
          </w:tcPr>
          <w:p w:rsidR="000425E0" w:rsidRPr="003E4A8C" w:rsidRDefault="000425E0" w:rsidP="009A57C7">
            <w:pPr>
              <w:jc w:val="both"/>
              <w:rPr>
                <w:rFonts w:eastAsia="Calibri"/>
                <w:sz w:val="20"/>
                <w:lang w:val="fr-CA"/>
              </w:rPr>
            </w:pPr>
          </w:p>
        </w:tc>
      </w:tr>
      <w:tr w:rsidR="000425E0" w:rsidRPr="00147672" w:rsidTr="009A57C7">
        <w:tc>
          <w:tcPr>
            <w:tcW w:w="5000" w:type="pct"/>
            <w:gridSpan w:val="3"/>
          </w:tcPr>
          <w:p w:rsidR="000425E0" w:rsidRPr="003E4A8C" w:rsidRDefault="000425E0" w:rsidP="009A57C7">
            <w:pPr>
              <w:jc w:val="both"/>
              <w:rPr>
                <w:rFonts w:eastAsia="Calibri"/>
                <w:sz w:val="20"/>
                <w:lang w:val="fr-CA"/>
              </w:rPr>
            </w:pPr>
            <w:r w:rsidRPr="003E4A8C">
              <w:rPr>
                <w:rFonts w:eastAsia="Calibri"/>
                <w:sz w:val="20"/>
                <w:lang w:val="fr-CA"/>
              </w:rPr>
              <w:t>L'intimée, Patrizia Giuliani, a subi d’importantes blessures dans un accident de la route lorsqu’elle a perdu la maîtrise de son véhicule pendant qu'elle conduisait sur une route régionale glacée de la municipalité régionale de Halton. La route était entretenue par la municipalité de Milton en vertu d'un contrat conclu avec la municipalité régionale de Halton. L'accident est survenu à 7 h, le 1</w:t>
            </w:r>
            <w:r w:rsidRPr="003E4A8C">
              <w:rPr>
                <w:rFonts w:eastAsia="Calibri"/>
                <w:sz w:val="20"/>
                <w:vertAlign w:val="superscript"/>
                <w:lang w:val="fr-CA"/>
              </w:rPr>
              <w:t>er</w:t>
            </w:r>
            <w:r w:rsidRPr="003E4A8C">
              <w:rPr>
                <w:rFonts w:eastAsia="Calibri"/>
                <w:sz w:val="20"/>
                <w:lang w:val="fr-CA"/>
              </w:rPr>
              <w:t xml:space="preserve"> avril 2003. Environ 2 cm de neige étaient tombés au cours des trois heures qui ont précédé l'accident et la circulation routière avait comprimé la neige en une surface glacée. La municipalité a commencé des opérations d'épandage de sel vers 7 h15. Les intimées ont poursuivi les demanderesses, alléguant que celles-ci avaient manqué à leur obligation de maintenir la route dans un état raisonnable, eu égard aux circonstances. En guise de défense, les demanderesses ont plaidé notamment qu'elles s'étaient conformées aux dispositions pertinentes des </w:t>
            </w:r>
            <w:r w:rsidRPr="003E4A8C">
              <w:rPr>
                <w:rFonts w:eastAsia="Calibri"/>
                <w:i/>
                <w:iCs/>
                <w:sz w:val="20"/>
                <w:lang w:val="fr-CA"/>
              </w:rPr>
              <w:t>Minimum Maintenance Standards for Municipal Highways</w:t>
            </w:r>
            <w:r w:rsidRPr="003E4A8C">
              <w:rPr>
                <w:rFonts w:eastAsia="Calibri"/>
                <w:sz w:val="20"/>
                <w:lang w:val="fr-CA"/>
              </w:rPr>
              <w:t>, Règl. Ont. 239/02, si bien qu'elles avaient un moyen de défense à faire valoir en vertu de l'al. 44(3)</w:t>
            </w:r>
            <w:r w:rsidRPr="003E4A8C">
              <w:rPr>
                <w:rFonts w:eastAsia="Calibri"/>
                <w:i/>
                <w:sz w:val="20"/>
                <w:lang w:val="fr-CA"/>
              </w:rPr>
              <w:t>c</w:t>
            </w:r>
            <w:r w:rsidRPr="003E4A8C">
              <w:rPr>
                <w:rFonts w:eastAsia="Calibri"/>
                <w:sz w:val="20"/>
                <w:lang w:val="fr-CA"/>
              </w:rPr>
              <w:t>) de la</w:t>
            </w:r>
            <w:r w:rsidRPr="003E4A8C">
              <w:rPr>
                <w:rFonts w:eastAsia="Calibri"/>
                <w:i/>
                <w:sz w:val="20"/>
                <w:lang w:val="fr-CA"/>
              </w:rPr>
              <w:t xml:space="preserve"> Loi de 2001 sur des municipalités</w:t>
            </w:r>
            <w:r w:rsidRPr="003E4A8C">
              <w:rPr>
                <w:rFonts w:eastAsia="Calibri"/>
                <w:sz w:val="20"/>
                <w:lang w:val="fr-CA"/>
              </w:rPr>
              <w:t>, L.O. 2001, ch. 25. Aux termes de l'alinéa 44(3)</w:t>
            </w:r>
            <w:r w:rsidRPr="003E4A8C">
              <w:rPr>
                <w:rFonts w:eastAsia="Calibri"/>
                <w:i/>
                <w:sz w:val="20"/>
                <w:lang w:val="fr-CA"/>
              </w:rPr>
              <w:t>c</w:t>
            </w:r>
            <w:r w:rsidRPr="003E4A8C">
              <w:rPr>
                <w:rFonts w:eastAsia="Calibri"/>
                <w:sz w:val="20"/>
                <w:lang w:val="fr-CA"/>
              </w:rPr>
              <w:t>), une municipalité n’encourt aucune responsabilité pour ne pas avoir assuré l’entretien raisonnable d’une voie publique si elle avait respecté, au moment où la cause d’action a pris naissance, les normes minimales applicables.</w:t>
            </w:r>
          </w:p>
          <w:p w:rsidR="000425E0" w:rsidRPr="003E4A8C" w:rsidRDefault="000425E0" w:rsidP="009A57C7">
            <w:pPr>
              <w:jc w:val="both"/>
              <w:rPr>
                <w:rFonts w:eastAsia="Calibri"/>
                <w:sz w:val="20"/>
                <w:lang w:val="fr-CA"/>
              </w:rPr>
            </w:pPr>
          </w:p>
        </w:tc>
      </w:tr>
      <w:tr w:rsidR="000425E0" w:rsidRPr="00147672" w:rsidTr="009A57C7">
        <w:tc>
          <w:tcPr>
            <w:tcW w:w="2427" w:type="pct"/>
          </w:tcPr>
          <w:p w:rsidR="000425E0" w:rsidRPr="003E4A8C" w:rsidRDefault="000425E0" w:rsidP="009A57C7">
            <w:pPr>
              <w:jc w:val="both"/>
              <w:rPr>
                <w:rFonts w:eastAsia="Calibri"/>
                <w:sz w:val="20"/>
                <w:lang w:val="fr-CA"/>
              </w:rPr>
            </w:pPr>
            <w:r w:rsidRPr="003E4A8C">
              <w:rPr>
                <w:rFonts w:eastAsia="Calibri"/>
                <w:sz w:val="20"/>
                <w:lang w:val="fr-CA"/>
              </w:rPr>
              <w:t>31 août 2010</w:t>
            </w:r>
          </w:p>
          <w:p w:rsidR="000425E0" w:rsidRPr="003E4A8C" w:rsidRDefault="000425E0" w:rsidP="009A57C7">
            <w:pPr>
              <w:jc w:val="both"/>
              <w:rPr>
                <w:rFonts w:eastAsia="Calibri"/>
                <w:sz w:val="20"/>
                <w:lang w:val="fr-CA"/>
              </w:rPr>
            </w:pPr>
            <w:r w:rsidRPr="003E4A8C">
              <w:rPr>
                <w:rFonts w:eastAsia="Calibri"/>
                <w:sz w:val="20"/>
                <w:lang w:val="fr-CA"/>
              </w:rPr>
              <w:t xml:space="preserve">Cour supérieure de justice de l'Ontario </w:t>
            </w:r>
          </w:p>
          <w:p w:rsidR="000425E0" w:rsidRPr="003E4A8C" w:rsidRDefault="000425E0" w:rsidP="009A57C7">
            <w:pPr>
              <w:jc w:val="both"/>
              <w:rPr>
                <w:rFonts w:eastAsia="Calibri"/>
                <w:sz w:val="20"/>
                <w:lang w:val="fr-CA"/>
              </w:rPr>
            </w:pPr>
            <w:r w:rsidRPr="003E4A8C">
              <w:rPr>
                <w:rFonts w:eastAsia="Calibri"/>
                <w:sz w:val="20"/>
                <w:lang w:val="fr-CA"/>
              </w:rPr>
              <w:t xml:space="preserve">(Juge Murray) </w:t>
            </w:r>
          </w:p>
          <w:p w:rsidR="000425E0" w:rsidRPr="003E4A8C" w:rsidRDefault="000425E0" w:rsidP="009A57C7">
            <w:pPr>
              <w:jc w:val="both"/>
              <w:rPr>
                <w:rFonts w:eastAsia="Calibri"/>
                <w:sz w:val="20"/>
                <w:lang w:val="fr-CA"/>
              </w:rPr>
            </w:pPr>
            <w:r w:rsidRPr="003E4A8C">
              <w:rPr>
                <w:rFonts w:eastAsia="Calibri"/>
                <w:sz w:val="20"/>
                <w:lang w:val="fr-CA"/>
              </w:rPr>
              <w:t>2010 ONSC 4630</w:t>
            </w:r>
          </w:p>
          <w:p w:rsidR="000425E0" w:rsidRPr="003E4A8C" w:rsidRDefault="000425E0" w:rsidP="009A57C7">
            <w:pPr>
              <w:jc w:val="both"/>
              <w:rPr>
                <w:rFonts w:eastAsia="Calibri"/>
                <w:sz w:val="20"/>
                <w:lang w:val="fr-CA"/>
              </w:rPr>
            </w:pPr>
          </w:p>
        </w:tc>
        <w:tc>
          <w:tcPr>
            <w:tcW w:w="243" w:type="pct"/>
          </w:tcPr>
          <w:p w:rsidR="000425E0" w:rsidRPr="003E4A8C" w:rsidRDefault="000425E0" w:rsidP="009A57C7">
            <w:pPr>
              <w:jc w:val="both"/>
              <w:rPr>
                <w:rFonts w:eastAsia="Calibri"/>
                <w:sz w:val="20"/>
                <w:lang w:val="fr-CA"/>
              </w:rPr>
            </w:pPr>
          </w:p>
        </w:tc>
        <w:tc>
          <w:tcPr>
            <w:tcW w:w="2330" w:type="pct"/>
          </w:tcPr>
          <w:p w:rsidR="000425E0" w:rsidRPr="003E4A8C" w:rsidRDefault="000425E0" w:rsidP="009A57C7">
            <w:pPr>
              <w:jc w:val="both"/>
              <w:rPr>
                <w:rFonts w:eastAsia="Calibri"/>
                <w:sz w:val="20"/>
                <w:lang w:val="fr-CA"/>
              </w:rPr>
            </w:pPr>
            <w:r w:rsidRPr="003E4A8C">
              <w:rPr>
                <w:rFonts w:eastAsia="Calibri"/>
                <w:sz w:val="20"/>
                <w:lang w:val="fr-CA"/>
              </w:rPr>
              <w:t xml:space="preserve">Demanderesses jugées responsables en négligence à 50 % du préjudice subi par les intimées et condamnées à payer la somme de 375 000 $ aux intimées </w:t>
            </w:r>
          </w:p>
          <w:p w:rsidR="000425E0" w:rsidRPr="003E4A8C" w:rsidRDefault="000425E0" w:rsidP="009A57C7">
            <w:pPr>
              <w:jc w:val="both"/>
              <w:rPr>
                <w:rFonts w:eastAsia="Calibri"/>
                <w:sz w:val="20"/>
                <w:lang w:val="fr-CA"/>
              </w:rPr>
            </w:pPr>
          </w:p>
        </w:tc>
      </w:tr>
      <w:tr w:rsidR="000425E0" w:rsidRPr="003E4A8C" w:rsidTr="009A57C7">
        <w:tc>
          <w:tcPr>
            <w:tcW w:w="2427" w:type="pct"/>
          </w:tcPr>
          <w:p w:rsidR="000425E0" w:rsidRPr="003E4A8C" w:rsidRDefault="000425E0" w:rsidP="009A57C7">
            <w:pPr>
              <w:jc w:val="both"/>
              <w:rPr>
                <w:rFonts w:eastAsia="Calibri"/>
                <w:sz w:val="20"/>
                <w:lang w:val="fr-CA"/>
              </w:rPr>
            </w:pPr>
            <w:r w:rsidRPr="003E4A8C">
              <w:rPr>
                <w:rFonts w:eastAsia="Calibri"/>
                <w:sz w:val="20"/>
                <w:lang w:val="fr-CA"/>
              </w:rPr>
              <w:t>21 décembre 2011</w:t>
            </w:r>
          </w:p>
          <w:p w:rsidR="000425E0" w:rsidRPr="003E4A8C" w:rsidRDefault="000425E0" w:rsidP="009A57C7">
            <w:pPr>
              <w:jc w:val="both"/>
              <w:rPr>
                <w:rFonts w:eastAsia="Calibri"/>
                <w:sz w:val="20"/>
                <w:lang w:val="fr-CA"/>
              </w:rPr>
            </w:pPr>
            <w:r w:rsidRPr="003E4A8C">
              <w:rPr>
                <w:rFonts w:eastAsia="Calibri"/>
                <w:sz w:val="20"/>
                <w:lang w:val="fr-CA"/>
              </w:rPr>
              <w:t>Cour d'appel de l'Ontario</w:t>
            </w:r>
          </w:p>
          <w:p w:rsidR="000425E0" w:rsidRPr="003E4A8C" w:rsidRDefault="000425E0" w:rsidP="009A57C7">
            <w:pPr>
              <w:jc w:val="both"/>
              <w:rPr>
                <w:rFonts w:eastAsia="Calibri"/>
                <w:sz w:val="20"/>
                <w:lang w:val="fr-CA"/>
              </w:rPr>
            </w:pPr>
            <w:r w:rsidRPr="003E4A8C">
              <w:rPr>
                <w:rFonts w:eastAsia="Calibri"/>
                <w:sz w:val="20"/>
                <w:lang w:val="fr-CA"/>
              </w:rPr>
              <w:t xml:space="preserve">(Juges O'Connor, LaForme et Cunningham) </w:t>
            </w:r>
          </w:p>
          <w:p w:rsidR="000425E0" w:rsidRPr="003E4A8C" w:rsidRDefault="000425E0" w:rsidP="009A57C7">
            <w:pPr>
              <w:jc w:val="both"/>
              <w:rPr>
                <w:rFonts w:eastAsia="Calibri"/>
                <w:sz w:val="20"/>
                <w:lang w:val="fr-CA"/>
              </w:rPr>
            </w:pPr>
            <w:r w:rsidRPr="003E4A8C">
              <w:rPr>
                <w:rFonts w:eastAsia="Calibri"/>
                <w:sz w:val="20"/>
                <w:lang w:val="fr-CA"/>
              </w:rPr>
              <w:t>2011 ONCA 812; C52734</w:t>
            </w:r>
          </w:p>
          <w:p w:rsidR="000425E0" w:rsidRPr="003E4A8C" w:rsidRDefault="000425E0" w:rsidP="009A57C7">
            <w:pPr>
              <w:jc w:val="both"/>
              <w:rPr>
                <w:rFonts w:eastAsia="Calibri"/>
                <w:sz w:val="20"/>
                <w:lang w:val="fr-CA"/>
              </w:rPr>
            </w:pPr>
          </w:p>
        </w:tc>
        <w:tc>
          <w:tcPr>
            <w:tcW w:w="243" w:type="pct"/>
          </w:tcPr>
          <w:p w:rsidR="000425E0" w:rsidRPr="003E4A8C" w:rsidRDefault="000425E0" w:rsidP="009A57C7">
            <w:pPr>
              <w:jc w:val="both"/>
              <w:rPr>
                <w:rFonts w:eastAsia="Calibri"/>
                <w:sz w:val="20"/>
                <w:lang w:val="fr-CA"/>
              </w:rPr>
            </w:pPr>
          </w:p>
        </w:tc>
        <w:tc>
          <w:tcPr>
            <w:tcW w:w="2330" w:type="pct"/>
          </w:tcPr>
          <w:p w:rsidR="000425E0" w:rsidRPr="003E4A8C" w:rsidRDefault="000425E0" w:rsidP="009A57C7">
            <w:pPr>
              <w:jc w:val="both"/>
              <w:rPr>
                <w:rFonts w:eastAsia="Calibri"/>
                <w:sz w:val="20"/>
                <w:lang w:val="fr-CA"/>
              </w:rPr>
            </w:pPr>
            <w:r w:rsidRPr="003E4A8C">
              <w:rPr>
                <w:rFonts w:eastAsia="Calibri"/>
                <w:sz w:val="20"/>
                <w:lang w:val="fr-CA"/>
              </w:rPr>
              <w:t>Appel et appel incident rejetés</w:t>
            </w:r>
          </w:p>
          <w:p w:rsidR="000425E0" w:rsidRPr="003E4A8C" w:rsidRDefault="000425E0" w:rsidP="009A57C7">
            <w:pPr>
              <w:jc w:val="both"/>
              <w:rPr>
                <w:rFonts w:eastAsia="Calibri"/>
                <w:sz w:val="20"/>
                <w:lang w:val="fr-CA"/>
              </w:rPr>
            </w:pPr>
          </w:p>
        </w:tc>
      </w:tr>
      <w:tr w:rsidR="000425E0" w:rsidRPr="003E4A8C" w:rsidTr="009A57C7">
        <w:tc>
          <w:tcPr>
            <w:tcW w:w="2427" w:type="pct"/>
          </w:tcPr>
          <w:p w:rsidR="000425E0" w:rsidRPr="003E4A8C" w:rsidRDefault="000425E0" w:rsidP="009A57C7">
            <w:pPr>
              <w:jc w:val="both"/>
              <w:rPr>
                <w:rFonts w:eastAsia="Calibri"/>
                <w:sz w:val="20"/>
                <w:lang w:val="fr-CA"/>
              </w:rPr>
            </w:pPr>
            <w:r w:rsidRPr="003E4A8C">
              <w:rPr>
                <w:rFonts w:eastAsia="Calibri"/>
                <w:sz w:val="20"/>
                <w:lang w:val="fr-CA"/>
              </w:rPr>
              <w:t>20 février 2012</w:t>
            </w:r>
          </w:p>
          <w:p w:rsidR="000425E0" w:rsidRPr="003E4A8C" w:rsidRDefault="000425E0" w:rsidP="009A57C7">
            <w:pPr>
              <w:jc w:val="both"/>
              <w:rPr>
                <w:rFonts w:eastAsia="Calibri"/>
                <w:sz w:val="20"/>
                <w:lang w:val="fr-CA"/>
              </w:rPr>
            </w:pPr>
            <w:r w:rsidRPr="003E4A8C">
              <w:rPr>
                <w:rFonts w:eastAsia="Calibri"/>
                <w:sz w:val="20"/>
                <w:lang w:val="fr-CA"/>
              </w:rPr>
              <w:t>Cour suprême du Canada</w:t>
            </w:r>
          </w:p>
        </w:tc>
        <w:tc>
          <w:tcPr>
            <w:tcW w:w="243" w:type="pct"/>
          </w:tcPr>
          <w:p w:rsidR="000425E0" w:rsidRPr="003E4A8C" w:rsidRDefault="000425E0" w:rsidP="009A57C7">
            <w:pPr>
              <w:jc w:val="both"/>
              <w:rPr>
                <w:rFonts w:eastAsia="Calibri"/>
                <w:sz w:val="20"/>
                <w:lang w:val="fr-CA"/>
              </w:rPr>
            </w:pPr>
          </w:p>
        </w:tc>
        <w:tc>
          <w:tcPr>
            <w:tcW w:w="2330" w:type="pct"/>
          </w:tcPr>
          <w:p w:rsidR="000425E0" w:rsidRPr="003E4A8C" w:rsidRDefault="000425E0" w:rsidP="009A57C7">
            <w:pPr>
              <w:jc w:val="both"/>
              <w:rPr>
                <w:rFonts w:eastAsia="Calibri"/>
                <w:sz w:val="20"/>
                <w:lang w:val="fr-CA"/>
              </w:rPr>
            </w:pPr>
            <w:r w:rsidRPr="003E4A8C">
              <w:rPr>
                <w:rFonts w:eastAsia="Calibri"/>
                <w:sz w:val="20"/>
                <w:lang w:val="fr-CA"/>
              </w:rPr>
              <w:t>Demande d'autorisation d'appel, déposée</w:t>
            </w:r>
          </w:p>
          <w:p w:rsidR="000425E0" w:rsidRPr="003E4A8C" w:rsidRDefault="000425E0" w:rsidP="009A57C7">
            <w:pPr>
              <w:jc w:val="both"/>
              <w:rPr>
                <w:rFonts w:eastAsia="Calibri"/>
                <w:sz w:val="20"/>
                <w:lang w:val="fr-CA"/>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65"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A0595" w:rsidRPr="00147672" w:rsidTr="008B5DBF">
        <w:trPr>
          <w:cantSplit/>
        </w:trPr>
        <w:tc>
          <w:tcPr>
            <w:tcW w:w="1458" w:type="dxa"/>
          </w:tcPr>
          <w:p w:rsidR="00DA0595" w:rsidRPr="00BD2AF7" w:rsidRDefault="00DA0595" w:rsidP="008B5DBF">
            <w:pPr>
              <w:rPr>
                <w:rFonts w:cs="Times New Roman"/>
                <w:sz w:val="20"/>
                <w:szCs w:val="20"/>
              </w:rPr>
            </w:pPr>
            <w:r w:rsidRPr="00BD2AF7">
              <w:rPr>
                <w:rStyle w:val="SCCFileNumberChar"/>
                <w:sz w:val="20"/>
                <w:szCs w:val="20"/>
              </w:rPr>
              <w:t>34699</w:t>
            </w:r>
          </w:p>
          <w:p w:rsidR="00DA0595" w:rsidRPr="00BD2AF7" w:rsidRDefault="00DA0595" w:rsidP="008B5DBF">
            <w:pPr>
              <w:rPr>
                <w:rFonts w:cs="Times New Roman"/>
                <w:b/>
                <w:sz w:val="20"/>
                <w:szCs w:val="20"/>
                <w:lang w:val="fr-CA"/>
              </w:rPr>
            </w:pPr>
          </w:p>
        </w:tc>
        <w:tc>
          <w:tcPr>
            <w:tcW w:w="8118" w:type="dxa"/>
          </w:tcPr>
          <w:p w:rsidR="00DA0595" w:rsidRPr="00BD2AF7" w:rsidRDefault="00DA0595" w:rsidP="008B5DBF">
            <w:pPr>
              <w:jc w:val="both"/>
              <w:rPr>
                <w:rFonts w:cs="Times New Roman"/>
                <w:sz w:val="20"/>
                <w:szCs w:val="20"/>
                <w:lang w:val="fr-CA"/>
              </w:rPr>
            </w:pPr>
            <w:r w:rsidRPr="00BD2AF7">
              <w:rPr>
                <w:rStyle w:val="SCCLsocChar"/>
                <w:rFonts w:cs="Times New Roman"/>
                <w:sz w:val="20"/>
                <w:szCs w:val="20"/>
              </w:rPr>
              <w:t>La Souveraine, Compagnie d'assurance générale c. Autorité des marchés financiers</w:t>
            </w:r>
            <w:r w:rsidRPr="00BD2AF7">
              <w:rPr>
                <w:rFonts w:cs="Times New Roman"/>
                <w:sz w:val="20"/>
                <w:szCs w:val="20"/>
                <w:lang w:val="fr-CA"/>
              </w:rPr>
              <w:t xml:space="preserve"> (Qc) (Civile) (Autorisation)</w:t>
            </w:r>
          </w:p>
          <w:p w:rsidR="00DA0595" w:rsidRPr="00BD2AF7" w:rsidRDefault="00DA0595" w:rsidP="008B5DBF">
            <w:pPr>
              <w:rPr>
                <w:rFonts w:cs="Times New Roman"/>
                <w:sz w:val="20"/>
                <w:szCs w:val="20"/>
                <w:lang w:val="fr-CA"/>
              </w:rPr>
            </w:pPr>
          </w:p>
        </w:tc>
      </w:tr>
      <w:tr w:rsidR="00DA0595" w:rsidRPr="00147672" w:rsidTr="008B5DBF">
        <w:trPr>
          <w:cantSplit/>
        </w:trPr>
        <w:tc>
          <w:tcPr>
            <w:tcW w:w="1458" w:type="dxa"/>
          </w:tcPr>
          <w:p w:rsidR="00DA0595" w:rsidRPr="00BD2AF7" w:rsidRDefault="00DA0595" w:rsidP="008B5DBF">
            <w:pPr>
              <w:rPr>
                <w:rFonts w:cs="Times New Roman"/>
                <w:sz w:val="20"/>
                <w:szCs w:val="20"/>
              </w:rPr>
            </w:pPr>
            <w:r w:rsidRPr="00BD2AF7">
              <w:rPr>
                <w:rFonts w:cs="Times New Roman"/>
                <w:sz w:val="20"/>
                <w:szCs w:val="20"/>
              </w:rPr>
              <w:t>Coram :</w:t>
            </w:r>
          </w:p>
        </w:tc>
        <w:tc>
          <w:tcPr>
            <w:tcW w:w="8118" w:type="dxa"/>
          </w:tcPr>
          <w:p w:rsidR="00DA0595" w:rsidRPr="00BD2AF7" w:rsidRDefault="00DA0595" w:rsidP="008B5DBF">
            <w:pPr>
              <w:rPr>
                <w:rFonts w:cs="Times New Roman"/>
                <w:sz w:val="20"/>
                <w:szCs w:val="20"/>
                <w:lang w:val="fr-CA"/>
              </w:rPr>
            </w:pPr>
            <w:r w:rsidRPr="00BD2AF7">
              <w:rPr>
                <w:rStyle w:val="SCCCoramChar"/>
                <w:rFonts w:cs="Times New Roman"/>
                <w:sz w:val="20"/>
                <w:szCs w:val="20"/>
              </w:rPr>
              <w:t>Les juges Deschamps, Fish et Karakatsanis</w:t>
            </w:r>
          </w:p>
          <w:p w:rsidR="00DA0595" w:rsidRPr="00BD2AF7" w:rsidRDefault="00DA0595" w:rsidP="008B5DBF">
            <w:pPr>
              <w:rPr>
                <w:rFonts w:cs="Times New Roman"/>
                <w:sz w:val="20"/>
                <w:szCs w:val="20"/>
                <w:u w:val="single"/>
                <w:lang w:val="fr-CA"/>
              </w:rPr>
            </w:pPr>
          </w:p>
        </w:tc>
      </w:tr>
      <w:tr w:rsidR="00DA0595" w:rsidRPr="00BD2AF7" w:rsidTr="008B5DBF">
        <w:trPr>
          <w:cantSplit/>
        </w:trPr>
        <w:tc>
          <w:tcPr>
            <w:tcW w:w="9576" w:type="dxa"/>
            <w:gridSpan w:val="2"/>
          </w:tcPr>
          <w:p w:rsidR="00DA0595" w:rsidRPr="00BD2AF7" w:rsidRDefault="00DA0595" w:rsidP="008B5DBF">
            <w:pPr>
              <w:pStyle w:val="SCCShortJudgment"/>
              <w:rPr>
                <w:rFonts w:cs="Times New Roman"/>
                <w:szCs w:val="20"/>
                <w:lang w:val="fr-CA"/>
              </w:rPr>
            </w:pPr>
            <w:r w:rsidRPr="00BD2AF7">
              <w:rPr>
                <w:rFonts w:cs="Times New Roman"/>
                <w:szCs w:val="20"/>
                <w:lang w:val="fr-CA"/>
              </w:rPr>
              <w:t>La demande d’autorisation d’appel de l’arrêt de la Cour d’appel du Québec (Montréal), numéro 500-10-004501-092, 2012 QCCA 13, daté du 10 janvier 2012, est accueillie avec dépens suivant l’issue de la cause.</w:t>
            </w:r>
          </w:p>
          <w:p w:rsidR="00DA0595" w:rsidRPr="00BD2AF7" w:rsidRDefault="00DA0595" w:rsidP="008B5DBF">
            <w:pPr>
              <w:pStyle w:val="SCCShortJudgment"/>
              <w:ind w:firstLine="0"/>
              <w:rPr>
                <w:rFonts w:cs="Times New Roman"/>
                <w:szCs w:val="20"/>
                <w:lang w:val="fr-CA"/>
              </w:rPr>
            </w:pPr>
          </w:p>
          <w:p w:rsidR="00DA0595" w:rsidRPr="00BD2AF7" w:rsidRDefault="00DA0595" w:rsidP="008B5DBF">
            <w:pPr>
              <w:pStyle w:val="SCCShortJudgment"/>
              <w:rPr>
                <w:rFonts w:cs="Times New Roman"/>
                <w:szCs w:val="20"/>
              </w:rPr>
            </w:pPr>
            <w:r w:rsidRPr="00BD2AF7">
              <w:rPr>
                <w:rFonts w:cs="Times New Roman"/>
                <w:szCs w:val="20"/>
              </w:rPr>
              <w:t xml:space="preserve">The application for leave to appeal from the judgment of the Court of Appeal of Quebec (Montréal), Number 500-10-004501-092, </w:t>
            </w:r>
            <w:proofErr w:type="gramStart"/>
            <w:r w:rsidRPr="00BD2AF7">
              <w:rPr>
                <w:rFonts w:cs="Times New Roman"/>
                <w:szCs w:val="20"/>
              </w:rPr>
              <w:t>2012</w:t>
            </w:r>
            <w:proofErr w:type="gramEnd"/>
            <w:r w:rsidRPr="00BD2AF7">
              <w:rPr>
                <w:rFonts w:cs="Times New Roman"/>
                <w:szCs w:val="20"/>
              </w:rPr>
              <w:t xml:space="preserve"> QCCA 13, dated January 10, 2012, is granted with costs in the cause.</w:t>
            </w:r>
          </w:p>
        </w:tc>
      </w:tr>
    </w:tbl>
    <w:p w:rsidR="00F96FE7" w:rsidRDefault="00F96FE7" w:rsidP="00F96FE7">
      <w:pPr>
        <w:rPr>
          <w:sz w:val="20"/>
          <w:szCs w:val="20"/>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50F7" w:rsidRPr="003E4A8C" w:rsidTr="009A57C7">
        <w:tc>
          <w:tcPr>
            <w:tcW w:w="5000" w:type="pct"/>
            <w:gridSpan w:val="3"/>
          </w:tcPr>
          <w:p w:rsidR="001050F7" w:rsidRPr="003E4A8C" w:rsidRDefault="001050F7" w:rsidP="009A57C7">
            <w:pPr>
              <w:jc w:val="both"/>
              <w:rPr>
                <w:rFonts w:eastAsia="Calibri"/>
                <w:sz w:val="20"/>
              </w:rPr>
            </w:pPr>
            <w:r w:rsidRPr="003E4A8C">
              <w:rPr>
                <w:rFonts w:eastAsia="Calibri"/>
                <w:sz w:val="20"/>
              </w:rPr>
              <w:t xml:space="preserve">Provincial offences – Financial products and services – Strict liability – Defences – Whether offence under s. 482 of </w:t>
            </w:r>
            <w:r w:rsidRPr="003E4A8C">
              <w:rPr>
                <w:rFonts w:eastAsia="Calibri"/>
                <w:i/>
                <w:sz w:val="20"/>
              </w:rPr>
              <w:lastRenderedPageBreak/>
              <w:t>Act respecting the distribution of financial products and services</w:t>
            </w:r>
            <w:r w:rsidRPr="003E4A8C">
              <w:rPr>
                <w:rFonts w:eastAsia="Calibri"/>
                <w:sz w:val="20"/>
              </w:rPr>
              <w:t>, R.S.Q., c. D</w:t>
            </w:r>
            <w:r w:rsidRPr="003E4A8C">
              <w:rPr>
                <w:rFonts w:eastAsia="Calibri"/>
                <w:sz w:val="20"/>
              </w:rPr>
              <w:noBreakHyphen/>
              <w:t>9.2 (“</w:t>
            </w:r>
            <w:r w:rsidRPr="003E4A8C">
              <w:rPr>
                <w:rFonts w:eastAsia="Calibri"/>
                <w:i/>
                <w:sz w:val="20"/>
              </w:rPr>
              <w:t>ADFPS</w:t>
            </w:r>
            <w:r w:rsidRPr="003E4A8C">
              <w:rPr>
                <w:rFonts w:eastAsia="Calibri"/>
                <w:sz w:val="20"/>
              </w:rPr>
              <w:t xml:space="preserve">”), is strict liability offence or requires proof of specific intent – Whether </w:t>
            </w:r>
            <w:r w:rsidRPr="003E4A8C">
              <w:rPr>
                <w:rFonts w:eastAsia="Calibri"/>
                <w:i/>
                <w:sz w:val="20"/>
              </w:rPr>
              <w:t>actus reus</w:t>
            </w:r>
            <w:r w:rsidRPr="003E4A8C">
              <w:rPr>
                <w:rFonts w:eastAsia="Calibri"/>
                <w:sz w:val="20"/>
              </w:rPr>
              <w:t xml:space="preserve"> of offence under s. 482 was proved – Whether applicant could rely on due diligence as defence.</w:t>
            </w:r>
          </w:p>
        </w:tc>
      </w:tr>
      <w:tr w:rsidR="001050F7" w:rsidRPr="003E4A8C" w:rsidTr="009A57C7">
        <w:tc>
          <w:tcPr>
            <w:tcW w:w="5000" w:type="pct"/>
            <w:gridSpan w:val="3"/>
          </w:tcPr>
          <w:p w:rsidR="001050F7" w:rsidRPr="003E4A8C" w:rsidRDefault="001050F7" w:rsidP="009A57C7">
            <w:pPr>
              <w:jc w:val="both"/>
              <w:rPr>
                <w:rFonts w:eastAsia="Calibri"/>
                <w:sz w:val="20"/>
              </w:rPr>
            </w:pPr>
          </w:p>
        </w:tc>
      </w:tr>
      <w:tr w:rsidR="001050F7" w:rsidRPr="003E4A8C" w:rsidTr="009A57C7">
        <w:tc>
          <w:tcPr>
            <w:tcW w:w="5000" w:type="pct"/>
            <w:gridSpan w:val="3"/>
          </w:tcPr>
          <w:p w:rsidR="001050F7" w:rsidRPr="003E4A8C" w:rsidRDefault="001050F7" w:rsidP="009A57C7">
            <w:pPr>
              <w:jc w:val="both"/>
              <w:rPr>
                <w:rFonts w:eastAsia="Calibri"/>
                <w:sz w:val="20"/>
              </w:rPr>
            </w:pPr>
            <w:r w:rsidRPr="003E4A8C">
              <w:rPr>
                <w:rFonts w:eastAsia="Calibri"/>
                <w:sz w:val="20"/>
              </w:rPr>
              <w:t xml:space="preserve">Section 71 of the </w:t>
            </w:r>
            <w:r w:rsidRPr="003E4A8C">
              <w:rPr>
                <w:rFonts w:eastAsia="Calibri"/>
                <w:i/>
                <w:sz w:val="20"/>
              </w:rPr>
              <w:t xml:space="preserve">ADFPS </w:t>
            </w:r>
            <w:r w:rsidRPr="003E4A8C">
              <w:rPr>
                <w:rFonts w:eastAsia="Calibri"/>
                <w:sz w:val="20"/>
              </w:rPr>
              <w:t xml:space="preserve">requires registration with the Autorité des marchés financiers in order to act as an insurance firm in Quebec.  Moreover, s. 482 provides that “[e]very insurer that helps or, by encouragement, advice or consent or by an authorization or order, induces a </w:t>
            </w:r>
            <w:proofErr w:type="gramStart"/>
            <w:r w:rsidRPr="003E4A8C">
              <w:rPr>
                <w:rFonts w:eastAsia="Calibri"/>
                <w:sz w:val="20"/>
              </w:rPr>
              <w:t>firm .</w:t>
            </w:r>
            <w:proofErr w:type="gramEnd"/>
            <w:r w:rsidRPr="003E4A8C">
              <w:rPr>
                <w:rFonts w:eastAsia="Calibri"/>
                <w:sz w:val="20"/>
              </w:rPr>
              <w:t xml:space="preserve"> . . to contravene any provision” of the </w:t>
            </w:r>
            <w:r w:rsidRPr="003E4A8C">
              <w:rPr>
                <w:rFonts w:eastAsia="Calibri"/>
                <w:i/>
                <w:sz w:val="20"/>
              </w:rPr>
              <w:t>ADFPS</w:t>
            </w:r>
            <w:r w:rsidRPr="003E4A8C">
              <w:rPr>
                <w:rFonts w:eastAsia="Calibri"/>
                <w:sz w:val="20"/>
              </w:rPr>
              <w:t xml:space="preserve"> is guilty of an offence.  The applicant Sovereign was authorized to offer insurance in Quebec but instead issued policies through brokers, including Flanders Insurance Management and Administrative Services Ltd. of Winnipeg (“Flanders”).  GE Commercial Distribution Finance (“GE”), which was based in Toronto, financed the inventory of recreational vehicles on merchants’ premises.  In 2004, GE notified its clients that it had opted for a new master policy from Sovereign through Flanders.  At GE’s invitation, 56 Quebec merchants subscribed to the policy.  A rival of Flanders then filed complaints against Flanders and GE </w:t>
            </w:r>
            <w:proofErr w:type="gramStart"/>
            <w:r w:rsidRPr="003E4A8C">
              <w:rPr>
                <w:rFonts w:eastAsia="Calibri"/>
                <w:sz w:val="20"/>
              </w:rPr>
              <w:t>with,</w:t>
            </w:r>
            <w:proofErr w:type="gramEnd"/>
            <w:r w:rsidRPr="003E4A8C">
              <w:rPr>
                <w:rFonts w:eastAsia="Calibri"/>
                <w:sz w:val="20"/>
              </w:rPr>
              <w:t xml:space="preserve"> </w:t>
            </w:r>
            <w:r w:rsidRPr="003E4A8C">
              <w:rPr>
                <w:rFonts w:eastAsia="Calibri"/>
                <w:i/>
                <w:sz w:val="20"/>
              </w:rPr>
              <w:t>inter alia</w:t>
            </w:r>
            <w:r w:rsidRPr="003E4A8C">
              <w:rPr>
                <w:rFonts w:eastAsia="Calibri"/>
                <w:sz w:val="20"/>
              </w:rPr>
              <w:t xml:space="preserve">, the AMF, alleging that Flanders was acting as an insurance broker in Quebec without holding a licence. </w:t>
            </w:r>
          </w:p>
          <w:p w:rsidR="001050F7" w:rsidRPr="003E4A8C" w:rsidRDefault="001050F7" w:rsidP="009A57C7">
            <w:pPr>
              <w:jc w:val="both"/>
              <w:rPr>
                <w:rFonts w:eastAsia="Calibri"/>
                <w:sz w:val="20"/>
              </w:rPr>
            </w:pPr>
          </w:p>
          <w:p w:rsidR="001050F7" w:rsidRPr="003E4A8C" w:rsidRDefault="001050F7" w:rsidP="009A57C7">
            <w:pPr>
              <w:jc w:val="both"/>
              <w:rPr>
                <w:rFonts w:eastAsia="Calibri"/>
                <w:sz w:val="20"/>
              </w:rPr>
            </w:pPr>
            <w:r w:rsidRPr="003E4A8C">
              <w:rPr>
                <w:rFonts w:eastAsia="Calibri"/>
                <w:sz w:val="20"/>
              </w:rPr>
              <w:t xml:space="preserve">Following an inquiry, the AMF issued 56 statements of offence against Sovereign for consenting to or authorizing the issue of an insurance policy by Flanders, a firm not registered with the AMF, contrary to s. 71 of the </w:t>
            </w:r>
            <w:r w:rsidRPr="003E4A8C">
              <w:rPr>
                <w:rFonts w:eastAsia="Calibri"/>
                <w:i/>
                <w:sz w:val="20"/>
              </w:rPr>
              <w:t>ADFPS</w:t>
            </w:r>
            <w:r w:rsidRPr="003E4A8C">
              <w:rPr>
                <w:rFonts w:eastAsia="Calibri"/>
                <w:sz w:val="20"/>
              </w:rPr>
              <w:t>.</w:t>
            </w:r>
          </w:p>
          <w:p w:rsidR="001050F7" w:rsidRPr="003E4A8C" w:rsidRDefault="001050F7" w:rsidP="009A57C7">
            <w:pPr>
              <w:jc w:val="both"/>
              <w:rPr>
                <w:rFonts w:eastAsia="Calibri"/>
                <w:sz w:val="20"/>
              </w:rPr>
            </w:pPr>
            <w:r w:rsidRPr="003E4A8C">
              <w:rPr>
                <w:rFonts w:eastAsia="Calibri"/>
                <w:sz w:val="20"/>
              </w:rPr>
              <w:t xml:space="preserve"> </w:t>
            </w:r>
          </w:p>
        </w:tc>
      </w:tr>
      <w:tr w:rsidR="001050F7" w:rsidRPr="003E4A8C" w:rsidTr="009A57C7">
        <w:tc>
          <w:tcPr>
            <w:tcW w:w="2427" w:type="pct"/>
          </w:tcPr>
          <w:p w:rsidR="001050F7" w:rsidRPr="003E4A8C" w:rsidRDefault="001050F7" w:rsidP="009A57C7">
            <w:pPr>
              <w:jc w:val="both"/>
              <w:rPr>
                <w:rFonts w:eastAsia="Calibri"/>
                <w:sz w:val="20"/>
              </w:rPr>
            </w:pPr>
            <w:r w:rsidRPr="003E4A8C">
              <w:rPr>
                <w:rFonts w:eastAsia="Calibri"/>
                <w:sz w:val="20"/>
              </w:rPr>
              <w:t>November 10, 2008</w:t>
            </w:r>
          </w:p>
          <w:p w:rsidR="001050F7" w:rsidRPr="003E4A8C" w:rsidRDefault="001050F7" w:rsidP="009A57C7">
            <w:pPr>
              <w:jc w:val="both"/>
              <w:rPr>
                <w:rFonts w:eastAsia="Calibri"/>
                <w:sz w:val="20"/>
              </w:rPr>
            </w:pPr>
            <w:r w:rsidRPr="003E4A8C">
              <w:rPr>
                <w:rFonts w:eastAsia="Calibri"/>
                <w:sz w:val="20"/>
              </w:rPr>
              <w:t>Court of Québec</w:t>
            </w:r>
          </w:p>
          <w:p w:rsidR="001050F7" w:rsidRPr="003E4A8C" w:rsidRDefault="001050F7" w:rsidP="009A57C7">
            <w:pPr>
              <w:jc w:val="both"/>
              <w:rPr>
                <w:rFonts w:eastAsia="Calibri"/>
                <w:sz w:val="20"/>
              </w:rPr>
            </w:pPr>
            <w:r w:rsidRPr="003E4A8C">
              <w:rPr>
                <w:rFonts w:eastAsia="Calibri"/>
                <w:sz w:val="20"/>
              </w:rPr>
              <w:t>(Judge Boisvert)</w:t>
            </w:r>
          </w:p>
          <w:p w:rsidR="001050F7" w:rsidRPr="003E4A8C" w:rsidRDefault="001050F7" w:rsidP="009A57C7">
            <w:pPr>
              <w:jc w:val="both"/>
              <w:rPr>
                <w:rFonts w:eastAsia="Calibri"/>
                <w:sz w:val="20"/>
              </w:rPr>
            </w:pPr>
            <w:r w:rsidRPr="003E4A8C">
              <w:rPr>
                <w:rFonts w:eastAsia="Calibri"/>
                <w:sz w:val="20"/>
              </w:rPr>
              <w:t>2008 QCCQ 10557</w:t>
            </w:r>
          </w:p>
          <w:p w:rsidR="001050F7" w:rsidRPr="003E4A8C" w:rsidRDefault="001050F7" w:rsidP="009A57C7">
            <w:pPr>
              <w:jc w:val="both"/>
              <w:rPr>
                <w:rFonts w:eastAsia="Calibri"/>
                <w:sz w:val="20"/>
              </w:rPr>
            </w:pPr>
          </w:p>
        </w:tc>
        <w:tc>
          <w:tcPr>
            <w:tcW w:w="243" w:type="pct"/>
          </w:tcPr>
          <w:p w:rsidR="001050F7" w:rsidRPr="003E4A8C" w:rsidRDefault="001050F7" w:rsidP="009A57C7">
            <w:pPr>
              <w:jc w:val="both"/>
              <w:rPr>
                <w:rFonts w:eastAsia="Calibri"/>
                <w:sz w:val="20"/>
              </w:rPr>
            </w:pPr>
          </w:p>
        </w:tc>
        <w:tc>
          <w:tcPr>
            <w:tcW w:w="2330" w:type="pct"/>
          </w:tcPr>
          <w:p w:rsidR="001050F7" w:rsidRPr="003E4A8C" w:rsidRDefault="001050F7" w:rsidP="009A57C7">
            <w:pPr>
              <w:jc w:val="both"/>
              <w:rPr>
                <w:rFonts w:eastAsia="Calibri"/>
                <w:sz w:val="20"/>
              </w:rPr>
            </w:pPr>
            <w:r w:rsidRPr="003E4A8C">
              <w:rPr>
                <w:rFonts w:eastAsia="Calibri"/>
                <w:sz w:val="20"/>
              </w:rPr>
              <w:t>Applicant convicted of 56 counts</w:t>
            </w:r>
          </w:p>
          <w:p w:rsidR="001050F7" w:rsidRPr="003E4A8C" w:rsidRDefault="001050F7" w:rsidP="009A57C7">
            <w:pPr>
              <w:jc w:val="both"/>
              <w:rPr>
                <w:rFonts w:eastAsia="Calibri"/>
                <w:sz w:val="20"/>
              </w:rPr>
            </w:pPr>
          </w:p>
        </w:tc>
      </w:tr>
      <w:tr w:rsidR="001050F7" w:rsidRPr="003E4A8C" w:rsidTr="009A57C7">
        <w:tc>
          <w:tcPr>
            <w:tcW w:w="2427" w:type="pct"/>
          </w:tcPr>
          <w:p w:rsidR="001050F7" w:rsidRPr="003E4A8C" w:rsidRDefault="001050F7" w:rsidP="009A57C7">
            <w:pPr>
              <w:jc w:val="both"/>
              <w:rPr>
                <w:rFonts w:eastAsia="Calibri"/>
                <w:sz w:val="20"/>
              </w:rPr>
            </w:pPr>
            <w:r w:rsidRPr="003E4A8C">
              <w:rPr>
                <w:rFonts w:eastAsia="Calibri"/>
                <w:sz w:val="20"/>
              </w:rPr>
              <w:t>October 6, 2009</w:t>
            </w:r>
          </w:p>
          <w:p w:rsidR="001050F7" w:rsidRPr="003E4A8C" w:rsidRDefault="001050F7" w:rsidP="009A57C7">
            <w:pPr>
              <w:jc w:val="both"/>
              <w:rPr>
                <w:rFonts w:eastAsia="Calibri"/>
                <w:sz w:val="20"/>
              </w:rPr>
            </w:pPr>
            <w:r w:rsidRPr="003E4A8C">
              <w:rPr>
                <w:rFonts w:eastAsia="Calibri"/>
                <w:sz w:val="20"/>
              </w:rPr>
              <w:t>Quebec Superior Court</w:t>
            </w:r>
          </w:p>
          <w:p w:rsidR="001050F7" w:rsidRPr="003E4A8C" w:rsidRDefault="001050F7" w:rsidP="009A57C7">
            <w:pPr>
              <w:jc w:val="both"/>
              <w:rPr>
                <w:rFonts w:eastAsia="Calibri"/>
                <w:sz w:val="20"/>
              </w:rPr>
            </w:pPr>
            <w:r w:rsidRPr="003E4A8C">
              <w:rPr>
                <w:rFonts w:eastAsia="Calibri"/>
                <w:sz w:val="20"/>
              </w:rPr>
              <w:t>(Martin J.)</w:t>
            </w:r>
          </w:p>
          <w:p w:rsidR="001050F7" w:rsidRPr="003E4A8C" w:rsidRDefault="001050F7" w:rsidP="009A57C7">
            <w:pPr>
              <w:jc w:val="both"/>
              <w:rPr>
                <w:rFonts w:eastAsia="Calibri"/>
                <w:sz w:val="20"/>
              </w:rPr>
            </w:pPr>
            <w:r w:rsidRPr="003E4A8C">
              <w:rPr>
                <w:rFonts w:eastAsia="Calibri"/>
                <w:sz w:val="20"/>
              </w:rPr>
              <w:t>2009 QCCS 4494</w:t>
            </w:r>
          </w:p>
          <w:p w:rsidR="001050F7" w:rsidRPr="003E4A8C" w:rsidRDefault="001050F7" w:rsidP="009A57C7">
            <w:pPr>
              <w:jc w:val="both"/>
              <w:rPr>
                <w:rFonts w:eastAsia="Calibri"/>
                <w:sz w:val="20"/>
              </w:rPr>
            </w:pPr>
          </w:p>
        </w:tc>
        <w:tc>
          <w:tcPr>
            <w:tcW w:w="243" w:type="pct"/>
          </w:tcPr>
          <w:p w:rsidR="001050F7" w:rsidRPr="003E4A8C" w:rsidRDefault="001050F7" w:rsidP="009A57C7">
            <w:pPr>
              <w:jc w:val="both"/>
              <w:rPr>
                <w:rFonts w:eastAsia="Calibri"/>
                <w:sz w:val="20"/>
              </w:rPr>
            </w:pPr>
          </w:p>
        </w:tc>
        <w:tc>
          <w:tcPr>
            <w:tcW w:w="2330" w:type="pct"/>
          </w:tcPr>
          <w:p w:rsidR="001050F7" w:rsidRPr="003E4A8C" w:rsidRDefault="001050F7" w:rsidP="009A57C7">
            <w:pPr>
              <w:jc w:val="both"/>
              <w:rPr>
                <w:rFonts w:eastAsia="Calibri"/>
                <w:sz w:val="20"/>
              </w:rPr>
            </w:pPr>
            <w:r w:rsidRPr="003E4A8C">
              <w:rPr>
                <w:rFonts w:eastAsia="Calibri"/>
                <w:sz w:val="20"/>
              </w:rPr>
              <w:t>Appeal allowed; applicant acquitted</w:t>
            </w:r>
          </w:p>
          <w:p w:rsidR="001050F7" w:rsidRPr="003E4A8C" w:rsidRDefault="001050F7" w:rsidP="009A57C7">
            <w:pPr>
              <w:jc w:val="both"/>
              <w:rPr>
                <w:rFonts w:eastAsia="Calibri"/>
                <w:sz w:val="20"/>
              </w:rPr>
            </w:pPr>
          </w:p>
        </w:tc>
      </w:tr>
      <w:tr w:rsidR="001050F7" w:rsidRPr="003E4A8C" w:rsidTr="009A57C7">
        <w:tc>
          <w:tcPr>
            <w:tcW w:w="2427" w:type="pct"/>
          </w:tcPr>
          <w:p w:rsidR="001050F7" w:rsidRPr="003E4A8C" w:rsidRDefault="001050F7" w:rsidP="009A57C7">
            <w:pPr>
              <w:jc w:val="both"/>
              <w:rPr>
                <w:rFonts w:eastAsia="Calibri"/>
                <w:sz w:val="20"/>
              </w:rPr>
            </w:pPr>
            <w:r w:rsidRPr="003E4A8C">
              <w:rPr>
                <w:rFonts w:eastAsia="Calibri"/>
                <w:sz w:val="20"/>
              </w:rPr>
              <w:t>January 10, 2012</w:t>
            </w:r>
          </w:p>
          <w:p w:rsidR="001050F7" w:rsidRPr="003E4A8C" w:rsidRDefault="001050F7" w:rsidP="009A57C7">
            <w:pPr>
              <w:jc w:val="both"/>
              <w:rPr>
                <w:rFonts w:eastAsia="Calibri"/>
                <w:sz w:val="20"/>
              </w:rPr>
            </w:pPr>
            <w:r w:rsidRPr="003E4A8C">
              <w:rPr>
                <w:rFonts w:eastAsia="Calibri"/>
                <w:sz w:val="20"/>
              </w:rPr>
              <w:t>Quebec Court of Appeal (Montréal)</w:t>
            </w:r>
          </w:p>
          <w:p w:rsidR="001050F7" w:rsidRPr="003E4A8C" w:rsidRDefault="001050F7" w:rsidP="009A57C7">
            <w:pPr>
              <w:jc w:val="both"/>
              <w:rPr>
                <w:rFonts w:eastAsia="Calibri"/>
                <w:sz w:val="20"/>
              </w:rPr>
            </w:pPr>
            <w:r w:rsidRPr="003E4A8C">
              <w:rPr>
                <w:rFonts w:eastAsia="Calibri"/>
                <w:sz w:val="20"/>
              </w:rPr>
              <w:t>(Dalphond (dissenting), Kasirer and Cournoyer JJ.A.)</w:t>
            </w:r>
          </w:p>
          <w:p w:rsidR="001050F7" w:rsidRPr="003E4A8C" w:rsidRDefault="001050F7" w:rsidP="009A57C7">
            <w:pPr>
              <w:jc w:val="both"/>
              <w:rPr>
                <w:rFonts w:eastAsia="Calibri"/>
                <w:sz w:val="20"/>
              </w:rPr>
            </w:pPr>
            <w:r w:rsidRPr="003E4A8C">
              <w:rPr>
                <w:rFonts w:eastAsia="Calibri"/>
                <w:sz w:val="20"/>
              </w:rPr>
              <w:t>2012 QCCA 13; 500-10-004501-092</w:t>
            </w:r>
          </w:p>
          <w:p w:rsidR="001050F7" w:rsidRPr="003E4A8C" w:rsidRDefault="001050F7" w:rsidP="009A57C7">
            <w:pPr>
              <w:jc w:val="both"/>
              <w:rPr>
                <w:rFonts w:eastAsia="Calibri"/>
                <w:sz w:val="20"/>
              </w:rPr>
            </w:pPr>
          </w:p>
        </w:tc>
        <w:tc>
          <w:tcPr>
            <w:tcW w:w="243" w:type="pct"/>
          </w:tcPr>
          <w:p w:rsidR="001050F7" w:rsidRPr="003E4A8C" w:rsidRDefault="001050F7" w:rsidP="009A57C7">
            <w:pPr>
              <w:jc w:val="both"/>
              <w:rPr>
                <w:rFonts w:eastAsia="Calibri"/>
                <w:sz w:val="20"/>
              </w:rPr>
            </w:pPr>
          </w:p>
        </w:tc>
        <w:tc>
          <w:tcPr>
            <w:tcW w:w="2330" w:type="pct"/>
          </w:tcPr>
          <w:p w:rsidR="001050F7" w:rsidRPr="003E4A8C" w:rsidRDefault="001050F7" w:rsidP="009A57C7">
            <w:pPr>
              <w:jc w:val="both"/>
              <w:rPr>
                <w:rFonts w:eastAsia="Calibri"/>
                <w:sz w:val="20"/>
              </w:rPr>
            </w:pPr>
            <w:r w:rsidRPr="003E4A8C">
              <w:rPr>
                <w:rFonts w:eastAsia="Calibri"/>
                <w:sz w:val="20"/>
              </w:rPr>
              <w:t>Appeal allowed; convictions restored</w:t>
            </w:r>
          </w:p>
          <w:p w:rsidR="001050F7" w:rsidRPr="003E4A8C" w:rsidRDefault="001050F7" w:rsidP="009A57C7">
            <w:pPr>
              <w:jc w:val="both"/>
              <w:rPr>
                <w:rFonts w:eastAsia="Calibri"/>
                <w:sz w:val="20"/>
              </w:rPr>
            </w:pPr>
          </w:p>
        </w:tc>
      </w:tr>
      <w:tr w:rsidR="001050F7" w:rsidRPr="003E4A8C" w:rsidTr="009A57C7">
        <w:tc>
          <w:tcPr>
            <w:tcW w:w="2427" w:type="pct"/>
          </w:tcPr>
          <w:p w:rsidR="001050F7" w:rsidRPr="003E4A8C" w:rsidRDefault="001050F7" w:rsidP="009A57C7">
            <w:pPr>
              <w:jc w:val="both"/>
              <w:rPr>
                <w:rFonts w:eastAsia="Calibri"/>
                <w:sz w:val="20"/>
              </w:rPr>
            </w:pPr>
            <w:r w:rsidRPr="003E4A8C">
              <w:rPr>
                <w:rFonts w:eastAsia="Calibri"/>
                <w:sz w:val="20"/>
              </w:rPr>
              <w:t>March 6, 2012</w:t>
            </w:r>
          </w:p>
          <w:p w:rsidR="001050F7" w:rsidRPr="003E4A8C" w:rsidRDefault="001050F7" w:rsidP="009A57C7">
            <w:pPr>
              <w:jc w:val="both"/>
              <w:rPr>
                <w:rFonts w:eastAsia="Calibri"/>
                <w:sz w:val="20"/>
              </w:rPr>
            </w:pPr>
            <w:r w:rsidRPr="003E4A8C">
              <w:rPr>
                <w:rFonts w:eastAsia="Calibri"/>
                <w:sz w:val="20"/>
              </w:rPr>
              <w:t>Supreme Court of Canada</w:t>
            </w:r>
          </w:p>
        </w:tc>
        <w:tc>
          <w:tcPr>
            <w:tcW w:w="243" w:type="pct"/>
          </w:tcPr>
          <w:p w:rsidR="001050F7" w:rsidRPr="003E4A8C" w:rsidRDefault="001050F7" w:rsidP="009A57C7">
            <w:pPr>
              <w:jc w:val="both"/>
              <w:rPr>
                <w:rFonts w:eastAsia="Calibri"/>
                <w:sz w:val="20"/>
              </w:rPr>
            </w:pPr>
          </w:p>
        </w:tc>
        <w:tc>
          <w:tcPr>
            <w:tcW w:w="2330" w:type="pct"/>
          </w:tcPr>
          <w:p w:rsidR="001050F7" w:rsidRPr="003E4A8C" w:rsidRDefault="001050F7" w:rsidP="009A57C7">
            <w:pPr>
              <w:jc w:val="both"/>
              <w:rPr>
                <w:rFonts w:eastAsia="Calibri"/>
                <w:sz w:val="20"/>
              </w:rPr>
            </w:pPr>
            <w:r w:rsidRPr="003E4A8C">
              <w:rPr>
                <w:rFonts w:eastAsia="Calibri"/>
                <w:sz w:val="20"/>
              </w:rPr>
              <w:t>Application for leave to appeal filed</w:t>
            </w:r>
          </w:p>
          <w:p w:rsidR="001050F7" w:rsidRPr="003E4A8C" w:rsidRDefault="001050F7"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66"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50F7" w:rsidRPr="00D61692" w:rsidTr="009A57C7">
        <w:tc>
          <w:tcPr>
            <w:tcW w:w="5000" w:type="pct"/>
            <w:gridSpan w:val="3"/>
          </w:tcPr>
          <w:p w:rsidR="001050F7" w:rsidRPr="003E4A8C" w:rsidRDefault="001050F7" w:rsidP="009A57C7">
            <w:pPr>
              <w:jc w:val="both"/>
              <w:rPr>
                <w:rFonts w:eastAsia="Calibri"/>
                <w:sz w:val="20"/>
                <w:lang w:val="fr-CA"/>
              </w:rPr>
            </w:pPr>
            <w:r w:rsidRPr="003E4A8C">
              <w:rPr>
                <w:rFonts w:eastAsia="Calibri"/>
                <w:sz w:val="20"/>
                <w:lang w:val="fr-CA"/>
              </w:rPr>
              <w:t xml:space="preserve">Infractions provinciales – Produits et services financiers – Responsabilité stricte – Moyens de défense – L’infraction prévue par l’art. 482 de la </w:t>
            </w:r>
            <w:r w:rsidRPr="003E4A8C">
              <w:rPr>
                <w:rFonts w:eastAsia="Calibri"/>
                <w:i/>
                <w:sz w:val="20"/>
                <w:lang w:val="fr-CA"/>
              </w:rPr>
              <w:t>Loi sur la distribution de produits et services financiers</w:t>
            </w:r>
            <w:r w:rsidRPr="003E4A8C">
              <w:rPr>
                <w:rFonts w:eastAsia="Calibri"/>
                <w:sz w:val="20"/>
                <w:lang w:val="fr-CA"/>
              </w:rPr>
              <w:t>, L.R.Q., ch. D-9.2 (« </w:t>
            </w:r>
            <w:r w:rsidRPr="003E4A8C">
              <w:rPr>
                <w:rFonts w:eastAsia="Calibri"/>
                <w:i/>
                <w:sz w:val="20"/>
                <w:lang w:val="fr-CA"/>
              </w:rPr>
              <w:t>LDPSF</w:t>
            </w:r>
            <w:r w:rsidRPr="003E4A8C">
              <w:rPr>
                <w:rFonts w:eastAsia="Calibri"/>
                <w:sz w:val="20"/>
                <w:lang w:val="fr-CA"/>
              </w:rPr>
              <w:t xml:space="preserve"> »), est-elle une infraction de responsabilité stricte ou exige-t-elle plutôt la preuve d’une intention spécifique? – </w:t>
            </w:r>
            <w:proofErr w:type="gramStart"/>
            <w:r w:rsidRPr="003E4A8C">
              <w:rPr>
                <w:rFonts w:eastAsia="Calibri"/>
                <w:sz w:val="20"/>
                <w:lang w:val="fr-CA"/>
              </w:rPr>
              <w:t>L’</w:t>
            </w:r>
            <w:r w:rsidRPr="003E4A8C">
              <w:rPr>
                <w:rFonts w:eastAsia="Calibri"/>
                <w:i/>
                <w:sz w:val="20"/>
                <w:lang w:val="fr-CA"/>
              </w:rPr>
              <w:t>actus</w:t>
            </w:r>
            <w:proofErr w:type="gramEnd"/>
            <w:r w:rsidRPr="003E4A8C">
              <w:rPr>
                <w:rFonts w:eastAsia="Calibri"/>
                <w:i/>
                <w:sz w:val="20"/>
                <w:lang w:val="fr-CA"/>
              </w:rPr>
              <w:t xml:space="preserve"> reus</w:t>
            </w:r>
            <w:r w:rsidRPr="003E4A8C">
              <w:rPr>
                <w:rFonts w:eastAsia="Calibri"/>
                <w:sz w:val="20"/>
                <w:lang w:val="fr-CA"/>
              </w:rPr>
              <w:t xml:space="preserve"> de l’infraction prévue par l’art. 482 a-t-il été prouvé? – La demanderesse pouvait-elle invoquer la diligence raisonnable en défense?</w:t>
            </w:r>
          </w:p>
        </w:tc>
      </w:tr>
      <w:tr w:rsidR="001050F7" w:rsidRPr="00D61692" w:rsidTr="009A57C7">
        <w:tc>
          <w:tcPr>
            <w:tcW w:w="5000" w:type="pct"/>
            <w:gridSpan w:val="3"/>
          </w:tcPr>
          <w:p w:rsidR="001050F7" w:rsidRPr="003E4A8C" w:rsidRDefault="001050F7" w:rsidP="009A57C7">
            <w:pPr>
              <w:jc w:val="both"/>
              <w:rPr>
                <w:rFonts w:eastAsia="Calibri"/>
                <w:sz w:val="20"/>
                <w:lang w:val="fr-CA"/>
              </w:rPr>
            </w:pPr>
          </w:p>
        </w:tc>
      </w:tr>
      <w:tr w:rsidR="001050F7" w:rsidRPr="00147672" w:rsidTr="009A57C7">
        <w:tc>
          <w:tcPr>
            <w:tcW w:w="5000" w:type="pct"/>
            <w:gridSpan w:val="3"/>
          </w:tcPr>
          <w:p w:rsidR="001050F7" w:rsidRPr="003E4A8C" w:rsidRDefault="001050F7" w:rsidP="009A57C7">
            <w:pPr>
              <w:jc w:val="both"/>
              <w:rPr>
                <w:rFonts w:eastAsia="Calibri"/>
                <w:sz w:val="20"/>
                <w:lang w:val="fr-CA"/>
              </w:rPr>
            </w:pPr>
            <w:r w:rsidRPr="003E4A8C">
              <w:rPr>
                <w:rFonts w:eastAsia="Calibri"/>
                <w:sz w:val="20"/>
                <w:lang w:val="fr-CA"/>
              </w:rPr>
              <w:t xml:space="preserve">L’article 71 de la </w:t>
            </w:r>
            <w:r w:rsidRPr="003E4A8C">
              <w:rPr>
                <w:rFonts w:eastAsia="Calibri"/>
                <w:i/>
                <w:sz w:val="20"/>
                <w:lang w:val="fr-CA"/>
              </w:rPr>
              <w:t>LDPSF</w:t>
            </w:r>
            <w:r w:rsidRPr="003E4A8C">
              <w:rPr>
                <w:rFonts w:eastAsia="Calibri"/>
                <w:sz w:val="20"/>
                <w:lang w:val="fr-CA"/>
              </w:rPr>
              <w:t xml:space="preserve"> prévoit l’obligation d’être inscrit auprès de l’Autorité des marchés financiers afin d’agir comme cabinet d’assurance au Québec. De plus, l’art. 482 prévoit que commet une infraction « [u]n assureur qui aide ou, par un encouragement, un conseil, un consentement, une autorisation ou un ordre, amène un cabinet [...] à enfreindre une disposition de la [</w:t>
            </w:r>
            <w:r w:rsidRPr="003E4A8C">
              <w:rPr>
                <w:rFonts w:eastAsia="Calibri"/>
                <w:i/>
                <w:sz w:val="20"/>
                <w:lang w:val="fr-CA"/>
              </w:rPr>
              <w:t>LDPSF</w:t>
            </w:r>
            <w:r w:rsidRPr="003E4A8C">
              <w:rPr>
                <w:rFonts w:eastAsia="Calibri"/>
                <w:sz w:val="20"/>
                <w:lang w:val="fr-CA"/>
              </w:rPr>
              <w:t xml:space="preserve">] ». La demanderesse, La Souveraine, est autorisée à offrir de l’assurance au </w:t>
            </w:r>
            <w:r w:rsidRPr="003E4A8C">
              <w:rPr>
                <w:rFonts w:eastAsia="Calibri"/>
                <w:sz w:val="20"/>
                <w:lang w:val="fr-CA"/>
              </w:rPr>
              <w:lastRenderedPageBreak/>
              <w:t xml:space="preserve">Québec, mais délivre plutôt des polices par l’entremise de courtiers, dont Flanders Insurance Management and Administrative Services Ltd. de Winnipeg (« Flanders »). L’entreprise GE financement commercial aux détaillants (« GE »), basée à Toronto, finance les stocks de véhicules récréatifs chez des commerçants. En 2004, elle avise ses clients qu’elle a opté pour une nouvelle police-cadre de La Souveraine par l’entremise de Flanders. À l’invitation de GE, 56 commerçants québécois adhèrent à la police. Le rival de Flanders dépose alors des plaintes contre Flanders et GE auprès notamment de l’AMF, alléguant que Flanders exerce la fonction de courtier en assurance au Québec sans détenir de permis. </w:t>
            </w:r>
          </w:p>
          <w:p w:rsidR="001050F7" w:rsidRPr="003E4A8C" w:rsidRDefault="001050F7" w:rsidP="009A57C7">
            <w:pPr>
              <w:jc w:val="both"/>
              <w:rPr>
                <w:rFonts w:eastAsia="Calibri"/>
                <w:sz w:val="20"/>
                <w:lang w:val="fr-CA"/>
              </w:rPr>
            </w:pPr>
          </w:p>
          <w:p w:rsidR="001050F7" w:rsidRPr="003E4A8C" w:rsidRDefault="001050F7" w:rsidP="009A57C7">
            <w:pPr>
              <w:jc w:val="both"/>
              <w:rPr>
                <w:rFonts w:eastAsia="Calibri"/>
                <w:sz w:val="20"/>
                <w:lang w:val="fr-CA"/>
              </w:rPr>
            </w:pPr>
            <w:r w:rsidRPr="003E4A8C">
              <w:rPr>
                <w:rFonts w:eastAsia="Calibri"/>
                <w:sz w:val="20"/>
                <w:lang w:val="fr-CA"/>
              </w:rPr>
              <w:t xml:space="preserve">Après enquête, l’AMF donne 56 constats d’infractions à La Souveraine. Elle lui reproche d’avoir « consenti et/ou autorisé Flanders [...], un cabinet non inscrit auprès de [l’AMF] », à délivrer une police d’assurance en contravention de l’art. 71 de la </w:t>
            </w:r>
            <w:r w:rsidRPr="003E4A8C">
              <w:rPr>
                <w:rFonts w:eastAsia="Calibri"/>
                <w:i/>
                <w:sz w:val="20"/>
                <w:lang w:val="fr-CA"/>
              </w:rPr>
              <w:t>LDPSF</w:t>
            </w:r>
            <w:r w:rsidRPr="003E4A8C">
              <w:rPr>
                <w:rFonts w:eastAsia="Calibri"/>
                <w:sz w:val="20"/>
                <w:lang w:val="fr-CA"/>
              </w:rPr>
              <w:t xml:space="preserve">. </w:t>
            </w:r>
          </w:p>
          <w:p w:rsidR="001050F7" w:rsidRPr="003E4A8C" w:rsidRDefault="001050F7" w:rsidP="009A57C7">
            <w:pPr>
              <w:jc w:val="both"/>
              <w:rPr>
                <w:rFonts w:eastAsia="Calibri"/>
                <w:sz w:val="20"/>
                <w:lang w:val="fr-CA"/>
              </w:rPr>
            </w:pPr>
          </w:p>
        </w:tc>
      </w:tr>
      <w:tr w:rsidR="001050F7" w:rsidRPr="00147672" w:rsidTr="009A57C7">
        <w:tc>
          <w:tcPr>
            <w:tcW w:w="2427" w:type="pct"/>
          </w:tcPr>
          <w:p w:rsidR="001050F7" w:rsidRPr="003E4A8C" w:rsidRDefault="001050F7" w:rsidP="009A57C7">
            <w:pPr>
              <w:jc w:val="both"/>
              <w:rPr>
                <w:rFonts w:eastAsia="Calibri"/>
                <w:sz w:val="20"/>
                <w:lang w:val="fr-CA"/>
              </w:rPr>
            </w:pPr>
            <w:r w:rsidRPr="003E4A8C">
              <w:rPr>
                <w:rFonts w:eastAsia="Calibri"/>
                <w:sz w:val="20"/>
                <w:lang w:val="fr-CA"/>
              </w:rPr>
              <w:lastRenderedPageBreak/>
              <w:t>Le 10 novembre 2008</w:t>
            </w:r>
          </w:p>
          <w:p w:rsidR="001050F7" w:rsidRPr="003E4A8C" w:rsidRDefault="001050F7" w:rsidP="009A57C7">
            <w:pPr>
              <w:jc w:val="both"/>
              <w:rPr>
                <w:rFonts w:eastAsia="Calibri"/>
                <w:sz w:val="20"/>
                <w:lang w:val="fr-CA"/>
              </w:rPr>
            </w:pPr>
            <w:r w:rsidRPr="003E4A8C">
              <w:rPr>
                <w:rFonts w:eastAsia="Calibri"/>
                <w:sz w:val="20"/>
                <w:lang w:val="fr-CA"/>
              </w:rPr>
              <w:t>Cour du Québec</w:t>
            </w:r>
          </w:p>
          <w:p w:rsidR="001050F7" w:rsidRPr="003E4A8C" w:rsidRDefault="001050F7" w:rsidP="009A57C7">
            <w:pPr>
              <w:jc w:val="both"/>
              <w:rPr>
                <w:rFonts w:eastAsia="Calibri"/>
                <w:sz w:val="20"/>
                <w:lang w:val="fr-CA"/>
              </w:rPr>
            </w:pPr>
            <w:r w:rsidRPr="003E4A8C">
              <w:rPr>
                <w:rFonts w:eastAsia="Calibri"/>
                <w:sz w:val="20"/>
                <w:lang w:val="fr-CA"/>
              </w:rPr>
              <w:t>(Le juge Boisvert)</w:t>
            </w:r>
          </w:p>
          <w:p w:rsidR="001050F7" w:rsidRPr="003E4A8C" w:rsidRDefault="001050F7" w:rsidP="009A57C7">
            <w:pPr>
              <w:jc w:val="both"/>
              <w:rPr>
                <w:rFonts w:eastAsia="Calibri"/>
                <w:sz w:val="20"/>
                <w:lang w:val="fr-CA"/>
              </w:rPr>
            </w:pPr>
            <w:r w:rsidRPr="003E4A8C">
              <w:rPr>
                <w:rFonts w:eastAsia="Calibri"/>
                <w:sz w:val="20"/>
                <w:lang w:val="fr-CA"/>
              </w:rPr>
              <w:t>2008 QCCQ 10557</w:t>
            </w:r>
          </w:p>
          <w:p w:rsidR="001050F7" w:rsidRPr="003E4A8C" w:rsidRDefault="001050F7" w:rsidP="009A57C7">
            <w:pPr>
              <w:jc w:val="both"/>
              <w:rPr>
                <w:rFonts w:eastAsia="Calibri"/>
                <w:sz w:val="20"/>
                <w:lang w:val="fr-CA"/>
              </w:rPr>
            </w:pPr>
          </w:p>
        </w:tc>
        <w:tc>
          <w:tcPr>
            <w:tcW w:w="243" w:type="pct"/>
          </w:tcPr>
          <w:p w:rsidR="001050F7" w:rsidRPr="003E4A8C" w:rsidRDefault="001050F7" w:rsidP="009A57C7">
            <w:pPr>
              <w:jc w:val="both"/>
              <w:rPr>
                <w:rFonts w:eastAsia="Calibri"/>
                <w:sz w:val="20"/>
                <w:lang w:val="fr-CA"/>
              </w:rPr>
            </w:pPr>
          </w:p>
        </w:tc>
        <w:tc>
          <w:tcPr>
            <w:tcW w:w="2330" w:type="pct"/>
          </w:tcPr>
          <w:p w:rsidR="001050F7" w:rsidRPr="003E4A8C" w:rsidRDefault="001050F7" w:rsidP="009A57C7">
            <w:pPr>
              <w:jc w:val="both"/>
              <w:rPr>
                <w:rFonts w:eastAsia="Calibri"/>
                <w:sz w:val="20"/>
                <w:lang w:val="fr-CA"/>
              </w:rPr>
            </w:pPr>
            <w:r w:rsidRPr="003E4A8C">
              <w:rPr>
                <w:rFonts w:eastAsia="Calibri"/>
                <w:sz w:val="20"/>
                <w:lang w:val="fr-CA"/>
              </w:rPr>
              <w:t>Demanderesse déclarée coupable relativement à 56 chefs d’accusation</w:t>
            </w:r>
          </w:p>
          <w:p w:rsidR="001050F7" w:rsidRPr="003E4A8C" w:rsidRDefault="001050F7" w:rsidP="009A57C7">
            <w:pPr>
              <w:jc w:val="both"/>
              <w:rPr>
                <w:rFonts w:eastAsia="Calibri"/>
                <w:sz w:val="20"/>
                <w:lang w:val="fr-CA"/>
              </w:rPr>
            </w:pPr>
          </w:p>
        </w:tc>
      </w:tr>
      <w:tr w:rsidR="001050F7" w:rsidRPr="003E4A8C" w:rsidTr="009A57C7">
        <w:tc>
          <w:tcPr>
            <w:tcW w:w="2427" w:type="pct"/>
          </w:tcPr>
          <w:p w:rsidR="001050F7" w:rsidRPr="003E4A8C" w:rsidRDefault="001050F7" w:rsidP="009A57C7">
            <w:pPr>
              <w:jc w:val="both"/>
              <w:rPr>
                <w:rFonts w:eastAsia="Calibri"/>
                <w:sz w:val="20"/>
                <w:lang w:val="fr-CA"/>
              </w:rPr>
            </w:pPr>
            <w:r w:rsidRPr="003E4A8C">
              <w:rPr>
                <w:rFonts w:eastAsia="Calibri"/>
                <w:sz w:val="20"/>
                <w:lang w:val="fr-CA"/>
              </w:rPr>
              <w:t>Le 6 octobre 2009</w:t>
            </w:r>
          </w:p>
          <w:p w:rsidR="001050F7" w:rsidRPr="003E4A8C" w:rsidRDefault="001050F7" w:rsidP="009A57C7">
            <w:pPr>
              <w:jc w:val="both"/>
              <w:rPr>
                <w:rFonts w:eastAsia="Calibri"/>
                <w:sz w:val="20"/>
                <w:lang w:val="fr-CA"/>
              </w:rPr>
            </w:pPr>
            <w:r w:rsidRPr="003E4A8C">
              <w:rPr>
                <w:rFonts w:eastAsia="Calibri"/>
                <w:sz w:val="20"/>
                <w:lang w:val="fr-CA"/>
              </w:rPr>
              <w:t>Cour supérieure du Québec</w:t>
            </w:r>
          </w:p>
          <w:p w:rsidR="001050F7" w:rsidRPr="003E4A8C" w:rsidRDefault="001050F7" w:rsidP="009A57C7">
            <w:pPr>
              <w:jc w:val="both"/>
              <w:rPr>
                <w:rFonts w:eastAsia="Calibri"/>
                <w:sz w:val="20"/>
                <w:lang w:val="fr-CA"/>
              </w:rPr>
            </w:pPr>
            <w:r w:rsidRPr="003E4A8C">
              <w:rPr>
                <w:rFonts w:eastAsia="Calibri"/>
                <w:sz w:val="20"/>
                <w:lang w:val="fr-CA"/>
              </w:rPr>
              <w:t>(Le juge Martin)</w:t>
            </w:r>
          </w:p>
          <w:p w:rsidR="001050F7" w:rsidRPr="003E4A8C" w:rsidRDefault="001050F7" w:rsidP="009A57C7">
            <w:pPr>
              <w:jc w:val="both"/>
              <w:rPr>
                <w:rFonts w:eastAsia="Calibri"/>
                <w:sz w:val="20"/>
                <w:lang w:val="fr-CA"/>
              </w:rPr>
            </w:pPr>
            <w:r w:rsidRPr="003E4A8C">
              <w:rPr>
                <w:rFonts w:eastAsia="Calibri"/>
                <w:sz w:val="20"/>
                <w:lang w:val="fr-CA"/>
              </w:rPr>
              <w:t>2009 QCCS 4494</w:t>
            </w:r>
          </w:p>
          <w:p w:rsidR="001050F7" w:rsidRPr="003E4A8C" w:rsidRDefault="001050F7" w:rsidP="009A57C7">
            <w:pPr>
              <w:jc w:val="both"/>
              <w:rPr>
                <w:rFonts w:eastAsia="Calibri"/>
                <w:sz w:val="20"/>
              </w:rPr>
            </w:pPr>
          </w:p>
        </w:tc>
        <w:tc>
          <w:tcPr>
            <w:tcW w:w="243" w:type="pct"/>
          </w:tcPr>
          <w:p w:rsidR="001050F7" w:rsidRPr="003E4A8C" w:rsidRDefault="001050F7" w:rsidP="009A57C7">
            <w:pPr>
              <w:jc w:val="both"/>
              <w:rPr>
                <w:rFonts w:eastAsia="Calibri"/>
                <w:sz w:val="20"/>
              </w:rPr>
            </w:pPr>
          </w:p>
        </w:tc>
        <w:tc>
          <w:tcPr>
            <w:tcW w:w="2330" w:type="pct"/>
          </w:tcPr>
          <w:p w:rsidR="001050F7" w:rsidRPr="003E4A8C" w:rsidRDefault="001050F7" w:rsidP="009A57C7">
            <w:pPr>
              <w:jc w:val="both"/>
              <w:rPr>
                <w:rFonts w:eastAsia="Calibri"/>
                <w:sz w:val="20"/>
                <w:lang w:val="fr-CA"/>
              </w:rPr>
            </w:pPr>
            <w:r w:rsidRPr="003E4A8C">
              <w:rPr>
                <w:rFonts w:eastAsia="Calibri"/>
                <w:sz w:val="20"/>
                <w:lang w:val="fr-CA"/>
              </w:rPr>
              <w:t>Appel accueilli; acquittements prononcés</w:t>
            </w:r>
          </w:p>
          <w:p w:rsidR="001050F7" w:rsidRPr="003E4A8C" w:rsidRDefault="001050F7" w:rsidP="009A57C7">
            <w:pPr>
              <w:jc w:val="both"/>
              <w:rPr>
                <w:rFonts w:eastAsia="Calibri"/>
                <w:sz w:val="20"/>
                <w:lang w:val="fr-CA"/>
              </w:rPr>
            </w:pPr>
          </w:p>
        </w:tc>
      </w:tr>
      <w:tr w:rsidR="001050F7" w:rsidRPr="003E4A8C" w:rsidTr="009A57C7">
        <w:tc>
          <w:tcPr>
            <w:tcW w:w="2427" w:type="pct"/>
          </w:tcPr>
          <w:p w:rsidR="001050F7" w:rsidRPr="003E4A8C" w:rsidRDefault="001050F7" w:rsidP="009A57C7">
            <w:pPr>
              <w:jc w:val="both"/>
              <w:rPr>
                <w:rFonts w:eastAsia="Calibri"/>
                <w:sz w:val="20"/>
                <w:lang w:val="fr-CA"/>
              </w:rPr>
            </w:pPr>
            <w:r w:rsidRPr="003E4A8C">
              <w:rPr>
                <w:rFonts w:eastAsia="Calibri"/>
                <w:sz w:val="20"/>
                <w:lang w:val="fr-CA"/>
              </w:rPr>
              <w:t>Le 10 janvier 2012</w:t>
            </w:r>
          </w:p>
          <w:p w:rsidR="001050F7" w:rsidRPr="003E4A8C" w:rsidRDefault="001050F7" w:rsidP="009A57C7">
            <w:pPr>
              <w:jc w:val="both"/>
              <w:rPr>
                <w:rFonts w:eastAsia="Calibri"/>
                <w:sz w:val="20"/>
                <w:lang w:val="fr-CA"/>
              </w:rPr>
            </w:pPr>
            <w:r w:rsidRPr="003E4A8C">
              <w:rPr>
                <w:rFonts w:eastAsia="Calibri"/>
                <w:sz w:val="20"/>
                <w:lang w:val="fr-CA"/>
              </w:rPr>
              <w:t>Cour d’appel du Québec (Montréal)</w:t>
            </w:r>
          </w:p>
          <w:p w:rsidR="001050F7" w:rsidRPr="003E4A8C" w:rsidRDefault="001050F7" w:rsidP="009A57C7">
            <w:pPr>
              <w:jc w:val="both"/>
              <w:rPr>
                <w:rFonts w:eastAsia="Calibri"/>
                <w:sz w:val="20"/>
                <w:lang w:val="fr-CA"/>
              </w:rPr>
            </w:pPr>
            <w:r w:rsidRPr="003E4A8C">
              <w:rPr>
                <w:rFonts w:eastAsia="Calibri"/>
                <w:sz w:val="20"/>
                <w:lang w:val="fr-CA"/>
              </w:rPr>
              <w:t>(Les juges Dalphond (dissident), Kasirer et Cournoyer)</w:t>
            </w:r>
          </w:p>
          <w:p w:rsidR="001050F7" w:rsidRPr="003E4A8C" w:rsidRDefault="001050F7" w:rsidP="009A57C7">
            <w:pPr>
              <w:jc w:val="both"/>
              <w:rPr>
                <w:rFonts w:eastAsia="Calibri"/>
                <w:sz w:val="20"/>
                <w:lang w:val="fr-CA"/>
              </w:rPr>
            </w:pPr>
            <w:r w:rsidRPr="003E4A8C">
              <w:rPr>
                <w:rFonts w:eastAsia="Calibri"/>
                <w:sz w:val="20"/>
                <w:lang w:val="fr-CA"/>
              </w:rPr>
              <w:t>2012 QCCA 13; 500-10-004501-092</w:t>
            </w:r>
          </w:p>
          <w:p w:rsidR="001050F7" w:rsidRPr="003E4A8C" w:rsidRDefault="001050F7" w:rsidP="009A57C7">
            <w:pPr>
              <w:jc w:val="both"/>
              <w:rPr>
                <w:rFonts w:eastAsia="Calibri"/>
                <w:sz w:val="20"/>
                <w:lang w:val="fr-CA"/>
              </w:rPr>
            </w:pPr>
          </w:p>
        </w:tc>
        <w:tc>
          <w:tcPr>
            <w:tcW w:w="243" w:type="pct"/>
          </w:tcPr>
          <w:p w:rsidR="001050F7" w:rsidRPr="003E4A8C" w:rsidRDefault="001050F7" w:rsidP="009A57C7">
            <w:pPr>
              <w:jc w:val="both"/>
              <w:rPr>
                <w:rFonts w:eastAsia="Calibri"/>
                <w:sz w:val="20"/>
                <w:lang w:val="fr-CA"/>
              </w:rPr>
            </w:pPr>
          </w:p>
        </w:tc>
        <w:tc>
          <w:tcPr>
            <w:tcW w:w="2330" w:type="pct"/>
          </w:tcPr>
          <w:p w:rsidR="001050F7" w:rsidRPr="003E4A8C" w:rsidRDefault="001050F7" w:rsidP="009A57C7">
            <w:pPr>
              <w:jc w:val="both"/>
              <w:rPr>
                <w:rFonts w:eastAsia="Calibri"/>
                <w:sz w:val="20"/>
                <w:lang w:val="fr-CA"/>
              </w:rPr>
            </w:pPr>
            <w:r w:rsidRPr="003E4A8C">
              <w:rPr>
                <w:rFonts w:eastAsia="Calibri"/>
                <w:sz w:val="20"/>
                <w:lang w:val="fr-CA"/>
              </w:rPr>
              <w:t>Appel accueilli; condamnations rétablies</w:t>
            </w:r>
          </w:p>
          <w:p w:rsidR="001050F7" w:rsidRPr="003E4A8C" w:rsidRDefault="001050F7" w:rsidP="009A57C7">
            <w:pPr>
              <w:jc w:val="both"/>
              <w:rPr>
                <w:rFonts w:eastAsia="Calibri"/>
                <w:sz w:val="20"/>
                <w:lang w:val="fr-CA"/>
              </w:rPr>
            </w:pPr>
          </w:p>
        </w:tc>
      </w:tr>
      <w:tr w:rsidR="001050F7" w:rsidRPr="003E4A8C" w:rsidTr="009A57C7">
        <w:tc>
          <w:tcPr>
            <w:tcW w:w="2427" w:type="pct"/>
          </w:tcPr>
          <w:p w:rsidR="001050F7" w:rsidRPr="003E4A8C" w:rsidRDefault="001050F7" w:rsidP="009A57C7">
            <w:pPr>
              <w:jc w:val="both"/>
              <w:rPr>
                <w:rFonts w:eastAsia="Calibri"/>
                <w:sz w:val="20"/>
                <w:lang w:val="fr-CA"/>
              </w:rPr>
            </w:pPr>
            <w:r w:rsidRPr="003E4A8C">
              <w:rPr>
                <w:rFonts w:eastAsia="Calibri"/>
                <w:sz w:val="20"/>
                <w:lang w:val="fr-CA"/>
              </w:rPr>
              <w:t>Le 6 mars 2012</w:t>
            </w:r>
          </w:p>
          <w:p w:rsidR="001050F7" w:rsidRPr="003E4A8C" w:rsidRDefault="001050F7" w:rsidP="009A57C7">
            <w:pPr>
              <w:jc w:val="both"/>
              <w:rPr>
                <w:rFonts w:eastAsia="Calibri"/>
                <w:sz w:val="20"/>
                <w:lang w:val="fr-CA"/>
              </w:rPr>
            </w:pPr>
            <w:r w:rsidRPr="003E4A8C">
              <w:rPr>
                <w:rFonts w:eastAsia="Calibri"/>
                <w:sz w:val="20"/>
                <w:lang w:val="fr-CA"/>
              </w:rPr>
              <w:t>Cour suprême du Canada</w:t>
            </w:r>
          </w:p>
        </w:tc>
        <w:tc>
          <w:tcPr>
            <w:tcW w:w="243" w:type="pct"/>
          </w:tcPr>
          <w:p w:rsidR="001050F7" w:rsidRPr="003E4A8C" w:rsidRDefault="001050F7" w:rsidP="009A57C7">
            <w:pPr>
              <w:jc w:val="both"/>
              <w:rPr>
                <w:rFonts w:eastAsia="Calibri"/>
                <w:sz w:val="20"/>
                <w:lang w:val="fr-CA"/>
              </w:rPr>
            </w:pPr>
          </w:p>
        </w:tc>
        <w:tc>
          <w:tcPr>
            <w:tcW w:w="2330" w:type="pct"/>
          </w:tcPr>
          <w:p w:rsidR="001050F7" w:rsidRPr="003E4A8C" w:rsidRDefault="001050F7" w:rsidP="009A57C7">
            <w:pPr>
              <w:jc w:val="both"/>
              <w:rPr>
                <w:rFonts w:eastAsia="Calibri"/>
                <w:sz w:val="20"/>
                <w:lang w:val="fr-CA"/>
              </w:rPr>
            </w:pPr>
            <w:r w:rsidRPr="003E4A8C">
              <w:rPr>
                <w:rFonts w:eastAsia="Calibri"/>
                <w:sz w:val="20"/>
                <w:lang w:val="fr-CA"/>
              </w:rPr>
              <w:t>Demande d'autorisation d'appel déposée</w:t>
            </w:r>
          </w:p>
          <w:p w:rsidR="001050F7" w:rsidRPr="003E4A8C" w:rsidRDefault="001050F7" w:rsidP="009A57C7">
            <w:pPr>
              <w:jc w:val="both"/>
              <w:rPr>
                <w:rFonts w:eastAsia="Calibri"/>
                <w:sz w:val="20"/>
                <w:lang w:val="fr-CA"/>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67"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E5169" w:rsidRPr="00BD2AF7" w:rsidTr="008B5DBF">
        <w:trPr>
          <w:cantSplit/>
        </w:trPr>
        <w:tc>
          <w:tcPr>
            <w:tcW w:w="1458" w:type="dxa"/>
          </w:tcPr>
          <w:p w:rsidR="005E5169" w:rsidRPr="00BD2AF7" w:rsidRDefault="005E5169" w:rsidP="008B5DBF">
            <w:pPr>
              <w:rPr>
                <w:rFonts w:cs="Times New Roman"/>
                <w:sz w:val="20"/>
                <w:szCs w:val="20"/>
              </w:rPr>
            </w:pPr>
            <w:r w:rsidRPr="00BD2AF7">
              <w:rPr>
                <w:rStyle w:val="SCCFileNumberChar"/>
                <w:sz w:val="20"/>
                <w:szCs w:val="20"/>
              </w:rPr>
              <w:t>34705</w:t>
            </w:r>
          </w:p>
          <w:p w:rsidR="005E5169" w:rsidRPr="00BD2AF7" w:rsidRDefault="005E5169" w:rsidP="008B5DBF">
            <w:pPr>
              <w:rPr>
                <w:rFonts w:cs="Times New Roman"/>
                <w:b/>
                <w:sz w:val="20"/>
                <w:szCs w:val="20"/>
                <w:lang w:val="fr-CA"/>
              </w:rPr>
            </w:pPr>
          </w:p>
        </w:tc>
        <w:tc>
          <w:tcPr>
            <w:tcW w:w="8118" w:type="dxa"/>
          </w:tcPr>
          <w:p w:rsidR="005E5169" w:rsidRPr="00BD2AF7" w:rsidRDefault="005E5169" w:rsidP="008B5DBF">
            <w:pPr>
              <w:rPr>
                <w:rFonts w:cs="Times New Roman"/>
                <w:sz w:val="20"/>
                <w:szCs w:val="20"/>
              </w:rPr>
            </w:pPr>
            <w:r w:rsidRPr="005E5169">
              <w:rPr>
                <w:rStyle w:val="SCCLsocChar"/>
                <w:rFonts w:cs="Times New Roman"/>
                <w:sz w:val="20"/>
                <w:szCs w:val="20"/>
                <w:lang w:val="en-CA"/>
              </w:rPr>
              <w:t>Abraham Fundi v. Her Majesty the Queen</w:t>
            </w:r>
            <w:r w:rsidRPr="00BD2AF7">
              <w:rPr>
                <w:rFonts w:cs="Times New Roman"/>
                <w:sz w:val="20"/>
                <w:szCs w:val="20"/>
              </w:rPr>
              <w:t xml:space="preserve"> (Ont.) (Criminal) (By Leave)</w:t>
            </w:r>
          </w:p>
          <w:p w:rsidR="005E5169" w:rsidRPr="00BD2AF7" w:rsidRDefault="005E5169" w:rsidP="008B5DBF">
            <w:pPr>
              <w:rPr>
                <w:rFonts w:cs="Times New Roman"/>
                <w:sz w:val="20"/>
                <w:szCs w:val="20"/>
              </w:rPr>
            </w:pPr>
          </w:p>
        </w:tc>
      </w:tr>
      <w:tr w:rsidR="005E5169" w:rsidRPr="00BD2AF7" w:rsidTr="008B5DBF">
        <w:trPr>
          <w:cantSplit/>
        </w:trPr>
        <w:tc>
          <w:tcPr>
            <w:tcW w:w="1458" w:type="dxa"/>
          </w:tcPr>
          <w:p w:rsidR="005E5169" w:rsidRPr="00BD2AF7" w:rsidRDefault="005E5169" w:rsidP="008B5DBF">
            <w:pPr>
              <w:rPr>
                <w:rFonts w:cs="Times New Roman"/>
                <w:sz w:val="20"/>
                <w:szCs w:val="20"/>
              </w:rPr>
            </w:pPr>
            <w:r w:rsidRPr="00BD2AF7">
              <w:rPr>
                <w:rFonts w:cs="Times New Roman"/>
                <w:sz w:val="20"/>
                <w:szCs w:val="20"/>
              </w:rPr>
              <w:t>Coram :</w:t>
            </w:r>
          </w:p>
        </w:tc>
        <w:tc>
          <w:tcPr>
            <w:tcW w:w="8118" w:type="dxa"/>
          </w:tcPr>
          <w:p w:rsidR="005E5169" w:rsidRPr="00BD2AF7" w:rsidRDefault="005E5169" w:rsidP="008B5DBF">
            <w:pPr>
              <w:rPr>
                <w:rFonts w:cs="Times New Roman"/>
                <w:sz w:val="20"/>
                <w:szCs w:val="20"/>
              </w:rPr>
            </w:pPr>
            <w:r w:rsidRPr="005E5169">
              <w:rPr>
                <w:rStyle w:val="SCCCoramChar"/>
                <w:rFonts w:cs="Times New Roman"/>
                <w:sz w:val="20"/>
                <w:szCs w:val="20"/>
                <w:lang w:val="en-CA"/>
              </w:rPr>
              <w:t>Deschamps, Fish and Karakatsanis JJ.</w:t>
            </w:r>
          </w:p>
          <w:p w:rsidR="005E5169" w:rsidRPr="00BD2AF7" w:rsidRDefault="005E5169" w:rsidP="008B5DBF">
            <w:pPr>
              <w:rPr>
                <w:rFonts w:cs="Times New Roman"/>
                <w:sz w:val="20"/>
                <w:szCs w:val="20"/>
                <w:u w:val="single"/>
              </w:rPr>
            </w:pPr>
          </w:p>
        </w:tc>
      </w:tr>
      <w:tr w:rsidR="005E5169" w:rsidRPr="00147672" w:rsidTr="008B5DBF">
        <w:trPr>
          <w:cantSplit/>
        </w:trPr>
        <w:tc>
          <w:tcPr>
            <w:tcW w:w="9576" w:type="dxa"/>
            <w:gridSpan w:val="2"/>
          </w:tcPr>
          <w:p w:rsidR="005E5169" w:rsidRPr="00BD2AF7" w:rsidRDefault="005E5169" w:rsidP="008B5DBF">
            <w:pPr>
              <w:pStyle w:val="SCCShortJudgment"/>
              <w:rPr>
                <w:rFonts w:cs="Times New Roman"/>
                <w:szCs w:val="20"/>
              </w:rPr>
            </w:pPr>
            <w:r w:rsidRPr="00BD2AF7">
              <w:rPr>
                <w:rFonts w:cs="Times New Roman"/>
                <w:szCs w:val="20"/>
              </w:rPr>
              <w:t>The motion for an extension of time to serve and file the application for leave to appeal is granted. The application for leave to appeal from the judgment of the Court of Appeal for Ontario, Number C51151, 2011 ONCA 693, dated November 9, 2011, is dismissed without costs.</w:t>
            </w:r>
          </w:p>
          <w:p w:rsidR="005E5169" w:rsidRPr="00BD2AF7" w:rsidRDefault="005E5169" w:rsidP="008B5DBF">
            <w:pPr>
              <w:pStyle w:val="SCCShortJudgment"/>
              <w:ind w:firstLine="0"/>
              <w:rPr>
                <w:rFonts w:cs="Times New Roman"/>
                <w:szCs w:val="20"/>
              </w:rPr>
            </w:pPr>
          </w:p>
          <w:p w:rsidR="005E5169" w:rsidRPr="00BD2AF7" w:rsidRDefault="005E5169" w:rsidP="005E5169">
            <w:pPr>
              <w:pStyle w:val="SCCShortJudgment"/>
              <w:rPr>
                <w:rFonts w:cs="Times New Roman"/>
                <w:szCs w:val="20"/>
                <w:lang w:val="fr-CA"/>
              </w:rPr>
            </w:pPr>
            <w:r w:rsidRPr="00BD2AF7">
              <w:rPr>
                <w:rFonts w:cs="Times New Roman"/>
                <w:szCs w:val="20"/>
                <w:lang w:val="fr-CA"/>
              </w:rPr>
              <w:t>La requête en prorogation du délai de signification et de dépôt de la demande d’autorisation d’appel est accueillie. La demande d’autorisation d’appel de l’arrêt de la Cour d’appel de l’Ontario, numéro C51151, 2011 ONCA 693, daté du 9 novembre 2011, est rejetée sans dépens.</w:t>
            </w:r>
          </w:p>
        </w:tc>
      </w:tr>
    </w:tbl>
    <w:p w:rsidR="00F96FE7" w:rsidRPr="005E5169"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352C" w:rsidRPr="003E4A8C" w:rsidTr="009A57C7">
        <w:tc>
          <w:tcPr>
            <w:tcW w:w="5000" w:type="pct"/>
            <w:gridSpan w:val="3"/>
          </w:tcPr>
          <w:p w:rsidR="00C9352C" w:rsidRPr="003E4A8C" w:rsidRDefault="00C9352C" w:rsidP="009A57C7">
            <w:pPr>
              <w:jc w:val="both"/>
              <w:rPr>
                <w:rFonts w:eastAsia="Calibri"/>
                <w:smallCaps/>
                <w:sz w:val="20"/>
              </w:rPr>
            </w:pPr>
            <w:r w:rsidRPr="003E4A8C">
              <w:rPr>
                <w:rFonts w:eastAsia="Calibri"/>
                <w:smallCaps/>
                <w:sz w:val="20"/>
              </w:rPr>
              <w:t>(Publication Ban in Case)</w:t>
            </w:r>
          </w:p>
          <w:p w:rsidR="00C9352C" w:rsidRPr="00040C89" w:rsidRDefault="00C9352C" w:rsidP="009A57C7">
            <w:pPr>
              <w:jc w:val="both"/>
              <w:rPr>
                <w:rFonts w:eastAsia="Calibri"/>
                <w:sz w:val="20"/>
              </w:rPr>
            </w:pPr>
          </w:p>
          <w:p w:rsidR="00C9352C" w:rsidRPr="003E4A8C" w:rsidRDefault="00C9352C" w:rsidP="009A57C7">
            <w:pPr>
              <w:jc w:val="both"/>
              <w:rPr>
                <w:rFonts w:eastAsia="Calibri"/>
                <w:sz w:val="20"/>
              </w:rPr>
            </w:pPr>
            <w:r w:rsidRPr="003E4A8C">
              <w:rPr>
                <w:rFonts w:eastAsia="Calibri"/>
                <w:i/>
                <w:sz w:val="20"/>
              </w:rPr>
              <w:t>Charter of Rights</w:t>
            </w:r>
            <w:r w:rsidRPr="003E4A8C">
              <w:rPr>
                <w:rFonts w:eastAsia="Calibri"/>
                <w:sz w:val="20"/>
              </w:rPr>
              <w:t xml:space="preserve"> – Constitutional law – Search and seizure – Exclusion of evidence – Four co-accused charged with conspiracy to commit robbery and possession of property obtained by crime – Whether the Court of Appeal erred in its </w:t>
            </w:r>
            <w:r w:rsidRPr="003E4A8C">
              <w:rPr>
                <w:rFonts w:eastAsia="Calibri"/>
                <w:sz w:val="20"/>
              </w:rPr>
              <w:lastRenderedPageBreak/>
              <w:t>analysis of whether certain types of evidence were properly found to be admissible at trial</w:t>
            </w:r>
          </w:p>
          <w:p w:rsidR="00C9352C" w:rsidRPr="003E4A8C" w:rsidRDefault="00C9352C" w:rsidP="009A57C7">
            <w:pPr>
              <w:jc w:val="both"/>
              <w:rPr>
                <w:rFonts w:eastAsia="Calibri"/>
                <w:sz w:val="20"/>
              </w:rPr>
            </w:pPr>
          </w:p>
        </w:tc>
      </w:tr>
      <w:tr w:rsidR="00C9352C" w:rsidRPr="003E4A8C" w:rsidTr="009A57C7">
        <w:tc>
          <w:tcPr>
            <w:tcW w:w="5000" w:type="pct"/>
            <w:gridSpan w:val="3"/>
          </w:tcPr>
          <w:p w:rsidR="00C9352C" w:rsidRPr="003E4A8C" w:rsidRDefault="00C9352C" w:rsidP="009A57C7">
            <w:pPr>
              <w:jc w:val="both"/>
              <w:rPr>
                <w:rFonts w:eastAsia="Calibri"/>
                <w:sz w:val="20"/>
              </w:rPr>
            </w:pPr>
            <w:r w:rsidRPr="003E4A8C">
              <w:rPr>
                <w:rFonts w:eastAsia="Calibri"/>
                <w:sz w:val="20"/>
              </w:rPr>
              <w:lastRenderedPageBreak/>
              <w:t xml:space="preserve">Following a jewellery store robbery, four men were charged with conspiracy to commit robbery and possession of property obtained by crime.  The co-accused sought to have certain types of evidence declared inadmissible at trial, alleging that the seizure of such evidence constituted a violation of their rights to be free from unreasonable search and seizure under s. 8 of the </w:t>
            </w:r>
            <w:r w:rsidRPr="003E4A8C">
              <w:rPr>
                <w:rFonts w:eastAsia="Calibri"/>
                <w:i/>
                <w:sz w:val="20"/>
              </w:rPr>
              <w:t>Charter</w:t>
            </w:r>
            <w:r w:rsidRPr="003E4A8C">
              <w:rPr>
                <w:rFonts w:eastAsia="Calibri"/>
                <w:sz w:val="20"/>
              </w:rPr>
              <w:t xml:space="preserve">.  In a </w:t>
            </w:r>
            <w:r w:rsidRPr="003E4A8C">
              <w:rPr>
                <w:rFonts w:eastAsia="Calibri"/>
                <w:i/>
                <w:sz w:val="20"/>
              </w:rPr>
              <w:t>voir dire</w:t>
            </w:r>
            <w:r w:rsidRPr="003E4A8C">
              <w:rPr>
                <w:rFonts w:eastAsia="Calibri"/>
                <w:sz w:val="20"/>
              </w:rPr>
              <w:t xml:space="preserve"> ruling, a judge of the Ontario Superior Court of Justice ruled that some of the evidence should be excluded from trial, while other types of evidence should be admissible.  A jury convicted three of the co-accused; a fourth pled guilty.  The Court of Appeal dismissed an appeal by three of the co-accused, affirming the trial judge’s ruling.</w:t>
            </w:r>
          </w:p>
          <w:p w:rsidR="00C9352C" w:rsidRPr="003E4A8C" w:rsidRDefault="00C9352C" w:rsidP="009A57C7">
            <w:pPr>
              <w:jc w:val="both"/>
              <w:rPr>
                <w:rFonts w:eastAsia="Calibri"/>
                <w:sz w:val="20"/>
              </w:rPr>
            </w:pPr>
          </w:p>
        </w:tc>
      </w:tr>
      <w:tr w:rsidR="00C9352C" w:rsidRPr="003E4A8C" w:rsidTr="009A57C7">
        <w:tc>
          <w:tcPr>
            <w:tcW w:w="2427" w:type="pct"/>
          </w:tcPr>
          <w:p w:rsidR="00C9352C" w:rsidRPr="003E4A8C" w:rsidRDefault="00C9352C" w:rsidP="009A57C7">
            <w:pPr>
              <w:jc w:val="both"/>
              <w:rPr>
                <w:rFonts w:eastAsia="Calibri"/>
                <w:sz w:val="20"/>
              </w:rPr>
            </w:pPr>
            <w:r w:rsidRPr="003E4A8C">
              <w:rPr>
                <w:rFonts w:eastAsia="Calibri"/>
                <w:sz w:val="20"/>
              </w:rPr>
              <w:t>October 9, 2008</w:t>
            </w:r>
          </w:p>
          <w:p w:rsidR="00C9352C" w:rsidRPr="003E4A8C" w:rsidRDefault="00C9352C" w:rsidP="009A57C7">
            <w:pPr>
              <w:jc w:val="both"/>
              <w:rPr>
                <w:rFonts w:eastAsia="Calibri"/>
                <w:sz w:val="20"/>
              </w:rPr>
            </w:pPr>
            <w:r w:rsidRPr="003E4A8C">
              <w:rPr>
                <w:rFonts w:eastAsia="Calibri"/>
                <w:sz w:val="20"/>
              </w:rPr>
              <w:t>Ontario Superior Court of Justice</w:t>
            </w:r>
          </w:p>
          <w:p w:rsidR="00C9352C" w:rsidRPr="003E4A8C" w:rsidRDefault="00C9352C" w:rsidP="009A57C7">
            <w:pPr>
              <w:jc w:val="both"/>
              <w:rPr>
                <w:rFonts w:eastAsia="Calibri"/>
                <w:sz w:val="20"/>
              </w:rPr>
            </w:pPr>
            <w:r w:rsidRPr="003E4A8C">
              <w:rPr>
                <w:rFonts w:eastAsia="Calibri"/>
                <w:sz w:val="20"/>
              </w:rPr>
              <w:t>(Quigley J.)</w:t>
            </w:r>
          </w:p>
          <w:p w:rsidR="00C9352C" w:rsidRPr="003E4A8C" w:rsidRDefault="00C9352C" w:rsidP="009A57C7">
            <w:pPr>
              <w:jc w:val="both"/>
              <w:rPr>
                <w:rFonts w:eastAsia="Calibri"/>
                <w:sz w:val="20"/>
              </w:rPr>
            </w:pPr>
            <w:r w:rsidRPr="003E4A8C">
              <w:rPr>
                <w:rFonts w:eastAsia="Calibri"/>
                <w:sz w:val="20"/>
              </w:rPr>
              <w:t>[2008] O.J. No. 3922</w:t>
            </w:r>
          </w:p>
          <w:p w:rsidR="00C9352C" w:rsidRPr="003E4A8C" w:rsidRDefault="00C9352C" w:rsidP="009A57C7">
            <w:pPr>
              <w:jc w:val="both"/>
              <w:rPr>
                <w:rFonts w:eastAsia="Calibri"/>
                <w:sz w:val="20"/>
              </w:rPr>
            </w:pPr>
          </w:p>
        </w:tc>
        <w:tc>
          <w:tcPr>
            <w:tcW w:w="243" w:type="pc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rPr>
            </w:pPr>
            <w:r w:rsidRPr="003E4A8C">
              <w:rPr>
                <w:rFonts w:eastAsia="Calibri"/>
                <w:i/>
                <w:sz w:val="20"/>
              </w:rPr>
              <w:t>Voir dire</w:t>
            </w:r>
            <w:r w:rsidRPr="003E4A8C">
              <w:rPr>
                <w:rFonts w:eastAsia="Calibri"/>
                <w:sz w:val="20"/>
              </w:rPr>
              <w:t xml:space="preserve"> ruling:</w:t>
            </w:r>
            <w:r w:rsidRPr="003E4A8C">
              <w:rPr>
                <w:rFonts w:eastAsia="Calibri"/>
                <w:i/>
                <w:sz w:val="20"/>
              </w:rPr>
              <w:t xml:space="preserve">  </w:t>
            </w:r>
            <w:r w:rsidRPr="003E4A8C">
              <w:rPr>
                <w:rFonts w:eastAsia="Calibri"/>
                <w:sz w:val="20"/>
              </w:rPr>
              <w:t xml:space="preserve">application by co-accused for exclusion of evidence pursuant to s. 24(2) of the </w:t>
            </w:r>
            <w:r w:rsidRPr="003E4A8C">
              <w:rPr>
                <w:rFonts w:eastAsia="Calibri"/>
                <w:i/>
                <w:sz w:val="20"/>
              </w:rPr>
              <w:t>Charter</w:t>
            </w:r>
            <w:r w:rsidRPr="003E4A8C">
              <w:rPr>
                <w:rFonts w:eastAsia="Calibri"/>
                <w:sz w:val="20"/>
              </w:rPr>
              <w:t>, allowed in part; some evidence ruled admissible at trial</w:t>
            </w:r>
          </w:p>
          <w:p w:rsidR="00C9352C" w:rsidRPr="003E4A8C" w:rsidRDefault="00C9352C" w:rsidP="009A57C7">
            <w:pPr>
              <w:jc w:val="both"/>
              <w:rPr>
                <w:rFonts w:eastAsia="Calibri"/>
                <w:sz w:val="20"/>
              </w:rPr>
            </w:pPr>
          </w:p>
        </w:tc>
      </w:tr>
      <w:tr w:rsidR="00C9352C" w:rsidRPr="003E4A8C" w:rsidTr="009A57C7">
        <w:trPr>
          <w:trHeight w:val="765"/>
        </w:trPr>
        <w:tc>
          <w:tcPr>
            <w:tcW w:w="2427" w:type="pct"/>
          </w:tcPr>
          <w:p w:rsidR="00C9352C" w:rsidRPr="003E4A8C" w:rsidRDefault="00C9352C" w:rsidP="009A57C7">
            <w:pPr>
              <w:jc w:val="both"/>
              <w:rPr>
                <w:rFonts w:eastAsia="Calibri"/>
                <w:sz w:val="20"/>
              </w:rPr>
            </w:pPr>
            <w:r w:rsidRPr="003E4A8C">
              <w:rPr>
                <w:rFonts w:eastAsia="Calibri"/>
                <w:sz w:val="20"/>
              </w:rPr>
              <w:t>July 27, 2009</w:t>
            </w:r>
          </w:p>
          <w:p w:rsidR="00C9352C" w:rsidRPr="003E4A8C" w:rsidRDefault="00C9352C" w:rsidP="009A57C7">
            <w:pPr>
              <w:jc w:val="both"/>
              <w:rPr>
                <w:rFonts w:eastAsia="Calibri"/>
                <w:sz w:val="20"/>
              </w:rPr>
            </w:pPr>
            <w:r w:rsidRPr="003E4A8C">
              <w:rPr>
                <w:rFonts w:eastAsia="Calibri"/>
                <w:sz w:val="20"/>
              </w:rPr>
              <w:t>Ontario Superior Court of Justice</w:t>
            </w:r>
          </w:p>
          <w:p w:rsidR="00C9352C" w:rsidRPr="003E4A8C" w:rsidRDefault="00C9352C" w:rsidP="009A57C7">
            <w:pPr>
              <w:jc w:val="both"/>
              <w:rPr>
                <w:rFonts w:eastAsia="Calibri"/>
                <w:sz w:val="20"/>
              </w:rPr>
            </w:pPr>
            <w:r w:rsidRPr="003E4A8C">
              <w:rPr>
                <w:rFonts w:eastAsia="Calibri"/>
                <w:sz w:val="20"/>
              </w:rPr>
              <w:t>(Quigley J.)</w:t>
            </w:r>
          </w:p>
          <w:p w:rsidR="00C9352C" w:rsidRPr="003E4A8C" w:rsidRDefault="00C9352C" w:rsidP="009A57C7">
            <w:pPr>
              <w:jc w:val="both"/>
              <w:rPr>
                <w:rFonts w:eastAsia="Calibri"/>
                <w:sz w:val="20"/>
              </w:rPr>
            </w:pPr>
            <w:r w:rsidRPr="003E4A8C">
              <w:rPr>
                <w:rFonts w:eastAsia="Calibri"/>
                <w:sz w:val="20"/>
              </w:rPr>
              <w:t>[2009] O.J. No. 3192</w:t>
            </w:r>
          </w:p>
          <w:p w:rsidR="00C9352C" w:rsidRPr="003E4A8C" w:rsidRDefault="00C9352C" w:rsidP="009A57C7">
            <w:pPr>
              <w:jc w:val="both"/>
              <w:rPr>
                <w:rFonts w:eastAsia="Calibri"/>
                <w:sz w:val="20"/>
              </w:rPr>
            </w:pPr>
          </w:p>
        </w:tc>
        <w:tc>
          <w:tcPr>
            <w:tcW w:w="243" w:type="pct"/>
            <w:vMerge w:val="restar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rPr>
            </w:pPr>
            <w:r w:rsidRPr="003E4A8C">
              <w:rPr>
                <w:rFonts w:eastAsia="Calibri"/>
                <w:sz w:val="20"/>
              </w:rPr>
              <w:t xml:space="preserve">Supplemental ruling:  application by co-accused for reconsideration of </w:t>
            </w:r>
            <w:r w:rsidRPr="003E4A8C">
              <w:rPr>
                <w:rFonts w:eastAsia="Calibri"/>
                <w:i/>
                <w:sz w:val="20"/>
              </w:rPr>
              <w:t>voir dire</w:t>
            </w:r>
            <w:r w:rsidRPr="003E4A8C">
              <w:rPr>
                <w:rFonts w:eastAsia="Calibri"/>
                <w:sz w:val="20"/>
              </w:rPr>
              <w:t xml:space="preserve"> ruling, dismissed</w:t>
            </w:r>
          </w:p>
          <w:p w:rsidR="00C9352C" w:rsidRPr="003E4A8C" w:rsidRDefault="00C9352C" w:rsidP="009A57C7">
            <w:pPr>
              <w:jc w:val="both"/>
              <w:rPr>
                <w:rFonts w:eastAsia="Calibri"/>
                <w:sz w:val="20"/>
              </w:rPr>
            </w:pPr>
          </w:p>
        </w:tc>
      </w:tr>
      <w:tr w:rsidR="00C9352C" w:rsidRPr="003E4A8C" w:rsidTr="009A57C7">
        <w:trPr>
          <w:trHeight w:val="765"/>
        </w:trPr>
        <w:tc>
          <w:tcPr>
            <w:tcW w:w="2427" w:type="pct"/>
          </w:tcPr>
          <w:p w:rsidR="00C9352C" w:rsidRPr="003E4A8C" w:rsidRDefault="00C9352C" w:rsidP="009A57C7">
            <w:pPr>
              <w:jc w:val="both"/>
              <w:rPr>
                <w:rFonts w:eastAsia="Calibri"/>
                <w:sz w:val="20"/>
              </w:rPr>
            </w:pPr>
            <w:r w:rsidRPr="003E4A8C">
              <w:rPr>
                <w:rFonts w:eastAsia="Calibri"/>
                <w:sz w:val="20"/>
              </w:rPr>
              <w:t>August 6, 209</w:t>
            </w:r>
          </w:p>
          <w:p w:rsidR="00C9352C" w:rsidRPr="003E4A8C" w:rsidRDefault="00C9352C" w:rsidP="009A57C7">
            <w:pPr>
              <w:jc w:val="both"/>
              <w:rPr>
                <w:rFonts w:eastAsia="Calibri"/>
                <w:sz w:val="20"/>
              </w:rPr>
            </w:pPr>
            <w:r w:rsidRPr="003E4A8C">
              <w:rPr>
                <w:rFonts w:eastAsia="Calibri"/>
                <w:sz w:val="20"/>
              </w:rPr>
              <w:t>Ontario Superior Court of Justice</w:t>
            </w:r>
          </w:p>
          <w:p w:rsidR="00C9352C" w:rsidRPr="003E4A8C" w:rsidRDefault="00C9352C" w:rsidP="009A57C7">
            <w:pPr>
              <w:jc w:val="both"/>
              <w:rPr>
                <w:rFonts w:eastAsia="Calibri"/>
                <w:sz w:val="20"/>
              </w:rPr>
            </w:pPr>
            <w:r w:rsidRPr="003E4A8C">
              <w:rPr>
                <w:rFonts w:eastAsia="Calibri"/>
                <w:sz w:val="20"/>
              </w:rPr>
              <w:t>(Quigley J., sitting with a jury)</w:t>
            </w:r>
          </w:p>
          <w:p w:rsidR="00C9352C" w:rsidRPr="003E4A8C" w:rsidRDefault="00C9352C" w:rsidP="009A57C7">
            <w:pPr>
              <w:jc w:val="both"/>
              <w:rPr>
                <w:rFonts w:eastAsia="Calibri"/>
                <w:sz w:val="20"/>
              </w:rPr>
            </w:pPr>
            <w:r w:rsidRPr="003E4A8C">
              <w:rPr>
                <w:rFonts w:eastAsia="Calibri"/>
                <w:sz w:val="20"/>
              </w:rPr>
              <w:t>(unreported; no neutral citation)</w:t>
            </w:r>
          </w:p>
          <w:p w:rsidR="00C9352C" w:rsidRPr="003E4A8C" w:rsidRDefault="00C9352C" w:rsidP="009A57C7">
            <w:pPr>
              <w:jc w:val="both"/>
              <w:rPr>
                <w:rFonts w:eastAsia="Calibri"/>
                <w:sz w:val="20"/>
              </w:rPr>
            </w:pPr>
          </w:p>
        </w:tc>
        <w:tc>
          <w:tcPr>
            <w:tcW w:w="243" w:type="pct"/>
            <w:vMerge/>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rPr>
            </w:pPr>
            <w:r w:rsidRPr="003E4A8C">
              <w:rPr>
                <w:rFonts w:eastAsia="Calibri"/>
                <w:sz w:val="20"/>
              </w:rPr>
              <w:t>Trial:  convictions entered for Arif Mahmood, Abraham Fundi, and Rehan Sheikh, for conspiracy to commit robbery and possession of property obtained by crime</w:t>
            </w:r>
          </w:p>
        </w:tc>
      </w:tr>
      <w:tr w:rsidR="00C9352C" w:rsidRPr="003E4A8C" w:rsidTr="009A57C7">
        <w:tc>
          <w:tcPr>
            <w:tcW w:w="2427" w:type="pct"/>
          </w:tcPr>
          <w:p w:rsidR="00C9352C" w:rsidRPr="003E4A8C" w:rsidRDefault="00C9352C" w:rsidP="009A57C7">
            <w:pPr>
              <w:jc w:val="both"/>
              <w:rPr>
                <w:rFonts w:eastAsia="Calibri"/>
                <w:sz w:val="20"/>
              </w:rPr>
            </w:pPr>
            <w:r w:rsidRPr="003E4A8C">
              <w:rPr>
                <w:rFonts w:eastAsia="Calibri"/>
                <w:sz w:val="20"/>
              </w:rPr>
              <w:t>November 9, 2011</w:t>
            </w:r>
          </w:p>
          <w:p w:rsidR="00C9352C" w:rsidRPr="003E4A8C" w:rsidRDefault="00C9352C" w:rsidP="009A57C7">
            <w:pPr>
              <w:jc w:val="both"/>
              <w:rPr>
                <w:rFonts w:eastAsia="Calibri"/>
                <w:sz w:val="20"/>
              </w:rPr>
            </w:pPr>
            <w:r w:rsidRPr="003E4A8C">
              <w:rPr>
                <w:rFonts w:eastAsia="Calibri"/>
                <w:sz w:val="20"/>
              </w:rPr>
              <w:t>Court of Appeal for Ontario</w:t>
            </w:r>
          </w:p>
          <w:p w:rsidR="00C9352C" w:rsidRPr="003E4A8C" w:rsidRDefault="00C9352C" w:rsidP="009A57C7">
            <w:pPr>
              <w:jc w:val="both"/>
              <w:rPr>
                <w:rFonts w:eastAsia="Calibri"/>
                <w:sz w:val="20"/>
              </w:rPr>
            </w:pPr>
            <w:r w:rsidRPr="003E4A8C">
              <w:rPr>
                <w:rFonts w:eastAsia="Calibri"/>
                <w:sz w:val="20"/>
              </w:rPr>
              <w:t>(Blair, Watt, and Epstein JJ.A.)</w:t>
            </w:r>
          </w:p>
          <w:p w:rsidR="00C9352C" w:rsidRPr="003E4A8C" w:rsidRDefault="00C9352C" w:rsidP="009A57C7">
            <w:pPr>
              <w:jc w:val="both"/>
              <w:rPr>
                <w:rFonts w:eastAsia="Calibri"/>
                <w:sz w:val="20"/>
              </w:rPr>
            </w:pPr>
            <w:r w:rsidRPr="003E4A8C">
              <w:rPr>
                <w:rFonts w:eastAsia="Calibri"/>
                <w:sz w:val="20"/>
              </w:rPr>
              <w:t>[2011] O.J. No. 4943</w:t>
            </w:r>
          </w:p>
          <w:p w:rsidR="00C9352C" w:rsidRPr="003E4A8C" w:rsidRDefault="00C9352C" w:rsidP="009A57C7">
            <w:pPr>
              <w:jc w:val="both"/>
              <w:rPr>
                <w:rFonts w:eastAsia="Calibri"/>
                <w:sz w:val="20"/>
              </w:rPr>
            </w:pPr>
            <w:r w:rsidRPr="003E4A8C">
              <w:rPr>
                <w:rFonts w:eastAsia="Calibri"/>
                <w:sz w:val="20"/>
              </w:rPr>
              <w:t>Dockets:  C51398, C51151, C51168</w:t>
            </w:r>
          </w:p>
          <w:p w:rsidR="00C9352C" w:rsidRPr="003E4A8C" w:rsidRDefault="00C9352C" w:rsidP="009A57C7">
            <w:pPr>
              <w:jc w:val="both"/>
              <w:rPr>
                <w:rFonts w:eastAsia="Calibri"/>
                <w:sz w:val="20"/>
              </w:rPr>
            </w:pPr>
          </w:p>
        </w:tc>
        <w:tc>
          <w:tcPr>
            <w:tcW w:w="243" w:type="pc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rPr>
            </w:pPr>
            <w:r w:rsidRPr="003E4A8C">
              <w:rPr>
                <w:rFonts w:eastAsia="Calibri"/>
                <w:sz w:val="20"/>
              </w:rPr>
              <w:t>Appeal:  appeals by Mr. Mahmood, Mr. Fundi and Mr. Sheikh, dismissed</w:t>
            </w:r>
          </w:p>
          <w:p w:rsidR="00C9352C" w:rsidRPr="003E4A8C" w:rsidRDefault="00C9352C" w:rsidP="009A57C7">
            <w:pPr>
              <w:jc w:val="both"/>
              <w:rPr>
                <w:rFonts w:eastAsia="Calibri"/>
                <w:sz w:val="20"/>
              </w:rPr>
            </w:pPr>
          </w:p>
        </w:tc>
      </w:tr>
      <w:tr w:rsidR="00C9352C" w:rsidRPr="003E4A8C" w:rsidTr="009A57C7">
        <w:tc>
          <w:tcPr>
            <w:tcW w:w="2427" w:type="pct"/>
          </w:tcPr>
          <w:p w:rsidR="00C9352C" w:rsidRPr="003E4A8C" w:rsidRDefault="00C9352C" w:rsidP="009A57C7">
            <w:pPr>
              <w:jc w:val="both"/>
              <w:rPr>
                <w:rFonts w:eastAsia="Calibri"/>
                <w:sz w:val="20"/>
              </w:rPr>
            </w:pPr>
            <w:r w:rsidRPr="003E4A8C">
              <w:rPr>
                <w:rFonts w:eastAsia="Calibri"/>
                <w:sz w:val="20"/>
              </w:rPr>
              <w:t>March 7, 2012</w:t>
            </w:r>
          </w:p>
          <w:p w:rsidR="00C9352C" w:rsidRPr="003E4A8C" w:rsidRDefault="00C9352C" w:rsidP="009A57C7">
            <w:pPr>
              <w:jc w:val="both"/>
              <w:rPr>
                <w:rFonts w:eastAsia="Calibri"/>
                <w:sz w:val="20"/>
              </w:rPr>
            </w:pPr>
            <w:r w:rsidRPr="003E4A8C">
              <w:rPr>
                <w:rFonts w:eastAsia="Calibri"/>
                <w:sz w:val="20"/>
              </w:rPr>
              <w:t>Supreme Court of Canada</w:t>
            </w:r>
          </w:p>
        </w:tc>
        <w:tc>
          <w:tcPr>
            <w:tcW w:w="243" w:type="pc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rPr>
            </w:pPr>
            <w:r w:rsidRPr="003E4A8C">
              <w:rPr>
                <w:rFonts w:eastAsia="Calibri"/>
                <w:sz w:val="20"/>
              </w:rPr>
              <w:t>Application for leave to appeal, and motion for extension of time in which to file an application, filed by the applicant Mr. Fundi</w:t>
            </w: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68"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352C" w:rsidRPr="00147672" w:rsidTr="009A57C7">
        <w:tc>
          <w:tcPr>
            <w:tcW w:w="5000" w:type="pct"/>
            <w:gridSpan w:val="3"/>
          </w:tcPr>
          <w:p w:rsidR="00C9352C" w:rsidRPr="003E4A8C" w:rsidRDefault="00C9352C" w:rsidP="009A57C7">
            <w:pPr>
              <w:jc w:val="both"/>
              <w:rPr>
                <w:rFonts w:eastAsia="Calibri"/>
                <w:smallCaps/>
                <w:sz w:val="20"/>
                <w:lang w:val="fr-FR"/>
              </w:rPr>
            </w:pPr>
            <w:r w:rsidRPr="003E4A8C">
              <w:rPr>
                <w:rFonts w:eastAsia="Calibri"/>
                <w:smallCaps/>
                <w:sz w:val="20"/>
                <w:lang w:val="fr-FR"/>
              </w:rPr>
              <w:t>(Ordonnance de non-publication dans le dossier)</w:t>
            </w:r>
          </w:p>
          <w:p w:rsidR="00C9352C" w:rsidRPr="00040C89" w:rsidRDefault="00C9352C" w:rsidP="009A57C7">
            <w:pPr>
              <w:jc w:val="both"/>
              <w:rPr>
                <w:rFonts w:eastAsia="Calibri"/>
                <w:sz w:val="20"/>
                <w:lang w:val="fr-FR"/>
              </w:rPr>
            </w:pPr>
          </w:p>
          <w:p w:rsidR="00C9352C" w:rsidRPr="003E4A8C" w:rsidRDefault="00C9352C" w:rsidP="009A57C7">
            <w:pPr>
              <w:jc w:val="both"/>
              <w:rPr>
                <w:rFonts w:eastAsia="Calibri"/>
                <w:sz w:val="20"/>
                <w:lang w:val="fr-FR"/>
              </w:rPr>
            </w:pPr>
            <w:r w:rsidRPr="003E4A8C">
              <w:rPr>
                <w:rFonts w:eastAsia="Calibri"/>
                <w:i/>
                <w:sz w:val="20"/>
                <w:lang w:val="fr-FR"/>
              </w:rPr>
              <w:t>Charte des droits</w:t>
            </w:r>
            <w:r w:rsidRPr="003E4A8C">
              <w:rPr>
                <w:rFonts w:eastAsia="Calibri"/>
                <w:sz w:val="20"/>
                <w:lang w:val="fr-FR"/>
              </w:rPr>
              <w:t xml:space="preserve"> – Droit constitutionnel – Fouilles, perquisitions et saisies – Exclusion de la preuve – Quatre coaccusés inculpés de complot en vue de commettre un vol qualifié et de possession de biens criminellement obtenus – La Cour d’appel a-t-elle commis une erreur dans son examen de la question de savoir si certains types de preuve avaient été jugés avec raison admissibles au procès? </w:t>
            </w:r>
          </w:p>
        </w:tc>
      </w:tr>
      <w:tr w:rsidR="00C9352C" w:rsidRPr="00147672" w:rsidTr="009A57C7">
        <w:tc>
          <w:tcPr>
            <w:tcW w:w="5000" w:type="pct"/>
            <w:gridSpan w:val="3"/>
          </w:tcPr>
          <w:p w:rsidR="00C9352C" w:rsidRPr="003E4A8C" w:rsidRDefault="00C9352C" w:rsidP="009A57C7">
            <w:pPr>
              <w:jc w:val="both"/>
              <w:rPr>
                <w:rFonts w:eastAsia="Calibri"/>
                <w:sz w:val="20"/>
                <w:lang w:val="fr-FR"/>
              </w:rPr>
            </w:pPr>
          </w:p>
          <w:p w:rsidR="00C9352C" w:rsidRPr="003E4A8C" w:rsidRDefault="00C9352C" w:rsidP="009A57C7">
            <w:pPr>
              <w:jc w:val="both"/>
              <w:rPr>
                <w:rFonts w:eastAsia="Calibri"/>
                <w:sz w:val="20"/>
                <w:lang w:val="fr-FR"/>
              </w:rPr>
            </w:pPr>
            <w:r w:rsidRPr="003E4A8C">
              <w:rPr>
                <w:rFonts w:eastAsia="Calibri"/>
                <w:sz w:val="20"/>
                <w:lang w:val="fr-FR"/>
              </w:rPr>
              <w:t xml:space="preserve">Quatre hommes ont été accusés de complot en vue de commettre un vol qualifié et de possession de biens criminellement obtenus à la suite du vol qualifié d’une bijouterie. Les coaccusés ont demandé que certains types de preuve soient déclarés inadmissibles au procès, prétendant que leur saisie constituait une violation du droit à la protection contre les fouilles, les perquisitions et les saisies abusives qui leur </w:t>
            </w:r>
            <w:proofErr w:type="gramStart"/>
            <w:r w:rsidRPr="003E4A8C">
              <w:rPr>
                <w:rFonts w:eastAsia="Calibri"/>
                <w:sz w:val="20"/>
                <w:lang w:val="fr-FR"/>
              </w:rPr>
              <w:t>est</w:t>
            </w:r>
            <w:proofErr w:type="gramEnd"/>
            <w:r w:rsidRPr="003E4A8C">
              <w:rPr>
                <w:rFonts w:eastAsia="Calibri"/>
                <w:sz w:val="20"/>
                <w:lang w:val="fr-FR"/>
              </w:rPr>
              <w:t xml:space="preserve"> garanti par l’art. 8 de la </w:t>
            </w:r>
            <w:r w:rsidRPr="003E4A8C">
              <w:rPr>
                <w:rFonts w:eastAsia="Calibri"/>
                <w:i/>
                <w:sz w:val="20"/>
                <w:lang w:val="fr-FR"/>
              </w:rPr>
              <w:t>Charte</w:t>
            </w:r>
            <w:r w:rsidRPr="003E4A8C">
              <w:rPr>
                <w:rFonts w:eastAsia="Calibri"/>
                <w:sz w:val="20"/>
                <w:lang w:val="fr-FR"/>
              </w:rPr>
              <w:t xml:space="preserve">. À </w:t>
            </w:r>
            <w:r w:rsidRPr="003E4A8C">
              <w:rPr>
                <w:rFonts w:eastAsia="Calibri"/>
                <w:sz w:val="20"/>
                <w:lang w:val="fr-FR"/>
              </w:rPr>
              <w:lastRenderedPageBreak/>
              <w:t>l’issue d’un voir-dire, un juge de la Cour supérieure de justice de l’Ontario a décidé qu’il y a lieu d’exclure du procès une partie de la preuve alors que d’autres types de preuve devraient être admis. Un jury a reconnu coupables trois des coaccusés; le quatrième a inscrit un plaidoyer de culpabilité.  La Cour d’appel a rejeté l’appel formé par trois des coaccusés et confirmé la décision du juge du procès.</w:t>
            </w:r>
          </w:p>
          <w:p w:rsidR="00C9352C" w:rsidRPr="003E4A8C" w:rsidRDefault="00C9352C" w:rsidP="009A57C7">
            <w:pPr>
              <w:jc w:val="both"/>
              <w:rPr>
                <w:rFonts w:eastAsia="Calibri"/>
                <w:sz w:val="20"/>
                <w:lang w:val="fr-FR"/>
              </w:rPr>
            </w:pPr>
          </w:p>
        </w:tc>
      </w:tr>
      <w:tr w:rsidR="00C9352C" w:rsidRPr="00D61692" w:rsidTr="009A57C7">
        <w:tc>
          <w:tcPr>
            <w:tcW w:w="2427" w:type="pct"/>
          </w:tcPr>
          <w:p w:rsidR="00C9352C" w:rsidRPr="003E4A8C" w:rsidRDefault="00C9352C" w:rsidP="009A57C7">
            <w:pPr>
              <w:jc w:val="both"/>
              <w:rPr>
                <w:rFonts w:eastAsia="Calibri"/>
                <w:sz w:val="20"/>
                <w:lang w:val="fr-FR"/>
              </w:rPr>
            </w:pPr>
            <w:r w:rsidRPr="003E4A8C">
              <w:rPr>
                <w:rFonts w:eastAsia="Calibri"/>
                <w:sz w:val="20"/>
                <w:lang w:val="fr-FR"/>
              </w:rPr>
              <w:lastRenderedPageBreak/>
              <w:t>9 octobre 2008</w:t>
            </w:r>
          </w:p>
          <w:p w:rsidR="00C9352C" w:rsidRPr="003E4A8C" w:rsidRDefault="00C9352C" w:rsidP="009A57C7">
            <w:pPr>
              <w:jc w:val="both"/>
              <w:rPr>
                <w:rFonts w:eastAsia="Calibri"/>
                <w:sz w:val="20"/>
                <w:lang w:val="fr-FR"/>
              </w:rPr>
            </w:pPr>
            <w:r w:rsidRPr="003E4A8C">
              <w:rPr>
                <w:rFonts w:eastAsia="Calibri"/>
                <w:sz w:val="20"/>
                <w:lang w:val="fr-FR"/>
              </w:rPr>
              <w:t xml:space="preserve">Cour supérieure de justice de l’Ontario </w:t>
            </w:r>
          </w:p>
          <w:p w:rsidR="00C9352C" w:rsidRPr="003E4A8C" w:rsidRDefault="00C9352C" w:rsidP="009A57C7">
            <w:pPr>
              <w:jc w:val="both"/>
              <w:rPr>
                <w:rFonts w:eastAsia="Calibri"/>
                <w:sz w:val="20"/>
              </w:rPr>
            </w:pPr>
            <w:r w:rsidRPr="003E4A8C">
              <w:rPr>
                <w:rFonts w:eastAsia="Calibri"/>
                <w:sz w:val="20"/>
              </w:rPr>
              <w:t>(Juge Quigley)</w:t>
            </w:r>
          </w:p>
          <w:p w:rsidR="00C9352C" w:rsidRPr="003E4A8C" w:rsidRDefault="00C9352C" w:rsidP="009A57C7">
            <w:pPr>
              <w:jc w:val="both"/>
              <w:rPr>
                <w:rFonts w:eastAsia="Calibri"/>
                <w:sz w:val="20"/>
              </w:rPr>
            </w:pPr>
            <w:r w:rsidRPr="003E4A8C">
              <w:rPr>
                <w:rFonts w:eastAsia="Calibri"/>
                <w:sz w:val="20"/>
              </w:rPr>
              <w:t>[2008] O.J. No. 3922</w:t>
            </w:r>
          </w:p>
          <w:p w:rsidR="00C9352C" w:rsidRPr="003E4A8C" w:rsidRDefault="00C9352C" w:rsidP="009A57C7">
            <w:pPr>
              <w:jc w:val="both"/>
              <w:rPr>
                <w:rFonts w:eastAsia="Calibri"/>
                <w:sz w:val="20"/>
              </w:rPr>
            </w:pPr>
          </w:p>
        </w:tc>
        <w:tc>
          <w:tcPr>
            <w:tcW w:w="243" w:type="pc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lang w:val="fr-FR"/>
              </w:rPr>
            </w:pPr>
            <w:r w:rsidRPr="003E4A8C">
              <w:rPr>
                <w:rFonts w:eastAsia="Calibri"/>
                <w:sz w:val="20"/>
                <w:lang w:val="fr-FR"/>
              </w:rPr>
              <w:t xml:space="preserve">Décision rendue lors du voir-dire </w:t>
            </w:r>
            <w:proofErr w:type="gramStart"/>
            <w:r w:rsidRPr="003E4A8C">
              <w:rPr>
                <w:rFonts w:eastAsia="Calibri"/>
                <w:sz w:val="20"/>
                <w:lang w:val="fr-FR"/>
              </w:rPr>
              <w:t>:</w:t>
            </w:r>
            <w:r w:rsidRPr="003E4A8C">
              <w:rPr>
                <w:rFonts w:eastAsia="Calibri"/>
                <w:i/>
                <w:sz w:val="20"/>
                <w:lang w:val="fr-FR"/>
              </w:rPr>
              <w:t xml:space="preserve">  </w:t>
            </w:r>
            <w:r w:rsidRPr="003E4A8C">
              <w:rPr>
                <w:rFonts w:eastAsia="Calibri"/>
                <w:sz w:val="20"/>
                <w:lang w:val="fr-FR"/>
              </w:rPr>
              <w:t>demande</w:t>
            </w:r>
            <w:proofErr w:type="gramEnd"/>
            <w:r w:rsidRPr="003E4A8C">
              <w:rPr>
                <w:rFonts w:eastAsia="Calibri"/>
                <w:sz w:val="20"/>
                <w:lang w:val="fr-FR"/>
              </w:rPr>
              <w:t xml:space="preserve"> des coaccusés visant à faire exclure des éléments de preuve en application du par. 24(2) de la </w:t>
            </w:r>
            <w:r w:rsidRPr="003E4A8C">
              <w:rPr>
                <w:rFonts w:eastAsia="Calibri"/>
                <w:i/>
                <w:sz w:val="20"/>
                <w:lang w:val="fr-FR"/>
              </w:rPr>
              <w:t>Charte</w:t>
            </w:r>
            <w:r w:rsidRPr="003E4A8C">
              <w:rPr>
                <w:rFonts w:eastAsia="Calibri"/>
                <w:sz w:val="20"/>
                <w:lang w:val="fr-FR"/>
              </w:rPr>
              <w:t>, accueillie en partie; certains éléments de preuve jugés admissibles au procès</w:t>
            </w:r>
          </w:p>
          <w:p w:rsidR="00C9352C" w:rsidRPr="003E4A8C" w:rsidRDefault="00C9352C" w:rsidP="009A57C7">
            <w:pPr>
              <w:jc w:val="both"/>
              <w:rPr>
                <w:rFonts w:eastAsia="Calibri"/>
                <w:sz w:val="20"/>
                <w:lang w:val="fr-FR"/>
              </w:rPr>
            </w:pPr>
          </w:p>
        </w:tc>
      </w:tr>
      <w:tr w:rsidR="00C9352C" w:rsidRPr="00147672" w:rsidTr="009A57C7">
        <w:trPr>
          <w:trHeight w:val="765"/>
        </w:trPr>
        <w:tc>
          <w:tcPr>
            <w:tcW w:w="2427" w:type="pct"/>
          </w:tcPr>
          <w:p w:rsidR="00C9352C" w:rsidRPr="003E4A8C" w:rsidRDefault="00C9352C" w:rsidP="009A57C7">
            <w:pPr>
              <w:jc w:val="both"/>
              <w:rPr>
                <w:rFonts w:eastAsia="Calibri"/>
                <w:sz w:val="20"/>
                <w:lang w:val="fr-FR"/>
              </w:rPr>
            </w:pPr>
            <w:r w:rsidRPr="003E4A8C">
              <w:rPr>
                <w:rFonts w:eastAsia="Calibri"/>
                <w:sz w:val="20"/>
                <w:lang w:val="fr-FR"/>
              </w:rPr>
              <w:t>27 juillet 2009</w:t>
            </w:r>
          </w:p>
          <w:p w:rsidR="00C9352C" w:rsidRPr="003E4A8C" w:rsidRDefault="00C9352C" w:rsidP="009A57C7">
            <w:pPr>
              <w:jc w:val="both"/>
              <w:rPr>
                <w:rFonts w:eastAsia="Calibri"/>
                <w:sz w:val="20"/>
                <w:lang w:val="fr-FR"/>
              </w:rPr>
            </w:pPr>
            <w:r w:rsidRPr="003E4A8C">
              <w:rPr>
                <w:rFonts w:eastAsia="Calibri"/>
                <w:sz w:val="20"/>
                <w:lang w:val="fr-FR"/>
              </w:rPr>
              <w:t xml:space="preserve">Cour supérieure de justice de l’Ontario </w:t>
            </w:r>
          </w:p>
          <w:p w:rsidR="00C9352C" w:rsidRPr="003E4A8C" w:rsidRDefault="00C9352C" w:rsidP="009A57C7">
            <w:pPr>
              <w:jc w:val="both"/>
              <w:rPr>
                <w:rFonts w:eastAsia="Calibri"/>
                <w:sz w:val="20"/>
              </w:rPr>
            </w:pPr>
            <w:r w:rsidRPr="003E4A8C">
              <w:rPr>
                <w:rFonts w:eastAsia="Calibri"/>
                <w:sz w:val="20"/>
              </w:rPr>
              <w:t>(Juge Quigley)</w:t>
            </w:r>
          </w:p>
          <w:p w:rsidR="00C9352C" w:rsidRPr="003E4A8C" w:rsidRDefault="00C9352C" w:rsidP="009A57C7">
            <w:pPr>
              <w:jc w:val="both"/>
              <w:rPr>
                <w:rFonts w:eastAsia="Calibri"/>
                <w:sz w:val="20"/>
              </w:rPr>
            </w:pPr>
            <w:r w:rsidRPr="003E4A8C">
              <w:rPr>
                <w:rFonts w:eastAsia="Calibri"/>
                <w:sz w:val="20"/>
              </w:rPr>
              <w:t>[2009] O.J. No. 3192</w:t>
            </w:r>
          </w:p>
          <w:p w:rsidR="00C9352C" w:rsidRPr="00E75C8D" w:rsidRDefault="00C9352C" w:rsidP="009A57C7">
            <w:pPr>
              <w:jc w:val="both"/>
              <w:rPr>
                <w:rFonts w:eastAsia="Calibri"/>
                <w:sz w:val="20"/>
              </w:rPr>
            </w:pPr>
          </w:p>
        </w:tc>
        <w:tc>
          <w:tcPr>
            <w:tcW w:w="243" w:type="pct"/>
            <w:vMerge w:val="restart"/>
          </w:tcPr>
          <w:p w:rsidR="00C9352C" w:rsidRPr="00E75C8D"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lang w:val="fr-FR"/>
              </w:rPr>
            </w:pPr>
            <w:r w:rsidRPr="003E4A8C">
              <w:rPr>
                <w:rFonts w:eastAsia="Calibri"/>
                <w:sz w:val="20"/>
                <w:lang w:val="fr-FR"/>
              </w:rPr>
              <w:t>Décision supplémentaire : demande des coaccusés en vue d’obtenir le réexamen de la décision rendue lors du voir-dire, rejetée</w:t>
            </w:r>
          </w:p>
          <w:p w:rsidR="00C9352C" w:rsidRPr="003E4A8C" w:rsidRDefault="00C9352C" w:rsidP="009A57C7">
            <w:pPr>
              <w:jc w:val="both"/>
              <w:rPr>
                <w:rFonts w:eastAsia="Calibri"/>
                <w:sz w:val="20"/>
                <w:lang w:val="fr-FR"/>
              </w:rPr>
            </w:pPr>
          </w:p>
        </w:tc>
      </w:tr>
      <w:tr w:rsidR="00C9352C" w:rsidRPr="00147672" w:rsidTr="009A57C7">
        <w:trPr>
          <w:trHeight w:val="765"/>
        </w:trPr>
        <w:tc>
          <w:tcPr>
            <w:tcW w:w="2427" w:type="pct"/>
          </w:tcPr>
          <w:p w:rsidR="00C9352C" w:rsidRPr="003E4A8C" w:rsidRDefault="00C9352C" w:rsidP="009A57C7">
            <w:pPr>
              <w:jc w:val="both"/>
              <w:rPr>
                <w:rFonts w:eastAsia="Calibri"/>
                <w:sz w:val="20"/>
                <w:lang w:val="fr-FR"/>
              </w:rPr>
            </w:pPr>
            <w:r w:rsidRPr="003E4A8C">
              <w:rPr>
                <w:rFonts w:eastAsia="Calibri"/>
                <w:sz w:val="20"/>
                <w:lang w:val="fr-FR"/>
              </w:rPr>
              <w:t>6 août 2009</w:t>
            </w:r>
          </w:p>
          <w:p w:rsidR="00C9352C" w:rsidRPr="003E4A8C" w:rsidRDefault="00C9352C" w:rsidP="009A57C7">
            <w:pPr>
              <w:jc w:val="both"/>
              <w:rPr>
                <w:rFonts w:eastAsia="Calibri"/>
                <w:sz w:val="20"/>
                <w:lang w:val="fr-FR"/>
              </w:rPr>
            </w:pPr>
            <w:r w:rsidRPr="003E4A8C">
              <w:rPr>
                <w:rFonts w:eastAsia="Calibri"/>
                <w:sz w:val="20"/>
                <w:lang w:val="fr-FR"/>
              </w:rPr>
              <w:t xml:space="preserve">Cour supérieure de justice de l’Ontario </w:t>
            </w:r>
          </w:p>
          <w:p w:rsidR="00C9352C" w:rsidRPr="003E4A8C" w:rsidRDefault="00C9352C" w:rsidP="009A57C7">
            <w:pPr>
              <w:jc w:val="both"/>
              <w:rPr>
                <w:rFonts w:eastAsia="Calibri"/>
                <w:sz w:val="20"/>
                <w:lang w:val="fr-FR"/>
              </w:rPr>
            </w:pPr>
            <w:r w:rsidRPr="003E4A8C">
              <w:rPr>
                <w:rFonts w:eastAsia="Calibri"/>
                <w:sz w:val="20"/>
                <w:lang w:val="fr-FR"/>
              </w:rPr>
              <w:t>(Juge Quigley, siégeant avec jury)</w:t>
            </w:r>
          </w:p>
          <w:p w:rsidR="00C9352C" w:rsidRPr="003E4A8C" w:rsidRDefault="00C9352C" w:rsidP="009A57C7">
            <w:pPr>
              <w:jc w:val="both"/>
              <w:rPr>
                <w:rFonts w:eastAsia="Calibri"/>
                <w:sz w:val="20"/>
                <w:lang w:val="fr-FR"/>
              </w:rPr>
            </w:pPr>
            <w:r w:rsidRPr="003E4A8C">
              <w:rPr>
                <w:rFonts w:eastAsia="Calibri"/>
                <w:sz w:val="20"/>
                <w:lang w:val="fr-FR"/>
              </w:rPr>
              <w:t>(non publiée; aucune référence neutre)</w:t>
            </w:r>
          </w:p>
          <w:p w:rsidR="00C9352C" w:rsidRPr="003E4A8C" w:rsidRDefault="00C9352C" w:rsidP="009A57C7">
            <w:pPr>
              <w:jc w:val="both"/>
              <w:rPr>
                <w:rFonts w:eastAsia="Calibri"/>
                <w:sz w:val="20"/>
                <w:lang w:val="fr-FR"/>
              </w:rPr>
            </w:pPr>
          </w:p>
        </w:tc>
        <w:tc>
          <w:tcPr>
            <w:tcW w:w="243" w:type="pct"/>
            <w:vMerge/>
          </w:tcPr>
          <w:p w:rsidR="00C9352C" w:rsidRPr="003E4A8C" w:rsidRDefault="00C9352C" w:rsidP="009A57C7">
            <w:pPr>
              <w:jc w:val="both"/>
              <w:rPr>
                <w:rFonts w:eastAsia="Calibri"/>
                <w:sz w:val="20"/>
                <w:lang w:val="fr-FR"/>
              </w:rPr>
            </w:pPr>
          </w:p>
        </w:tc>
        <w:tc>
          <w:tcPr>
            <w:tcW w:w="2330" w:type="pct"/>
          </w:tcPr>
          <w:p w:rsidR="00C9352C" w:rsidRPr="003E4A8C" w:rsidRDefault="00C9352C" w:rsidP="009A57C7">
            <w:pPr>
              <w:jc w:val="both"/>
              <w:rPr>
                <w:rFonts w:eastAsia="Calibri"/>
                <w:sz w:val="20"/>
                <w:lang w:val="fr-FR"/>
              </w:rPr>
            </w:pPr>
            <w:r w:rsidRPr="003E4A8C">
              <w:rPr>
                <w:rFonts w:eastAsia="Calibri"/>
                <w:sz w:val="20"/>
                <w:lang w:val="fr-FR"/>
              </w:rPr>
              <w:t>Procès : déclarations de culpabilité pour complot en vue de commettre un vol qualifié et possession de biens criminellement obtenus inscrites à l’égard d’Arif Mahmood, d’Abraham Fundi, et de Rehan Sheikh</w:t>
            </w:r>
          </w:p>
          <w:p w:rsidR="00C9352C" w:rsidRPr="003E4A8C" w:rsidRDefault="00C9352C" w:rsidP="009A57C7">
            <w:pPr>
              <w:jc w:val="both"/>
              <w:rPr>
                <w:rFonts w:eastAsia="Calibri"/>
                <w:sz w:val="20"/>
                <w:lang w:val="fr-FR"/>
              </w:rPr>
            </w:pPr>
          </w:p>
        </w:tc>
      </w:tr>
      <w:tr w:rsidR="00C9352C" w:rsidRPr="00147672" w:rsidTr="009A57C7">
        <w:tc>
          <w:tcPr>
            <w:tcW w:w="2427" w:type="pct"/>
          </w:tcPr>
          <w:p w:rsidR="00C9352C" w:rsidRPr="003E4A8C" w:rsidRDefault="00C9352C" w:rsidP="009A57C7">
            <w:pPr>
              <w:jc w:val="both"/>
              <w:rPr>
                <w:rFonts w:eastAsia="Calibri"/>
                <w:sz w:val="20"/>
                <w:lang w:val="fr-FR"/>
              </w:rPr>
            </w:pPr>
            <w:r w:rsidRPr="003E4A8C">
              <w:rPr>
                <w:rFonts w:eastAsia="Calibri"/>
                <w:sz w:val="20"/>
                <w:lang w:val="fr-FR"/>
              </w:rPr>
              <w:t>9 novembre 2011</w:t>
            </w:r>
          </w:p>
          <w:p w:rsidR="00C9352C" w:rsidRPr="003E4A8C" w:rsidRDefault="00C9352C" w:rsidP="009A57C7">
            <w:pPr>
              <w:jc w:val="both"/>
              <w:rPr>
                <w:rFonts w:eastAsia="Calibri"/>
                <w:sz w:val="20"/>
                <w:lang w:val="fr-FR"/>
              </w:rPr>
            </w:pPr>
            <w:r w:rsidRPr="003E4A8C">
              <w:rPr>
                <w:rFonts w:eastAsia="Calibri"/>
                <w:sz w:val="20"/>
                <w:lang w:val="fr-FR"/>
              </w:rPr>
              <w:t>Cour d’appel de l’Ontario</w:t>
            </w:r>
          </w:p>
          <w:p w:rsidR="00C9352C" w:rsidRPr="003E4A8C" w:rsidRDefault="00C9352C" w:rsidP="009A57C7">
            <w:pPr>
              <w:jc w:val="both"/>
              <w:rPr>
                <w:rFonts w:eastAsia="Calibri"/>
                <w:sz w:val="20"/>
                <w:lang w:val="fr-FR"/>
              </w:rPr>
            </w:pPr>
            <w:r w:rsidRPr="003E4A8C">
              <w:rPr>
                <w:rFonts w:eastAsia="Calibri"/>
                <w:sz w:val="20"/>
                <w:lang w:val="fr-FR"/>
              </w:rPr>
              <w:t>(Juges Blair, Watt et Epstein)</w:t>
            </w:r>
          </w:p>
          <w:p w:rsidR="00C9352C" w:rsidRPr="003E4A8C" w:rsidRDefault="00C9352C" w:rsidP="009A57C7">
            <w:pPr>
              <w:jc w:val="both"/>
              <w:rPr>
                <w:rFonts w:eastAsia="Calibri"/>
                <w:sz w:val="20"/>
              </w:rPr>
            </w:pPr>
            <w:r w:rsidRPr="003E4A8C">
              <w:rPr>
                <w:rFonts w:eastAsia="Calibri"/>
                <w:sz w:val="20"/>
              </w:rPr>
              <w:t>[2011] O.J. No. 4943</w:t>
            </w:r>
          </w:p>
          <w:p w:rsidR="00C9352C" w:rsidRPr="003E4A8C" w:rsidRDefault="00C9352C" w:rsidP="009A57C7">
            <w:pPr>
              <w:jc w:val="both"/>
              <w:rPr>
                <w:rFonts w:eastAsia="Calibri"/>
                <w:sz w:val="20"/>
              </w:rPr>
            </w:pPr>
            <w:r w:rsidRPr="003E4A8C">
              <w:rPr>
                <w:rFonts w:eastAsia="Calibri"/>
                <w:sz w:val="20"/>
              </w:rPr>
              <w:t>Dossiers : C51398, C51151, C51168</w:t>
            </w:r>
          </w:p>
          <w:p w:rsidR="00C9352C" w:rsidRPr="003E4A8C" w:rsidRDefault="00C9352C" w:rsidP="009A57C7">
            <w:pPr>
              <w:jc w:val="both"/>
              <w:rPr>
                <w:rFonts w:eastAsia="Calibri"/>
                <w:sz w:val="20"/>
              </w:rPr>
            </w:pPr>
          </w:p>
        </w:tc>
        <w:tc>
          <w:tcPr>
            <w:tcW w:w="243" w:type="pc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lang w:val="fr-FR"/>
              </w:rPr>
            </w:pPr>
            <w:r w:rsidRPr="003E4A8C">
              <w:rPr>
                <w:rFonts w:eastAsia="Calibri"/>
                <w:sz w:val="20"/>
                <w:lang w:val="fr-FR"/>
              </w:rPr>
              <w:t>Appel : appels de MM. Mahmood, Fundi et Sheikh rejetés</w:t>
            </w:r>
          </w:p>
          <w:p w:rsidR="00C9352C" w:rsidRPr="003E4A8C" w:rsidRDefault="00C9352C" w:rsidP="009A57C7">
            <w:pPr>
              <w:jc w:val="both"/>
              <w:rPr>
                <w:rFonts w:eastAsia="Calibri"/>
                <w:sz w:val="20"/>
                <w:lang w:val="fr-FR"/>
              </w:rPr>
            </w:pPr>
          </w:p>
        </w:tc>
      </w:tr>
      <w:tr w:rsidR="00C9352C" w:rsidRPr="00D61692" w:rsidTr="009A57C7">
        <w:tc>
          <w:tcPr>
            <w:tcW w:w="2427" w:type="pct"/>
          </w:tcPr>
          <w:p w:rsidR="00C9352C" w:rsidRPr="003E4A8C" w:rsidRDefault="00C9352C" w:rsidP="009A57C7">
            <w:pPr>
              <w:jc w:val="both"/>
              <w:rPr>
                <w:rFonts w:eastAsia="Calibri"/>
                <w:sz w:val="20"/>
                <w:lang w:val="fr-CA"/>
              </w:rPr>
            </w:pPr>
            <w:r w:rsidRPr="003E4A8C">
              <w:rPr>
                <w:rFonts w:eastAsia="Calibri"/>
                <w:sz w:val="20"/>
                <w:lang w:val="fr-CA"/>
              </w:rPr>
              <w:t>7 mars 2012</w:t>
            </w:r>
          </w:p>
          <w:p w:rsidR="00C9352C" w:rsidRPr="003E4A8C" w:rsidRDefault="00C9352C" w:rsidP="009A57C7">
            <w:pPr>
              <w:jc w:val="both"/>
              <w:rPr>
                <w:rFonts w:eastAsia="Calibri"/>
                <w:sz w:val="20"/>
                <w:lang w:val="fr-CA"/>
              </w:rPr>
            </w:pPr>
            <w:r w:rsidRPr="003E4A8C">
              <w:rPr>
                <w:rFonts w:eastAsia="Calibri"/>
                <w:sz w:val="20"/>
                <w:lang w:val="fr-CA"/>
              </w:rPr>
              <w:t>Cour suprême du Canada</w:t>
            </w:r>
          </w:p>
        </w:tc>
        <w:tc>
          <w:tcPr>
            <w:tcW w:w="243" w:type="pct"/>
          </w:tcPr>
          <w:p w:rsidR="00C9352C" w:rsidRPr="003E4A8C" w:rsidRDefault="00C9352C" w:rsidP="009A57C7">
            <w:pPr>
              <w:jc w:val="both"/>
              <w:rPr>
                <w:rFonts w:eastAsia="Calibri"/>
                <w:sz w:val="20"/>
                <w:lang w:val="fr-CA"/>
              </w:rPr>
            </w:pPr>
          </w:p>
        </w:tc>
        <w:tc>
          <w:tcPr>
            <w:tcW w:w="2330" w:type="pct"/>
          </w:tcPr>
          <w:p w:rsidR="00C9352C" w:rsidRPr="003E4A8C" w:rsidRDefault="00C9352C" w:rsidP="009A57C7">
            <w:pPr>
              <w:jc w:val="both"/>
              <w:rPr>
                <w:rFonts w:eastAsia="Calibri"/>
                <w:sz w:val="20"/>
                <w:lang w:val="fr-FR"/>
              </w:rPr>
            </w:pPr>
            <w:r w:rsidRPr="003E4A8C">
              <w:rPr>
                <w:rFonts w:eastAsia="Calibri"/>
                <w:sz w:val="20"/>
                <w:lang w:val="fr-FR"/>
              </w:rPr>
              <w:t xml:space="preserve">Demande d’autorisation d’appel et requête en prorogation du délai pour déposer  une demande de </w:t>
            </w:r>
            <w:proofErr w:type="gramStart"/>
            <w:r w:rsidRPr="003E4A8C">
              <w:rPr>
                <w:rFonts w:eastAsia="Calibri"/>
                <w:sz w:val="20"/>
                <w:lang w:val="fr-FR"/>
              </w:rPr>
              <w:t>ce genre déposées</w:t>
            </w:r>
            <w:proofErr w:type="gramEnd"/>
            <w:r w:rsidRPr="003E4A8C">
              <w:rPr>
                <w:rFonts w:eastAsia="Calibri"/>
                <w:sz w:val="20"/>
                <w:lang w:val="fr-FR"/>
              </w:rPr>
              <w:t xml:space="preserve"> par le demandeur M. Fundi</w:t>
            </w:r>
          </w:p>
        </w:tc>
      </w:tr>
    </w:tbl>
    <w:p w:rsidR="00F96FE7" w:rsidRPr="00C9352C" w:rsidRDefault="00F96FE7" w:rsidP="00F96FE7">
      <w:pPr>
        <w:rPr>
          <w:sz w:val="20"/>
          <w:szCs w:val="20"/>
          <w:lang w:val="fr-CA"/>
        </w:rPr>
      </w:pPr>
    </w:p>
    <w:p w:rsidR="00F96FE7" w:rsidRDefault="00D70052" w:rsidP="00F96FE7">
      <w:pPr>
        <w:rPr>
          <w:sz w:val="20"/>
          <w:szCs w:val="20"/>
          <w:lang w:val="fr-CA"/>
        </w:rPr>
      </w:pPr>
      <w:r w:rsidRPr="00D70052">
        <w:rPr>
          <w:sz w:val="20"/>
          <w:szCs w:val="20"/>
          <w:lang w:val="fr-CA"/>
        </w:rPr>
        <w:pict>
          <v:rect id="_x0000_i1069"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D6907" w:rsidRPr="00BD2AF7" w:rsidTr="008B5DBF">
        <w:trPr>
          <w:cantSplit/>
        </w:trPr>
        <w:tc>
          <w:tcPr>
            <w:tcW w:w="1458" w:type="dxa"/>
          </w:tcPr>
          <w:p w:rsidR="003D6907" w:rsidRPr="00BD2AF7" w:rsidRDefault="003D6907" w:rsidP="008B5DBF">
            <w:pPr>
              <w:rPr>
                <w:rFonts w:cs="Times New Roman"/>
                <w:sz w:val="20"/>
                <w:szCs w:val="20"/>
              </w:rPr>
            </w:pPr>
            <w:r w:rsidRPr="00BD2AF7">
              <w:rPr>
                <w:rStyle w:val="SCCFileNumberChar"/>
                <w:sz w:val="20"/>
                <w:szCs w:val="20"/>
              </w:rPr>
              <w:t>34708</w:t>
            </w:r>
          </w:p>
          <w:p w:rsidR="003D6907" w:rsidRPr="00BD2AF7" w:rsidRDefault="003D6907" w:rsidP="008B5DBF">
            <w:pPr>
              <w:rPr>
                <w:rFonts w:cs="Times New Roman"/>
                <w:b/>
                <w:sz w:val="20"/>
                <w:szCs w:val="20"/>
                <w:lang w:val="fr-CA"/>
              </w:rPr>
            </w:pPr>
          </w:p>
        </w:tc>
        <w:tc>
          <w:tcPr>
            <w:tcW w:w="8118" w:type="dxa"/>
          </w:tcPr>
          <w:p w:rsidR="003D6907" w:rsidRPr="00BD2AF7" w:rsidRDefault="003D6907" w:rsidP="008B5DBF">
            <w:pPr>
              <w:rPr>
                <w:rFonts w:cs="Times New Roman"/>
                <w:sz w:val="20"/>
                <w:szCs w:val="20"/>
              </w:rPr>
            </w:pPr>
            <w:r w:rsidRPr="003D6907">
              <w:rPr>
                <w:rStyle w:val="SCCLsocChar"/>
                <w:rFonts w:cs="Times New Roman"/>
                <w:sz w:val="20"/>
                <w:szCs w:val="20"/>
                <w:lang w:val="en-CA"/>
              </w:rPr>
              <w:t>Steven James Morrow v. County of Lanark</w:t>
            </w:r>
            <w:r w:rsidRPr="00BD2AF7">
              <w:rPr>
                <w:rFonts w:cs="Times New Roman"/>
                <w:sz w:val="20"/>
                <w:szCs w:val="20"/>
              </w:rPr>
              <w:t xml:space="preserve"> (Ont.) (Civil) (By Leave)</w:t>
            </w:r>
          </w:p>
          <w:p w:rsidR="003D6907" w:rsidRPr="00BD2AF7" w:rsidRDefault="003D6907" w:rsidP="008B5DBF">
            <w:pPr>
              <w:rPr>
                <w:rFonts w:cs="Times New Roman"/>
                <w:sz w:val="20"/>
                <w:szCs w:val="20"/>
              </w:rPr>
            </w:pPr>
          </w:p>
        </w:tc>
      </w:tr>
      <w:tr w:rsidR="003D6907" w:rsidRPr="00BD2AF7" w:rsidTr="008B5DBF">
        <w:trPr>
          <w:cantSplit/>
        </w:trPr>
        <w:tc>
          <w:tcPr>
            <w:tcW w:w="1458" w:type="dxa"/>
          </w:tcPr>
          <w:p w:rsidR="003D6907" w:rsidRPr="00BD2AF7" w:rsidRDefault="003D6907" w:rsidP="008B5DBF">
            <w:pPr>
              <w:rPr>
                <w:rFonts w:cs="Times New Roman"/>
                <w:sz w:val="20"/>
                <w:szCs w:val="20"/>
              </w:rPr>
            </w:pPr>
            <w:r w:rsidRPr="00BD2AF7">
              <w:rPr>
                <w:rFonts w:cs="Times New Roman"/>
                <w:sz w:val="20"/>
                <w:szCs w:val="20"/>
              </w:rPr>
              <w:t>Coram :</w:t>
            </w:r>
          </w:p>
        </w:tc>
        <w:tc>
          <w:tcPr>
            <w:tcW w:w="8118" w:type="dxa"/>
          </w:tcPr>
          <w:p w:rsidR="003D6907" w:rsidRPr="00BD2AF7" w:rsidRDefault="003D6907" w:rsidP="008B5DBF">
            <w:pPr>
              <w:rPr>
                <w:rFonts w:cs="Times New Roman"/>
                <w:sz w:val="20"/>
                <w:szCs w:val="20"/>
              </w:rPr>
            </w:pPr>
            <w:r w:rsidRPr="003D6907">
              <w:rPr>
                <w:rStyle w:val="SCCCoramChar"/>
                <w:rFonts w:cs="Times New Roman"/>
                <w:sz w:val="20"/>
                <w:szCs w:val="20"/>
                <w:lang w:val="en-CA"/>
              </w:rPr>
              <w:t>Deschamps, Fish and Karakatsanis JJ.</w:t>
            </w:r>
          </w:p>
          <w:p w:rsidR="003D6907" w:rsidRPr="00BD2AF7" w:rsidRDefault="003D6907" w:rsidP="008B5DBF">
            <w:pPr>
              <w:rPr>
                <w:rFonts w:cs="Times New Roman"/>
                <w:sz w:val="20"/>
                <w:szCs w:val="20"/>
                <w:u w:val="single"/>
              </w:rPr>
            </w:pPr>
          </w:p>
        </w:tc>
      </w:tr>
      <w:tr w:rsidR="003D6907" w:rsidRPr="00147672" w:rsidTr="008B5DBF">
        <w:trPr>
          <w:cantSplit/>
        </w:trPr>
        <w:tc>
          <w:tcPr>
            <w:tcW w:w="9576" w:type="dxa"/>
            <w:gridSpan w:val="2"/>
          </w:tcPr>
          <w:p w:rsidR="003D6907" w:rsidRPr="00BD2AF7" w:rsidRDefault="003D6907" w:rsidP="008B5DBF">
            <w:pPr>
              <w:pStyle w:val="SCCShortJudgment"/>
              <w:rPr>
                <w:rFonts w:cs="Times New Roman"/>
                <w:szCs w:val="20"/>
                <w:lang w:val="fr-CA"/>
              </w:rPr>
            </w:pPr>
            <w:r w:rsidRPr="00BD2AF7">
              <w:rPr>
                <w:rFonts w:cs="Times New Roman"/>
                <w:szCs w:val="20"/>
              </w:rPr>
              <w:t xml:space="preserve">The application for leave to appeal from the judgment of the Court of Appeal for Ontario, Number C54014, 2012 ONCA 64, dated January 13, 2012, is dismissed with costs to the respondent on a party and party basis. </w:t>
            </w:r>
            <w:r w:rsidRPr="00BD2AF7">
              <w:rPr>
                <w:rFonts w:cs="Times New Roman"/>
                <w:szCs w:val="20"/>
                <w:lang w:val="fr-CA"/>
              </w:rPr>
              <w:t>The request for special costs award is denied.</w:t>
            </w:r>
          </w:p>
          <w:p w:rsidR="003D6907" w:rsidRPr="00BD2AF7" w:rsidRDefault="003D6907" w:rsidP="008B5DBF">
            <w:pPr>
              <w:pStyle w:val="SCCShortJudgment"/>
              <w:ind w:firstLine="0"/>
              <w:rPr>
                <w:rFonts w:cs="Times New Roman"/>
                <w:szCs w:val="20"/>
                <w:lang w:val="fr-CA"/>
              </w:rPr>
            </w:pPr>
          </w:p>
          <w:p w:rsidR="003D6907" w:rsidRPr="00BD2AF7" w:rsidRDefault="003D6907" w:rsidP="008B5DBF">
            <w:pPr>
              <w:pStyle w:val="SCCShortJudgment"/>
              <w:rPr>
                <w:rFonts w:cs="Times New Roman"/>
                <w:szCs w:val="20"/>
                <w:lang w:val="fr-CA"/>
              </w:rPr>
            </w:pPr>
            <w:r w:rsidRPr="00BD2AF7">
              <w:rPr>
                <w:rFonts w:cs="Times New Roman"/>
                <w:szCs w:val="20"/>
                <w:lang w:val="fr-CA"/>
              </w:rPr>
              <w:t>La demande d’autorisation d’appel de l’arrêt de la Cour d’appel de l’Ontario, numéro C54014, 2012 ONCA 64, daté du 13 janvier 2012, est rejetée avec dépens entre parties en faveur de l’intimé. La demande en vue d’obtenir des dépens spéciaux est refusée.</w:t>
            </w:r>
          </w:p>
        </w:tc>
      </w:tr>
    </w:tbl>
    <w:p w:rsidR="00F96FE7" w:rsidRPr="003D6907"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551F" w:rsidRPr="003E4A8C" w:rsidTr="009A57C7">
        <w:tc>
          <w:tcPr>
            <w:tcW w:w="5000" w:type="pct"/>
            <w:gridSpan w:val="3"/>
          </w:tcPr>
          <w:p w:rsidR="007D551F" w:rsidRPr="003E4A8C" w:rsidRDefault="007D551F" w:rsidP="009A57C7">
            <w:pPr>
              <w:jc w:val="both"/>
              <w:rPr>
                <w:rFonts w:eastAsia="Calibri"/>
                <w:sz w:val="20"/>
              </w:rPr>
            </w:pPr>
            <w:r w:rsidRPr="003E4A8C">
              <w:rPr>
                <w:rFonts w:eastAsia="Calibri"/>
                <w:sz w:val="20"/>
              </w:rPr>
              <w:t xml:space="preserve">Torts – Public nuisance – Injunctions – Application judge finding that applicant’s actions in blocking a drainage ditch constituted public nuisance, and ordering removal of obstruction – Whether the Court of Appeal for Ontario and </w:t>
            </w:r>
            <w:r w:rsidRPr="003E4A8C">
              <w:rPr>
                <w:rFonts w:eastAsia="Calibri"/>
                <w:sz w:val="20"/>
              </w:rPr>
              <w:lastRenderedPageBreak/>
              <w:t>Application Court erred by failing to take into consideration the proper principles applicable to water law in Canada, namely the law on surface water versus natural watercourses – Whether the Court of Appeal for Ontario and Application Court have failed to properly consider and give weight to what qualifies as a material fact in dispute and specifically whether having material facts in dispute precluded the respondent from proceeding by way of Application – Whether the Court of Appeal for Ontario and Application Court have failed in their duty to give adequate reasons</w:t>
            </w:r>
          </w:p>
        </w:tc>
      </w:tr>
      <w:tr w:rsidR="007D551F" w:rsidRPr="003E4A8C" w:rsidTr="009A57C7">
        <w:tc>
          <w:tcPr>
            <w:tcW w:w="5000" w:type="pct"/>
            <w:gridSpan w:val="3"/>
          </w:tcPr>
          <w:p w:rsidR="007D551F" w:rsidRPr="003E4A8C" w:rsidRDefault="007D551F" w:rsidP="009A57C7">
            <w:pPr>
              <w:jc w:val="both"/>
              <w:rPr>
                <w:rFonts w:eastAsia="Calibri"/>
                <w:sz w:val="20"/>
              </w:rPr>
            </w:pPr>
          </w:p>
        </w:tc>
      </w:tr>
      <w:tr w:rsidR="007D551F" w:rsidRPr="003E4A8C" w:rsidTr="009A57C7">
        <w:tc>
          <w:tcPr>
            <w:tcW w:w="5000" w:type="pct"/>
            <w:gridSpan w:val="3"/>
          </w:tcPr>
          <w:p w:rsidR="007D551F" w:rsidRPr="003E4A8C" w:rsidRDefault="007D551F" w:rsidP="009A57C7">
            <w:pPr>
              <w:jc w:val="both"/>
              <w:rPr>
                <w:rFonts w:eastAsia="Calibri"/>
                <w:sz w:val="20"/>
              </w:rPr>
            </w:pPr>
            <w:r w:rsidRPr="003E4A8C">
              <w:rPr>
                <w:rFonts w:eastAsia="Calibri"/>
                <w:sz w:val="20"/>
              </w:rPr>
              <w:t>The County of Lanark brought an application seeking a declaration, an injunction, and damages relating to the Morrows’ blocking of a drainage ditch located on their property, which caused flooding on neighbouring properties and, in the County’s opinion, could have risked flooding an adjoining road.  An application judge of the Ontario Superior Court of Justice granted the County’s application, finding that the Morrows’ actions constituted a public nuisance.  The application judge issued an injunction to permit the removal of the obstruction and to prohibit the Morrows from further interfering with the drainage ditch, and awarded damages for the removal of the obstruction.  The Court of Appeal for Ontario dismissed Mr. Morrow’s appeal.</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t>June 27, 2011</w:t>
            </w:r>
          </w:p>
          <w:p w:rsidR="007D551F" w:rsidRPr="003E4A8C" w:rsidRDefault="007D551F" w:rsidP="009A57C7">
            <w:pPr>
              <w:jc w:val="both"/>
              <w:rPr>
                <w:rFonts w:eastAsia="Calibri"/>
                <w:sz w:val="20"/>
              </w:rPr>
            </w:pPr>
            <w:r w:rsidRPr="003E4A8C">
              <w:rPr>
                <w:rFonts w:eastAsia="Calibri"/>
                <w:sz w:val="20"/>
              </w:rPr>
              <w:t>Ontario Superior Court of Justice</w:t>
            </w:r>
          </w:p>
          <w:p w:rsidR="007D551F" w:rsidRPr="003E4A8C" w:rsidRDefault="007D551F" w:rsidP="009A57C7">
            <w:pPr>
              <w:jc w:val="both"/>
              <w:rPr>
                <w:rFonts w:eastAsia="Calibri"/>
                <w:sz w:val="20"/>
              </w:rPr>
            </w:pPr>
            <w:r w:rsidRPr="003E4A8C">
              <w:rPr>
                <w:rFonts w:eastAsia="Calibri"/>
                <w:sz w:val="20"/>
              </w:rPr>
              <w:t>(Quigley J.)</w:t>
            </w:r>
          </w:p>
          <w:p w:rsidR="007D551F" w:rsidRPr="003E4A8C" w:rsidRDefault="007D551F" w:rsidP="009A57C7">
            <w:pPr>
              <w:jc w:val="both"/>
              <w:rPr>
                <w:rFonts w:eastAsia="Calibri"/>
                <w:sz w:val="20"/>
              </w:rPr>
            </w:pPr>
            <w:r w:rsidRPr="003E4A8C">
              <w:rPr>
                <w:rFonts w:eastAsia="Calibri"/>
                <w:sz w:val="20"/>
              </w:rPr>
              <w:t>2011 ONSC Number 4028</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rPr>
            </w:pPr>
            <w:r w:rsidRPr="003E4A8C">
              <w:rPr>
                <w:rFonts w:eastAsia="Calibri"/>
                <w:sz w:val="20"/>
              </w:rPr>
              <w:t>Application by respondent County of Lanark for declaration, injunction and damages, granted</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t>January 13, 2012</w:t>
            </w:r>
          </w:p>
          <w:p w:rsidR="007D551F" w:rsidRPr="003E4A8C" w:rsidRDefault="007D551F" w:rsidP="009A57C7">
            <w:pPr>
              <w:jc w:val="both"/>
              <w:rPr>
                <w:rFonts w:eastAsia="Calibri"/>
                <w:sz w:val="20"/>
              </w:rPr>
            </w:pPr>
            <w:r w:rsidRPr="003E4A8C">
              <w:rPr>
                <w:rFonts w:eastAsia="Calibri"/>
                <w:sz w:val="20"/>
              </w:rPr>
              <w:t>Court of Appeal for Ontario</w:t>
            </w:r>
          </w:p>
          <w:p w:rsidR="007D551F" w:rsidRPr="003E4A8C" w:rsidRDefault="007D551F" w:rsidP="009A57C7">
            <w:pPr>
              <w:jc w:val="both"/>
              <w:rPr>
                <w:rFonts w:eastAsia="Calibri"/>
                <w:sz w:val="20"/>
              </w:rPr>
            </w:pPr>
            <w:r w:rsidRPr="003E4A8C">
              <w:rPr>
                <w:rFonts w:eastAsia="Calibri"/>
                <w:sz w:val="20"/>
              </w:rPr>
              <w:t>(Weiler, Armstrong, and Rouleau JJ.A.)</w:t>
            </w:r>
          </w:p>
          <w:p w:rsidR="007D551F" w:rsidRPr="003E4A8C" w:rsidRDefault="007D551F" w:rsidP="009A57C7">
            <w:pPr>
              <w:jc w:val="both"/>
              <w:rPr>
                <w:rFonts w:eastAsia="Calibri"/>
                <w:sz w:val="20"/>
              </w:rPr>
            </w:pPr>
            <w:r w:rsidRPr="003E4A8C">
              <w:rPr>
                <w:rFonts w:eastAsia="Calibri"/>
                <w:sz w:val="20"/>
              </w:rPr>
              <w:t>2012 ONCA 64</w:t>
            </w:r>
          </w:p>
          <w:p w:rsidR="007D551F" w:rsidRPr="003E4A8C" w:rsidRDefault="007D551F" w:rsidP="009A57C7">
            <w:pPr>
              <w:jc w:val="both"/>
              <w:rPr>
                <w:rFonts w:eastAsia="Calibri"/>
                <w:sz w:val="20"/>
              </w:rPr>
            </w:pPr>
            <w:r w:rsidRPr="003E4A8C">
              <w:rPr>
                <w:rFonts w:eastAsia="Calibri"/>
                <w:sz w:val="20"/>
              </w:rPr>
              <w:t>Docket:  C54014</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rPr>
            </w:pPr>
            <w:r w:rsidRPr="003E4A8C">
              <w:rPr>
                <w:rFonts w:eastAsia="Calibri"/>
                <w:sz w:val="20"/>
              </w:rPr>
              <w:t>Appeal by applicant Mr. Morrow, dismissed</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t>March 12, 2012</w:t>
            </w:r>
          </w:p>
          <w:p w:rsidR="007D551F" w:rsidRPr="003E4A8C" w:rsidRDefault="007D551F" w:rsidP="007D551F">
            <w:pPr>
              <w:jc w:val="both"/>
              <w:rPr>
                <w:rFonts w:eastAsia="Calibri"/>
                <w:sz w:val="20"/>
              </w:rPr>
            </w:pPr>
            <w:r w:rsidRPr="003E4A8C">
              <w:rPr>
                <w:rFonts w:eastAsia="Calibri"/>
                <w:sz w:val="20"/>
              </w:rPr>
              <w:t>Supreme Court of Canada</w:t>
            </w: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7D551F">
            <w:pPr>
              <w:jc w:val="both"/>
              <w:rPr>
                <w:rFonts w:eastAsia="Calibri"/>
                <w:sz w:val="20"/>
              </w:rPr>
            </w:pPr>
            <w:r w:rsidRPr="003E4A8C">
              <w:rPr>
                <w:rFonts w:eastAsia="Calibri"/>
                <w:sz w:val="20"/>
              </w:rPr>
              <w:t>Application for leave to appeal filed by applicant Mr. Morrow</w:t>
            </w: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70"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551F" w:rsidRPr="00147672" w:rsidTr="009A57C7">
        <w:tc>
          <w:tcPr>
            <w:tcW w:w="5000" w:type="pct"/>
            <w:gridSpan w:val="3"/>
          </w:tcPr>
          <w:p w:rsidR="007D551F" w:rsidRPr="003E4A8C" w:rsidRDefault="007D551F" w:rsidP="009A57C7">
            <w:pPr>
              <w:jc w:val="both"/>
              <w:rPr>
                <w:rFonts w:eastAsia="Calibri"/>
                <w:sz w:val="20"/>
                <w:lang w:val="fr-FR"/>
              </w:rPr>
            </w:pPr>
            <w:r w:rsidRPr="003E4A8C">
              <w:rPr>
                <w:rFonts w:eastAsia="Calibri"/>
                <w:sz w:val="20"/>
                <w:lang w:val="fr-FR"/>
              </w:rPr>
              <w:t xml:space="preserve">Responsabilité délictuelle – Nuisances publiques – Injonctions – Juge de première instance concluant que le blocage, par le demandeur, d’un fossé de drainage constituait une nuisance publique et ordonnant que l’obstacle soit enlevé – La Cour d’appel de l’Ontario et la cour de première instance ont-elles commis une erreur en ne tenant pas compte des principes applicable au droit canadien de l’eau, soit les règles de droit relatives à l’eau en surface par opposition aux cours d’eau naturels? – La Cour d’appel de l’Ontario et la cour de première instance ont-elles omis de prendre dûment en considération ce qui constitue un fait important en litige et de lui accorder un poids quelconque et, plus précisément, la présence de faits importants en litige empêchait-elle l’intimé de procéder par voie de demande? – La Cour d’appel de l’Ontario et la cour de première instance ont-elles manqué à leur obligation de fournir des motifs suffisants?  </w:t>
            </w:r>
          </w:p>
        </w:tc>
      </w:tr>
      <w:tr w:rsidR="007D551F" w:rsidRPr="00147672" w:rsidTr="009A57C7">
        <w:tc>
          <w:tcPr>
            <w:tcW w:w="5000" w:type="pct"/>
            <w:gridSpan w:val="3"/>
          </w:tcPr>
          <w:p w:rsidR="007D551F" w:rsidRPr="003E4A8C" w:rsidRDefault="007D551F" w:rsidP="009A57C7">
            <w:pPr>
              <w:jc w:val="both"/>
              <w:rPr>
                <w:rFonts w:eastAsia="Calibri"/>
                <w:sz w:val="20"/>
                <w:lang w:val="fr-FR"/>
              </w:rPr>
            </w:pPr>
          </w:p>
        </w:tc>
      </w:tr>
      <w:tr w:rsidR="007D551F" w:rsidRPr="00147672" w:rsidTr="009A57C7">
        <w:tc>
          <w:tcPr>
            <w:tcW w:w="5000" w:type="pct"/>
            <w:gridSpan w:val="3"/>
          </w:tcPr>
          <w:p w:rsidR="007D551F" w:rsidRPr="003E4A8C" w:rsidRDefault="007D551F" w:rsidP="009A57C7">
            <w:pPr>
              <w:jc w:val="both"/>
              <w:rPr>
                <w:rFonts w:eastAsia="Calibri"/>
                <w:sz w:val="20"/>
                <w:lang w:val="fr-FR"/>
              </w:rPr>
            </w:pPr>
            <w:r w:rsidRPr="003E4A8C">
              <w:rPr>
                <w:rFonts w:eastAsia="Calibri"/>
                <w:sz w:val="20"/>
                <w:lang w:val="fr-FR"/>
              </w:rPr>
              <w:t>Le comté de Lanark a présenté une demande en vue d’obtenir un jugement déclaratoire, une injonction et des dommages-intérêts relativement au blocage, par les Morrow, d’un fossé de drainage situé sur leur propriété. Le blocage du fossé a entraîné l’inondation des propriétés avoisinantes et, selon le Comté, il aurait pu entraîner l’inondation d’une route adjacente. Un juge de première instance, qui siège à la Cour supérieure de justice de l’Ontario, a accueilli la demande du Comté, estimant que les actes des Morrow constituaient une nuisance publique. Le juge de première instance a rendu une injonction pour autoriser l’enlèvement de l’obstacle et interdire aux Morrow de bloquer à nouveau le fossé de drainage, et a accordé des dommages-intérêts pour l’enlèvement de l’obstacle. La Cour d’appel de l’Ontario a rejeté l’appel de M. Morrow.</w:t>
            </w:r>
          </w:p>
          <w:p w:rsidR="007D551F" w:rsidRPr="003E4A8C" w:rsidRDefault="007D551F" w:rsidP="009A57C7">
            <w:pPr>
              <w:jc w:val="both"/>
              <w:rPr>
                <w:rFonts w:eastAsia="Calibri"/>
                <w:sz w:val="20"/>
                <w:lang w:val="fr-FR"/>
              </w:rPr>
            </w:pPr>
          </w:p>
        </w:tc>
      </w:tr>
      <w:tr w:rsidR="007D551F" w:rsidRPr="00147672" w:rsidTr="009A57C7">
        <w:tc>
          <w:tcPr>
            <w:tcW w:w="2427" w:type="pct"/>
          </w:tcPr>
          <w:p w:rsidR="007D551F" w:rsidRPr="003E4A8C" w:rsidRDefault="007D551F" w:rsidP="009A57C7">
            <w:pPr>
              <w:jc w:val="both"/>
              <w:rPr>
                <w:rFonts w:eastAsia="Calibri"/>
                <w:sz w:val="20"/>
                <w:lang w:val="fr-FR"/>
              </w:rPr>
            </w:pPr>
            <w:r w:rsidRPr="003E4A8C">
              <w:rPr>
                <w:rFonts w:eastAsia="Calibri"/>
                <w:sz w:val="20"/>
                <w:lang w:val="fr-FR"/>
              </w:rPr>
              <w:lastRenderedPageBreak/>
              <w:t>27 juin 2011</w:t>
            </w:r>
          </w:p>
          <w:p w:rsidR="007D551F" w:rsidRPr="003E4A8C" w:rsidRDefault="007D551F" w:rsidP="009A57C7">
            <w:pPr>
              <w:jc w:val="both"/>
              <w:rPr>
                <w:rFonts w:eastAsia="Calibri"/>
                <w:sz w:val="20"/>
                <w:lang w:val="fr-FR"/>
              </w:rPr>
            </w:pPr>
            <w:r w:rsidRPr="003E4A8C">
              <w:rPr>
                <w:rFonts w:eastAsia="Calibri"/>
                <w:sz w:val="20"/>
                <w:lang w:val="fr-FR"/>
              </w:rPr>
              <w:t xml:space="preserve">Cour supérieure de justice de l’Ontario </w:t>
            </w:r>
          </w:p>
          <w:p w:rsidR="007D551F" w:rsidRPr="003E4A8C" w:rsidRDefault="007D551F" w:rsidP="009A57C7">
            <w:pPr>
              <w:jc w:val="both"/>
              <w:rPr>
                <w:rFonts w:eastAsia="Calibri"/>
                <w:sz w:val="20"/>
              </w:rPr>
            </w:pPr>
            <w:r w:rsidRPr="003E4A8C">
              <w:rPr>
                <w:rFonts w:eastAsia="Calibri"/>
                <w:sz w:val="20"/>
              </w:rPr>
              <w:t>(Juge Quigley)</w:t>
            </w:r>
          </w:p>
          <w:p w:rsidR="007D551F" w:rsidRPr="003E4A8C" w:rsidRDefault="007D551F" w:rsidP="009A57C7">
            <w:pPr>
              <w:jc w:val="both"/>
              <w:rPr>
                <w:rFonts w:eastAsia="Calibri"/>
                <w:sz w:val="20"/>
              </w:rPr>
            </w:pPr>
            <w:r w:rsidRPr="003E4A8C">
              <w:rPr>
                <w:rFonts w:eastAsia="Calibri"/>
                <w:sz w:val="20"/>
              </w:rPr>
              <w:t>2011 ONSC 4028</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lang w:val="fr-FR"/>
              </w:rPr>
            </w:pPr>
            <w:r w:rsidRPr="003E4A8C">
              <w:rPr>
                <w:rFonts w:eastAsia="Calibri"/>
                <w:sz w:val="20"/>
                <w:lang w:val="fr-FR"/>
              </w:rPr>
              <w:t>Demande de l’intimé, le comté de Lanark, en vue d’obtenir un jugement déclaratoire, une injonction et des dommages-intérêts accueillie</w:t>
            </w:r>
          </w:p>
          <w:p w:rsidR="007D551F" w:rsidRPr="003E4A8C" w:rsidRDefault="007D551F" w:rsidP="009A57C7">
            <w:pPr>
              <w:jc w:val="both"/>
              <w:rPr>
                <w:rFonts w:eastAsia="Calibri"/>
                <w:sz w:val="20"/>
                <w:lang w:val="fr-FR"/>
              </w:rPr>
            </w:pPr>
          </w:p>
        </w:tc>
      </w:tr>
      <w:tr w:rsidR="007D551F" w:rsidRPr="00147672" w:rsidTr="009A57C7">
        <w:tc>
          <w:tcPr>
            <w:tcW w:w="2427" w:type="pct"/>
          </w:tcPr>
          <w:p w:rsidR="007D551F" w:rsidRPr="003E4A8C" w:rsidRDefault="007D551F" w:rsidP="009A57C7">
            <w:pPr>
              <w:jc w:val="both"/>
              <w:rPr>
                <w:rFonts w:eastAsia="Calibri"/>
                <w:sz w:val="20"/>
                <w:lang w:val="fr-FR"/>
              </w:rPr>
            </w:pPr>
            <w:r w:rsidRPr="003E4A8C">
              <w:rPr>
                <w:rFonts w:eastAsia="Calibri"/>
                <w:sz w:val="20"/>
                <w:lang w:val="fr-FR"/>
              </w:rPr>
              <w:t>13 janvier 2012</w:t>
            </w:r>
          </w:p>
          <w:p w:rsidR="007D551F" w:rsidRPr="003E4A8C" w:rsidRDefault="007D551F" w:rsidP="009A57C7">
            <w:pPr>
              <w:jc w:val="both"/>
              <w:rPr>
                <w:rFonts w:eastAsia="Calibri"/>
                <w:sz w:val="20"/>
                <w:lang w:val="fr-FR"/>
              </w:rPr>
            </w:pPr>
            <w:r w:rsidRPr="003E4A8C">
              <w:rPr>
                <w:rFonts w:eastAsia="Calibri"/>
                <w:sz w:val="20"/>
                <w:lang w:val="fr-FR"/>
              </w:rPr>
              <w:t>Cour d’appel de l’Ontario</w:t>
            </w:r>
          </w:p>
          <w:p w:rsidR="007D551F" w:rsidRPr="003E4A8C" w:rsidRDefault="007D551F" w:rsidP="009A57C7">
            <w:pPr>
              <w:jc w:val="both"/>
              <w:rPr>
                <w:rFonts w:eastAsia="Calibri"/>
                <w:sz w:val="20"/>
                <w:lang w:val="fr-FR"/>
              </w:rPr>
            </w:pPr>
            <w:r w:rsidRPr="003E4A8C">
              <w:rPr>
                <w:rFonts w:eastAsia="Calibri"/>
                <w:sz w:val="20"/>
                <w:lang w:val="fr-FR"/>
              </w:rPr>
              <w:t>(Juges Weiler, Armstrong et Rouleau)</w:t>
            </w:r>
          </w:p>
          <w:p w:rsidR="007D551F" w:rsidRPr="003E4A8C" w:rsidRDefault="007D551F" w:rsidP="009A57C7">
            <w:pPr>
              <w:jc w:val="both"/>
              <w:rPr>
                <w:rFonts w:eastAsia="Calibri"/>
                <w:sz w:val="20"/>
              </w:rPr>
            </w:pPr>
            <w:r w:rsidRPr="003E4A8C">
              <w:rPr>
                <w:rFonts w:eastAsia="Calibri"/>
                <w:sz w:val="20"/>
              </w:rPr>
              <w:t>2012 ONCA 64</w:t>
            </w:r>
          </w:p>
          <w:p w:rsidR="007D551F" w:rsidRPr="003E4A8C" w:rsidRDefault="007D551F" w:rsidP="009A57C7">
            <w:pPr>
              <w:jc w:val="both"/>
              <w:rPr>
                <w:rFonts w:eastAsia="Calibri"/>
                <w:sz w:val="20"/>
              </w:rPr>
            </w:pPr>
            <w:r w:rsidRPr="003E4A8C">
              <w:rPr>
                <w:rFonts w:eastAsia="Calibri"/>
                <w:sz w:val="20"/>
              </w:rPr>
              <w:t>Dossier : C54014</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lang w:val="fr-FR"/>
              </w:rPr>
            </w:pPr>
            <w:r w:rsidRPr="003E4A8C">
              <w:rPr>
                <w:rFonts w:eastAsia="Calibri"/>
                <w:sz w:val="20"/>
                <w:lang w:val="fr-FR"/>
              </w:rPr>
              <w:t>Appel du demandeur, M. Morrow, rejeté</w:t>
            </w:r>
          </w:p>
          <w:p w:rsidR="007D551F" w:rsidRPr="003E4A8C" w:rsidRDefault="007D551F" w:rsidP="009A57C7">
            <w:pPr>
              <w:jc w:val="both"/>
              <w:rPr>
                <w:rFonts w:eastAsia="Calibri"/>
                <w:sz w:val="20"/>
                <w:lang w:val="fr-FR"/>
              </w:rPr>
            </w:pPr>
          </w:p>
        </w:tc>
      </w:tr>
      <w:tr w:rsidR="007D551F" w:rsidRPr="00147672" w:rsidTr="009A57C7">
        <w:tc>
          <w:tcPr>
            <w:tcW w:w="2427" w:type="pct"/>
          </w:tcPr>
          <w:p w:rsidR="007D551F" w:rsidRPr="00E75C8D" w:rsidRDefault="007D551F" w:rsidP="009A57C7">
            <w:pPr>
              <w:jc w:val="both"/>
              <w:rPr>
                <w:rFonts w:eastAsia="Calibri"/>
                <w:sz w:val="20"/>
                <w:lang w:val="fr-CA"/>
              </w:rPr>
            </w:pPr>
            <w:r w:rsidRPr="00E75C8D">
              <w:rPr>
                <w:rFonts w:eastAsia="Calibri"/>
                <w:sz w:val="20"/>
                <w:lang w:val="fr-CA"/>
              </w:rPr>
              <w:t>12 mars 2012</w:t>
            </w:r>
          </w:p>
          <w:p w:rsidR="007D551F" w:rsidRPr="00E75C8D" w:rsidRDefault="007D551F" w:rsidP="009A57C7">
            <w:pPr>
              <w:jc w:val="both"/>
              <w:rPr>
                <w:rFonts w:eastAsia="Calibri"/>
                <w:sz w:val="20"/>
                <w:lang w:val="fr-CA"/>
              </w:rPr>
            </w:pPr>
            <w:r w:rsidRPr="00E75C8D">
              <w:rPr>
                <w:rFonts w:eastAsia="Calibri"/>
                <w:sz w:val="20"/>
                <w:lang w:val="fr-CA"/>
              </w:rPr>
              <w:t>Cour suprême du Canada</w:t>
            </w:r>
          </w:p>
        </w:tc>
        <w:tc>
          <w:tcPr>
            <w:tcW w:w="243" w:type="pct"/>
          </w:tcPr>
          <w:p w:rsidR="007D551F" w:rsidRPr="00E75C8D" w:rsidRDefault="007D551F" w:rsidP="009A57C7">
            <w:pPr>
              <w:jc w:val="both"/>
              <w:rPr>
                <w:rFonts w:eastAsia="Calibri"/>
                <w:sz w:val="20"/>
                <w:lang w:val="fr-CA"/>
              </w:rPr>
            </w:pPr>
          </w:p>
        </w:tc>
        <w:tc>
          <w:tcPr>
            <w:tcW w:w="2330" w:type="pct"/>
          </w:tcPr>
          <w:p w:rsidR="007D551F" w:rsidRPr="003E4A8C" w:rsidRDefault="007D551F" w:rsidP="009A57C7">
            <w:pPr>
              <w:jc w:val="both"/>
              <w:rPr>
                <w:rFonts w:eastAsia="Calibri"/>
                <w:sz w:val="20"/>
                <w:lang w:val="fr-FR"/>
              </w:rPr>
            </w:pPr>
            <w:r w:rsidRPr="003E4A8C">
              <w:rPr>
                <w:rFonts w:eastAsia="Calibri"/>
                <w:sz w:val="20"/>
                <w:lang w:val="fr-FR"/>
              </w:rPr>
              <w:t>Demande d’autorisation d’appel déposée par le demandeur, M. Morrow</w:t>
            </w:r>
          </w:p>
        </w:tc>
      </w:tr>
    </w:tbl>
    <w:p w:rsidR="00F96FE7" w:rsidRPr="007D551F" w:rsidRDefault="00F96FE7" w:rsidP="00F96FE7">
      <w:pPr>
        <w:rPr>
          <w:sz w:val="20"/>
          <w:szCs w:val="20"/>
          <w:lang w:val="fr-CA"/>
        </w:rPr>
      </w:pPr>
    </w:p>
    <w:p w:rsidR="00F96FE7" w:rsidRDefault="00D70052" w:rsidP="00F96FE7">
      <w:pPr>
        <w:rPr>
          <w:sz w:val="20"/>
          <w:szCs w:val="20"/>
          <w:lang w:val="fr-CA"/>
        </w:rPr>
      </w:pPr>
      <w:r w:rsidRPr="00D70052">
        <w:rPr>
          <w:sz w:val="20"/>
          <w:szCs w:val="20"/>
          <w:lang w:val="fr-CA"/>
        </w:rPr>
        <w:pict>
          <v:rect id="_x0000_i1071"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6F4F" w:rsidRPr="00786F4F" w:rsidTr="008B5DBF">
        <w:trPr>
          <w:cantSplit/>
        </w:trPr>
        <w:tc>
          <w:tcPr>
            <w:tcW w:w="1458" w:type="dxa"/>
          </w:tcPr>
          <w:p w:rsidR="00786F4F" w:rsidRPr="00786F4F" w:rsidRDefault="00786F4F" w:rsidP="008B5DBF">
            <w:pPr>
              <w:rPr>
                <w:rFonts w:cs="Times New Roman"/>
                <w:sz w:val="20"/>
                <w:szCs w:val="20"/>
              </w:rPr>
            </w:pPr>
            <w:r w:rsidRPr="00786F4F">
              <w:rPr>
                <w:rStyle w:val="SCCFileNumberChar"/>
                <w:sz w:val="20"/>
                <w:szCs w:val="20"/>
              </w:rPr>
              <w:t>34709</w:t>
            </w:r>
          </w:p>
          <w:p w:rsidR="00786F4F" w:rsidRPr="00786F4F" w:rsidRDefault="00786F4F" w:rsidP="008B5DBF">
            <w:pPr>
              <w:rPr>
                <w:rFonts w:cs="Times New Roman"/>
                <w:b/>
                <w:sz w:val="20"/>
                <w:szCs w:val="20"/>
                <w:lang w:val="fr-CA"/>
              </w:rPr>
            </w:pPr>
          </w:p>
        </w:tc>
        <w:tc>
          <w:tcPr>
            <w:tcW w:w="8118" w:type="dxa"/>
          </w:tcPr>
          <w:p w:rsidR="00786F4F" w:rsidRPr="00786F4F" w:rsidRDefault="00786F4F" w:rsidP="008B5DBF">
            <w:pPr>
              <w:jc w:val="both"/>
              <w:rPr>
                <w:rFonts w:cs="Times New Roman"/>
                <w:sz w:val="20"/>
                <w:szCs w:val="20"/>
              </w:rPr>
            </w:pPr>
            <w:r w:rsidRPr="00786F4F">
              <w:rPr>
                <w:rStyle w:val="SCCLsocChar"/>
                <w:rFonts w:cs="Times New Roman"/>
                <w:sz w:val="20"/>
                <w:szCs w:val="20"/>
                <w:lang w:val="en-CA"/>
              </w:rPr>
              <w:t>Don Reid Stewart, Executor of the Estate of Rene Vallette, Deceased v. Appeals Commission for the Alberta Workers’ Compensation and Workers’ Compensation Board of Alberta</w:t>
            </w:r>
            <w:r w:rsidRPr="00786F4F">
              <w:rPr>
                <w:rFonts w:cs="Times New Roman"/>
                <w:sz w:val="20"/>
                <w:szCs w:val="20"/>
              </w:rPr>
              <w:t xml:space="preserve"> (Alta.) (Civil) (By Leave)</w:t>
            </w:r>
          </w:p>
          <w:p w:rsidR="00786F4F" w:rsidRPr="00786F4F" w:rsidRDefault="00786F4F" w:rsidP="008B5DBF">
            <w:pPr>
              <w:rPr>
                <w:rFonts w:cs="Times New Roman"/>
                <w:sz w:val="20"/>
                <w:szCs w:val="20"/>
              </w:rPr>
            </w:pPr>
          </w:p>
        </w:tc>
      </w:tr>
      <w:tr w:rsidR="00786F4F" w:rsidRPr="00786F4F" w:rsidTr="008B5DBF">
        <w:trPr>
          <w:cantSplit/>
        </w:trPr>
        <w:tc>
          <w:tcPr>
            <w:tcW w:w="1458" w:type="dxa"/>
          </w:tcPr>
          <w:p w:rsidR="00786F4F" w:rsidRPr="00786F4F" w:rsidRDefault="00786F4F" w:rsidP="008B5DBF">
            <w:pPr>
              <w:rPr>
                <w:rFonts w:cs="Times New Roman"/>
                <w:sz w:val="20"/>
                <w:szCs w:val="20"/>
              </w:rPr>
            </w:pPr>
            <w:r w:rsidRPr="00786F4F">
              <w:rPr>
                <w:rFonts w:cs="Times New Roman"/>
                <w:sz w:val="20"/>
                <w:szCs w:val="20"/>
              </w:rPr>
              <w:t>Coram :</w:t>
            </w:r>
          </w:p>
        </w:tc>
        <w:tc>
          <w:tcPr>
            <w:tcW w:w="8118" w:type="dxa"/>
          </w:tcPr>
          <w:p w:rsidR="00786F4F" w:rsidRPr="00786F4F" w:rsidRDefault="00786F4F" w:rsidP="008B5DBF">
            <w:pPr>
              <w:rPr>
                <w:rFonts w:cs="Times New Roman"/>
                <w:sz w:val="20"/>
                <w:szCs w:val="20"/>
              </w:rPr>
            </w:pPr>
            <w:r w:rsidRPr="00786F4F">
              <w:rPr>
                <w:rStyle w:val="SCCCoramChar"/>
                <w:rFonts w:cs="Times New Roman"/>
                <w:sz w:val="20"/>
                <w:szCs w:val="20"/>
                <w:lang w:val="en-CA"/>
              </w:rPr>
              <w:t>McLachlin C.J. and Rothstein and Moldaver JJ.</w:t>
            </w:r>
          </w:p>
          <w:p w:rsidR="00786F4F" w:rsidRPr="00786F4F" w:rsidRDefault="00786F4F" w:rsidP="008B5DBF">
            <w:pPr>
              <w:rPr>
                <w:rFonts w:cs="Times New Roman"/>
                <w:sz w:val="20"/>
                <w:szCs w:val="20"/>
                <w:u w:val="single"/>
              </w:rPr>
            </w:pPr>
          </w:p>
        </w:tc>
      </w:tr>
      <w:tr w:rsidR="00786F4F" w:rsidRPr="00147672" w:rsidTr="008B5DBF">
        <w:trPr>
          <w:cantSplit/>
        </w:trPr>
        <w:tc>
          <w:tcPr>
            <w:tcW w:w="9576" w:type="dxa"/>
            <w:gridSpan w:val="2"/>
          </w:tcPr>
          <w:p w:rsidR="00786F4F" w:rsidRPr="00786F4F" w:rsidRDefault="00786F4F" w:rsidP="008B5DBF">
            <w:pPr>
              <w:pStyle w:val="SCCShortJudgment"/>
              <w:rPr>
                <w:rFonts w:cs="Times New Roman"/>
                <w:szCs w:val="20"/>
              </w:rPr>
            </w:pPr>
            <w:r w:rsidRPr="00786F4F">
              <w:rPr>
                <w:rFonts w:cs="Times New Roman"/>
                <w:szCs w:val="20"/>
              </w:rPr>
              <w:t>The application for leave to appeal from the judgment of the Court of Appeal of Alberta (Edmonton), Number 1103-0014-AC, 2012 ABCA 12, dated January 11, 2012, is dismissed with costs to the respondent Workers’ Compensation Board of Alberta.</w:t>
            </w:r>
          </w:p>
          <w:p w:rsidR="00786F4F" w:rsidRPr="00786F4F" w:rsidRDefault="00786F4F" w:rsidP="008B5DBF">
            <w:pPr>
              <w:pStyle w:val="SCCShortJudgment"/>
              <w:ind w:firstLine="0"/>
              <w:rPr>
                <w:rFonts w:cs="Times New Roman"/>
                <w:szCs w:val="20"/>
              </w:rPr>
            </w:pPr>
          </w:p>
          <w:p w:rsidR="00786F4F" w:rsidRPr="00786F4F" w:rsidRDefault="00786F4F" w:rsidP="008B5DBF">
            <w:pPr>
              <w:pStyle w:val="SCCShortJudgment"/>
              <w:rPr>
                <w:rFonts w:cs="Times New Roman"/>
                <w:szCs w:val="20"/>
                <w:lang w:val="fr-CA"/>
              </w:rPr>
            </w:pPr>
            <w:r w:rsidRPr="00786F4F">
              <w:rPr>
                <w:rFonts w:cs="Times New Roman"/>
                <w:szCs w:val="20"/>
                <w:lang w:val="fr-CA"/>
              </w:rPr>
              <w:t>La demande d’autorisation d’appel de l’arrêt de la Cour d’appel de l’Alberta (Edmonton), numéro 1103-0014-AC, 2012 ABCA 12, daté du 11 janvier 2012, est rejetée avec dépens en faveur de l’intimé Workers’ Compensation Board of Alberta.</w:t>
            </w:r>
          </w:p>
        </w:tc>
      </w:tr>
    </w:tbl>
    <w:p w:rsidR="00F96FE7" w:rsidRPr="00786F4F"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551F" w:rsidRPr="003E4A8C" w:rsidTr="009A57C7">
        <w:tc>
          <w:tcPr>
            <w:tcW w:w="5000" w:type="pct"/>
            <w:gridSpan w:val="3"/>
          </w:tcPr>
          <w:p w:rsidR="007D551F" w:rsidRPr="003E4A8C" w:rsidRDefault="007D551F" w:rsidP="009A57C7">
            <w:pPr>
              <w:jc w:val="both"/>
              <w:rPr>
                <w:rFonts w:eastAsia="Calibri"/>
                <w:sz w:val="20"/>
              </w:rPr>
            </w:pPr>
            <w:r w:rsidRPr="003E4A8C">
              <w:rPr>
                <w:rFonts w:eastAsia="Calibri"/>
                <w:sz w:val="20"/>
              </w:rPr>
              <w:t xml:space="preserve">Workers’ compensation – Economic loss payment – Reduction at retirement age – Claimant suffering heel fracture when he fell from scaffolding – Appeals Commission directing Workers’ Compensation Board to pay minimum for permanent partial disability until claimant reached deemed retirement age – Whether “retirement reduction policy” is contrary to the </w:t>
            </w:r>
            <w:r w:rsidRPr="003E4A8C">
              <w:rPr>
                <w:rFonts w:eastAsia="Calibri"/>
                <w:i/>
                <w:sz w:val="20"/>
              </w:rPr>
              <w:t xml:space="preserve">Workers' Compensation Act – </w:t>
            </w:r>
            <w:r w:rsidRPr="003E4A8C">
              <w:rPr>
                <w:rFonts w:eastAsia="Calibri"/>
                <w:sz w:val="20"/>
              </w:rPr>
              <w:t xml:space="preserve">Appropriate test for determining if a board’s policy is inconsistent with its authorizing legislation – Whether, after conclusively determining that an “impairment of earning capacity” has been caused by a compensable accident, the Board can later attribute all or part of that “impairment of earning capacity” to a subsequent event – </w:t>
            </w:r>
            <w:r w:rsidRPr="003E4A8C">
              <w:rPr>
                <w:rFonts w:eastAsia="Calibri"/>
                <w:i/>
                <w:sz w:val="20"/>
              </w:rPr>
              <w:t>Workers' Compensation Act</w:t>
            </w:r>
            <w:r w:rsidRPr="003E4A8C">
              <w:rPr>
                <w:rFonts w:eastAsia="Calibri"/>
                <w:sz w:val="20"/>
              </w:rPr>
              <w:t>, R.S.A. 2000, c. W-15, s. 56(6), (7).</w:t>
            </w:r>
          </w:p>
        </w:tc>
      </w:tr>
      <w:tr w:rsidR="007D551F" w:rsidRPr="003E4A8C" w:rsidTr="009A57C7">
        <w:tc>
          <w:tcPr>
            <w:tcW w:w="5000" w:type="pct"/>
            <w:gridSpan w:val="3"/>
          </w:tcPr>
          <w:p w:rsidR="007D551F" w:rsidRPr="003E4A8C" w:rsidRDefault="007D551F" w:rsidP="009A57C7">
            <w:pPr>
              <w:jc w:val="both"/>
              <w:rPr>
                <w:rFonts w:eastAsia="Calibri"/>
                <w:sz w:val="20"/>
              </w:rPr>
            </w:pPr>
          </w:p>
        </w:tc>
      </w:tr>
      <w:tr w:rsidR="007D551F" w:rsidRPr="003E4A8C" w:rsidTr="009A57C7">
        <w:tc>
          <w:tcPr>
            <w:tcW w:w="5000" w:type="pct"/>
            <w:gridSpan w:val="3"/>
          </w:tcPr>
          <w:p w:rsidR="007D551F" w:rsidRPr="003E4A8C" w:rsidRDefault="007D551F" w:rsidP="009A57C7">
            <w:pPr>
              <w:jc w:val="both"/>
              <w:rPr>
                <w:rFonts w:eastAsia="Calibri"/>
                <w:sz w:val="20"/>
              </w:rPr>
            </w:pPr>
            <w:r w:rsidRPr="003E4A8C">
              <w:rPr>
                <w:rFonts w:eastAsia="Calibri"/>
                <w:sz w:val="20"/>
              </w:rPr>
              <w:t>The applicant is the executor of the estate of Rene Vallette, deceased.  Mr. Vallette suffered a heel fracture when he fell from scaffolding.  He was 63 years old at the time.  The respondent Appeals Commission directed the respondent Board to pay the minimum economic loss payment ("ELP") for a permanent partial disability.  This was paid until Mr. Vallette reached his deemed retirement age of 69 years in August 2005.  Then, the administrative process under Policy 04-04 recalculated Mr. Vallette's ELP amount based on his deemed retirement, significantly reducing his monthly payments.  The Appeals Commission dismissed Mr. Vallette’s appeal.  Mr. Vallette sought judicial review of, or to appeal from, the Appeals Commission's decision.  His application was dismissed by the chambers judge.  The Court of Appeal upheld that decision.</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lastRenderedPageBreak/>
              <w:t>November 8, 2010</w:t>
            </w:r>
          </w:p>
          <w:p w:rsidR="007D551F" w:rsidRPr="003E4A8C" w:rsidRDefault="007D551F" w:rsidP="009A57C7">
            <w:pPr>
              <w:jc w:val="both"/>
              <w:rPr>
                <w:rFonts w:eastAsia="Calibri"/>
                <w:sz w:val="20"/>
              </w:rPr>
            </w:pPr>
            <w:r w:rsidRPr="003E4A8C">
              <w:rPr>
                <w:rFonts w:eastAsia="Calibri"/>
                <w:sz w:val="20"/>
              </w:rPr>
              <w:t>Court of Queen’s Bench of Alberta</w:t>
            </w:r>
          </w:p>
          <w:p w:rsidR="007D551F" w:rsidRPr="003E4A8C" w:rsidRDefault="007D551F" w:rsidP="009A57C7">
            <w:pPr>
              <w:jc w:val="both"/>
              <w:rPr>
                <w:rFonts w:eastAsia="Calibri"/>
                <w:sz w:val="20"/>
              </w:rPr>
            </w:pPr>
            <w:r w:rsidRPr="003E4A8C">
              <w:rPr>
                <w:rFonts w:eastAsia="Calibri"/>
                <w:sz w:val="20"/>
              </w:rPr>
              <w:t>(Browne J.)</w:t>
            </w:r>
          </w:p>
          <w:p w:rsidR="007D551F" w:rsidRPr="003E4A8C" w:rsidRDefault="007D551F" w:rsidP="009A57C7">
            <w:pPr>
              <w:jc w:val="both"/>
              <w:rPr>
                <w:rFonts w:eastAsia="Calibri"/>
                <w:sz w:val="20"/>
              </w:rPr>
            </w:pPr>
            <w:r w:rsidRPr="003E4A8C">
              <w:rPr>
                <w:rFonts w:eastAsia="Calibri"/>
                <w:sz w:val="20"/>
              </w:rPr>
              <w:t>2010 ABQB 695</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rPr>
            </w:pPr>
            <w:r w:rsidRPr="003E4A8C">
              <w:rPr>
                <w:rFonts w:eastAsia="Calibri"/>
                <w:sz w:val="20"/>
              </w:rPr>
              <w:t>Application for judicial review/appeal dismissed</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t>January 11, 2012</w:t>
            </w:r>
          </w:p>
          <w:p w:rsidR="007D551F" w:rsidRPr="003E4A8C" w:rsidRDefault="007D551F" w:rsidP="009A57C7">
            <w:pPr>
              <w:jc w:val="both"/>
              <w:rPr>
                <w:rFonts w:eastAsia="Calibri"/>
                <w:sz w:val="20"/>
              </w:rPr>
            </w:pPr>
            <w:r w:rsidRPr="003E4A8C">
              <w:rPr>
                <w:rFonts w:eastAsia="Calibri"/>
                <w:sz w:val="20"/>
              </w:rPr>
              <w:t>Court of Appeal of Alberta</w:t>
            </w:r>
          </w:p>
          <w:p w:rsidR="007D551F" w:rsidRPr="003E4A8C" w:rsidRDefault="007D551F" w:rsidP="009A57C7">
            <w:pPr>
              <w:jc w:val="both"/>
              <w:rPr>
                <w:rFonts w:eastAsia="Calibri"/>
                <w:sz w:val="20"/>
              </w:rPr>
            </w:pPr>
            <w:r w:rsidRPr="003E4A8C">
              <w:rPr>
                <w:rFonts w:eastAsia="Calibri"/>
                <w:sz w:val="20"/>
              </w:rPr>
              <w:t>(Berger, Costigan and Bielby JJ.A.)</w:t>
            </w:r>
          </w:p>
          <w:p w:rsidR="007D551F" w:rsidRPr="003E4A8C" w:rsidRDefault="007D551F" w:rsidP="009A57C7">
            <w:pPr>
              <w:jc w:val="both"/>
              <w:rPr>
                <w:rFonts w:eastAsia="Calibri"/>
                <w:sz w:val="20"/>
              </w:rPr>
            </w:pPr>
            <w:r w:rsidRPr="003E4A8C">
              <w:rPr>
                <w:rFonts w:eastAsia="Calibri"/>
                <w:sz w:val="20"/>
              </w:rPr>
              <w:t>2012 ABCA 12</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rPr>
            </w:pPr>
            <w:r w:rsidRPr="003E4A8C">
              <w:rPr>
                <w:rFonts w:eastAsia="Calibri"/>
                <w:sz w:val="20"/>
              </w:rPr>
              <w:t>Appeal dismissed</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t>March 9, 2012</w:t>
            </w:r>
          </w:p>
          <w:p w:rsidR="007D551F" w:rsidRPr="003E4A8C" w:rsidRDefault="007D551F" w:rsidP="009A57C7">
            <w:pPr>
              <w:jc w:val="both"/>
              <w:rPr>
                <w:rFonts w:eastAsia="Calibri"/>
                <w:sz w:val="20"/>
              </w:rPr>
            </w:pPr>
            <w:r w:rsidRPr="003E4A8C">
              <w:rPr>
                <w:rFonts w:eastAsia="Calibri"/>
                <w:sz w:val="20"/>
              </w:rPr>
              <w:t>Supreme Court of Canada</w:t>
            </w: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rPr>
            </w:pPr>
            <w:r w:rsidRPr="003E4A8C">
              <w:rPr>
                <w:rFonts w:eastAsia="Calibri"/>
                <w:sz w:val="20"/>
              </w:rPr>
              <w:t>Application for leave to appeal filed</w:t>
            </w:r>
          </w:p>
          <w:p w:rsidR="007D551F" w:rsidRPr="003E4A8C" w:rsidRDefault="007D551F"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72"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D551F" w:rsidRPr="003E4A8C" w:rsidTr="009A57C7">
        <w:tc>
          <w:tcPr>
            <w:tcW w:w="5000" w:type="pct"/>
            <w:gridSpan w:val="3"/>
          </w:tcPr>
          <w:p w:rsidR="007D551F" w:rsidRPr="003E4A8C" w:rsidRDefault="007D551F" w:rsidP="009A57C7">
            <w:pPr>
              <w:jc w:val="both"/>
              <w:rPr>
                <w:rFonts w:eastAsia="Calibri"/>
                <w:sz w:val="20"/>
                <w:lang w:val="fr-CA"/>
              </w:rPr>
            </w:pPr>
            <w:r w:rsidRPr="003E4A8C">
              <w:rPr>
                <w:rFonts w:eastAsia="Calibri"/>
                <w:sz w:val="20"/>
                <w:lang w:val="fr-CA"/>
              </w:rPr>
              <w:t xml:space="preserve">Accidents du travail – Indemnité pour perte pécuniaire – Réduction à l'âge de la retraite – Le prestataire a subi une fracture du talon lorsqu'il est tombé d'un échafaudage – La commission d'appel a ordonné à la commission des accidents du travail de payer le minimum au titre de l'invalidité partielle permanente jusqu'à ce que le prestataire atteigne l'âge de la retraite présumée – La « politique de la réduction à la retraite » est-elle contraire à la </w:t>
            </w:r>
            <w:r w:rsidRPr="003E4A8C">
              <w:rPr>
                <w:rFonts w:eastAsia="Calibri"/>
                <w:i/>
                <w:sz w:val="20"/>
                <w:lang w:val="fr-CA"/>
              </w:rPr>
              <w:t>Workers' Compensation Act</w:t>
            </w:r>
            <w:r w:rsidRPr="003E4A8C">
              <w:rPr>
                <w:rFonts w:eastAsia="Calibri"/>
                <w:sz w:val="20"/>
                <w:lang w:val="fr-CA"/>
              </w:rPr>
              <w:t>?</w:t>
            </w:r>
            <w:r w:rsidRPr="003E4A8C">
              <w:rPr>
                <w:rFonts w:eastAsia="Calibri"/>
                <w:i/>
                <w:sz w:val="20"/>
                <w:lang w:val="fr-CA"/>
              </w:rPr>
              <w:t xml:space="preserve"> –</w:t>
            </w:r>
            <w:r w:rsidRPr="003E4A8C">
              <w:rPr>
                <w:rFonts w:eastAsia="Calibri"/>
                <w:sz w:val="20"/>
                <w:lang w:val="fr-CA"/>
              </w:rPr>
              <w:t xml:space="preserve"> Critère approprié pour trancher la question de savoir si la politique d'une commission est incompatible avec sa loi habilitante – Après avoir tranché de façon définitive qu'un accident indemnisable avait porté atteinte à la « capacité de gain », la commission peut-elle attribuer par la suite cette « capacité de gain », ou une partie de cette capacité, à un événement subséquent? – </w:t>
            </w:r>
            <w:r w:rsidRPr="003E4A8C">
              <w:rPr>
                <w:rFonts w:eastAsia="Calibri"/>
                <w:i/>
                <w:sz w:val="20"/>
                <w:lang w:val="fr-CA"/>
              </w:rPr>
              <w:t>Workers' Compensation Act</w:t>
            </w:r>
            <w:r w:rsidRPr="003E4A8C">
              <w:rPr>
                <w:rFonts w:eastAsia="Calibri"/>
                <w:sz w:val="20"/>
                <w:lang w:val="fr-CA"/>
              </w:rPr>
              <w:t>, R.S.A. 2000, ch. W-15, art. 56(6), (7).</w:t>
            </w:r>
          </w:p>
        </w:tc>
      </w:tr>
      <w:tr w:rsidR="007D551F" w:rsidRPr="003E4A8C" w:rsidTr="009A57C7">
        <w:tc>
          <w:tcPr>
            <w:tcW w:w="5000" w:type="pct"/>
            <w:gridSpan w:val="3"/>
          </w:tcPr>
          <w:p w:rsidR="007D551F" w:rsidRPr="003E4A8C" w:rsidRDefault="007D551F" w:rsidP="009A57C7">
            <w:pPr>
              <w:jc w:val="both"/>
              <w:rPr>
                <w:rFonts w:eastAsia="Calibri"/>
                <w:sz w:val="20"/>
                <w:lang w:val="fr-CA"/>
              </w:rPr>
            </w:pPr>
          </w:p>
        </w:tc>
      </w:tr>
      <w:tr w:rsidR="007D551F" w:rsidRPr="003E4A8C" w:rsidTr="009A57C7">
        <w:tc>
          <w:tcPr>
            <w:tcW w:w="5000" w:type="pct"/>
            <w:gridSpan w:val="3"/>
          </w:tcPr>
          <w:p w:rsidR="007D551F" w:rsidRPr="003E4A8C" w:rsidRDefault="007D551F" w:rsidP="009A57C7">
            <w:pPr>
              <w:jc w:val="both"/>
              <w:rPr>
                <w:rFonts w:eastAsia="Calibri"/>
                <w:sz w:val="20"/>
                <w:lang w:val="fr-CA"/>
              </w:rPr>
            </w:pPr>
            <w:r w:rsidRPr="003E4A8C">
              <w:rPr>
                <w:rFonts w:eastAsia="Calibri"/>
                <w:sz w:val="20"/>
                <w:lang w:val="fr-CA"/>
              </w:rPr>
              <w:t>Le demandeur est l'exécuteur de la succession de Rene Vallette, décédé.  Monsieur Vallette avait subi une fracture du talon lorsqu'il est tombé d'un échafaudage. Il était âgé de 63 ans à l'époque. La commission d'appel intimée avait ordonné à la commission intimée de payer l'indemnité pour perte pécuniaire minimale (IPP) au titre de l'invalidité partielle permanente. Cette indemnité a été payée jusqu'à ce que M. Valette atteigne l'âge de la retraite présumée de 69 ans en août 2005. Le processus administratif appliqué aux termes de la politique 04-04 a donné lieu à un nouveau calcul du montant de l'IPP en fonction de sa retraite présumée, ce qui a eu pour effet de réduire considérablement ses prestations mensuelles. La commission d'appel a rejeté l'appel de M. Vallette. Celui-ci a demandé le contrôle judiciaire ou l'appel de la décision de la commission d'appel. Sa demande a été rejetée par le juge en chambre. La Cour d'appel a confirmé cette décision.</w:t>
            </w:r>
          </w:p>
          <w:p w:rsidR="007D551F" w:rsidRPr="003E4A8C" w:rsidRDefault="007D551F" w:rsidP="009A57C7">
            <w:pPr>
              <w:jc w:val="both"/>
              <w:rPr>
                <w:rFonts w:eastAsia="Calibri"/>
                <w:sz w:val="20"/>
                <w:lang w:val="fr-CA"/>
              </w:rPr>
            </w:pPr>
          </w:p>
        </w:tc>
      </w:tr>
      <w:tr w:rsidR="007D551F" w:rsidRPr="00147672" w:rsidTr="009A57C7">
        <w:tc>
          <w:tcPr>
            <w:tcW w:w="2427" w:type="pct"/>
          </w:tcPr>
          <w:p w:rsidR="007D551F" w:rsidRPr="003E4A8C" w:rsidRDefault="007D551F" w:rsidP="009A57C7">
            <w:pPr>
              <w:jc w:val="both"/>
              <w:rPr>
                <w:rFonts w:eastAsia="Calibri"/>
                <w:sz w:val="20"/>
                <w:lang w:val="fr-CA"/>
              </w:rPr>
            </w:pPr>
            <w:r w:rsidRPr="003E4A8C">
              <w:rPr>
                <w:rFonts w:eastAsia="Calibri"/>
                <w:sz w:val="20"/>
                <w:lang w:val="fr-CA"/>
              </w:rPr>
              <w:t>8 novembre 2010</w:t>
            </w:r>
          </w:p>
          <w:p w:rsidR="007D551F" w:rsidRPr="003E4A8C" w:rsidRDefault="007D551F" w:rsidP="009A57C7">
            <w:pPr>
              <w:jc w:val="both"/>
              <w:rPr>
                <w:rFonts w:eastAsia="Calibri"/>
                <w:sz w:val="20"/>
                <w:lang w:val="fr-CA"/>
              </w:rPr>
            </w:pPr>
            <w:r w:rsidRPr="003E4A8C">
              <w:rPr>
                <w:rFonts w:eastAsia="Calibri"/>
                <w:sz w:val="20"/>
                <w:lang w:val="fr-CA"/>
              </w:rPr>
              <w:t xml:space="preserve">Cour du Banc de la Reine de l’Alberta </w:t>
            </w:r>
          </w:p>
          <w:p w:rsidR="007D551F" w:rsidRPr="003E4A8C" w:rsidRDefault="007D551F" w:rsidP="009A57C7">
            <w:pPr>
              <w:jc w:val="both"/>
              <w:rPr>
                <w:rFonts w:eastAsia="Calibri"/>
                <w:sz w:val="20"/>
                <w:lang w:val="fr-CA"/>
              </w:rPr>
            </w:pPr>
            <w:r w:rsidRPr="003E4A8C">
              <w:rPr>
                <w:rFonts w:eastAsia="Calibri"/>
                <w:sz w:val="20"/>
                <w:lang w:val="fr-CA"/>
              </w:rPr>
              <w:t>(Juge Browne)</w:t>
            </w:r>
          </w:p>
          <w:p w:rsidR="007D551F" w:rsidRPr="003E4A8C" w:rsidRDefault="007D551F" w:rsidP="009A57C7">
            <w:pPr>
              <w:jc w:val="both"/>
              <w:rPr>
                <w:rFonts w:eastAsia="Calibri"/>
                <w:sz w:val="20"/>
                <w:lang w:val="fr-CA"/>
              </w:rPr>
            </w:pPr>
            <w:r w:rsidRPr="003E4A8C">
              <w:rPr>
                <w:rFonts w:eastAsia="Calibri"/>
                <w:sz w:val="20"/>
                <w:lang w:val="fr-CA"/>
              </w:rPr>
              <w:t>2010 ABQB 695</w:t>
            </w:r>
          </w:p>
          <w:p w:rsidR="007D551F" w:rsidRPr="003E4A8C" w:rsidRDefault="007D551F" w:rsidP="009A57C7">
            <w:pPr>
              <w:jc w:val="both"/>
              <w:rPr>
                <w:rFonts w:eastAsia="Calibri"/>
                <w:sz w:val="20"/>
                <w:lang w:val="fr-CA"/>
              </w:rPr>
            </w:pPr>
          </w:p>
        </w:tc>
        <w:tc>
          <w:tcPr>
            <w:tcW w:w="243" w:type="pct"/>
          </w:tcPr>
          <w:p w:rsidR="007D551F" w:rsidRPr="003E4A8C" w:rsidRDefault="007D551F" w:rsidP="009A57C7">
            <w:pPr>
              <w:jc w:val="both"/>
              <w:rPr>
                <w:rFonts w:eastAsia="Calibri"/>
                <w:sz w:val="20"/>
                <w:lang w:val="fr-CA"/>
              </w:rPr>
            </w:pPr>
          </w:p>
        </w:tc>
        <w:tc>
          <w:tcPr>
            <w:tcW w:w="2330" w:type="pct"/>
          </w:tcPr>
          <w:p w:rsidR="007D551F" w:rsidRPr="003E4A8C" w:rsidRDefault="007D551F" w:rsidP="009A57C7">
            <w:pPr>
              <w:jc w:val="both"/>
              <w:rPr>
                <w:rFonts w:eastAsia="Calibri"/>
                <w:sz w:val="20"/>
                <w:lang w:val="fr-CA"/>
              </w:rPr>
            </w:pPr>
            <w:r w:rsidRPr="003E4A8C">
              <w:rPr>
                <w:rFonts w:eastAsia="Calibri"/>
                <w:sz w:val="20"/>
                <w:lang w:val="fr-CA"/>
              </w:rPr>
              <w:t>Demande de contrôle judiciaire/d'appel, rejetée</w:t>
            </w:r>
          </w:p>
          <w:p w:rsidR="007D551F" w:rsidRPr="003E4A8C" w:rsidRDefault="007D551F" w:rsidP="009A57C7">
            <w:pPr>
              <w:jc w:val="both"/>
              <w:rPr>
                <w:rFonts w:eastAsia="Calibri"/>
                <w:sz w:val="20"/>
                <w:lang w:val="fr-CA"/>
              </w:rPr>
            </w:pPr>
          </w:p>
        </w:tc>
      </w:tr>
      <w:tr w:rsidR="007D551F" w:rsidRPr="003E4A8C" w:rsidTr="009A57C7">
        <w:tc>
          <w:tcPr>
            <w:tcW w:w="2427" w:type="pct"/>
          </w:tcPr>
          <w:p w:rsidR="007D551F" w:rsidRPr="003E4A8C" w:rsidRDefault="007D551F" w:rsidP="009A57C7">
            <w:pPr>
              <w:jc w:val="both"/>
              <w:rPr>
                <w:rFonts w:eastAsia="Calibri"/>
                <w:sz w:val="20"/>
                <w:lang w:val="fr-CA"/>
              </w:rPr>
            </w:pPr>
            <w:r w:rsidRPr="003E4A8C">
              <w:rPr>
                <w:rFonts w:eastAsia="Calibri"/>
                <w:sz w:val="20"/>
                <w:lang w:val="fr-CA"/>
              </w:rPr>
              <w:t>11 janvier 2012</w:t>
            </w:r>
          </w:p>
          <w:p w:rsidR="007D551F" w:rsidRPr="003E4A8C" w:rsidRDefault="007D551F" w:rsidP="009A57C7">
            <w:pPr>
              <w:jc w:val="both"/>
              <w:rPr>
                <w:rFonts w:eastAsia="Calibri"/>
                <w:sz w:val="20"/>
                <w:lang w:val="fr-CA"/>
              </w:rPr>
            </w:pPr>
            <w:r w:rsidRPr="003E4A8C">
              <w:rPr>
                <w:rFonts w:eastAsia="Calibri"/>
                <w:sz w:val="20"/>
                <w:lang w:val="fr-CA"/>
              </w:rPr>
              <w:t xml:space="preserve">Cour d'appel de l'Alberta </w:t>
            </w:r>
          </w:p>
          <w:p w:rsidR="007D551F" w:rsidRPr="003E4A8C" w:rsidRDefault="007D551F" w:rsidP="009A57C7">
            <w:pPr>
              <w:jc w:val="both"/>
              <w:rPr>
                <w:rFonts w:eastAsia="Calibri"/>
                <w:sz w:val="20"/>
                <w:lang w:val="fr-CA"/>
              </w:rPr>
            </w:pPr>
            <w:r w:rsidRPr="003E4A8C">
              <w:rPr>
                <w:rFonts w:eastAsia="Calibri"/>
                <w:sz w:val="20"/>
                <w:lang w:val="fr-CA"/>
              </w:rPr>
              <w:t>(Juges Berger, Costigan et Bielby)</w:t>
            </w:r>
          </w:p>
          <w:p w:rsidR="007D551F" w:rsidRPr="003E4A8C" w:rsidRDefault="007D551F" w:rsidP="009A57C7">
            <w:pPr>
              <w:jc w:val="both"/>
              <w:rPr>
                <w:rFonts w:eastAsia="Calibri"/>
                <w:sz w:val="20"/>
                <w:lang w:val="fr-CA"/>
              </w:rPr>
            </w:pPr>
            <w:r w:rsidRPr="003E4A8C">
              <w:rPr>
                <w:rFonts w:eastAsia="Calibri"/>
                <w:sz w:val="20"/>
                <w:lang w:val="fr-CA"/>
              </w:rPr>
              <w:t>2012 ABCA 12</w:t>
            </w:r>
          </w:p>
          <w:p w:rsidR="007D551F" w:rsidRPr="003E4A8C" w:rsidRDefault="007D551F" w:rsidP="009A57C7">
            <w:pPr>
              <w:jc w:val="both"/>
              <w:rPr>
                <w:rFonts w:eastAsia="Calibri"/>
                <w:sz w:val="20"/>
                <w:lang w:val="fr-CA"/>
              </w:rPr>
            </w:pPr>
          </w:p>
        </w:tc>
        <w:tc>
          <w:tcPr>
            <w:tcW w:w="243" w:type="pct"/>
          </w:tcPr>
          <w:p w:rsidR="007D551F" w:rsidRPr="003E4A8C" w:rsidRDefault="007D551F" w:rsidP="009A57C7">
            <w:pPr>
              <w:jc w:val="both"/>
              <w:rPr>
                <w:rFonts w:eastAsia="Calibri"/>
                <w:sz w:val="20"/>
                <w:lang w:val="fr-CA"/>
              </w:rPr>
            </w:pPr>
          </w:p>
        </w:tc>
        <w:tc>
          <w:tcPr>
            <w:tcW w:w="2330" w:type="pct"/>
          </w:tcPr>
          <w:p w:rsidR="007D551F" w:rsidRPr="003E4A8C" w:rsidRDefault="007D551F" w:rsidP="009A57C7">
            <w:pPr>
              <w:jc w:val="both"/>
              <w:rPr>
                <w:rFonts w:eastAsia="Calibri"/>
                <w:sz w:val="20"/>
                <w:lang w:val="fr-CA"/>
              </w:rPr>
            </w:pPr>
            <w:r w:rsidRPr="003E4A8C">
              <w:rPr>
                <w:rFonts w:eastAsia="Calibri"/>
                <w:sz w:val="20"/>
                <w:lang w:val="fr-CA"/>
              </w:rPr>
              <w:t>Appel rejeté</w:t>
            </w:r>
          </w:p>
          <w:p w:rsidR="007D551F" w:rsidRPr="003E4A8C" w:rsidRDefault="007D551F" w:rsidP="009A57C7">
            <w:pPr>
              <w:jc w:val="both"/>
              <w:rPr>
                <w:rFonts w:eastAsia="Calibri"/>
                <w:sz w:val="20"/>
                <w:lang w:val="fr-CA"/>
              </w:rPr>
            </w:pPr>
          </w:p>
        </w:tc>
      </w:tr>
      <w:tr w:rsidR="007D551F" w:rsidRPr="003E4A8C" w:rsidTr="009A57C7">
        <w:tc>
          <w:tcPr>
            <w:tcW w:w="2427" w:type="pct"/>
          </w:tcPr>
          <w:p w:rsidR="007D551F" w:rsidRPr="003E4A8C" w:rsidRDefault="007D551F" w:rsidP="009A57C7">
            <w:pPr>
              <w:jc w:val="both"/>
              <w:rPr>
                <w:rFonts w:eastAsia="Calibri"/>
                <w:sz w:val="20"/>
                <w:lang w:val="fr-CA"/>
              </w:rPr>
            </w:pPr>
            <w:r w:rsidRPr="003E4A8C">
              <w:rPr>
                <w:rFonts w:eastAsia="Calibri"/>
                <w:sz w:val="20"/>
                <w:lang w:val="fr-CA"/>
              </w:rPr>
              <w:t>9 mars 2012</w:t>
            </w:r>
          </w:p>
          <w:p w:rsidR="007D551F" w:rsidRPr="003E4A8C" w:rsidRDefault="007D551F" w:rsidP="009A57C7">
            <w:pPr>
              <w:jc w:val="both"/>
              <w:rPr>
                <w:rFonts w:eastAsia="Calibri"/>
                <w:sz w:val="20"/>
                <w:lang w:val="fr-CA"/>
              </w:rPr>
            </w:pPr>
            <w:r w:rsidRPr="003E4A8C">
              <w:rPr>
                <w:rFonts w:eastAsia="Calibri"/>
                <w:sz w:val="20"/>
                <w:lang w:val="fr-CA"/>
              </w:rPr>
              <w:t>Cour suprême du Canada</w:t>
            </w:r>
          </w:p>
        </w:tc>
        <w:tc>
          <w:tcPr>
            <w:tcW w:w="243" w:type="pct"/>
          </w:tcPr>
          <w:p w:rsidR="007D551F" w:rsidRPr="003E4A8C" w:rsidRDefault="007D551F" w:rsidP="009A57C7">
            <w:pPr>
              <w:jc w:val="both"/>
              <w:rPr>
                <w:rFonts w:eastAsia="Calibri"/>
                <w:sz w:val="20"/>
                <w:lang w:val="fr-CA"/>
              </w:rPr>
            </w:pPr>
          </w:p>
        </w:tc>
        <w:tc>
          <w:tcPr>
            <w:tcW w:w="2330" w:type="pct"/>
          </w:tcPr>
          <w:p w:rsidR="007D551F" w:rsidRPr="003E4A8C" w:rsidRDefault="007D551F" w:rsidP="009A57C7">
            <w:pPr>
              <w:jc w:val="both"/>
              <w:rPr>
                <w:rFonts w:eastAsia="Calibri"/>
                <w:sz w:val="20"/>
                <w:lang w:val="fr-CA"/>
              </w:rPr>
            </w:pPr>
            <w:r w:rsidRPr="003E4A8C">
              <w:rPr>
                <w:rFonts w:eastAsia="Calibri"/>
                <w:sz w:val="20"/>
                <w:lang w:val="fr-CA"/>
              </w:rPr>
              <w:t>Demande d'autorisation d'appel, déposée</w:t>
            </w:r>
          </w:p>
          <w:p w:rsidR="007D551F" w:rsidRPr="003E4A8C" w:rsidRDefault="007D551F" w:rsidP="009A57C7">
            <w:pPr>
              <w:jc w:val="both"/>
              <w:rPr>
                <w:rFonts w:eastAsia="Calibri"/>
                <w:sz w:val="20"/>
                <w:lang w:val="fr-CA"/>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73"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7B5A" w:rsidRPr="00B861B1" w:rsidTr="008B5DBF">
        <w:trPr>
          <w:cantSplit/>
        </w:trPr>
        <w:tc>
          <w:tcPr>
            <w:tcW w:w="1458" w:type="dxa"/>
          </w:tcPr>
          <w:p w:rsidR="00CB7B5A" w:rsidRPr="00B861B1" w:rsidRDefault="00CB7B5A" w:rsidP="008B5DBF">
            <w:pPr>
              <w:rPr>
                <w:rFonts w:cs="Times New Roman"/>
                <w:sz w:val="20"/>
                <w:szCs w:val="20"/>
              </w:rPr>
            </w:pPr>
            <w:r w:rsidRPr="00B861B1">
              <w:rPr>
                <w:rStyle w:val="SCCFileNumberChar"/>
                <w:sz w:val="20"/>
                <w:szCs w:val="20"/>
              </w:rPr>
              <w:t>34714</w:t>
            </w:r>
          </w:p>
          <w:p w:rsidR="00CB7B5A" w:rsidRPr="00B861B1" w:rsidRDefault="00CB7B5A" w:rsidP="008B5DBF">
            <w:pPr>
              <w:rPr>
                <w:rFonts w:cs="Times New Roman"/>
                <w:b/>
                <w:sz w:val="20"/>
                <w:szCs w:val="20"/>
                <w:lang w:val="fr-CA"/>
              </w:rPr>
            </w:pPr>
          </w:p>
        </w:tc>
        <w:tc>
          <w:tcPr>
            <w:tcW w:w="8118" w:type="dxa"/>
          </w:tcPr>
          <w:p w:rsidR="00CB7B5A" w:rsidRPr="00B861B1" w:rsidRDefault="00CB7B5A" w:rsidP="008B5DBF">
            <w:pPr>
              <w:jc w:val="both"/>
              <w:rPr>
                <w:rFonts w:cs="Times New Roman"/>
                <w:sz w:val="20"/>
                <w:szCs w:val="20"/>
              </w:rPr>
            </w:pPr>
            <w:r w:rsidRPr="00CB7B5A">
              <w:rPr>
                <w:rStyle w:val="SCCLsocChar"/>
                <w:rFonts w:cs="Times New Roman"/>
                <w:sz w:val="20"/>
                <w:szCs w:val="20"/>
                <w:lang w:val="en-CA"/>
              </w:rPr>
              <w:t>Thomas Burns, Henry Grant, Lawrence Graham, Victor Greer, Mike Hawkes, Glenn Mills, Byron Murphy and Estate of Arnold Pike as represented by Sheila Gray, Executrix and Personal Representative of the Estate of Arnold Pike v. National Automobile, Aerospace, Transportation and General Workers Union of Canada (CAW-Canada), Local 219 and National Automobile, Aerospace, Transportation and General Workers Union of Canada (CAW-Canada)</w:t>
            </w:r>
            <w:r w:rsidRPr="00B861B1">
              <w:rPr>
                <w:rFonts w:cs="Times New Roman"/>
                <w:sz w:val="20"/>
                <w:szCs w:val="20"/>
              </w:rPr>
              <w:t xml:space="preserve"> (N.B.) (Civil) (By Leave)</w:t>
            </w:r>
          </w:p>
          <w:p w:rsidR="00CB7B5A" w:rsidRPr="00B861B1" w:rsidRDefault="00CB7B5A" w:rsidP="008B5DBF">
            <w:pPr>
              <w:rPr>
                <w:rFonts w:cs="Times New Roman"/>
                <w:sz w:val="20"/>
                <w:szCs w:val="20"/>
              </w:rPr>
            </w:pPr>
          </w:p>
        </w:tc>
      </w:tr>
      <w:tr w:rsidR="00CB7B5A" w:rsidRPr="00B861B1" w:rsidTr="008B5DBF">
        <w:trPr>
          <w:cantSplit/>
        </w:trPr>
        <w:tc>
          <w:tcPr>
            <w:tcW w:w="1458" w:type="dxa"/>
          </w:tcPr>
          <w:p w:rsidR="00CB7B5A" w:rsidRPr="00B861B1" w:rsidRDefault="00CB7B5A" w:rsidP="008B5DBF">
            <w:pPr>
              <w:rPr>
                <w:rFonts w:cs="Times New Roman"/>
                <w:sz w:val="20"/>
                <w:szCs w:val="20"/>
              </w:rPr>
            </w:pPr>
            <w:r w:rsidRPr="00B861B1">
              <w:rPr>
                <w:rFonts w:cs="Times New Roman"/>
                <w:sz w:val="20"/>
                <w:szCs w:val="20"/>
              </w:rPr>
              <w:t>Coram :</w:t>
            </w:r>
          </w:p>
        </w:tc>
        <w:tc>
          <w:tcPr>
            <w:tcW w:w="8118" w:type="dxa"/>
          </w:tcPr>
          <w:p w:rsidR="00CB7B5A" w:rsidRPr="00B861B1" w:rsidRDefault="00CB7B5A" w:rsidP="008B5DBF">
            <w:pPr>
              <w:rPr>
                <w:rFonts w:cs="Times New Roman"/>
                <w:sz w:val="20"/>
                <w:szCs w:val="20"/>
              </w:rPr>
            </w:pPr>
            <w:r w:rsidRPr="00CB7B5A">
              <w:rPr>
                <w:rStyle w:val="SCCCoramChar"/>
                <w:rFonts w:cs="Times New Roman"/>
                <w:sz w:val="20"/>
                <w:szCs w:val="20"/>
                <w:lang w:val="en-CA"/>
              </w:rPr>
              <w:t>Deschamps, Fish and Karakatsanis JJ.</w:t>
            </w:r>
          </w:p>
          <w:p w:rsidR="00CB7B5A" w:rsidRPr="00B861B1" w:rsidRDefault="00CB7B5A" w:rsidP="008B5DBF">
            <w:pPr>
              <w:rPr>
                <w:rFonts w:cs="Times New Roman"/>
                <w:sz w:val="20"/>
                <w:szCs w:val="20"/>
                <w:u w:val="single"/>
              </w:rPr>
            </w:pPr>
          </w:p>
        </w:tc>
      </w:tr>
      <w:tr w:rsidR="00CB7B5A" w:rsidRPr="00147672" w:rsidTr="008B5DBF">
        <w:trPr>
          <w:cantSplit/>
        </w:trPr>
        <w:tc>
          <w:tcPr>
            <w:tcW w:w="9576" w:type="dxa"/>
            <w:gridSpan w:val="2"/>
          </w:tcPr>
          <w:p w:rsidR="00CB7B5A" w:rsidRPr="00B861B1" w:rsidRDefault="00CB7B5A" w:rsidP="008B5DBF">
            <w:pPr>
              <w:pStyle w:val="SCCShortJudgment"/>
              <w:rPr>
                <w:rFonts w:cs="Times New Roman"/>
                <w:szCs w:val="20"/>
              </w:rPr>
            </w:pPr>
            <w:r w:rsidRPr="00B861B1">
              <w:rPr>
                <w:rFonts w:cs="Times New Roman"/>
                <w:szCs w:val="20"/>
              </w:rPr>
              <w:t>The application for leave to appeal from the judgment of the Court of Appeal of New Brunswick, Number 140-10-CA, 2012 NBCA 13, dated February 16, 2012, is dismissed with costs.</w:t>
            </w:r>
          </w:p>
          <w:p w:rsidR="00CB7B5A" w:rsidRPr="00B861B1" w:rsidRDefault="00CB7B5A" w:rsidP="008B5DBF">
            <w:pPr>
              <w:pStyle w:val="SCCShortJudgment"/>
              <w:ind w:firstLine="0"/>
              <w:rPr>
                <w:rFonts w:cs="Times New Roman"/>
                <w:szCs w:val="20"/>
              </w:rPr>
            </w:pPr>
          </w:p>
          <w:p w:rsidR="00CB7B5A" w:rsidRPr="00B861B1" w:rsidRDefault="00CB7B5A" w:rsidP="008B5DBF">
            <w:pPr>
              <w:pStyle w:val="SCCShortJudgment"/>
              <w:rPr>
                <w:rFonts w:cs="Times New Roman"/>
                <w:szCs w:val="20"/>
                <w:lang w:val="fr-CA"/>
              </w:rPr>
            </w:pPr>
            <w:r w:rsidRPr="00B861B1">
              <w:rPr>
                <w:rFonts w:cs="Times New Roman"/>
                <w:szCs w:val="20"/>
                <w:lang w:val="fr-CA"/>
              </w:rPr>
              <w:t>La demande d’autorisation d’appel de l’arrêt de la Cour d’appel du Nouveau-Brunswick, numéro 140-10-CA, 2012 NBCA 13, daté du 16 février 2012, est rejetée avec dépens.</w:t>
            </w:r>
          </w:p>
        </w:tc>
      </w:tr>
    </w:tbl>
    <w:p w:rsidR="00F96FE7" w:rsidRPr="00CB7B5A"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423FA" w:rsidRPr="003E4A8C" w:rsidTr="009A57C7">
        <w:tc>
          <w:tcPr>
            <w:tcW w:w="5000" w:type="pct"/>
            <w:gridSpan w:val="3"/>
          </w:tcPr>
          <w:p w:rsidR="003423FA" w:rsidRPr="003E4A8C" w:rsidRDefault="003423FA" w:rsidP="009A57C7">
            <w:pPr>
              <w:jc w:val="both"/>
              <w:rPr>
                <w:rFonts w:eastAsia="Calibri"/>
                <w:sz w:val="20"/>
              </w:rPr>
            </w:pPr>
            <w:r w:rsidRPr="003E4A8C">
              <w:rPr>
                <w:rFonts w:eastAsia="Calibri"/>
                <w:sz w:val="20"/>
              </w:rPr>
              <w:t>Labour relations – Unions – Duty of fair representation – Applicants not among those rehired by new owners after pulp mill was sold – Applicants taking action against respondent unions, arguing that they had failed in their duty of fair representation – Whether, if a union negotiates clear language in a collective agreement, it is required to clearly explain its impact on its members before ratification – Whether courts have an obligation to address the issues before them, including specific contradictory evidence.</w:t>
            </w:r>
          </w:p>
        </w:tc>
      </w:tr>
      <w:tr w:rsidR="003423FA" w:rsidRPr="003E4A8C" w:rsidTr="009A57C7">
        <w:tc>
          <w:tcPr>
            <w:tcW w:w="5000" w:type="pct"/>
            <w:gridSpan w:val="3"/>
          </w:tcPr>
          <w:p w:rsidR="003423FA" w:rsidRPr="003E4A8C" w:rsidRDefault="003423FA" w:rsidP="009A57C7">
            <w:pPr>
              <w:jc w:val="both"/>
              <w:rPr>
                <w:rFonts w:eastAsia="Calibri"/>
                <w:sz w:val="20"/>
              </w:rPr>
            </w:pPr>
          </w:p>
        </w:tc>
      </w:tr>
      <w:tr w:rsidR="003423FA" w:rsidRPr="003E4A8C" w:rsidTr="009A57C7">
        <w:tc>
          <w:tcPr>
            <w:tcW w:w="5000" w:type="pct"/>
            <w:gridSpan w:val="3"/>
          </w:tcPr>
          <w:p w:rsidR="003423FA" w:rsidRPr="003E4A8C" w:rsidRDefault="003423FA" w:rsidP="009A57C7">
            <w:pPr>
              <w:jc w:val="both"/>
              <w:rPr>
                <w:rFonts w:eastAsia="Calibri"/>
                <w:sz w:val="20"/>
              </w:rPr>
            </w:pPr>
            <w:r w:rsidRPr="003E4A8C">
              <w:rPr>
                <w:rFonts w:eastAsia="Calibri"/>
                <w:sz w:val="20"/>
              </w:rPr>
              <w:t>The applicants are former employees of St. Anne-Nackawic Pulp Company Ltd. who worked at the company's pulp mill in New Brunswick.  While employees, they were represented by the respondent local and national trade union.  The mill was sold and the applicants, all of whom had been long-term employees of St. Anne-Nackawic, were not among those rehired by the new owners.  The applicants took action against the respondents, arguing that they had failed in their duty of fair representation.  Their claim was dismissed.  The Court of Appeal dismissed the applicants’ appeal.</w:t>
            </w:r>
          </w:p>
          <w:p w:rsidR="003423FA" w:rsidRPr="003E4A8C" w:rsidRDefault="003423FA" w:rsidP="009A57C7">
            <w:pPr>
              <w:jc w:val="both"/>
              <w:rPr>
                <w:rFonts w:eastAsia="Calibri"/>
                <w:sz w:val="20"/>
              </w:rPr>
            </w:pPr>
          </w:p>
        </w:tc>
      </w:tr>
      <w:tr w:rsidR="003423FA" w:rsidRPr="003E4A8C" w:rsidTr="009A57C7">
        <w:tc>
          <w:tcPr>
            <w:tcW w:w="2427" w:type="pct"/>
          </w:tcPr>
          <w:p w:rsidR="003423FA" w:rsidRPr="003E4A8C" w:rsidRDefault="003423FA" w:rsidP="009A57C7">
            <w:pPr>
              <w:jc w:val="both"/>
              <w:rPr>
                <w:rFonts w:eastAsia="Calibri"/>
                <w:sz w:val="20"/>
              </w:rPr>
            </w:pPr>
            <w:r w:rsidRPr="003E4A8C">
              <w:rPr>
                <w:rFonts w:eastAsia="Calibri"/>
                <w:sz w:val="20"/>
              </w:rPr>
              <w:t>September 28, 2010</w:t>
            </w:r>
          </w:p>
          <w:p w:rsidR="003423FA" w:rsidRPr="003E4A8C" w:rsidRDefault="003423FA" w:rsidP="009A57C7">
            <w:pPr>
              <w:jc w:val="both"/>
              <w:rPr>
                <w:rFonts w:eastAsia="Calibri"/>
                <w:sz w:val="20"/>
              </w:rPr>
            </w:pPr>
            <w:r w:rsidRPr="003E4A8C">
              <w:rPr>
                <w:rFonts w:eastAsia="Calibri"/>
                <w:sz w:val="20"/>
              </w:rPr>
              <w:t>Court of Queen’s Bench of New Brunswick</w:t>
            </w:r>
          </w:p>
          <w:p w:rsidR="003423FA" w:rsidRPr="003E4A8C" w:rsidRDefault="003423FA" w:rsidP="009A57C7">
            <w:pPr>
              <w:jc w:val="both"/>
              <w:rPr>
                <w:rFonts w:eastAsia="Calibri"/>
                <w:sz w:val="20"/>
              </w:rPr>
            </w:pPr>
            <w:r w:rsidRPr="003E4A8C">
              <w:rPr>
                <w:rFonts w:eastAsia="Calibri"/>
                <w:sz w:val="20"/>
              </w:rPr>
              <w:t>(Clendening J.)</w:t>
            </w:r>
          </w:p>
          <w:p w:rsidR="003423FA" w:rsidRPr="003E4A8C" w:rsidRDefault="003423FA" w:rsidP="009A57C7">
            <w:pPr>
              <w:jc w:val="both"/>
              <w:rPr>
                <w:rFonts w:eastAsia="Calibri"/>
                <w:sz w:val="20"/>
              </w:rPr>
            </w:pPr>
            <w:r w:rsidRPr="003E4A8C">
              <w:rPr>
                <w:rFonts w:eastAsia="Calibri"/>
                <w:sz w:val="20"/>
              </w:rPr>
              <w:t>2010 NBQB 308</w:t>
            </w:r>
          </w:p>
          <w:p w:rsidR="003423FA" w:rsidRPr="003E4A8C" w:rsidRDefault="003423FA" w:rsidP="009A57C7">
            <w:pPr>
              <w:jc w:val="both"/>
              <w:rPr>
                <w:rFonts w:eastAsia="Calibri"/>
                <w:sz w:val="20"/>
              </w:rPr>
            </w:pPr>
          </w:p>
        </w:tc>
        <w:tc>
          <w:tcPr>
            <w:tcW w:w="243" w:type="pct"/>
          </w:tcPr>
          <w:p w:rsidR="003423FA" w:rsidRPr="003E4A8C" w:rsidRDefault="003423FA" w:rsidP="009A57C7">
            <w:pPr>
              <w:jc w:val="both"/>
              <w:rPr>
                <w:rFonts w:eastAsia="Calibri"/>
                <w:sz w:val="20"/>
              </w:rPr>
            </w:pPr>
          </w:p>
        </w:tc>
        <w:tc>
          <w:tcPr>
            <w:tcW w:w="2330" w:type="pct"/>
          </w:tcPr>
          <w:p w:rsidR="003423FA" w:rsidRPr="003E4A8C" w:rsidRDefault="003423FA" w:rsidP="009A57C7">
            <w:pPr>
              <w:jc w:val="both"/>
              <w:rPr>
                <w:rFonts w:eastAsia="Calibri"/>
                <w:sz w:val="20"/>
              </w:rPr>
            </w:pPr>
            <w:r w:rsidRPr="003E4A8C">
              <w:rPr>
                <w:rFonts w:eastAsia="Calibri"/>
                <w:sz w:val="20"/>
              </w:rPr>
              <w:t>Applicants’ claim dismissed without costs</w:t>
            </w:r>
          </w:p>
          <w:p w:rsidR="003423FA" w:rsidRPr="003E4A8C" w:rsidRDefault="003423FA" w:rsidP="009A57C7">
            <w:pPr>
              <w:jc w:val="both"/>
              <w:rPr>
                <w:rFonts w:eastAsia="Calibri"/>
                <w:sz w:val="20"/>
              </w:rPr>
            </w:pPr>
          </w:p>
        </w:tc>
      </w:tr>
      <w:tr w:rsidR="003423FA" w:rsidRPr="003E4A8C" w:rsidTr="009A57C7">
        <w:tc>
          <w:tcPr>
            <w:tcW w:w="2427" w:type="pct"/>
          </w:tcPr>
          <w:p w:rsidR="003423FA" w:rsidRPr="003E4A8C" w:rsidRDefault="003423FA" w:rsidP="009A57C7">
            <w:pPr>
              <w:jc w:val="both"/>
              <w:rPr>
                <w:rFonts w:eastAsia="Calibri"/>
                <w:sz w:val="20"/>
              </w:rPr>
            </w:pPr>
            <w:r w:rsidRPr="003E4A8C">
              <w:rPr>
                <w:rFonts w:eastAsia="Calibri"/>
                <w:sz w:val="20"/>
              </w:rPr>
              <w:t>February 16, 2012</w:t>
            </w:r>
          </w:p>
          <w:p w:rsidR="003423FA" w:rsidRPr="003E4A8C" w:rsidRDefault="003423FA" w:rsidP="009A57C7">
            <w:pPr>
              <w:jc w:val="both"/>
              <w:rPr>
                <w:rFonts w:eastAsia="Calibri"/>
                <w:sz w:val="20"/>
              </w:rPr>
            </w:pPr>
            <w:r w:rsidRPr="003E4A8C">
              <w:rPr>
                <w:rFonts w:eastAsia="Calibri"/>
                <w:sz w:val="20"/>
              </w:rPr>
              <w:t>Court of Appeal of New Brunswick</w:t>
            </w:r>
          </w:p>
          <w:p w:rsidR="003423FA" w:rsidRPr="003E4A8C" w:rsidRDefault="003423FA" w:rsidP="009A57C7">
            <w:pPr>
              <w:jc w:val="both"/>
              <w:rPr>
                <w:rFonts w:eastAsia="Calibri"/>
                <w:sz w:val="20"/>
              </w:rPr>
            </w:pPr>
            <w:r w:rsidRPr="003E4A8C">
              <w:rPr>
                <w:rFonts w:eastAsia="Calibri"/>
                <w:sz w:val="20"/>
              </w:rPr>
              <w:t>(Robertson, Richard and Green JJ.A.)</w:t>
            </w:r>
          </w:p>
          <w:p w:rsidR="003423FA" w:rsidRPr="003E4A8C" w:rsidRDefault="003423FA" w:rsidP="009A57C7">
            <w:pPr>
              <w:jc w:val="both"/>
              <w:rPr>
                <w:rFonts w:eastAsia="Calibri"/>
                <w:sz w:val="20"/>
              </w:rPr>
            </w:pPr>
            <w:r w:rsidRPr="003E4A8C">
              <w:rPr>
                <w:rFonts w:eastAsia="Calibri"/>
                <w:sz w:val="20"/>
              </w:rPr>
              <w:t>2012 NBCA 13</w:t>
            </w:r>
          </w:p>
          <w:p w:rsidR="003423FA" w:rsidRPr="003E4A8C" w:rsidRDefault="003423FA" w:rsidP="009A57C7">
            <w:pPr>
              <w:jc w:val="both"/>
              <w:rPr>
                <w:rFonts w:eastAsia="Calibri"/>
                <w:sz w:val="20"/>
              </w:rPr>
            </w:pPr>
          </w:p>
        </w:tc>
        <w:tc>
          <w:tcPr>
            <w:tcW w:w="243" w:type="pct"/>
          </w:tcPr>
          <w:p w:rsidR="003423FA" w:rsidRPr="003E4A8C" w:rsidRDefault="003423FA" w:rsidP="009A57C7">
            <w:pPr>
              <w:jc w:val="both"/>
              <w:rPr>
                <w:rFonts w:eastAsia="Calibri"/>
                <w:sz w:val="20"/>
              </w:rPr>
            </w:pPr>
          </w:p>
        </w:tc>
        <w:tc>
          <w:tcPr>
            <w:tcW w:w="2330" w:type="pct"/>
          </w:tcPr>
          <w:p w:rsidR="003423FA" w:rsidRPr="003E4A8C" w:rsidRDefault="003423FA" w:rsidP="009A57C7">
            <w:pPr>
              <w:jc w:val="both"/>
              <w:rPr>
                <w:rFonts w:eastAsia="Calibri"/>
                <w:sz w:val="20"/>
              </w:rPr>
            </w:pPr>
            <w:r w:rsidRPr="003E4A8C">
              <w:rPr>
                <w:rFonts w:eastAsia="Calibri"/>
                <w:sz w:val="20"/>
              </w:rPr>
              <w:t>Appeal dismissed and cross-appeal with respect to issue of costs at trial allowed</w:t>
            </w:r>
          </w:p>
          <w:p w:rsidR="003423FA" w:rsidRPr="003E4A8C" w:rsidRDefault="003423FA" w:rsidP="009A57C7">
            <w:pPr>
              <w:jc w:val="both"/>
              <w:rPr>
                <w:rFonts w:eastAsia="Calibri"/>
                <w:sz w:val="20"/>
              </w:rPr>
            </w:pPr>
          </w:p>
        </w:tc>
      </w:tr>
      <w:tr w:rsidR="003423FA" w:rsidRPr="003E4A8C" w:rsidTr="009A57C7">
        <w:tc>
          <w:tcPr>
            <w:tcW w:w="2427" w:type="pct"/>
          </w:tcPr>
          <w:p w:rsidR="003423FA" w:rsidRPr="003E4A8C" w:rsidRDefault="003423FA" w:rsidP="009A57C7">
            <w:pPr>
              <w:jc w:val="both"/>
              <w:rPr>
                <w:rFonts w:eastAsia="Calibri"/>
                <w:sz w:val="20"/>
              </w:rPr>
            </w:pPr>
            <w:r w:rsidRPr="003E4A8C">
              <w:rPr>
                <w:rFonts w:eastAsia="Calibri"/>
                <w:sz w:val="20"/>
              </w:rPr>
              <w:t>March 13, 2012</w:t>
            </w:r>
          </w:p>
          <w:p w:rsidR="003423FA" w:rsidRPr="003E4A8C" w:rsidRDefault="003423FA" w:rsidP="003423FA">
            <w:pPr>
              <w:jc w:val="both"/>
              <w:rPr>
                <w:rFonts w:eastAsia="Calibri"/>
                <w:sz w:val="20"/>
              </w:rPr>
            </w:pPr>
            <w:r w:rsidRPr="003E4A8C">
              <w:rPr>
                <w:rFonts w:eastAsia="Calibri"/>
                <w:sz w:val="20"/>
              </w:rPr>
              <w:t>Supreme Court of Canada</w:t>
            </w:r>
          </w:p>
        </w:tc>
        <w:tc>
          <w:tcPr>
            <w:tcW w:w="243" w:type="pct"/>
          </w:tcPr>
          <w:p w:rsidR="003423FA" w:rsidRPr="003E4A8C" w:rsidRDefault="003423FA" w:rsidP="009A57C7">
            <w:pPr>
              <w:jc w:val="both"/>
              <w:rPr>
                <w:rFonts w:eastAsia="Calibri"/>
                <w:sz w:val="20"/>
              </w:rPr>
            </w:pPr>
          </w:p>
        </w:tc>
        <w:tc>
          <w:tcPr>
            <w:tcW w:w="2330" w:type="pct"/>
          </w:tcPr>
          <w:p w:rsidR="003423FA" w:rsidRPr="003E4A8C" w:rsidRDefault="003423FA" w:rsidP="009A57C7">
            <w:pPr>
              <w:jc w:val="both"/>
              <w:rPr>
                <w:rFonts w:eastAsia="Calibri"/>
                <w:sz w:val="20"/>
              </w:rPr>
            </w:pPr>
            <w:r w:rsidRPr="003E4A8C">
              <w:rPr>
                <w:rFonts w:eastAsia="Calibri"/>
                <w:sz w:val="20"/>
              </w:rPr>
              <w:t>Application for leave to appeal filed</w:t>
            </w:r>
          </w:p>
          <w:p w:rsidR="003423FA" w:rsidRPr="003E4A8C" w:rsidRDefault="003423FA"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74"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423FA" w:rsidRPr="00147672" w:rsidTr="009A57C7">
        <w:tc>
          <w:tcPr>
            <w:tcW w:w="5000" w:type="pct"/>
            <w:gridSpan w:val="3"/>
          </w:tcPr>
          <w:p w:rsidR="003423FA" w:rsidRPr="003E4A8C" w:rsidRDefault="003423FA" w:rsidP="009A57C7">
            <w:pPr>
              <w:jc w:val="both"/>
              <w:rPr>
                <w:rFonts w:eastAsia="Calibri"/>
                <w:sz w:val="20"/>
                <w:lang w:val="fr-FR"/>
              </w:rPr>
            </w:pPr>
            <w:r w:rsidRPr="003E4A8C">
              <w:rPr>
                <w:rFonts w:eastAsia="Calibri"/>
                <w:sz w:val="20"/>
                <w:lang w:val="fr-FR"/>
              </w:rPr>
              <w:t xml:space="preserve">Relations du travail – Syndicats – Devoir de juste représentation – Demandeurs non  réembauchés par les nouveaux propriétaires après la vente de l’usine de pâte – Poursuite engagée contre les syndicats intimés par les demandeurs, qui </w:t>
            </w:r>
            <w:r w:rsidRPr="003E4A8C">
              <w:rPr>
                <w:rFonts w:eastAsia="Calibri"/>
                <w:sz w:val="20"/>
                <w:lang w:val="fr-FR"/>
              </w:rPr>
              <w:lastRenderedPageBreak/>
              <w:t>leur reprochent d’avoir manqué à leur devoir de juste représentation – Le syndicat qui obtient par la négociation des dispositions claires dans une convention collective est-il tenu d’en expliquer clairement les répercussions à ses membres avant de ratifier la convention collective? – Les tribunaux ont-ils l’obligation d’examiner les questions dont ils sont saisis, y compris des éléments de preuve contradictoires en particulier?</w:t>
            </w:r>
          </w:p>
        </w:tc>
      </w:tr>
      <w:tr w:rsidR="003423FA" w:rsidRPr="00147672" w:rsidTr="009A57C7">
        <w:tc>
          <w:tcPr>
            <w:tcW w:w="5000" w:type="pct"/>
            <w:gridSpan w:val="3"/>
          </w:tcPr>
          <w:p w:rsidR="003423FA" w:rsidRPr="003E4A8C" w:rsidRDefault="003423FA" w:rsidP="009A57C7">
            <w:pPr>
              <w:jc w:val="both"/>
              <w:rPr>
                <w:rFonts w:eastAsia="Calibri"/>
                <w:sz w:val="20"/>
                <w:lang w:val="fr-FR"/>
              </w:rPr>
            </w:pPr>
          </w:p>
        </w:tc>
      </w:tr>
      <w:tr w:rsidR="003423FA" w:rsidRPr="00147672" w:rsidTr="009A57C7">
        <w:tc>
          <w:tcPr>
            <w:tcW w:w="5000" w:type="pct"/>
            <w:gridSpan w:val="3"/>
          </w:tcPr>
          <w:p w:rsidR="003423FA" w:rsidRPr="003E4A8C" w:rsidRDefault="003423FA" w:rsidP="009A57C7">
            <w:pPr>
              <w:jc w:val="both"/>
              <w:rPr>
                <w:rFonts w:eastAsia="Calibri"/>
                <w:sz w:val="20"/>
                <w:lang w:val="fr-FR"/>
              </w:rPr>
            </w:pPr>
            <w:r w:rsidRPr="003E4A8C">
              <w:rPr>
                <w:rFonts w:eastAsia="Calibri"/>
                <w:sz w:val="20"/>
                <w:lang w:val="fr-FR"/>
              </w:rPr>
              <w:t xml:space="preserve">Les demandeurs sont d’anciens employés de la St. Anne-Nackawic Pulp Company Ltd. qui ont travaillé à son usine de pâte située au Nouveau-Brunswick. Ils étaient alors représentés par les syndicats local et national intimés. L’usine a été vendue et les demandeurs, qui étaient tous des employés de longue date de St. Anne-Nackawic, ne faisaient pas partie de ceux qui ont été réembauchés par les nouveaux propriétaires. Les demandeurs ont poursuivi les intimés, soutenant qu’ils avaient manqué à leur devoir de juste représentation. </w:t>
            </w:r>
            <w:r w:rsidRPr="003E4A8C">
              <w:rPr>
                <w:rFonts w:eastAsia="Calibri"/>
                <w:sz w:val="20"/>
                <w:lang w:val="fr-CA"/>
              </w:rPr>
              <w:t xml:space="preserve">Leur action a été rejetée. </w:t>
            </w:r>
            <w:r w:rsidRPr="003E4A8C">
              <w:rPr>
                <w:rFonts w:eastAsia="Calibri"/>
                <w:sz w:val="20"/>
                <w:lang w:val="fr-FR"/>
              </w:rPr>
              <w:t>La Cour d’appel a rejeté l’appel formé par les demandeurs.</w:t>
            </w:r>
          </w:p>
          <w:p w:rsidR="003423FA" w:rsidRPr="003E4A8C" w:rsidRDefault="003423FA" w:rsidP="009A57C7">
            <w:pPr>
              <w:jc w:val="both"/>
              <w:rPr>
                <w:rFonts w:eastAsia="Calibri"/>
                <w:sz w:val="20"/>
                <w:lang w:val="fr-FR"/>
              </w:rPr>
            </w:pPr>
          </w:p>
        </w:tc>
      </w:tr>
      <w:tr w:rsidR="003423FA" w:rsidRPr="00147672" w:rsidTr="009A57C7">
        <w:tc>
          <w:tcPr>
            <w:tcW w:w="2427" w:type="pct"/>
          </w:tcPr>
          <w:p w:rsidR="003423FA" w:rsidRPr="003E4A8C" w:rsidRDefault="003423FA" w:rsidP="009A57C7">
            <w:pPr>
              <w:jc w:val="both"/>
              <w:rPr>
                <w:rFonts w:eastAsia="Calibri"/>
                <w:sz w:val="20"/>
                <w:lang w:val="fr-FR"/>
              </w:rPr>
            </w:pPr>
            <w:r w:rsidRPr="003E4A8C">
              <w:rPr>
                <w:rFonts w:eastAsia="Calibri"/>
                <w:sz w:val="20"/>
                <w:lang w:val="fr-FR"/>
              </w:rPr>
              <w:t>28 septembre 2010</w:t>
            </w:r>
          </w:p>
          <w:p w:rsidR="003423FA" w:rsidRPr="003E4A8C" w:rsidRDefault="003423FA" w:rsidP="009A57C7">
            <w:pPr>
              <w:rPr>
                <w:rFonts w:eastAsia="Calibri"/>
                <w:sz w:val="20"/>
                <w:lang w:val="fr-FR"/>
              </w:rPr>
            </w:pPr>
            <w:r w:rsidRPr="003E4A8C">
              <w:rPr>
                <w:rFonts w:eastAsia="Calibri"/>
                <w:sz w:val="20"/>
                <w:lang w:val="fr-FR"/>
              </w:rPr>
              <w:t>Cour du Banc de la Reine du Nouveau</w:t>
            </w:r>
            <w:r w:rsidRPr="003E4A8C">
              <w:rPr>
                <w:rFonts w:eastAsia="Calibri"/>
                <w:sz w:val="20"/>
                <w:lang w:val="fr-FR"/>
              </w:rPr>
              <w:noBreakHyphen/>
              <w:t>Brunswick</w:t>
            </w:r>
          </w:p>
          <w:p w:rsidR="003423FA" w:rsidRPr="003E4A8C" w:rsidRDefault="003423FA" w:rsidP="009A57C7">
            <w:pPr>
              <w:jc w:val="both"/>
              <w:rPr>
                <w:rFonts w:eastAsia="Calibri"/>
                <w:sz w:val="20"/>
              </w:rPr>
            </w:pPr>
            <w:r w:rsidRPr="003E4A8C">
              <w:rPr>
                <w:rFonts w:eastAsia="Calibri"/>
                <w:sz w:val="20"/>
              </w:rPr>
              <w:t>(Juge Clendening)</w:t>
            </w:r>
          </w:p>
          <w:p w:rsidR="003423FA" w:rsidRPr="003E4A8C" w:rsidRDefault="003423FA" w:rsidP="009A57C7">
            <w:pPr>
              <w:jc w:val="both"/>
              <w:rPr>
                <w:rFonts w:eastAsia="Calibri"/>
                <w:sz w:val="20"/>
              </w:rPr>
            </w:pPr>
            <w:r w:rsidRPr="003E4A8C">
              <w:rPr>
                <w:rFonts w:eastAsia="Calibri"/>
                <w:sz w:val="20"/>
              </w:rPr>
              <w:t>2010 NBQB 308</w:t>
            </w:r>
          </w:p>
          <w:p w:rsidR="003423FA" w:rsidRPr="003E4A8C" w:rsidRDefault="003423FA" w:rsidP="009A57C7">
            <w:pPr>
              <w:jc w:val="both"/>
              <w:rPr>
                <w:rFonts w:eastAsia="Calibri"/>
                <w:sz w:val="20"/>
              </w:rPr>
            </w:pPr>
          </w:p>
        </w:tc>
        <w:tc>
          <w:tcPr>
            <w:tcW w:w="243" w:type="pct"/>
          </w:tcPr>
          <w:p w:rsidR="003423FA" w:rsidRPr="003E4A8C" w:rsidRDefault="003423FA" w:rsidP="009A57C7">
            <w:pPr>
              <w:jc w:val="both"/>
              <w:rPr>
                <w:rFonts w:eastAsia="Calibri"/>
                <w:sz w:val="20"/>
              </w:rPr>
            </w:pPr>
          </w:p>
        </w:tc>
        <w:tc>
          <w:tcPr>
            <w:tcW w:w="2330" w:type="pct"/>
          </w:tcPr>
          <w:p w:rsidR="003423FA" w:rsidRPr="003E4A8C" w:rsidRDefault="003423FA" w:rsidP="009A57C7">
            <w:pPr>
              <w:jc w:val="both"/>
              <w:rPr>
                <w:rFonts w:eastAsia="Calibri"/>
                <w:sz w:val="20"/>
                <w:lang w:val="fr-FR"/>
              </w:rPr>
            </w:pPr>
            <w:r w:rsidRPr="003E4A8C">
              <w:rPr>
                <w:rFonts w:eastAsia="Calibri"/>
                <w:sz w:val="20"/>
                <w:lang w:val="fr-FR"/>
              </w:rPr>
              <w:t>Action des demandeurs rejetée sans frais</w:t>
            </w:r>
          </w:p>
          <w:p w:rsidR="003423FA" w:rsidRPr="003E4A8C" w:rsidRDefault="003423FA" w:rsidP="009A57C7">
            <w:pPr>
              <w:jc w:val="both"/>
              <w:rPr>
                <w:rFonts w:eastAsia="Calibri"/>
                <w:sz w:val="20"/>
                <w:lang w:val="fr-FR"/>
              </w:rPr>
            </w:pPr>
          </w:p>
        </w:tc>
      </w:tr>
      <w:tr w:rsidR="003423FA" w:rsidRPr="00147672" w:rsidTr="009A57C7">
        <w:tc>
          <w:tcPr>
            <w:tcW w:w="2427" w:type="pct"/>
          </w:tcPr>
          <w:p w:rsidR="003423FA" w:rsidRPr="003E4A8C" w:rsidRDefault="003423FA" w:rsidP="009A57C7">
            <w:pPr>
              <w:jc w:val="both"/>
              <w:rPr>
                <w:rFonts w:eastAsia="Calibri"/>
                <w:sz w:val="20"/>
                <w:lang w:val="fr-FR"/>
              </w:rPr>
            </w:pPr>
            <w:r w:rsidRPr="003E4A8C">
              <w:rPr>
                <w:rFonts w:eastAsia="Calibri"/>
                <w:sz w:val="20"/>
                <w:lang w:val="fr-FR"/>
              </w:rPr>
              <w:t>16 février 2012</w:t>
            </w:r>
          </w:p>
          <w:p w:rsidR="003423FA" w:rsidRPr="003E4A8C" w:rsidRDefault="003423FA" w:rsidP="009A57C7">
            <w:pPr>
              <w:jc w:val="both"/>
              <w:rPr>
                <w:rFonts w:eastAsia="Calibri"/>
                <w:sz w:val="20"/>
                <w:lang w:val="fr-FR"/>
              </w:rPr>
            </w:pPr>
            <w:r w:rsidRPr="003E4A8C">
              <w:rPr>
                <w:rFonts w:eastAsia="Calibri"/>
                <w:sz w:val="20"/>
                <w:lang w:val="fr-FR"/>
              </w:rPr>
              <w:t>Cour d’appel du Nouveau-Brunswick</w:t>
            </w:r>
          </w:p>
          <w:p w:rsidR="003423FA" w:rsidRPr="003E4A8C" w:rsidRDefault="003423FA" w:rsidP="009A57C7">
            <w:pPr>
              <w:jc w:val="both"/>
              <w:rPr>
                <w:rFonts w:eastAsia="Calibri"/>
                <w:sz w:val="20"/>
                <w:lang w:val="fr-FR"/>
              </w:rPr>
            </w:pPr>
            <w:r w:rsidRPr="003E4A8C">
              <w:rPr>
                <w:rFonts w:eastAsia="Calibri"/>
                <w:sz w:val="20"/>
                <w:lang w:val="fr-FR"/>
              </w:rPr>
              <w:t>(Juges Robertson, Richard et Green)</w:t>
            </w:r>
          </w:p>
          <w:p w:rsidR="003423FA" w:rsidRPr="003E4A8C" w:rsidRDefault="003423FA" w:rsidP="009A57C7">
            <w:pPr>
              <w:jc w:val="both"/>
              <w:rPr>
                <w:rFonts w:eastAsia="Calibri"/>
                <w:sz w:val="20"/>
              </w:rPr>
            </w:pPr>
            <w:r w:rsidRPr="003E4A8C">
              <w:rPr>
                <w:rFonts w:eastAsia="Calibri"/>
                <w:sz w:val="20"/>
              </w:rPr>
              <w:t>2012 NBCA 13</w:t>
            </w:r>
          </w:p>
          <w:p w:rsidR="003423FA" w:rsidRPr="003E4A8C" w:rsidRDefault="003423FA" w:rsidP="009A57C7">
            <w:pPr>
              <w:jc w:val="both"/>
              <w:rPr>
                <w:rFonts w:eastAsia="Calibri"/>
                <w:sz w:val="20"/>
              </w:rPr>
            </w:pPr>
          </w:p>
        </w:tc>
        <w:tc>
          <w:tcPr>
            <w:tcW w:w="243" w:type="pct"/>
          </w:tcPr>
          <w:p w:rsidR="003423FA" w:rsidRPr="003E4A8C" w:rsidRDefault="003423FA" w:rsidP="009A57C7">
            <w:pPr>
              <w:jc w:val="both"/>
              <w:rPr>
                <w:rFonts w:eastAsia="Calibri"/>
                <w:sz w:val="20"/>
              </w:rPr>
            </w:pPr>
          </w:p>
        </w:tc>
        <w:tc>
          <w:tcPr>
            <w:tcW w:w="2330" w:type="pct"/>
          </w:tcPr>
          <w:p w:rsidR="003423FA" w:rsidRPr="003E4A8C" w:rsidRDefault="003423FA" w:rsidP="009A57C7">
            <w:pPr>
              <w:jc w:val="both"/>
              <w:rPr>
                <w:rFonts w:eastAsia="Calibri"/>
                <w:sz w:val="20"/>
                <w:lang w:val="fr-FR"/>
              </w:rPr>
            </w:pPr>
            <w:r w:rsidRPr="003E4A8C">
              <w:rPr>
                <w:rFonts w:eastAsia="Calibri"/>
                <w:sz w:val="20"/>
                <w:lang w:val="fr-FR"/>
              </w:rPr>
              <w:t xml:space="preserve">Appel rejeté et appel incident relatif aux dépens du procès accueilli </w:t>
            </w:r>
          </w:p>
          <w:p w:rsidR="003423FA" w:rsidRPr="003E4A8C" w:rsidRDefault="003423FA" w:rsidP="009A57C7">
            <w:pPr>
              <w:jc w:val="both"/>
              <w:rPr>
                <w:rFonts w:eastAsia="Calibri"/>
                <w:sz w:val="20"/>
                <w:lang w:val="fr-FR"/>
              </w:rPr>
            </w:pPr>
          </w:p>
        </w:tc>
      </w:tr>
      <w:tr w:rsidR="003423FA" w:rsidRPr="003E4A8C" w:rsidTr="009A57C7">
        <w:tc>
          <w:tcPr>
            <w:tcW w:w="2427" w:type="pct"/>
          </w:tcPr>
          <w:p w:rsidR="003423FA" w:rsidRPr="00E75C8D" w:rsidRDefault="003423FA" w:rsidP="009A57C7">
            <w:pPr>
              <w:jc w:val="both"/>
              <w:rPr>
                <w:rFonts w:eastAsia="Calibri"/>
                <w:sz w:val="20"/>
                <w:lang w:val="fr-CA"/>
              </w:rPr>
            </w:pPr>
            <w:r w:rsidRPr="00E75C8D">
              <w:rPr>
                <w:rFonts w:eastAsia="Calibri"/>
                <w:sz w:val="20"/>
                <w:lang w:val="fr-CA"/>
              </w:rPr>
              <w:t>13 mars 2012</w:t>
            </w:r>
          </w:p>
          <w:p w:rsidR="003423FA" w:rsidRPr="00E75C8D" w:rsidRDefault="003423FA" w:rsidP="009A57C7">
            <w:pPr>
              <w:jc w:val="both"/>
              <w:rPr>
                <w:rFonts w:eastAsia="Calibri"/>
                <w:sz w:val="20"/>
                <w:lang w:val="fr-CA"/>
              </w:rPr>
            </w:pPr>
            <w:r w:rsidRPr="00E75C8D">
              <w:rPr>
                <w:rFonts w:eastAsia="Calibri"/>
                <w:sz w:val="20"/>
                <w:lang w:val="fr-CA"/>
              </w:rPr>
              <w:t>Cour suprême du Canada</w:t>
            </w:r>
          </w:p>
        </w:tc>
        <w:tc>
          <w:tcPr>
            <w:tcW w:w="243" w:type="pct"/>
          </w:tcPr>
          <w:p w:rsidR="003423FA" w:rsidRPr="00E75C8D" w:rsidRDefault="003423FA" w:rsidP="009A57C7">
            <w:pPr>
              <w:jc w:val="both"/>
              <w:rPr>
                <w:rFonts w:eastAsia="Calibri"/>
                <w:sz w:val="20"/>
                <w:lang w:val="fr-CA"/>
              </w:rPr>
            </w:pPr>
          </w:p>
        </w:tc>
        <w:tc>
          <w:tcPr>
            <w:tcW w:w="2330" w:type="pct"/>
          </w:tcPr>
          <w:p w:rsidR="003423FA" w:rsidRPr="003E4A8C" w:rsidRDefault="003423FA" w:rsidP="009A57C7">
            <w:pPr>
              <w:jc w:val="both"/>
              <w:rPr>
                <w:rFonts w:eastAsia="Calibri"/>
                <w:sz w:val="20"/>
              </w:rPr>
            </w:pPr>
            <w:r w:rsidRPr="003E4A8C">
              <w:rPr>
                <w:rFonts w:eastAsia="Calibri"/>
                <w:sz w:val="20"/>
              </w:rPr>
              <w:t xml:space="preserve">Demande d’autorisation d’appel déposée </w:t>
            </w:r>
          </w:p>
          <w:p w:rsidR="003423FA" w:rsidRPr="003E4A8C" w:rsidRDefault="003423FA" w:rsidP="009A57C7">
            <w:pPr>
              <w:jc w:val="both"/>
              <w:rPr>
                <w:rFonts w:eastAsia="Calibri"/>
                <w:sz w:val="20"/>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75"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B1096" w:rsidRPr="00BD2AF7" w:rsidTr="008B5DBF">
        <w:trPr>
          <w:cantSplit/>
        </w:trPr>
        <w:tc>
          <w:tcPr>
            <w:tcW w:w="1458" w:type="dxa"/>
          </w:tcPr>
          <w:p w:rsidR="000B1096" w:rsidRPr="00BD2AF7" w:rsidRDefault="000B1096" w:rsidP="008B5DBF">
            <w:pPr>
              <w:rPr>
                <w:rFonts w:cs="Times New Roman"/>
                <w:sz w:val="20"/>
                <w:szCs w:val="20"/>
              </w:rPr>
            </w:pPr>
            <w:r w:rsidRPr="00BD2AF7">
              <w:rPr>
                <w:rStyle w:val="SCCFileNumberChar"/>
                <w:sz w:val="20"/>
                <w:szCs w:val="20"/>
              </w:rPr>
              <w:t>34728</w:t>
            </w:r>
          </w:p>
          <w:p w:rsidR="000B1096" w:rsidRPr="00BD2AF7" w:rsidRDefault="000B1096" w:rsidP="008B5DBF">
            <w:pPr>
              <w:rPr>
                <w:rFonts w:cs="Times New Roman"/>
                <w:b/>
                <w:sz w:val="20"/>
                <w:szCs w:val="20"/>
                <w:lang w:val="fr-CA"/>
              </w:rPr>
            </w:pPr>
          </w:p>
        </w:tc>
        <w:tc>
          <w:tcPr>
            <w:tcW w:w="8118" w:type="dxa"/>
          </w:tcPr>
          <w:p w:rsidR="000B1096" w:rsidRPr="00BD2AF7" w:rsidRDefault="000B1096" w:rsidP="008B5DBF">
            <w:pPr>
              <w:rPr>
                <w:rFonts w:cs="Times New Roman"/>
                <w:sz w:val="20"/>
                <w:szCs w:val="20"/>
              </w:rPr>
            </w:pPr>
            <w:r w:rsidRPr="000B1096">
              <w:rPr>
                <w:rStyle w:val="SCCLsocChar"/>
                <w:rFonts w:cs="Times New Roman"/>
                <w:sz w:val="20"/>
                <w:szCs w:val="20"/>
                <w:lang w:val="en-CA"/>
              </w:rPr>
              <w:t>Wilfred Doyle v. Terrance McAleer</w:t>
            </w:r>
            <w:r w:rsidRPr="00BD2AF7">
              <w:rPr>
                <w:rFonts w:cs="Times New Roman"/>
                <w:sz w:val="20"/>
                <w:szCs w:val="20"/>
              </w:rPr>
              <w:t xml:space="preserve"> (P.E.I.) (Civil) (By Leave)</w:t>
            </w:r>
          </w:p>
          <w:p w:rsidR="000B1096" w:rsidRPr="00BD2AF7" w:rsidRDefault="000B1096" w:rsidP="008B5DBF">
            <w:pPr>
              <w:rPr>
                <w:rFonts w:cs="Times New Roman"/>
                <w:sz w:val="20"/>
                <w:szCs w:val="20"/>
              </w:rPr>
            </w:pPr>
          </w:p>
        </w:tc>
      </w:tr>
      <w:tr w:rsidR="000B1096" w:rsidRPr="00BD2AF7" w:rsidTr="008B5DBF">
        <w:trPr>
          <w:cantSplit/>
        </w:trPr>
        <w:tc>
          <w:tcPr>
            <w:tcW w:w="1458" w:type="dxa"/>
          </w:tcPr>
          <w:p w:rsidR="000B1096" w:rsidRPr="00BD2AF7" w:rsidRDefault="000B1096" w:rsidP="008B5DBF">
            <w:pPr>
              <w:rPr>
                <w:rFonts w:cs="Times New Roman"/>
                <w:sz w:val="20"/>
                <w:szCs w:val="20"/>
              </w:rPr>
            </w:pPr>
            <w:r w:rsidRPr="00BD2AF7">
              <w:rPr>
                <w:rFonts w:cs="Times New Roman"/>
                <w:sz w:val="20"/>
                <w:szCs w:val="20"/>
              </w:rPr>
              <w:t>Coram :</w:t>
            </w:r>
          </w:p>
        </w:tc>
        <w:tc>
          <w:tcPr>
            <w:tcW w:w="8118" w:type="dxa"/>
          </w:tcPr>
          <w:p w:rsidR="000B1096" w:rsidRPr="00BD2AF7" w:rsidRDefault="000B1096" w:rsidP="008B5DBF">
            <w:pPr>
              <w:rPr>
                <w:rFonts w:cs="Times New Roman"/>
                <w:sz w:val="20"/>
                <w:szCs w:val="20"/>
              </w:rPr>
            </w:pPr>
            <w:r w:rsidRPr="000B1096">
              <w:rPr>
                <w:rStyle w:val="SCCCoramChar"/>
                <w:rFonts w:cs="Times New Roman"/>
                <w:sz w:val="20"/>
                <w:szCs w:val="20"/>
                <w:lang w:val="en-CA"/>
              </w:rPr>
              <w:t>McLachlin C.J. and Rothstein and Moldaver JJ.</w:t>
            </w:r>
          </w:p>
          <w:p w:rsidR="000B1096" w:rsidRPr="00BD2AF7" w:rsidRDefault="000B1096" w:rsidP="008B5DBF">
            <w:pPr>
              <w:rPr>
                <w:rFonts w:cs="Times New Roman"/>
                <w:sz w:val="20"/>
                <w:szCs w:val="20"/>
                <w:u w:val="single"/>
              </w:rPr>
            </w:pPr>
          </w:p>
        </w:tc>
      </w:tr>
      <w:tr w:rsidR="000B1096" w:rsidRPr="00147672" w:rsidTr="008B5DBF">
        <w:trPr>
          <w:cantSplit/>
        </w:trPr>
        <w:tc>
          <w:tcPr>
            <w:tcW w:w="9576" w:type="dxa"/>
            <w:gridSpan w:val="2"/>
          </w:tcPr>
          <w:p w:rsidR="000B1096" w:rsidRPr="00BD2AF7" w:rsidRDefault="000B1096" w:rsidP="008B5DBF">
            <w:pPr>
              <w:pStyle w:val="SCCShortJudgment"/>
              <w:rPr>
                <w:rFonts w:cs="Times New Roman"/>
                <w:szCs w:val="20"/>
              </w:rPr>
            </w:pPr>
            <w:r w:rsidRPr="00BD2AF7">
              <w:rPr>
                <w:rFonts w:cs="Times New Roman"/>
                <w:szCs w:val="20"/>
              </w:rPr>
              <w:t>The application for leave to appeal from the judgment of the Prince Edward Island Court of Appeal, Number S1-CA-1228, 2012 PECA 1, dated February 1, 2012, is dismissed with costs.</w:t>
            </w:r>
          </w:p>
          <w:p w:rsidR="000B1096" w:rsidRPr="00BD2AF7" w:rsidRDefault="000B1096" w:rsidP="008B5DBF">
            <w:pPr>
              <w:pStyle w:val="SCCShortJudgment"/>
              <w:ind w:firstLine="0"/>
              <w:rPr>
                <w:rFonts w:cs="Times New Roman"/>
                <w:szCs w:val="20"/>
              </w:rPr>
            </w:pPr>
          </w:p>
          <w:p w:rsidR="000B1096" w:rsidRPr="00BD2AF7" w:rsidRDefault="000B1096" w:rsidP="008B5DBF">
            <w:pPr>
              <w:pStyle w:val="SCCShortJudgment"/>
              <w:rPr>
                <w:rFonts w:cs="Times New Roman"/>
                <w:szCs w:val="20"/>
                <w:lang w:val="fr-CA"/>
              </w:rPr>
            </w:pPr>
            <w:r w:rsidRPr="00BD2AF7">
              <w:rPr>
                <w:rFonts w:cs="Times New Roman"/>
                <w:szCs w:val="20"/>
                <w:lang w:val="fr-CA"/>
              </w:rPr>
              <w:t>La demande d’autorisation d’appel de l’arrêt de la Cour d'appel de l’Île-du-Prince-Édouard, numéro S1-CA- 1228, 2012 PECA 1, daté du 1</w:t>
            </w:r>
            <w:r w:rsidRPr="0065182F">
              <w:rPr>
                <w:rFonts w:cs="Times New Roman"/>
                <w:szCs w:val="20"/>
                <w:vertAlign w:val="superscript"/>
                <w:lang w:val="fr-CA"/>
              </w:rPr>
              <w:t>er</w:t>
            </w:r>
            <w:r w:rsidRPr="00BD2AF7">
              <w:rPr>
                <w:rFonts w:cs="Times New Roman"/>
                <w:szCs w:val="20"/>
                <w:lang w:val="fr-CA"/>
              </w:rPr>
              <w:t xml:space="preserve"> février 2012, est rejetée avec dépens.</w:t>
            </w:r>
          </w:p>
        </w:tc>
      </w:tr>
    </w:tbl>
    <w:p w:rsidR="00F96FE7" w:rsidRPr="000B1096"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12B3" w:rsidRPr="003E4A8C" w:rsidTr="009A57C7">
        <w:tc>
          <w:tcPr>
            <w:tcW w:w="5000" w:type="pct"/>
            <w:gridSpan w:val="3"/>
          </w:tcPr>
          <w:p w:rsidR="006412B3" w:rsidRPr="003E4A8C" w:rsidRDefault="006412B3" w:rsidP="009A57C7">
            <w:pPr>
              <w:jc w:val="both"/>
              <w:rPr>
                <w:rFonts w:eastAsia="Calibri"/>
                <w:sz w:val="20"/>
              </w:rPr>
            </w:pPr>
            <w:r w:rsidRPr="003E4A8C">
              <w:rPr>
                <w:rFonts w:eastAsia="Calibri"/>
                <w:i/>
                <w:sz w:val="20"/>
              </w:rPr>
              <w:t>Charter of Rights</w:t>
            </w:r>
            <w:r w:rsidRPr="003E4A8C">
              <w:rPr>
                <w:rFonts w:eastAsia="Calibri"/>
                <w:sz w:val="20"/>
              </w:rPr>
              <w:t xml:space="preserve"> – Right to equality – Discrimination – Fundamental justice – Property – Real property – Land registration – Respondent applying for reinvestigation of title and amendment of Certificate of Title to reflect four conveyances of property made from main parcel – Whether Applicant’s </w:t>
            </w:r>
            <w:r w:rsidRPr="003E4A8C">
              <w:rPr>
                <w:rFonts w:eastAsia="Calibri"/>
                <w:i/>
                <w:sz w:val="20"/>
              </w:rPr>
              <w:t>Charter</w:t>
            </w:r>
            <w:r w:rsidRPr="003E4A8C">
              <w:rPr>
                <w:rFonts w:eastAsia="Calibri"/>
                <w:sz w:val="20"/>
              </w:rPr>
              <w:t xml:space="preserve"> rights were violated - Whether lower courts were misled by negligence of solicitor – Whether lower courts properly examined and weighed the evidence - Whether lower courts were tainted</w:t>
            </w:r>
          </w:p>
        </w:tc>
      </w:tr>
      <w:tr w:rsidR="006412B3" w:rsidRPr="003E4A8C" w:rsidTr="009A57C7">
        <w:tc>
          <w:tcPr>
            <w:tcW w:w="5000" w:type="pct"/>
            <w:gridSpan w:val="3"/>
          </w:tcPr>
          <w:p w:rsidR="006412B3" w:rsidRPr="003E4A8C" w:rsidRDefault="006412B3" w:rsidP="009A57C7">
            <w:pPr>
              <w:jc w:val="both"/>
              <w:rPr>
                <w:rFonts w:eastAsia="Calibri"/>
                <w:sz w:val="20"/>
              </w:rPr>
            </w:pPr>
          </w:p>
        </w:tc>
      </w:tr>
      <w:tr w:rsidR="006412B3" w:rsidRPr="003E4A8C" w:rsidTr="009A57C7">
        <w:tc>
          <w:tcPr>
            <w:tcW w:w="5000" w:type="pct"/>
            <w:gridSpan w:val="3"/>
          </w:tcPr>
          <w:p w:rsidR="006412B3" w:rsidRPr="003E4A8C" w:rsidRDefault="006412B3" w:rsidP="009A57C7">
            <w:pPr>
              <w:jc w:val="both"/>
              <w:rPr>
                <w:rFonts w:eastAsia="Calibri"/>
                <w:sz w:val="20"/>
              </w:rPr>
            </w:pPr>
            <w:r w:rsidRPr="003E4A8C">
              <w:rPr>
                <w:rFonts w:eastAsia="Calibri"/>
                <w:sz w:val="20"/>
              </w:rPr>
              <w:t xml:space="preserve">Mr. McAleer brought a motion under the </w:t>
            </w:r>
            <w:r w:rsidRPr="003E4A8C">
              <w:rPr>
                <w:rFonts w:eastAsia="Calibri"/>
                <w:i/>
                <w:sz w:val="20"/>
              </w:rPr>
              <w:t>Quieting of Titles Act</w:t>
            </w:r>
            <w:r w:rsidRPr="003E4A8C">
              <w:rPr>
                <w:rFonts w:eastAsia="Calibri"/>
                <w:sz w:val="20"/>
              </w:rPr>
              <w:t xml:space="preserve">, R.S.P.E.I 1988, </w:t>
            </w:r>
            <w:proofErr w:type="gramStart"/>
            <w:r w:rsidRPr="003E4A8C">
              <w:rPr>
                <w:rFonts w:eastAsia="Calibri"/>
                <w:sz w:val="20"/>
              </w:rPr>
              <w:t>Cap</w:t>
            </w:r>
            <w:proofErr w:type="gramEnd"/>
            <w:r w:rsidRPr="003E4A8C">
              <w:rPr>
                <w:rFonts w:eastAsia="Calibri"/>
                <w:sz w:val="20"/>
              </w:rPr>
              <w:t xml:space="preserve">. Q-2 to have title to a 229 acre parcel of land reinvestigated in which a Certificate of Title had been granted, and to have four lots excerpted from the 229 acre parcel.  The Certificate of Title had been granted in 1978 to Richard Doyle, the father of the Applicant.  The Petition to Quiet the Title signed by Richard Doyle did not disclose that four lots of land had previously been </w:t>
            </w:r>
            <w:r w:rsidRPr="003E4A8C">
              <w:rPr>
                <w:rFonts w:eastAsia="Calibri"/>
                <w:sz w:val="20"/>
              </w:rPr>
              <w:lastRenderedPageBreak/>
              <w:t>conveyed by him and his wife from the 229 acre parcel.  Mr. McAleer sought legal ownership of two of those lots that had been conveyed to Mr. McAleer’s predecessor in title.</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lastRenderedPageBreak/>
              <w:t>June 22, 2011</w:t>
            </w:r>
          </w:p>
          <w:p w:rsidR="006412B3" w:rsidRPr="003E4A8C" w:rsidRDefault="006412B3" w:rsidP="009A57C7">
            <w:pPr>
              <w:jc w:val="both"/>
              <w:rPr>
                <w:rFonts w:eastAsia="Calibri"/>
                <w:sz w:val="20"/>
              </w:rPr>
            </w:pPr>
            <w:r w:rsidRPr="003E4A8C">
              <w:rPr>
                <w:rFonts w:eastAsia="Calibri"/>
                <w:sz w:val="20"/>
              </w:rPr>
              <w:t>Supreme Court of Prince Edward Island, Trial Division</w:t>
            </w:r>
          </w:p>
          <w:p w:rsidR="006412B3" w:rsidRPr="003E4A8C" w:rsidRDefault="006412B3" w:rsidP="009A57C7">
            <w:pPr>
              <w:jc w:val="both"/>
              <w:rPr>
                <w:rFonts w:eastAsia="Calibri"/>
                <w:sz w:val="20"/>
              </w:rPr>
            </w:pPr>
            <w:r w:rsidRPr="003E4A8C">
              <w:rPr>
                <w:rFonts w:eastAsia="Calibri"/>
                <w:sz w:val="20"/>
              </w:rPr>
              <w:t>(Taylor J.)</w:t>
            </w:r>
          </w:p>
          <w:p w:rsidR="006412B3" w:rsidRPr="003E4A8C" w:rsidRDefault="006412B3" w:rsidP="009A57C7">
            <w:pPr>
              <w:jc w:val="both"/>
              <w:rPr>
                <w:rFonts w:eastAsia="Calibri"/>
                <w:sz w:val="20"/>
              </w:rPr>
            </w:pPr>
            <w:r w:rsidRPr="003E4A8C">
              <w:rPr>
                <w:rFonts w:eastAsia="Calibri"/>
                <w:sz w:val="20"/>
              </w:rPr>
              <w:t>Unreported</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Respondent’s motion for reinvestigation and amendment of Certificate of Title to land granted</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February 1, 2012</w:t>
            </w:r>
          </w:p>
          <w:p w:rsidR="006412B3" w:rsidRPr="003E4A8C" w:rsidRDefault="006412B3" w:rsidP="009A57C7">
            <w:pPr>
              <w:jc w:val="both"/>
              <w:rPr>
                <w:rFonts w:eastAsia="Calibri"/>
                <w:sz w:val="20"/>
              </w:rPr>
            </w:pPr>
            <w:r w:rsidRPr="003E4A8C">
              <w:rPr>
                <w:rFonts w:eastAsia="Calibri"/>
                <w:sz w:val="20"/>
              </w:rPr>
              <w:t>Prince Edward Island Court of Appeal</w:t>
            </w:r>
          </w:p>
          <w:p w:rsidR="006412B3" w:rsidRPr="003E4A8C" w:rsidRDefault="006412B3" w:rsidP="009A57C7">
            <w:pPr>
              <w:jc w:val="both"/>
              <w:rPr>
                <w:rFonts w:eastAsia="Calibri"/>
                <w:sz w:val="20"/>
              </w:rPr>
            </w:pPr>
            <w:r w:rsidRPr="003E4A8C">
              <w:rPr>
                <w:rFonts w:eastAsia="Calibri"/>
                <w:sz w:val="20"/>
              </w:rPr>
              <w:t>(Jenkins, McQuaid and Murphy JJ.A.)</w:t>
            </w:r>
          </w:p>
          <w:p w:rsidR="006412B3" w:rsidRPr="003E4A8C" w:rsidRDefault="006412B3" w:rsidP="009A57C7">
            <w:pPr>
              <w:jc w:val="both"/>
              <w:rPr>
                <w:rFonts w:eastAsia="Calibri"/>
                <w:sz w:val="20"/>
              </w:rPr>
            </w:pPr>
            <w:r w:rsidRPr="003E4A8C">
              <w:rPr>
                <w:rFonts w:eastAsia="Calibri"/>
                <w:sz w:val="20"/>
              </w:rPr>
              <w:t>2012 PECA 1</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Appeal dismissed</w:t>
            </w:r>
          </w:p>
          <w:p w:rsidR="006412B3" w:rsidRPr="003E4A8C" w:rsidRDefault="006412B3" w:rsidP="009A57C7">
            <w:pPr>
              <w:jc w:val="both"/>
              <w:rPr>
                <w:rFonts w:eastAsia="Calibri"/>
                <w:sz w:val="20"/>
              </w:rPr>
            </w:pP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March 19, 2012</w:t>
            </w:r>
          </w:p>
          <w:p w:rsidR="006412B3" w:rsidRPr="003E4A8C" w:rsidRDefault="006412B3" w:rsidP="006412B3">
            <w:pPr>
              <w:jc w:val="both"/>
              <w:rPr>
                <w:rFonts w:eastAsia="Calibri"/>
                <w:sz w:val="20"/>
              </w:rPr>
            </w:pPr>
            <w:r w:rsidRPr="003E4A8C">
              <w:rPr>
                <w:rFonts w:eastAsia="Calibri"/>
                <w:sz w:val="20"/>
              </w:rPr>
              <w:t>Supreme Court of Canada</w:t>
            </w: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Application for leave to appeal filed</w:t>
            </w:r>
          </w:p>
          <w:p w:rsidR="006412B3" w:rsidRPr="003E4A8C" w:rsidRDefault="006412B3"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76"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412B3" w:rsidRPr="00147672" w:rsidTr="009A57C7">
        <w:tc>
          <w:tcPr>
            <w:tcW w:w="5000" w:type="pct"/>
            <w:gridSpan w:val="3"/>
          </w:tcPr>
          <w:p w:rsidR="006412B3" w:rsidRPr="003E4A8C" w:rsidRDefault="006412B3" w:rsidP="009A57C7">
            <w:pPr>
              <w:jc w:val="both"/>
              <w:rPr>
                <w:rFonts w:eastAsia="Calibri"/>
                <w:sz w:val="20"/>
                <w:lang w:val="fr-CA"/>
              </w:rPr>
            </w:pPr>
            <w:r w:rsidRPr="003E4A8C">
              <w:rPr>
                <w:rFonts w:eastAsia="Calibri"/>
                <w:i/>
                <w:sz w:val="20"/>
                <w:lang w:val="fr-CA"/>
              </w:rPr>
              <w:t xml:space="preserve">Charte des droits </w:t>
            </w:r>
            <w:r w:rsidRPr="003E4A8C">
              <w:rPr>
                <w:rFonts w:eastAsia="Calibri"/>
                <w:sz w:val="20"/>
                <w:lang w:val="fr-CA"/>
              </w:rPr>
              <w:t xml:space="preserve">– Droit à l'égalité – Discrimination – Justice fondamentale – Biens – Biens réels – Enregistrement foncier – L'intimé demande une nouvelle vérification de titre et une modification du certificat de titre pour que soient pris en compte quatre transports de propriété faits à partir de la parcelle principale – Y a-t-il eu atteinte aux droits du demandeur garantis par la </w:t>
            </w:r>
            <w:r w:rsidRPr="003E4A8C">
              <w:rPr>
                <w:rFonts w:eastAsia="Calibri"/>
                <w:i/>
                <w:sz w:val="20"/>
                <w:lang w:val="fr-CA"/>
              </w:rPr>
              <w:t>Charte</w:t>
            </w:r>
            <w:r w:rsidRPr="003E4A8C">
              <w:rPr>
                <w:rFonts w:eastAsia="Calibri"/>
                <w:sz w:val="20"/>
                <w:lang w:val="fr-CA"/>
              </w:rPr>
              <w:t>? - Les juridictions inférieures ont-elles été induites en erreur par la négligence du procureur? – Les juridictions inférieures ont-elles dûment examiné et apprécié la preuve? - Les juridictions inférieures étaient-elles partiales?</w:t>
            </w:r>
          </w:p>
        </w:tc>
      </w:tr>
      <w:tr w:rsidR="006412B3" w:rsidRPr="00147672" w:rsidTr="009A57C7">
        <w:tc>
          <w:tcPr>
            <w:tcW w:w="5000" w:type="pct"/>
            <w:gridSpan w:val="3"/>
          </w:tcPr>
          <w:p w:rsidR="006412B3" w:rsidRPr="003E4A8C" w:rsidRDefault="006412B3" w:rsidP="009A57C7">
            <w:pPr>
              <w:jc w:val="both"/>
              <w:rPr>
                <w:rFonts w:eastAsia="Calibri"/>
                <w:sz w:val="20"/>
                <w:lang w:val="fr-CA"/>
              </w:rPr>
            </w:pPr>
          </w:p>
        </w:tc>
      </w:tr>
      <w:tr w:rsidR="006412B3" w:rsidRPr="00147672" w:rsidTr="009A57C7">
        <w:tc>
          <w:tcPr>
            <w:tcW w:w="5000" w:type="pct"/>
            <w:gridSpan w:val="3"/>
          </w:tcPr>
          <w:p w:rsidR="006412B3" w:rsidRPr="003E4A8C" w:rsidRDefault="006412B3" w:rsidP="009A57C7">
            <w:pPr>
              <w:jc w:val="both"/>
              <w:rPr>
                <w:rFonts w:eastAsia="Calibri"/>
                <w:sz w:val="20"/>
                <w:lang w:val="fr-CA"/>
              </w:rPr>
            </w:pPr>
            <w:r w:rsidRPr="003E4A8C">
              <w:rPr>
                <w:rFonts w:eastAsia="Calibri"/>
                <w:sz w:val="20"/>
                <w:lang w:val="fr-CA"/>
              </w:rPr>
              <w:t xml:space="preserve">Monsieur McAleer a présenté une requête en vertu de la </w:t>
            </w:r>
            <w:r w:rsidRPr="003E4A8C">
              <w:rPr>
                <w:rFonts w:eastAsia="Calibri"/>
                <w:i/>
                <w:sz w:val="20"/>
                <w:lang w:val="fr-CA"/>
              </w:rPr>
              <w:t>Quieting of Titles Act</w:t>
            </w:r>
            <w:r w:rsidRPr="003E4A8C">
              <w:rPr>
                <w:rFonts w:eastAsia="Calibri"/>
                <w:sz w:val="20"/>
                <w:lang w:val="fr-CA"/>
              </w:rPr>
              <w:t>, R.S.P.E.I 1988, ch. Q-2 en vue de faire vérifier de nouveau le titre d'une parcelle de terrain de 229 acres à l'égard de laquelle un certificat de titre avait été décerné, et en vue de faire retirer quatre lots de la parcelle en question. Le certificat de titre avait été décerné en 1978 à Richard Doyle, le père du demandeur. La requête en validation du titre de propriété signée par Richard Doyle n'a pas révélé que quatre parcelles de terrain avaient été transportées antérieurement à lui et à son épouse à partir de la parcelle de 229 acres.  Monsieur McAleer a demandé la propriété en common law de deux de ces lots qui avait été transportés au prédécesseur en titre de M. McAleer.</w:t>
            </w:r>
          </w:p>
          <w:p w:rsidR="006412B3" w:rsidRPr="003E4A8C" w:rsidRDefault="006412B3" w:rsidP="009A57C7">
            <w:pPr>
              <w:jc w:val="both"/>
              <w:rPr>
                <w:rFonts w:eastAsia="Calibri"/>
                <w:sz w:val="20"/>
                <w:lang w:val="fr-CA"/>
              </w:rPr>
            </w:pPr>
          </w:p>
        </w:tc>
      </w:tr>
      <w:tr w:rsidR="006412B3" w:rsidRPr="00147672"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22 juin 2011</w:t>
            </w:r>
          </w:p>
          <w:p w:rsidR="006412B3" w:rsidRPr="003E4A8C" w:rsidRDefault="006412B3" w:rsidP="009A57C7">
            <w:pPr>
              <w:jc w:val="both"/>
              <w:rPr>
                <w:rFonts w:eastAsia="Calibri"/>
                <w:sz w:val="20"/>
                <w:lang w:val="fr-CA"/>
              </w:rPr>
            </w:pPr>
            <w:r w:rsidRPr="003E4A8C">
              <w:rPr>
                <w:rFonts w:eastAsia="Calibri"/>
                <w:sz w:val="20"/>
                <w:lang w:val="fr-CA"/>
              </w:rPr>
              <w:t>Cour suprême de l'Île-du-Prince-Édouard, Section de première instance</w:t>
            </w:r>
          </w:p>
          <w:p w:rsidR="006412B3" w:rsidRPr="003E4A8C" w:rsidRDefault="006412B3" w:rsidP="009A57C7">
            <w:pPr>
              <w:jc w:val="both"/>
              <w:rPr>
                <w:rFonts w:eastAsia="Calibri"/>
                <w:sz w:val="20"/>
                <w:lang w:val="fr-CA"/>
              </w:rPr>
            </w:pPr>
            <w:r w:rsidRPr="003E4A8C">
              <w:rPr>
                <w:rFonts w:eastAsia="Calibri"/>
                <w:sz w:val="20"/>
                <w:lang w:val="fr-CA"/>
              </w:rPr>
              <w:t>(Juge Taylor)</w:t>
            </w:r>
          </w:p>
          <w:p w:rsidR="006412B3" w:rsidRPr="003E4A8C" w:rsidRDefault="006412B3" w:rsidP="009A57C7">
            <w:pPr>
              <w:jc w:val="both"/>
              <w:rPr>
                <w:rFonts w:eastAsia="Calibri"/>
                <w:sz w:val="20"/>
                <w:lang w:val="fr-CA"/>
              </w:rPr>
            </w:pPr>
            <w:r w:rsidRPr="003E4A8C">
              <w:rPr>
                <w:rFonts w:eastAsia="Calibri"/>
                <w:sz w:val="20"/>
                <w:lang w:val="fr-CA"/>
              </w:rPr>
              <w:t>Non publié</w:t>
            </w:r>
          </w:p>
          <w:p w:rsidR="006412B3" w:rsidRPr="003E4A8C" w:rsidRDefault="006412B3" w:rsidP="009A57C7">
            <w:pPr>
              <w:jc w:val="both"/>
              <w:rPr>
                <w:rFonts w:eastAsia="Calibri"/>
                <w:sz w:val="20"/>
                <w:lang w:val="fr-CA"/>
              </w:rPr>
            </w:pP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Requête de l'intimé en nouvelle vérification et modification du certificat de titre foncier, accueillie</w:t>
            </w:r>
          </w:p>
          <w:p w:rsidR="006412B3" w:rsidRPr="003E4A8C" w:rsidRDefault="006412B3" w:rsidP="009A57C7">
            <w:pPr>
              <w:jc w:val="both"/>
              <w:rPr>
                <w:rFonts w:eastAsia="Calibri"/>
                <w:sz w:val="20"/>
                <w:lang w:val="fr-CA"/>
              </w:rPr>
            </w:pPr>
          </w:p>
        </w:tc>
      </w:tr>
      <w:tr w:rsidR="006412B3" w:rsidRPr="003E4A8C"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1</w:t>
            </w:r>
            <w:r w:rsidRPr="003E4A8C">
              <w:rPr>
                <w:rFonts w:eastAsia="Calibri"/>
                <w:sz w:val="20"/>
                <w:vertAlign w:val="superscript"/>
                <w:lang w:val="fr-CA"/>
              </w:rPr>
              <w:t>er</w:t>
            </w:r>
            <w:r w:rsidRPr="003E4A8C">
              <w:rPr>
                <w:rFonts w:eastAsia="Calibri"/>
                <w:sz w:val="20"/>
                <w:lang w:val="fr-CA"/>
              </w:rPr>
              <w:t xml:space="preserve"> février 2012</w:t>
            </w:r>
          </w:p>
          <w:p w:rsidR="006412B3" w:rsidRPr="003E4A8C" w:rsidRDefault="006412B3" w:rsidP="009A57C7">
            <w:pPr>
              <w:jc w:val="both"/>
              <w:rPr>
                <w:rFonts w:eastAsia="Calibri"/>
                <w:sz w:val="20"/>
                <w:lang w:val="fr-CA"/>
              </w:rPr>
            </w:pPr>
            <w:r w:rsidRPr="003E4A8C">
              <w:rPr>
                <w:rFonts w:eastAsia="Calibri"/>
                <w:sz w:val="20"/>
                <w:lang w:val="fr-CA"/>
              </w:rPr>
              <w:t>Cour d'appel de l'Île-du-Prince-Édouard (Juges Jenkins, McQuaid et Murphy)</w:t>
            </w:r>
          </w:p>
          <w:p w:rsidR="006412B3" w:rsidRPr="003E4A8C" w:rsidRDefault="006412B3" w:rsidP="009A57C7">
            <w:pPr>
              <w:jc w:val="both"/>
              <w:rPr>
                <w:rFonts w:eastAsia="Calibri"/>
                <w:sz w:val="20"/>
                <w:lang w:val="fr-CA"/>
              </w:rPr>
            </w:pPr>
            <w:r w:rsidRPr="003E4A8C">
              <w:rPr>
                <w:rFonts w:eastAsia="Calibri"/>
                <w:sz w:val="20"/>
                <w:lang w:val="fr-CA"/>
              </w:rPr>
              <w:t>2012 PECA 1</w:t>
            </w:r>
          </w:p>
          <w:p w:rsidR="006412B3" w:rsidRPr="003E4A8C" w:rsidRDefault="006412B3" w:rsidP="009A57C7">
            <w:pPr>
              <w:jc w:val="both"/>
              <w:rPr>
                <w:rFonts w:eastAsia="Calibri"/>
                <w:sz w:val="20"/>
                <w:lang w:val="fr-CA"/>
              </w:rPr>
            </w:pP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Appel rejeté</w:t>
            </w:r>
          </w:p>
          <w:p w:rsidR="006412B3" w:rsidRPr="003E4A8C" w:rsidRDefault="006412B3" w:rsidP="009A57C7">
            <w:pPr>
              <w:jc w:val="both"/>
              <w:rPr>
                <w:rFonts w:eastAsia="Calibri"/>
                <w:sz w:val="20"/>
                <w:lang w:val="fr-CA"/>
              </w:rPr>
            </w:pPr>
          </w:p>
          <w:p w:rsidR="006412B3" w:rsidRPr="003E4A8C" w:rsidRDefault="006412B3" w:rsidP="009A57C7">
            <w:pPr>
              <w:jc w:val="both"/>
              <w:rPr>
                <w:rFonts w:eastAsia="Calibri"/>
                <w:sz w:val="20"/>
                <w:lang w:val="fr-CA"/>
              </w:rPr>
            </w:pPr>
          </w:p>
        </w:tc>
      </w:tr>
      <w:tr w:rsidR="006412B3" w:rsidRPr="003E4A8C"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19 mars 2012</w:t>
            </w:r>
          </w:p>
          <w:p w:rsidR="006412B3" w:rsidRPr="003E4A8C" w:rsidRDefault="006412B3" w:rsidP="009A57C7">
            <w:pPr>
              <w:jc w:val="both"/>
              <w:rPr>
                <w:rFonts w:eastAsia="Calibri"/>
                <w:sz w:val="20"/>
                <w:lang w:val="fr-CA"/>
              </w:rPr>
            </w:pPr>
            <w:r w:rsidRPr="003E4A8C">
              <w:rPr>
                <w:rFonts w:eastAsia="Calibri"/>
                <w:sz w:val="20"/>
                <w:lang w:val="fr-CA"/>
              </w:rPr>
              <w:t>Cour suprême du Canada</w:t>
            </w: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Demande d'autorisation d'appel, déposée</w:t>
            </w:r>
          </w:p>
          <w:p w:rsidR="006412B3" w:rsidRPr="003E4A8C" w:rsidRDefault="006412B3" w:rsidP="009A57C7">
            <w:pPr>
              <w:jc w:val="both"/>
              <w:rPr>
                <w:rFonts w:eastAsia="Calibri"/>
                <w:sz w:val="20"/>
                <w:lang w:val="fr-CA"/>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77"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03D4E" w:rsidRPr="00BD2AF7" w:rsidTr="008B5DBF">
        <w:trPr>
          <w:cantSplit/>
        </w:trPr>
        <w:tc>
          <w:tcPr>
            <w:tcW w:w="1458" w:type="dxa"/>
          </w:tcPr>
          <w:p w:rsidR="00603D4E" w:rsidRPr="00BD2AF7" w:rsidRDefault="00603D4E" w:rsidP="008B5DBF">
            <w:pPr>
              <w:rPr>
                <w:rFonts w:cs="Times New Roman"/>
                <w:sz w:val="20"/>
                <w:szCs w:val="20"/>
              </w:rPr>
            </w:pPr>
            <w:r w:rsidRPr="00BD2AF7">
              <w:rPr>
                <w:rStyle w:val="SCCFileNumberChar"/>
                <w:sz w:val="20"/>
                <w:szCs w:val="20"/>
              </w:rPr>
              <w:t>34729</w:t>
            </w:r>
          </w:p>
          <w:p w:rsidR="00603D4E" w:rsidRPr="00BD2AF7" w:rsidRDefault="00603D4E" w:rsidP="008B5DBF">
            <w:pPr>
              <w:rPr>
                <w:rFonts w:cs="Times New Roman"/>
                <w:b/>
                <w:sz w:val="20"/>
                <w:szCs w:val="20"/>
                <w:lang w:val="fr-CA"/>
              </w:rPr>
            </w:pPr>
          </w:p>
        </w:tc>
        <w:tc>
          <w:tcPr>
            <w:tcW w:w="8118" w:type="dxa"/>
          </w:tcPr>
          <w:p w:rsidR="00603D4E" w:rsidRPr="00BD2AF7" w:rsidRDefault="00603D4E" w:rsidP="008B5DBF">
            <w:pPr>
              <w:rPr>
                <w:rFonts w:cs="Times New Roman"/>
                <w:sz w:val="20"/>
                <w:szCs w:val="20"/>
              </w:rPr>
            </w:pPr>
            <w:r w:rsidRPr="00603D4E">
              <w:rPr>
                <w:rStyle w:val="SCCLsocChar"/>
                <w:rFonts w:cs="Times New Roman"/>
                <w:sz w:val="20"/>
                <w:szCs w:val="20"/>
                <w:lang w:val="en-CA"/>
              </w:rPr>
              <w:t>William Shawn Davitt v. Minister of National Revenue</w:t>
            </w:r>
            <w:r w:rsidRPr="00BD2AF7">
              <w:rPr>
                <w:rFonts w:cs="Times New Roman"/>
                <w:sz w:val="20"/>
                <w:szCs w:val="20"/>
              </w:rPr>
              <w:t xml:space="preserve"> (F.C.) (Civil) (By Leave)</w:t>
            </w:r>
          </w:p>
          <w:p w:rsidR="00603D4E" w:rsidRPr="00BD2AF7" w:rsidRDefault="00603D4E" w:rsidP="008B5DBF">
            <w:pPr>
              <w:rPr>
                <w:rFonts w:cs="Times New Roman"/>
                <w:sz w:val="20"/>
                <w:szCs w:val="20"/>
              </w:rPr>
            </w:pPr>
          </w:p>
        </w:tc>
      </w:tr>
      <w:tr w:rsidR="00603D4E" w:rsidRPr="00BD2AF7" w:rsidTr="008B5DBF">
        <w:trPr>
          <w:cantSplit/>
        </w:trPr>
        <w:tc>
          <w:tcPr>
            <w:tcW w:w="1458" w:type="dxa"/>
          </w:tcPr>
          <w:p w:rsidR="00603D4E" w:rsidRPr="00BD2AF7" w:rsidRDefault="00603D4E" w:rsidP="008B5DBF">
            <w:pPr>
              <w:rPr>
                <w:rFonts w:cs="Times New Roman"/>
                <w:sz w:val="20"/>
                <w:szCs w:val="20"/>
              </w:rPr>
            </w:pPr>
            <w:r w:rsidRPr="00BD2AF7">
              <w:rPr>
                <w:rFonts w:cs="Times New Roman"/>
                <w:sz w:val="20"/>
                <w:szCs w:val="20"/>
              </w:rPr>
              <w:t>Coram :</w:t>
            </w:r>
          </w:p>
        </w:tc>
        <w:tc>
          <w:tcPr>
            <w:tcW w:w="8118" w:type="dxa"/>
          </w:tcPr>
          <w:p w:rsidR="00603D4E" w:rsidRPr="00BD2AF7" w:rsidRDefault="00603D4E" w:rsidP="008B5DBF">
            <w:pPr>
              <w:rPr>
                <w:rFonts w:cs="Times New Roman"/>
                <w:sz w:val="20"/>
                <w:szCs w:val="20"/>
              </w:rPr>
            </w:pPr>
            <w:r w:rsidRPr="00603D4E">
              <w:rPr>
                <w:rStyle w:val="SCCCoramChar"/>
                <w:rFonts w:cs="Times New Roman"/>
                <w:sz w:val="20"/>
                <w:szCs w:val="20"/>
                <w:lang w:val="en-CA"/>
              </w:rPr>
              <w:t>McLachlin C.J. and Rothstein and Moldaver JJ.</w:t>
            </w:r>
          </w:p>
          <w:p w:rsidR="00603D4E" w:rsidRPr="00BD2AF7" w:rsidRDefault="00603D4E" w:rsidP="008B5DBF">
            <w:pPr>
              <w:rPr>
                <w:rFonts w:cs="Times New Roman"/>
                <w:sz w:val="20"/>
                <w:szCs w:val="20"/>
                <w:u w:val="single"/>
              </w:rPr>
            </w:pPr>
          </w:p>
        </w:tc>
      </w:tr>
      <w:tr w:rsidR="00603D4E" w:rsidRPr="00147672" w:rsidTr="008B5DBF">
        <w:trPr>
          <w:cantSplit/>
        </w:trPr>
        <w:tc>
          <w:tcPr>
            <w:tcW w:w="9576" w:type="dxa"/>
            <w:gridSpan w:val="2"/>
          </w:tcPr>
          <w:p w:rsidR="00603D4E" w:rsidRPr="00BD2AF7" w:rsidRDefault="00603D4E" w:rsidP="008B5DBF">
            <w:pPr>
              <w:pStyle w:val="SCCShortJudgment"/>
              <w:rPr>
                <w:rFonts w:cs="Times New Roman"/>
                <w:szCs w:val="20"/>
              </w:rPr>
            </w:pPr>
            <w:r w:rsidRPr="00BD2AF7">
              <w:rPr>
                <w:rFonts w:cs="Times New Roman"/>
                <w:szCs w:val="20"/>
              </w:rPr>
              <w:t>The application for leave to appeal from the judgment of the Federal Court of Appeal, Number A-494-10, 2012 FCA 27, dated January 24, 2012, is dismissed with costs.</w:t>
            </w:r>
          </w:p>
          <w:p w:rsidR="00603D4E" w:rsidRPr="00BD2AF7" w:rsidRDefault="00603D4E" w:rsidP="008B5DBF">
            <w:pPr>
              <w:pStyle w:val="SCCShortJudgment"/>
              <w:ind w:firstLine="0"/>
              <w:rPr>
                <w:rFonts w:cs="Times New Roman"/>
                <w:szCs w:val="20"/>
              </w:rPr>
            </w:pPr>
          </w:p>
          <w:p w:rsidR="00603D4E" w:rsidRPr="00BD2AF7" w:rsidRDefault="00603D4E" w:rsidP="008B5DBF">
            <w:pPr>
              <w:pStyle w:val="SCCShortJudgment"/>
              <w:rPr>
                <w:rFonts w:cs="Times New Roman"/>
                <w:szCs w:val="20"/>
                <w:lang w:val="fr-CA"/>
              </w:rPr>
            </w:pPr>
            <w:r w:rsidRPr="00BD2AF7">
              <w:rPr>
                <w:rFonts w:cs="Times New Roman"/>
                <w:szCs w:val="20"/>
                <w:lang w:val="fr-CA"/>
              </w:rPr>
              <w:t>La demande d’autorisation d’appel de l’arrêt de la Cour d’appel fédérale, numéro A-494-10, 2012 CAF 27, daté du 24 janvier 2012, est rejetée avec dépens.</w:t>
            </w:r>
          </w:p>
        </w:tc>
      </w:tr>
    </w:tbl>
    <w:p w:rsidR="00F96FE7" w:rsidRPr="00603D4E"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12B3" w:rsidRPr="003E4A8C" w:rsidTr="009A57C7">
        <w:tc>
          <w:tcPr>
            <w:tcW w:w="5000" w:type="pct"/>
            <w:gridSpan w:val="3"/>
          </w:tcPr>
          <w:p w:rsidR="006412B3" w:rsidRPr="003E4A8C" w:rsidRDefault="006412B3" w:rsidP="009A57C7">
            <w:pPr>
              <w:jc w:val="both"/>
              <w:rPr>
                <w:rFonts w:eastAsia="Calibri"/>
                <w:sz w:val="20"/>
              </w:rPr>
            </w:pPr>
            <w:r w:rsidRPr="003E4A8C">
              <w:rPr>
                <w:rFonts w:eastAsia="Calibri"/>
                <w:i/>
                <w:sz w:val="20"/>
              </w:rPr>
              <w:t>Canadian Charter of Rights and Freedoms</w:t>
            </w:r>
            <w:r w:rsidRPr="003E4A8C">
              <w:rPr>
                <w:rFonts w:eastAsia="Calibri"/>
                <w:sz w:val="20"/>
              </w:rPr>
              <w:t xml:space="preserve"> – Right to equality – Courts – Jurisdiction – Tax Court of Canada – Employment Insurance premium and Canada Pension Plan contribution rates – Whether the Tax Court of Canada has jurisdiction to decide appeals requesting reductions in the amount of EI premiums and CPP contributions payable where the grounds of appeal include alleged violations of sections 3 and 15 of the </w:t>
            </w:r>
            <w:r w:rsidRPr="003E4A8C">
              <w:rPr>
                <w:rFonts w:eastAsia="Calibri"/>
                <w:i/>
                <w:sz w:val="20"/>
              </w:rPr>
              <w:t>Canadian Charter of Rights and Freedoms – Employment Insurance Act</w:t>
            </w:r>
            <w:r w:rsidRPr="003E4A8C">
              <w:rPr>
                <w:rFonts w:eastAsia="Calibri"/>
                <w:sz w:val="20"/>
              </w:rPr>
              <w:t xml:space="preserve">, S.C. 1996, c. 23, ss. 90(1), 91 – </w:t>
            </w:r>
            <w:r w:rsidRPr="003E4A8C">
              <w:rPr>
                <w:rFonts w:eastAsia="Calibri"/>
                <w:i/>
                <w:sz w:val="20"/>
              </w:rPr>
              <w:t>Canada Pension Plan</w:t>
            </w:r>
            <w:r w:rsidRPr="003E4A8C">
              <w:rPr>
                <w:rFonts w:eastAsia="Calibri"/>
                <w:sz w:val="20"/>
              </w:rPr>
              <w:t xml:space="preserve">, R.S.C. 1985, c. C-8, ss. 26.1(1), 27 – </w:t>
            </w:r>
            <w:r w:rsidRPr="003E4A8C">
              <w:rPr>
                <w:rFonts w:eastAsia="Calibri"/>
                <w:i/>
                <w:sz w:val="20"/>
              </w:rPr>
              <w:t>Tax Court of Canada Act</w:t>
            </w:r>
            <w:r w:rsidRPr="003E4A8C">
              <w:rPr>
                <w:rFonts w:eastAsia="Calibri"/>
                <w:sz w:val="20"/>
              </w:rPr>
              <w:t>, R.S.C. 1985, c. T-2, s. 12.</w:t>
            </w:r>
          </w:p>
        </w:tc>
      </w:tr>
      <w:tr w:rsidR="006412B3" w:rsidRPr="003E4A8C" w:rsidTr="009A57C7">
        <w:tc>
          <w:tcPr>
            <w:tcW w:w="5000" w:type="pct"/>
            <w:gridSpan w:val="3"/>
          </w:tcPr>
          <w:p w:rsidR="006412B3" w:rsidRPr="003E4A8C" w:rsidRDefault="006412B3" w:rsidP="009A57C7">
            <w:pPr>
              <w:jc w:val="both"/>
              <w:rPr>
                <w:rFonts w:eastAsia="Calibri"/>
                <w:sz w:val="20"/>
              </w:rPr>
            </w:pPr>
          </w:p>
        </w:tc>
      </w:tr>
      <w:tr w:rsidR="006412B3" w:rsidRPr="003E4A8C" w:rsidTr="009A57C7">
        <w:tc>
          <w:tcPr>
            <w:tcW w:w="5000" w:type="pct"/>
            <w:gridSpan w:val="3"/>
          </w:tcPr>
          <w:p w:rsidR="006412B3" w:rsidRPr="003E4A8C" w:rsidRDefault="006412B3" w:rsidP="009A57C7">
            <w:pPr>
              <w:jc w:val="both"/>
              <w:rPr>
                <w:rFonts w:eastAsia="Calibri"/>
                <w:sz w:val="20"/>
              </w:rPr>
            </w:pPr>
            <w:r w:rsidRPr="003E4A8C">
              <w:rPr>
                <w:rFonts w:eastAsia="Calibri"/>
                <w:sz w:val="20"/>
              </w:rPr>
              <w:t xml:space="preserve">The applicant, William Davitt, appealed to the Tax Court of Canada from rulings under the </w:t>
            </w:r>
            <w:r w:rsidRPr="003E4A8C">
              <w:rPr>
                <w:rFonts w:eastAsia="Calibri"/>
                <w:i/>
                <w:sz w:val="20"/>
              </w:rPr>
              <w:t>Employment Insurance Act</w:t>
            </w:r>
            <w:r w:rsidRPr="003E4A8C">
              <w:rPr>
                <w:rFonts w:eastAsia="Calibri"/>
                <w:sz w:val="20"/>
              </w:rPr>
              <w:t xml:space="preserve">, S.C. 1996, c. 23 (“EI Act”) and the </w:t>
            </w:r>
            <w:r w:rsidRPr="003E4A8C">
              <w:rPr>
                <w:rFonts w:eastAsia="Calibri"/>
                <w:i/>
                <w:sz w:val="20"/>
              </w:rPr>
              <w:t>Canada Pension Plan</w:t>
            </w:r>
            <w:r w:rsidRPr="003E4A8C">
              <w:rPr>
                <w:rFonts w:eastAsia="Calibri"/>
                <w:sz w:val="20"/>
              </w:rPr>
              <w:t xml:space="preserve">, R.S.C. 1985, c. C-8 (“CPP”). His appeals related to EI and CPP premiums he paid in 2007, which he argued should not have been payable because the regimes of both statutes by which the rates are determined discriminate on the basis of age, contrary to </w:t>
            </w:r>
            <w:r w:rsidRPr="003E4A8C">
              <w:rPr>
                <w:rFonts w:eastAsia="Calibri"/>
                <w:i/>
                <w:sz w:val="20"/>
              </w:rPr>
              <w:t>Canadian Charter of Rights and Freedoms</w:t>
            </w:r>
            <w:r w:rsidRPr="003E4A8C">
              <w:rPr>
                <w:rFonts w:eastAsia="Calibri"/>
                <w:sz w:val="20"/>
              </w:rPr>
              <w:t xml:space="preserve">. Specifically, he maintained: (a) since younger Canadians have lower incomes, the contributions required by the EI Act adversely affect them; and (b) the CPP obliges Canadians born after 1960 to contribute higher premiums and is therefore discriminatory. He further alleged that the CPP is a “Ponzi” scheme, illegal under the </w:t>
            </w:r>
            <w:r w:rsidRPr="003E4A8C">
              <w:rPr>
                <w:rFonts w:eastAsia="Calibri"/>
                <w:i/>
                <w:sz w:val="20"/>
              </w:rPr>
              <w:t>Criminal Code</w:t>
            </w:r>
            <w:r w:rsidRPr="003E4A8C">
              <w:rPr>
                <w:rFonts w:eastAsia="Calibri"/>
                <w:sz w:val="20"/>
              </w:rPr>
              <w:t xml:space="preserve">, R.S.C. 1985, </w:t>
            </w:r>
            <w:proofErr w:type="gramStart"/>
            <w:r w:rsidRPr="003E4A8C">
              <w:rPr>
                <w:rFonts w:eastAsia="Calibri"/>
                <w:sz w:val="20"/>
              </w:rPr>
              <w:t>c</w:t>
            </w:r>
            <w:proofErr w:type="gramEnd"/>
            <w:r w:rsidRPr="003E4A8C">
              <w:rPr>
                <w:rFonts w:eastAsia="Calibri"/>
                <w:sz w:val="20"/>
              </w:rPr>
              <w:t>. C-46.</w:t>
            </w:r>
          </w:p>
          <w:p w:rsidR="006412B3" w:rsidRPr="003E4A8C" w:rsidRDefault="006412B3" w:rsidP="009A57C7">
            <w:pPr>
              <w:jc w:val="both"/>
              <w:rPr>
                <w:rFonts w:eastAsia="Calibri"/>
                <w:sz w:val="20"/>
              </w:rPr>
            </w:pPr>
          </w:p>
          <w:p w:rsidR="006412B3" w:rsidRPr="003E4A8C" w:rsidRDefault="006412B3" w:rsidP="009A57C7">
            <w:pPr>
              <w:jc w:val="both"/>
              <w:rPr>
                <w:rFonts w:eastAsia="Calibri"/>
                <w:sz w:val="20"/>
              </w:rPr>
            </w:pPr>
            <w:r w:rsidRPr="003E4A8C">
              <w:rPr>
                <w:rFonts w:eastAsia="Calibri"/>
                <w:sz w:val="20"/>
              </w:rPr>
              <w:t>The Tax Court of Canada allowed the Minister’s motion to quash Mr. Davitt’s notices of appeal, and prohibited him from filing further EI Act and CPP appeals without leave of that court.  The Federal Court of Appeal dismissed the applicant’s appeal.</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October 7, 2010</w:t>
            </w:r>
          </w:p>
          <w:p w:rsidR="006412B3" w:rsidRPr="003E4A8C" w:rsidRDefault="006412B3" w:rsidP="009A57C7">
            <w:pPr>
              <w:jc w:val="both"/>
              <w:rPr>
                <w:rFonts w:eastAsia="Calibri"/>
                <w:sz w:val="20"/>
              </w:rPr>
            </w:pPr>
            <w:r w:rsidRPr="003E4A8C">
              <w:rPr>
                <w:rFonts w:eastAsia="Calibri"/>
                <w:sz w:val="20"/>
              </w:rPr>
              <w:t>Tax Court of Canada</w:t>
            </w:r>
          </w:p>
          <w:p w:rsidR="006412B3" w:rsidRPr="003E4A8C" w:rsidRDefault="006412B3" w:rsidP="009A57C7">
            <w:pPr>
              <w:jc w:val="both"/>
              <w:rPr>
                <w:rFonts w:eastAsia="Calibri"/>
                <w:sz w:val="20"/>
              </w:rPr>
            </w:pPr>
            <w:r w:rsidRPr="003E4A8C">
              <w:rPr>
                <w:rFonts w:eastAsia="Calibri"/>
                <w:sz w:val="20"/>
              </w:rPr>
              <w:t>(Boyle J.)</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Respondent’s motion to quash applicant’s notices of appeal, allowed.</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January 24, 2012</w:t>
            </w:r>
          </w:p>
          <w:p w:rsidR="006412B3" w:rsidRPr="003E4A8C" w:rsidRDefault="006412B3" w:rsidP="009A57C7">
            <w:pPr>
              <w:jc w:val="both"/>
              <w:rPr>
                <w:rFonts w:eastAsia="Calibri"/>
                <w:sz w:val="20"/>
              </w:rPr>
            </w:pPr>
            <w:r w:rsidRPr="003E4A8C">
              <w:rPr>
                <w:rFonts w:eastAsia="Calibri"/>
                <w:sz w:val="20"/>
              </w:rPr>
              <w:t>Federal Court of Appeal</w:t>
            </w:r>
          </w:p>
          <w:p w:rsidR="006412B3" w:rsidRPr="003E4A8C" w:rsidRDefault="006412B3" w:rsidP="009A57C7">
            <w:pPr>
              <w:jc w:val="both"/>
              <w:rPr>
                <w:rFonts w:eastAsia="Calibri"/>
                <w:sz w:val="20"/>
              </w:rPr>
            </w:pPr>
            <w:r w:rsidRPr="003E4A8C">
              <w:rPr>
                <w:rFonts w:eastAsia="Calibri"/>
                <w:sz w:val="20"/>
              </w:rPr>
              <w:t>(Evans, Sharlow and Layden-Stevenson JJ.A.)</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Applicant’s appeal, dismissed.</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March 22, 2012</w:t>
            </w:r>
          </w:p>
          <w:p w:rsidR="006412B3" w:rsidRPr="003E4A8C" w:rsidRDefault="006412B3" w:rsidP="009A57C7">
            <w:pPr>
              <w:jc w:val="both"/>
              <w:rPr>
                <w:rFonts w:eastAsia="Calibri"/>
                <w:sz w:val="20"/>
              </w:rPr>
            </w:pPr>
            <w:r w:rsidRPr="003E4A8C">
              <w:rPr>
                <w:rFonts w:eastAsia="Calibri"/>
                <w:sz w:val="20"/>
              </w:rPr>
              <w:t>Supreme Court of Canada</w:t>
            </w: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Application for leave to appeal, filed.</w:t>
            </w:r>
          </w:p>
          <w:p w:rsidR="006412B3" w:rsidRPr="003E4A8C" w:rsidRDefault="006412B3"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78"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412B3" w:rsidRPr="003E4A8C" w:rsidTr="009A57C7">
        <w:tc>
          <w:tcPr>
            <w:tcW w:w="5000" w:type="pct"/>
            <w:gridSpan w:val="3"/>
          </w:tcPr>
          <w:p w:rsidR="006412B3" w:rsidRPr="003E4A8C" w:rsidRDefault="006412B3" w:rsidP="009A57C7">
            <w:pPr>
              <w:jc w:val="both"/>
              <w:rPr>
                <w:rFonts w:eastAsia="Calibri"/>
                <w:sz w:val="20"/>
                <w:lang w:val="fr-CA"/>
              </w:rPr>
            </w:pPr>
            <w:r w:rsidRPr="003E4A8C">
              <w:rPr>
                <w:rFonts w:eastAsia="Calibri"/>
                <w:i/>
                <w:sz w:val="20"/>
                <w:lang w:val="fr-CA"/>
              </w:rPr>
              <w:t>Charte canadienne des droits et libertés</w:t>
            </w:r>
            <w:r w:rsidRPr="003E4A8C">
              <w:rPr>
                <w:rFonts w:eastAsia="Calibri"/>
                <w:sz w:val="20"/>
                <w:lang w:val="fr-CA"/>
              </w:rPr>
              <w:t xml:space="preserve"> – Droit à l’égalité – Tribunaux – Compétence – Cour canadienne de l’impôt– Taux des primes d’assurance-emploi et des cotisations du Régime de pensions du Canada – La Cour canadienne de </w:t>
            </w:r>
            <w:r w:rsidRPr="003E4A8C">
              <w:rPr>
                <w:rFonts w:eastAsia="Calibri"/>
                <w:sz w:val="20"/>
                <w:lang w:val="fr-CA"/>
              </w:rPr>
              <w:lastRenderedPageBreak/>
              <w:t xml:space="preserve">l’impôt a-t-elle compétence pour trancher des appels en vue d’obtenir des réductions du montant des primes d’AE et des cotisations du RPC payables lorsque les motifs d’appel comprennent des violations alléguées des articles 3 et 15 de la </w:t>
            </w:r>
            <w:r w:rsidRPr="003E4A8C">
              <w:rPr>
                <w:rFonts w:eastAsia="Calibri"/>
                <w:i/>
                <w:sz w:val="20"/>
                <w:lang w:val="fr-CA"/>
              </w:rPr>
              <w:t>Charte canadienne des droits et libertés</w:t>
            </w:r>
            <w:r w:rsidRPr="003E4A8C">
              <w:rPr>
                <w:rFonts w:eastAsia="Calibri"/>
                <w:sz w:val="20"/>
                <w:lang w:val="fr-CA"/>
              </w:rPr>
              <w:t>?</w:t>
            </w:r>
            <w:r w:rsidRPr="003E4A8C">
              <w:rPr>
                <w:rFonts w:eastAsia="Calibri"/>
                <w:i/>
                <w:sz w:val="20"/>
                <w:lang w:val="fr-CA"/>
              </w:rPr>
              <w:t xml:space="preserve"> – Loi sur l’assurance-emploi</w:t>
            </w:r>
            <w:r w:rsidRPr="003E4A8C">
              <w:rPr>
                <w:rFonts w:eastAsia="Calibri"/>
                <w:sz w:val="20"/>
                <w:lang w:val="fr-CA"/>
              </w:rPr>
              <w:t xml:space="preserve">, L.C. 1996, ch. 23, art. 90(1), 91 – </w:t>
            </w:r>
            <w:r w:rsidRPr="003E4A8C">
              <w:rPr>
                <w:rFonts w:eastAsia="Calibri"/>
                <w:i/>
                <w:sz w:val="20"/>
                <w:lang w:val="fr-CA"/>
              </w:rPr>
              <w:t>Régime de pensions du Canada</w:t>
            </w:r>
            <w:r w:rsidRPr="003E4A8C">
              <w:rPr>
                <w:rFonts w:eastAsia="Calibri"/>
                <w:sz w:val="20"/>
                <w:lang w:val="fr-CA"/>
              </w:rPr>
              <w:t xml:space="preserve">, L.R.C. 1985, ch. C-8, art. 26.1(1), 27 – </w:t>
            </w:r>
            <w:r w:rsidRPr="003E4A8C">
              <w:rPr>
                <w:rFonts w:eastAsia="Calibri"/>
                <w:i/>
                <w:sz w:val="20"/>
                <w:lang w:val="fr-CA"/>
              </w:rPr>
              <w:t>Loi sur la Cour canadienne de l’impôt</w:t>
            </w:r>
            <w:r w:rsidRPr="003E4A8C">
              <w:rPr>
                <w:rFonts w:eastAsia="Calibri"/>
                <w:sz w:val="20"/>
                <w:lang w:val="fr-CA"/>
              </w:rPr>
              <w:t>, L.R.C. 1985, ch. T-2, art. 12.</w:t>
            </w:r>
          </w:p>
        </w:tc>
      </w:tr>
      <w:tr w:rsidR="006412B3" w:rsidRPr="003E4A8C" w:rsidTr="009A57C7">
        <w:tc>
          <w:tcPr>
            <w:tcW w:w="5000" w:type="pct"/>
            <w:gridSpan w:val="3"/>
          </w:tcPr>
          <w:p w:rsidR="006412B3" w:rsidRPr="003E4A8C" w:rsidRDefault="006412B3" w:rsidP="009A57C7">
            <w:pPr>
              <w:jc w:val="both"/>
              <w:rPr>
                <w:rFonts w:eastAsia="Calibri"/>
                <w:sz w:val="20"/>
                <w:lang w:val="fr-CA"/>
              </w:rPr>
            </w:pPr>
          </w:p>
        </w:tc>
      </w:tr>
      <w:tr w:rsidR="006412B3" w:rsidRPr="003E4A8C" w:rsidTr="009A57C7">
        <w:tc>
          <w:tcPr>
            <w:tcW w:w="5000" w:type="pct"/>
            <w:gridSpan w:val="3"/>
          </w:tcPr>
          <w:p w:rsidR="006412B3" w:rsidRPr="003E4A8C" w:rsidRDefault="006412B3" w:rsidP="009A57C7">
            <w:pPr>
              <w:jc w:val="both"/>
              <w:rPr>
                <w:rFonts w:eastAsia="Calibri"/>
                <w:sz w:val="20"/>
                <w:lang w:val="fr-CA"/>
              </w:rPr>
            </w:pPr>
            <w:r w:rsidRPr="003E4A8C">
              <w:rPr>
                <w:rFonts w:eastAsia="Calibri"/>
                <w:sz w:val="20"/>
                <w:lang w:val="fr-CA"/>
              </w:rPr>
              <w:t>Le demandeur, William Davitt, a interjeté appel à la Cour canadienne de l’impôt à l’encontre de décisions fondées sur la </w:t>
            </w:r>
            <w:r w:rsidRPr="003E4A8C">
              <w:rPr>
                <w:rFonts w:eastAsia="Calibri"/>
                <w:i/>
                <w:iCs/>
                <w:sz w:val="20"/>
                <w:lang w:val="fr-CA"/>
              </w:rPr>
              <w:t>Loi sur l’assurance</w:t>
            </w:r>
            <w:r w:rsidRPr="003E4A8C">
              <w:rPr>
                <w:rFonts w:eastAsia="Calibri"/>
                <w:i/>
                <w:iCs/>
                <w:sz w:val="20"/>
                <w:lang w:val="fr-CA"/>
              </w:rPr>
              <w:noBreakHyphen/>
              <w:t>emploi</w:t>
            </w:r>
            <w:r w:rsidRPr="003E4A8C">
              <w:rPr>
                <w:rFonts w:eastAsia="Calibri"/>
                <w:sz w:val="20"/>
                <w:lang w:val="fr-CA"/>
              </w:rPr>
              <w:t>, L.C. 1996, ch. 23 (la Loi sur l’A</w:t>
            </w:r>
            <w:r w:rsidRPr="003E4A8C">
              <w:rPr>
                <w:rFonts w:eastAsia="Calibri"/>
                <w:sz w:val="20"/>
                <w:lang w:val="fr-CA"/>
              </w:rPr>
              <w:noBreakHyphen/>
              <w:t>E) et le </w:t>
            </w:r>
            <w:r w:rsidRPr="003E4A8C">
              <w:rPr>
                <w:rFonts w:eastAsia="Calibri"/>
                <w:i/>
                <w:iCs/>
                <w:sz w:val="20"/>
                <w:lang w:val="fr-CA"/>
              </w:rPr>
              <w:t>Régime de pensions du Canada</w:t>
            </w:r>
            <w:r w:rsidRPr="003E4A8C">
              <w:rPr>
                <w:rFonts w:eastAsia="Calibri"/>
                <w:sz w:val="20"/>
                <w:lang w:val="fr-CA"/>
              </w:rPr>
              <w:t>, L.R.C. 1985, ch. C</w:t>
            </w:r>
            <w:r w:rsidRPr="003E4A8C">
              <w:rPr>
                <w:rFonts w:eastAsia="Calibri"/>
                <w:sz w:val="20"/>
                <w:lang w:val="fr-CA"/>
              </w:rPr>
              <w:noBreakHyphen/>
              <w:t>8 (le RPC). Lesdits appels portent sur des cotisations d’assurance</w:t>
            </w:r>
            <w:r w:rsidRPr="003E4A8C">
              <w:rPr>
                <w:rFonts w:eastAsia="Calibri"/>
                <w:sz w:val="20"/>
                <w:lang w:val="fr-CA"/>
              </w:rPr>
              <w:noBreakHyphen/>
              <w:t>emploi et de RPC versées en 2007 qui, selon lui, n’auraient pas dû être payables parce que le régime des deux lois, en vertu desquelles les taux sont fixés, établit une discrimination fondée sur l’âge, ce qui contrevient à la </w:t>
            </w:r>
            <w:r w:rsidRPr="003E4A8C">
              <w:rPr>
                <w:rFonts w:eastAsia="Calibri"/>
                <w:i/>
                <w:iCs/>
                <w:sz w:val="20"/>
                <w:lang w:val="fr-CA"/>
              </w:rPr>
              <w:t>Charte canadienne des droits et libertés</w:t>
            </w:r>
            <w:r w:rsidRPr="003E4A8C">
              <w:rPr>
                <w:rFonts w:eastAsia="Calibri"/>
                <w:sz w:val="20"/>
                <w:lang w:val="fr-CA"/>
              </w:rPr>
              <w:t> (la </w:t>
            </w:r>
            <w:r w:rsidRPr="003E4A8C">
              <w:rPr>
                <w:rFonts w:eastAsia="Calibri"/>
                <w:i/>
                <w:iCs/>
                <w:sz w:val="20"/>
                <w:lang w:val="fr-CA"/>
              </w:rPr>
              <w:t>Charte</w:t>
            </w:r>
            <w:r w:rsidRPr="003E4A8C">
              <w:rPr>
                <w:rFonts w:eastAsia="Calibri"/>
                <w:sz w:val="20"/>
                <w:lang w:val="fr-CA"/>
              </w:rPr>
              <w:t>). Plus précisément, il a fait valoir les prétentions suivantes : a) puisque les Canadiens plus jeunes ont des revenus moins élevés, les contributions exigées par la Loi sur l’A-E les défavorisent; b) le RPC oblige les Canadiens nés après 1960 à verser des contributions plus élevées et est par conséquent discriminatoire. Il a de plus allégué que le RPC était une combine à la Ponzi, illégale en vertu du </w:t>
            </w:r>
            <w:r w:rsidRPr="003E4A8C">
              <w:rPr>
                <w:rFonts w:eastAsia="Calibri"/>
                <w:i/>
                <w:iCs/>
                <w:sz w:val="20"/>
                <w:lang w:val="fr-CA"/>
              </w:rPr>
              <w:t>Code criminel</w:t>
            </w:r>
            <w:r w:rsidRPr="003E4A8C">
              <w:rPr>
                <w:rFonts w:eastAsia="Calibri"/>
                <w:sz w:val="20"/>
                <w:lang w:val="fr-CA"/>
              </w:rPr>
              <w:t>, L.R.C. 1985, ch. C</w:t>
            </w:r>
            <w:r w:rsidRPr="003E4A8C">
              <w:rPr>
                <w:rFonts w:eastAsia="Calibri"/>
                <w:sz w:val="20"/>
                <w:lang w:val="fr-CA"/>
              </w:rPr>
              <w:noBreakHyphen/>
              <w:t>46.</w:t>
            </w:r>
          </w:p>
          <w:p w:rsidR="006412B3" w:rsidRPr="003E4A8C" w:rsidRDefault="006412B3" w:rsidP="009A57C7">
            <w:pPr>
              <w:jc w:val="both"/>
              <w:rPr>
                <w:rFonts w:eastAsia="Calibri"/>
                <w:sz w:val="20"/>
                <w:lang w:val="fr-CA"/>
              </w:rPr>
            </w:pPr>
          </w:p>
          <w:p w:rsidR="006412B3" w:rsidRPr="003E4A8C" w:rsidRDefault="006412B3" w:rsidP="009A57C7">
            <w:pPr>
              <w:jc w:val="both"/>
              <w:rPr>
                <w:rFonts w:eastAsia="Calibri"/>
                <w:sz w:val="20"/>
                <w:lang w:val="fr-CA"/>
              </w:rPr>
            </w:pPr>
            <w:r w:rsidRPr="003E4A8C">
              <w:rPr>
                <w:rFonts w:eastAsia="Calibri"/>
                <w:sz w:val="20"/>
                <w:lang w:val="fr-CA"/>
              </w:rPr>
              <w:t>La Cour canadienne de l’impôt a accueilli la requête du ministre en annulation des avis d’appel de M. Davitt et lui a interdit d’interjeter de nouveau appel en vertu de la Loi sur l’A</w:t>
            </w:r>
            <w:r w:rsidRPr="003E4A8C">
              <w:rPr>
                <w:rFonts w:eastAsia="Calibri"/>
                <w:sz w:val="20"/>
                <w:lang w:val="fr-CA"/>
              </w:rPr>
              <w:noBreakHyphen/>
              <w:t>E et du RPC sans l’autorisation de la cour. La Cour d’appel fédérale a rejeté l’appel du demandeur.</w:t>
            </w:r>
          </w:p>
          <w:p w:rsidR="006412B3" w:rsidRPr="003E4A8C" w:rsidRDefault="006412B3" w:rsidP="009A57C7">
            <w:pPr>
              <w:jc w:val="both"/>
              <w:rPr>
                <w:rFonts w:eastAsia="Calibri"/>
                <w:sz w:val="20"/>
                <w:lang w:val="fr-CA"/>
              </w:rPr>
            </w:pPr>
          </w:p>
        </w:tc>
      </w:tr>
      <w:tr w:rsidR="006412B3" w:rsidRPr="00147672"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7 octobre 2010</w:t>
            </w:r>
          </w:p>
          <w:p w:rsidR="006412B3" w:rsidRPr="003E4A8C" w:rsidRDefault="006412B3" w:rsidP="009A57C7">
            <w:pPr>
              <w:jc w:val="both"/>
              <w:rPr>
                <w:rFonts w:eastAsia="Calibri"/>
                <w:sz w:val="20"/>
                <w:lang w:val="fr-CA"/>
              </w:rPr>
            </w:pPr>
            <w:r w:rsidRPr="003E4A8C">
              <w:rPr>
                <w:rFonts w:eastAsia="Calibri"/>
                <w:sz w:val="20"/>
                <w:lang w:val="fr-CA"/>
              </w:rPr>
              <w:t>Cour canadienne de l’impôt</w:t>
            </w:r>
          </w:p>
          <w:p w:rsidR="006412B3" w:rsidRPr="003E4A8C" w:rsidRDefault="006412B3" w:rsidP="009A57C7">
            <w:pPr>
              <w:jc w:val="both"/>
              <w:rPr>
                <w:rFonts w:eastAsia="Calibri"/>
                <w:sz w:val="20"/>
                <w:lang w:val="fr-CA"/>
              </w:rPr>
            </w:pPr>
            <w:r w:rsidRPr="003E4A8C">
              <w:rPr>
                <w:rFonts w:eastAsia="Calibri"/>
                <w:sz w:val="20"/>
                <w:lang w:val="fr-CA"/>
              </w:rPr>
              <w:t>(Juge Boyle)</w:t>
            </w:r>
          </w:p>
          <w:p w:rsidR="006412B3" w:rsidRPr="003E4A8C" w:rsidRDefault="006412B3" w:rsidP="009A57C7">
            <w:pPr>
              <w:jc w:val="both"/>
              <w:rPr>
                <w:rFonts w:eastAsia="Calibri"/>
                <w:sz w:val="20"/>
                <w:lang w:val="fr-CA"/>
              </w:rPr>
            </w:pP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Requête de l’intimé en annulation des avis d’appel du demandeur, accueillie.</w:t>
            </w:r>
          </w:p>
          <w:p w:rsidR="006412B3" w:rsidRPr="003E4A8C" w:rsidRDefault="006412B3" w:rsidP="009A57C7">
            <w:pPr>
              <w:jc w:val="both"/>
              <w:rPr>
                <w:rFonts w:eastAsia="Calibri"/>
                <w:sz w:val="20"/>
                <w:lang w:val="fr-CA"/>
              </w:rPr>
            </w:pPr>
          </w:p>
        </w:tc>
      </w:tr>
      <w:tr w:rsidR="006412B3" w:rsidRPr="003E4A8C"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24 janvier 2012</w:t>
            </w:r>
          </w:p>
          <w:p w:rsidR="006412B3" w:rsidRPr="003E4A8C" w:rsidRDefault="006412B3" w:rsidP="009A57C7">
            <w:pPr>
              <w:jc w:val="both"/>
              <w:rPr>
                <w:rFonts w:eastAsia="Calibri"/>
                <w:sz w:val="20"/>
                <w:lang w:val="fr-CA"/>
              </w:rPr>
            </w:pPr>
            <w:r w:rsidRPr="003E4A8C">
              <w:rPr>
                <w:rFonts w:eastAsia="Calibri"/>
                <w:sz w:val="20"/>
                <w:lang w:val="fr-CA"/>
              </w:rPr>
              <w:t>Cour d’appel fédérale</w:t>
            </w:r>
          </w:p>
          <w:p w:rsidR="006412B3" w:rsidRPr="003E4A8C" w:rsidRDefault="006412B3" w:rsidP="009A57C7">
            <w:pPr>
              <w:jc w:val="both"/>
              <w:rPr>
                <w:rFonts w:eastAsia="Calibri"/>
                <w:sz w:val="20"/>
                <w:lang w:val="fr-CA"/>
              </w:rPr>
            </w:pPr>
            <w:r w:rsidRPr="003E4A8C">
              <w:rPr>
                <w:rFonts w:eastAsia="Calibri"/>
                <w:sz w:val="20"/>
                <w:lang w:val="fr-CA"/>
              </w:rPr>
              <w:t>(Juges Evans, Sharlow et Layden-Stevenson)</w:t>
            </w:r>
          </w:p>
          <w:p w:rsidR="006412B3" w:rsidRPr="003E4A8C" w:rsidRDefault="006412B3" w:rsidP="009A57C7">
            <w:pPr>
              <w:jc w:val="both"/>
              <w:rPr>
                <w:rFonts w:eastAsia="Calibri"/>
                <w:sz w:val="20"/>
                <w:lang w:val="fr-CA"/>
              </w:rPr>
            </w:pP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Appel du demandeur, annulé.</w:t>
            </w:r>
          </w:p>
          <w:p w:rsidR="006412B3" w:rsidRPr="003E4A8C" w:rsidRDefault="006412B3" w:rsidP="009A57C7">
            <w:pPr>
              <w:jc w:val="both"/>
              <w:rPr>
                <w:rFonts w:eastAsia="Calibri"/>
                <w:sz w:val="20"/>
                <w:lang w:val="fr-CA"/>
              </w:rPr>
            </w:pPr>
          </w:p>
        </w:tc>
      </w:tr>
      <w:tr w:rsidR="006412B3" w:rsidRPr="003E4A8C"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22 mars 2012</w:t>
            </w:r>
          </w:p>
          <w:p w:rsidR="006412B3" w:rsidRPr="003E4A8C" w:rsidRDefault="006412B3" w:rsidP="009A57C7">
            <w:pPr>
              <w:jc w:val="both"/>
              <w:rPr>
                <w:rFonts w:eastAsia="Calibri"/>
                <w:sz w:val="20"/>
                <w:lang w:val="fr-CA"/>
              </w:rPr>
            </w:pPr>
            <w:r w:rsidRPr="003E4A8C">
              <w:rPr>
                <w:rFonts w:eastAsia="Calibri"/>
                <w:sz w:val="20"/>
                <w:lang w:val="fr-CA"/>
              </w:rPr>
              <w:t>Cour suprême du Canada</w:t>
            </w: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Demande d’autorisation d’appel, déposée.</w:t>
            </w:r>
          </w:p>
          <w:p w:rsidR="006412B3" w:rsidRPr="003E4A8C" w:rsidRDefault="006412B3" w:rsidP="009A57C7">
            <w:pPr>
              <w:jc w:val="both"/>
              <w:rPr>
                <w:rFonts w:eastAsia="Calibri"/>
                <w:sz w:val="20"/>
                <w:lang w:val="fr-CA"/>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79"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002B" w:rsidRPr="004A002B" w:rsidTr="008B5DBF">
        <w:trPr>
          <w:cantSplit/>
        </w:trPr>
        <w:tc>
          <w:tcPr>
            <w:tcW w:w="1458" w:type="dxa"/>
          </w:tcPr>
          <w:p w:rsidR="004A002B" w:rsidRPr="004A002B" w:rsidRDefault="004A002B" w:rsidP="008B5DBF">
            <w:pPr>
              <w:rPr>
                <w:rFonts w:cs="Times New Roman"/>
                <w:sz w:val="20"/>
                <w:szCs w:val="20"/>
              </w:rPr>
            </w:pPr>
            <w:r w:rsidRPr="004A002B">
              <w:rPr>
                <w:rStyle w:val="SCCFileNumberChar"/>
                <w:sz w:val="20"/>
                <w:szCs w:val="20"/>
              </w:rPr>
              <w:t>34731</w:t>
            </w:r>
          </w:p>
          <w:p w:rsidR="004A002B" w:rsidRPr="004A002B" w:rsidRDefault="004A002B" w:rsidP="008B5DBF">
            <w:pPr>
              <w:rPr>
                <w:rFonts w:cs="Times New Roman"/>
                <w:b/>
                <w:sz w:val="20"/>
                <w:szCs w:val="20"/>
                <w:lang w:val="fr-CA"/>
              </w:rPr>
            </w:pPr>
          </w:p>
        </w:tc>
        <w:tc>
          <w:tcPr>
            <w:tcW w:w="8118" w:type="dxa"/>
          </w:tcPr>
          <w:p w:rsidR="004A002B" w:rsidRPr="004A002B" w:rsidRDefault="004A002B" w:rsidP="008B5DBF">
            <w:pPr>
              <w:jc w:val="both"/>
              <w:rPr>
                <w:rFonts w:cs="Times New Roman"/>
                <w:sz w:val="20"/>
                <w:szCs w:val="20"/>
              </w:rPr>
            </w:pPr>
            <w:r w:rsidRPr="004A002B">
              <w:rPr>
                <w:rStyle w:val="SCCLsocChar"/>
                <w:rFonts w:cs="Times New Roman"/>
                <w:sz w:val="20"/>
                <w:szCs w:val="20"/>
                <w:lang w:val="en-CA"/>
              </w:rPr>
              <w:t>Nagib Tajdin and Alnaz Jiwa v. His Highness Prince Karim Aga Khan</w:t>
            </w:r>
            <w:r w:rsidRPr="004A002B">
              <w:rPr>
                <w:rFonts w:cs="Times New Roman"/>
                <w:sz w:val="20"/>
                <w:szCs w:val="20"/>
              </w:rPr>
              <w:t xml:space="preserve"> (F.C.) (Civil) (By Leave)</w:t>
            </w:r>
          </w:p>
          <w:p w:rsidR="004A002B" w:rsidRPr="004A002B" w:rsidRDefault="004A002B" w:rsidP="008B5DBF">
            <w:pPr>
              <w:rPr>
                <w:rFonts w:cs="Times New Roman"/>
                <w:sz w:val="20"/>
                <w:szCs w:val="20"/>
              </w:rPr>
            </w:pPr>
          </w:p>
        </w:tc>
      </w:tr>
      <w:tr w:rsidR="004A002B" w:rsidRPr="004A002B" w:rsidTr="008B5DBF">
        <w:trPr>
          <w:cantSplit/>
        </w:trPr>
        <w:tc>
          <w:tcPr>
            <w:tcW w:w="1458" w:type="dxa"/>
          </w:tcPr>
          <w:p w:rsidR="004A002B" w:rsidRPr="004A002B" w:rsidRDefault="004A002B" w:rsidP="008B5DBF">
            <w:pPr>
              <w:rPr>
                <w:rFonts w:cs="Times New Roman"/>
                <w:sz w:val="20"/>
                <w:szCs w:val="20"/>
              </w:rPr>
            </w:pPr>
            <w:r w:rsidRPr="004A002B">
              <w:rPr>
                <w:rFonts w:cs="Times New Roman"/>
                <w:sz w:val="20"/>
                <w:szCs w:val="20"/>
              </w:rPr>
              <w:t>Coram :</w:t>
            </w:r>
          </w:p>
        </w:tc>
        <w:tc>
          <w:tcPr>
            <w:tcW w:w="8118" w:type="dxa"/>
          </w:tcPr>
          <w:p w:rsidR="004A002B" w:rsidRPr="004A002B" w:rsidRDefault="004A002B" w:rsidP="008B5DBF">
            <w:pPr>
              <w:rPr>
                <w:rFonts w:cs="Times New Roman"/>
                <w:sz w:val="20"/>
                <w:szCs w:val="20"/>
              </w:rPr>
            </w:pPr>
            <w:r w:rsidRPr="004A002B">
              <w:rPr>
                <w:rStyle w:val="SCCCoramChar"/>
                <w:rFonts w:cs="Times New Roman"/>
                <w:sz w:val="20"/>
                <w:szCs w:val="20"/>
                <w:lang w:val="en-CA"/>
              </w:rPr>
              <w:t>McLachlin C.J. and Rothstein and Moldaver JJ.</w:t>
            </w:r>
          </w:p>
          <w:p w:rsidR="004A002B" w:rsidRPr="004A002B" w:rsidRDefault="004A002B" w:rsidP="008B5DBF">
            <w:pPr>
              <w:rPr>
                <w:rFonts w:cs="Times New Roman"/>
                <w:sz w:val="20"/>
                <w:szCs w:val="20"/>
                <w:u w:val="single"/>
              </w:rPr>
            </w:pPr>
          </w:p>
        </w:tc>
      </w:tr>
      <w:tr w:rsidR="004A002B" w:rsidRPr="00147672" w:rsidTr="008B5DBF">
        <w:trPr>
          <w:cantSplit/>
        </w:trPr>
        <w:tc>
          <w:tcPr>
            <w:tcW w:w="9576" w:type="dxa"/>
            <w:gridSpan w:val="2"/>
          </w:tcPr>
          <w:p w:rsidR="004A002B" w:rsidRPr="004A002B" w:rsidRDefault="004A002B" w:rsidP="008B5DBF">
            <w:pPr>
              <w:pStyle w:val="SCCShortJudgment"/>
              <w:rPr>
                <w:rFonts w:cs="Times New Roman"/>
                <w:szCs w:val="20"/>
              </w:rPr>
            </w:pPr>
            <w:r w:rsidRPr="004A002B">
              <w:rPr>
                <w:rFonts w:cs="Times New Roman"/>
                <w:szCs w:val="20"/>
              </w:rPr>
              <w:t>The application for leave to appeal from the judgment of the Federal Court of Appeal, Numbers A-59-11 and A-60-11, 2012 FCA 12, dated January 16, 2012, is dismissed with costs.</w:t>
            </w:r>
          </w:p>
          <w:p w:rsidR="004A002B" w:rsidRPr="004A002B" w:rsidRDefault="004A002B" w:rsidP="008B5DBF">
            <w:pPr>
              <w:pStyle w:val="SCCShortJudgment"/>
              <w:ind w:firstLine="0"/>
              <w:rPr>
                <w:rFonts w:cs="Times New Roman"/>
                <w:szCs w:val="20"/>
              </w:rPr>
            </w:pPr>
          </w:p>
          <w:p w:rsidR="004A002B" w:rsidRPr="004A002B" w:rsidRDefault="004A002B" w:rsidP="008B5DBF">
            <w:pPr>
              <w:pStyle w:val="SCCShortJudgment"/>
              <w:rPr>
                <w:rFonts w:cs="Times New Roman"/>
                <w:szCs w:val="20"/>
                <w:lang w:val="fr-CA"/>
              </w:rPr>
            </w:pPr>
            <w:r w:rsidRPr="004A002B">
              <w:rPr>
                <w:rFonts w:cs="Times New Roman"/>
                <w:szCs w:val="20"/>
                <w:lang w:val="fr-CA"/>
              </w:rPr>
              <w:t>La demande d’autorisation d’appel de l’arrêt de la Cour d’appel fédérale, numéros A-59-11 et A-60-11, 2012 CAF 12, daté du 16 janvier 2012, est rejetée avec dépens.</w:t>
            </w:r>
          </w:p>
        </w:tc>
      </w:tr>
    </w:tbl>
    <w:p w:rsidR="00F96FE7" w:rsidRPr="004A002B"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12B3" w:rsidRPr="003E4A8C" w:rsidTr="009A57C7">
        <w:tc>
          <w:tcPr>
            <w:tcW w:w="5000" w:type="pct"/>
            <w:gridSpan w:val="3"/>
          </w:tcPr>
          <w:p w:rsidR="006412B3" w:rsidRPr="003E4A8C" w:rsidRDefault="006412B3" w:rsidP="009A57C7">
            <w:pPr>
              <w:jc w:val="both"/>
              <w:rPr>
                <w:rFonts w:eastAsia="Calibri"/>
                <w:sz w:val="20"/>
              </w:rPr>
            </w:pPr>
            <w:r w:rsidRPr="003E4A8C">
              <w:rPr>
                <w:rFonts w:eastAsia="Calibri"/>
                <w:iCs/>
                <w:color w:val="000000"/>
                <w:sz w:val="20"/>
              </w:rPr>
              <w:t>Intellectual property law — Copyright — Infringement — Literary works — Applicants publishing and disseminating collected works of the Aga Khan — Aga Khan commencing action for copyright infringement – Both parties applying for summary judgment - Whether the Aga Khan had consented to publication - Whether lower court applied the proper onus of proof and standard of review – Whether lower courts applied proper summary judgment rules</w:t>
            </w:r>
          </w:p>
        </w:tc>
      </w:tr>
      <w:tr w:rsidR="006412B3" w:rsidRPr="003E4A8C" w:rsidTr="009A57C7">
        <w:tc>
          <w:tcPr>
            <w:tcW w:w="5000" w:type="pct"/>
            <w:gridSpan w:val="3"/>
          </w:tcPr>
          <w:p w:rsidR="006412B3" w:rsidRPr="003E4A8C" w:rsidRDefault="006412B3" w:rsidP="009A57C7">
            <w:pPr>
              <w:jc w:val="both"/>
              <w:rPr>
                <w:rFonts w:eastAsia="Calibri"/>
                <w:sz w:val="20"/>
              </w:rPr>
            </w:pPr>
          </w:p>
        </w:tc>
      </w:tr>
      <w:tr w:rsidR="006412B3" w:rsidRPr="003E4A8C" w:rsidTr="009A57C7">
        <w:tc>
          <w:tcPr>
            <w:tcW w:w="5000" w:type="pct"/>
            <w:gridSpan w:val="3"/>
          </w:tcPr>
          <w:p w:rsidR="006412B3" w:rsidRPr="003E4A8C" w:rsidRDefault="006412B3" w:rsidP="009A57C7">
            <w:pPr>
              <w:jc w:val="both"/>
              <w:rPr>
                <w:color w:val="000000"/>
                <w:sz w:val="20"/>
              </w:rPr>
            </w:pPr>
            <w:r w:rsidRPr="003E4A8C">
              <w:rPr>
                <w:color w:val="000000"/>
                <w:sz w:val="20"/>
              </w:rPr>
              <w:t xml:space="preserve">In 2010, the Aga Khan brought an action against the Applicants for copyright infringement after they had collected, published and disseminated a book containing his copyrighted teachings.  The Applicants brought a motion for summary judgment on the basis that there was no genuine issue for trial as the Aga Khan had either expressly or impliedly consented to the publication.  The Aga Khan brought a cross motion for summary judgment, for a declaration that the Applicants’ book infringed his copyright in his literary works, and for a permanent injunction precluding them from publishing the book.  </w:t>
            </w:r>
          </w:p>
          <w:p w:rsidR="006412B3" w:rsidRPr="003E4A8C" w:rsidRDefault="006412B3" w:rsidP="009A57C7">
            <w:pPr>
              <w:jc w:val="both"/>
              <w:rPr>
                <w:color w:val="000000"/>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March 4, 2011</w:t>
            </w:r>
          </w:p>
          <w:p w:rsidR="006412B3" w:rsidRPr="003E4A8C" w:rsidRDefault="006412B3" w:rsidP="009A57C7">
            <w:pPr>
              <w:jc w:val="both"/>
              <w:rPr>
                <w:rFonts w:eastAsia="Calibri"/>
                <w:sz w:val="20"/>
              </w:rPr>
            </w:pPr>
            <w:r w:rsidRPr="003E4A8C">
              <w:rPr>
                <w:rFonts w:eastAsia="Calibri"/>
                <w:sz w:val="20"/>
              </w:rPr>
              <w:t>Federal Court</w:t>
            </w:r>
          </w:p>
          <w:p w:rsidR="006412B3" w:rsidRPr="003E4A8C" w:rsidRDefault="006412B3" w:rsidP="009A57C7">
            <w:pPr>
              <w:jc w:val="both"/>
              <w:rPr>
                <w:rFonts w:eastAsia="Calibri"/>
                <w:sz w:val="20"/>
              </w:rPr>
            </w:pPr>
            <w:r w:rsidRPr="003E4A8C">
              <w:rPr>
                <w:rFonts w:eastAsia="Calibri"/>
                <w:sz w:val="20"/>
              </w:rPr>
              <w:t>(Harrington J.)</w:t>
            </w:r>
          </w:p>
          <w:p w:rsidR="006412B3" w:rsidRPr="003E4A8C" w:rsidRDefault="006412B3" w:rsidP="009A57C7">
            <w:pPr>
              <w:jc w:val="both"/>
              <w:rPr>
                <w:rFonts w:eastAsia="Calibri"/>
                <w:sz w:val="20"/>
              </w:rPr>
            </w:pPr>
            <w:r w:rsidRPr="003E4A8C">
              <w:rPr>
                <w:rFonts w:eastAsia="Calibri"/>
                <w:sz w:val="20"/>
              </w:rPr>
              <w:t>2011 FC 14</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Respondent’s motion for summary judgment granted; Permanent injunction ordered</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January 16, 2012</w:t>
            </w:r>
          </w:p>
          <w:p w:rsidR="006412B3" w:rsidRPr="003E4A8C" w:rsidRDefault="006412B3" w:rsidP="009A57C7">
            <w:pPr>
              <w:jc w:val="both"/>
              <w:rPr>
                <w:rFonts w:eastAsia="Calibri"/>
                <w:sz w:val="20"/>
              </w:rPr>
            </w:pPr>
            <w:r w:rsidRPr="003E4A8C">
              <w:rPr>
                <w:rFonts w:eastAsia="Calibri"/>
                <w:sz w:val="20"/>
              </w:rPr>
              <w:t>Federal Court of Appeal</w:t>
            </w:r>
          </w:p>
          <w:p w:rsidR="006412B3" w:rsidRPr="003E4A8C" w:rsidRDefault="006412B3" w:rsidP="009A57C7">
            <w:pPr>
              <w:jc w:val="both"/>
              <w:rPr>
                <w:rFonts w:eastAsia="Calibri"/>
                <w:sz w:val="20"/>
              </w:rPr>
            </w:pPr>
            <w:r w:rsidRPr="003E4A8C">
              <w:rPr>
                <w:rFonts w:eastAsia="Calibri"/>
                <w:sz w:val="20"/>
              </w:rPr>
              <w:t>(Nadon, Sharlow and Gauthier J.)</w:t>
            </w:r>
          </w:p>
          <w:p w:rsidR="006412B3" w:rsidRPr="003E4A8C" w:rsidRDefault="006412B3" w:rsidP="009A57C7">
            <w:pPr>
              <w:jc w:val="both"/>
              <w:rPr>
                <w:rFonts w:eastAsia="Calibri"/>
                <w:sz w:val="20"/>
              </w:rPr>
            </w:pPr>
            <w:r w:rsidRPr="003E4A8C">
              <w:rPr>
                <w:rFonts w:eastAsia="Calibri"/>
                <w:sz w:val="20"/>
              </w:rPr>
              <w:t>2012 FCA 12</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Appeal dismissed</w:t>
            </w:r>
          </w:p>
          <w:p w:rsidR="006412B3" w:rsidRPr="003E4A8C" w:rsidRDefault="006412B3" w:rsidP="009A57C7">
            <w:pPr>
              <w:jc w:val="both"/>
              <w:rPr>
                <w:rFonts w:eastAsia="Calibri"/>
                <w:sz w:val="20"/>
              </w:rPr>
            </w:pP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March 16, 2012</w:t>
            </w:r>
          </w:p>
          <w:p w:rsidR="006412B3" w:rsidRPr="003E4A8C" w:rsidRDefault="006412B3" w:rsidP="009A57C7">
            <w:pPr>
              <w:jc w:val="both"/>
              <w:rPr>
                <w:rFonts w:eastAsia="Calibri"/>
                <w:sz w:val="20"/>
              </w:rPr>
            </w:pPr>
            <w:r w:rsidRPr="003E4A8C">
              <w:rPr>
                <w:rFonts w:eastAsia="Calibri"/>
                <w:sz w:val="20"/>
              </w:rPr>
              <w:t>Supreme Court of Canada</w:t>
            </w: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Application for leave to appeal filed</w:t>
            </w:r>
          </w:p>
          <w:p w:rsidR="006412B3" w:rsidRPr="003E4A8C" w:rsidRDefault="006412B3" w:rsidP="009A57C7">
            <w:pPr>
              <w:jc w:val="both"/>
              <w:rPr>
                <w:rFonts w:eastAsia="Calibri"/>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80"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12B3" w:rsidRPr="00147672" w:rsidTr="009A57C7">
        <w:tc>
          <w:tcPr>
            <w:tcW w:w="5000" w:type="pct"/>
            <w:gridSpan w:val="3"/>
          </w:tcPr>
          <w:p w:rsidR="006412B3" w:rsidRPr="003E4A8C" w:rsidRDefault="006412B3" w:rsidP="00560D50">
            <w:pPr>
              <w:jc w:val="both"/>
              <w:rPr>
                <w:rFonts w:eastAsia="Calibri"/>
                <w:sz w:val="20"/>
                <w:lang w:val="fr-FR"/>
              </w:rPr>
            </w:pPr>
            <w:r w:rsidRPr="003E4A8C">
              <w:rPr>
                <w:rFonts w:eastAsia="Calibri"/>
                <w:iCs/>
                <w:color w:val="000000"/>
                <w:sz w:val="20"/>
                <w:lang w:val="fr-FR"/>
              </w:rPr>
              <w:t xml:space="preserve">Propriété intellectuelle — Droit d’auteur — Violation — </w:t>
            </w:r>
            <w:r w:rsidR="00560D50">
              <w:rPr>
                <w:rFonts w:eastAsia="Calibri"/>
                <w:iCs/>
                <w:color w:val="000000"/>
                <w:sz w:val="20"/>
                <w:lang w:val="fr-FR"/>
              </w:rPr>
              <w:t>Oe</w:t>
            </w:r>
            <w:r w:rsidRPr="003E4A8C">
              <w:rPr>
                <w:rFonts w:eastAsia="Calibri"/>
                <w:iCs/>
                <w:color w:val="000000"/>
                <w:sz w:val="20"/>
                <w:lang w:val="fr-FR"/>
              </w:rPr>
              <w:t>uvres littéraires — Publication et diffusion par les demandeurs d’une collection d’ouvrages du prince Aga Khan — Poursuite engagée par le prince Aga Khan pour violation du droit d’auteur – Jugements sommaires demandés par les deux parties – Le prince Aga Khan a-t-il consenti à la publication? – La Cour d’appel a-t-elle appliqué les normes de preuve et de contrôle judiciaire appropriées? – La juridiction inférieure a-t-elle appliqué les règles régissant les jugements sommaires?</w:t>
            </w:r>
          </w:p>
        </w:tc>
      </w:tr>
      <w:tr w:rsidR="006412B3" w:rsidRPr="00147672" w:rsidTr="009A57C7">
        <w:tc>
          <w:tcPr>
            <w:tcW w:w="5000" w:type="pct"/>
            <w:gridSpan w:val="3"/>
          </w:tcPr>
          <w:p w:rsidR="006412B3" w:rsidRPr="003E4A8C" w:rsidRDefault="006412B3" w:rsidP="009A57C7">
            <w:pPr>
              <w:jc w:val="both"/>
              <w:rPr>
                <w:rFonts w:eastAsia="Calibri"/>
                <w:sz w:val="20"/>
                <w:lang w:val="fr-FR"/>
              </w:rPr>
            </w:pPr>
          </w:p>
        </w:tc>
      </w:tr>
      <w:tr w:rsidR="006412B3" w:rsidRPr="00147672" w:rsidTr="009A57C7">
        <w:tc>
          <w:tcPr>
            <w:tcW w:w="5000" w:type="pct"/>
            <w:gridSpan w:val="3"/>
          </w:tcPr>
          <w:p w:rsidR="006412B3" w:rsidRPr="003E4A8C" w:rsidRDefault="006412B3" w:rsidP="009A57C7">
            <w:pPr>
              <w:jc w:val="both"/>
              <w:rPr>
                <w:color w:val="000000"/>
                <w:sz w:val="20"/>
                <w:lang w:val="fr-FR"/>
              </w:rPr>
            </w:pPr>
            <w:r w:rsidRPr="003E4A8C">
              <w:rPr>
                <w:color w:val="000000"/>
                <w:sz w:val="20"/>
                <w:lang w:val="fr-FR"/>
              </w:rPr>
              <w:t xml:space="preserve">En 2010, le prince Aga Khan a poursuivi les demandeurs pour violation du droit d’auteur après qu’ils eurent créé, publié et diffusé un livre contenant ses enseignements visés par un droit d’auteur. Les demandeurs ont présenté une requête en jugement sommaire vu l’absence de véritable question à débattre parce que le prince Aga Khan avait consenti, soit expressément, soit implicitement, à la publication du livre. Le prince Aga Khan a présenté une requête incidente en vue d’obtenir un jugement sommaire déclarant que le livre des demandeurs violait le droit d’auteur dont font l’objet ses œuvres littéraires, ainsi qu’une injonction permanente interdisant aux demandeurs de publier le livre.   </w:t>
            </w:r>
          </w:p>
          <w:p w:rsidR="006412B3" w:rsidRPr="003E4A8C" w:rsidRDefault="006412B3" w:rsidP="009A57C7">
            <w:pPr>
              <w:jc w:val="both"/>
              <w:rPr>
                <w:color w:val="000000"/>
                <w:sz w:val="20"/>
                <w:lang w:val="fr-FR"/>
              </w:rPr>
            </w:pPr>
          </w:p>
        </w:tc>
      </w:tr>
      <w:tr w:rsidR="006412B3" w:rsidRPr="00147672" w:rsidTr="009A57C7">
        <w:tc>
          <w:tcPr>
            <w:tcW w:w="2427" w:type="pct"/>
          </w:tcPr>
          <w:p w:rsidR="006412B3" w:rsidRPr="003E4A8C" w:rsidRDefault="006412B3" w:rsidP="009A57C7">
            <w:pPr>
              <w:jc w:val="both"/>
              <w:rPr>
                <w:rFonts w:eastAsia="Calibri"/>
                <w:sz w:val="20"/>
                <w:lang w:val="fr-FR"/>
              </w:rPr>
            </w:pPr>
            <w:r w:rsidRPr="003E4A8C">
              <w:rPr>
                <w:rFonts w:eastAsia="Calibri"/>
                <w:sz w:val="20"/>
                <w:lang w:val="fr-FR"/>
              </w:rPr>
              <w:t>4 mars 2011</w:t>
            </w:r>
          </w:p>
          <w:p w:rsidR="006412B3" w:rsidRPr="003E4A8C" w:rsidRDefault="006412B3" w:rsidP="009A57C7">
            <w:pPr>
              <w:jc w:val="both"/>
              <w:rPr>
                <w:rFonts w:eastAsia="Calibri"/>
                <w:sz w:val="20"/>
                <w:lang w:val="fr-FR"/>
              </w:rPr>
            </w:pPr>
            <w:r w:rsidRPr="003E4A8C">
              <w:rPr>
                <w:rFonts w:eastAsia="Calibri"/>
                <w:sz w:val="20"/>
                <w:lang w:val="fr-FR"/>
              </w:rPr>
              <w:t>Cour fédérale</w:t>
            </w:r>
          </w:p>
          <w:p w:rsidR="006412B3" w:rsidRPr="003E4A8C" w:rsidRDefault="006412B3" w:rsidP="009A57C7">
            <w:pPr>
              <w:jc w:val="both"/>
              <w:rPr>
                <w:rFonts w:eastAsia="Calibri"/>
                <w:sz w:val="20"/>
                <w:lang w:val="fr-FR"/>
              </w:rPr>
            </w:pPr>
            <w:r w:rsidRPr="003E4A8C">
              <w:rPr>
                <w:rFonts w:eastAsia="Calibri"/>
                <w:sz w:val="20"/>
                <w:lang w:val="fr-FR"/>
              </w:rPr>
              <w:t>(Juge Harrington)</w:t>
            </w:r>
          </w:p>
          <w:p w:rsidR="006412B3" w:rsidRPr="003E4A8C" w:rsidRDefault="006412B3" w:rsidP="009A57C7">
            <w:pPr>
              <w:jc w:val="both"/>
              <w:rPr>
                <w:rFonts w:eastAsia="Calibri"/>
                <w:sz w:val="20"/>
              </w:rPr>
            </w:pPr>
            <w:r w:rsidRPr="003E4A8C">
              <w:rPr>
                <w:rFonts w:eastAsia="Calibri"/>
                <w:sz w:val="20"/>
              </w:rPr>
              <w:t>2011 CF 14</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lang w:val="fr-FR"/>
              </w:rPr>
            </w:pPr>
            <w:r w:rsidRPr="003E4A8C">
              <w:rPr>
                <w:rFonts w:eastAsia="Calibri"/>
                <w:sz w:val="20"/>
                <w:lang w:val="fr-FR"/>
              </w:rPr>
              <w:t>Requête de l’intimé en jugement sommaire accueillie; injonction permanente rendue</w:t>
            </w:r>
          </w:p>
          <w:p w:rsidR="006412B3" w:rsidRPr="003E4A8C" w:rsidRDefault="006412B3" w:rsidP="009A57C7">
            <w:pPr>
              <w:jc w:val="both"/>
              <w:rPr>
                <w:rFonts w:eastAsia="Calibri"/>
                <w:sz w:val="20"/>
                <w:lang w:val="fr-FR"/>
              </w:rPr>
            </w:pPr>
          </w:p>
        </w:tc>
      </w:tr>
      <w:tr w:rsidR="006412B3" w:rsidRPr="003E4A8C" w:rsidTr="009A57C7">
        <w:tc>
          <w:tcPr>
            <w:tcW w:w="2427" w:type="pct"/>
          </w:tcPr>
          <w:p w:rsidR="006412B3" w:rsidRPr="003E4A8C" w:rsidRDefault="006412B3" w:rsidP="009A57C7">
            <w:pPr>
              <w:jc w:val="both"/>
              <w:rPr>
                <w:rFonts w:eastAsia="Calibri"/>
                <w:sz w:val="20"/>
                <w:lang w:val="fr-FR"/>
              </w:rPr>
            </w:pPr>
            <w:r w:rsidRPr="003E4A8C">
              <w:rPr>
                <w:rFonts w:eastAsia="Calibri"/>
                <w:sz w:val="20"/>
                <w:lang w:val="fr-FR"/>
              </w:rPr>
              <w:t>16 janvier 2012</w:t>
            </w:r>
          </w:p>
          <w:p w:rsidR="006412B3" w:rsidRPr="003E4A8C" w:rsidRDefault="006412B3" w:rsidP="009A57C7">
            <w:pPr>
              <w:jc w:val="both"/>
              <w:rPr>
                <w:rFonts w:eastAsia="Calibri"/>
                <w:sz w:val="20"/>
                <w:lang w:val="fr-FR"/>
              </w:rPr>
            </w:pPr>
            <w:r w:rsidRPr="003E4A8C">
              <w:rPr>
                <w:rFonts w:eastAsia="Calibri"/>
                <w:sz w:val="20"/>
                <w:lang w:val="fr-FR"/>
              </w:rPr>
              <w:t>Cour d’appel fédérale</w:t>
            </w:r>
          </w:p>
          <w:p w:rsidR="006412B3" w:rsidRPr="003E4A8C" w:rsidRDefault="006412B3" w:rsidP="009A57C7">
            <w:pPr>
              <w:jc w:val="both"/>
              <w:rPr>
                <w:rFonts w:eastAsia="Calibri"/>
                <w:sz w:val="20"/>
                <w:lang w:val="fr-FR"/>
              </w:rPr>
            </w:pPr>
            <w:r w:rsidRPr="003E4A8C">
              <w:rPr>
                <w:rFonts w:eastAsia="Calibri"/>
                <w:sz w:val="20"/>
                <w:lang w:val="fr-FR"/>
              </w:rPr>
              <w:t>(Juges Nadon, Sharlow et Gauthier)</w:t>
            </w:r>
          </w:p>
          <w:p w:rsidR="006412B3" w:rsidRPr="003E4A8C" w:rsidRDefault="006412B3" w:rsidP="008831EB">
            <w:pPr>
              <w:jc w:val="both"/>
              <w:rPr>
                <w:rFonts w:eastAsia="Calibri"/>
                <w:sz w:val="20"/>
              </w:rPr>
            </w:pPr>
            <w:r w:rsidRPr="003E4A8C">
              <w:rPr>
                <w:rFonts w:eastAsia="Calibri"/>
                <w:sz w:val="20"/>
              </w:rPr>
              <w:t>2012 CAF 12</w:t>
            </w: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Appel rejeté</w:t>
            </w:r>
          </w:p>
          <w:p w:rsidR="006412B3" w:rsidRPr="003E4A8C" w:rsidRDefault="006412B3" w:rsidP="009A57C7">
            <w:pPr>
              <w:jc w:val="both"/>
              <w:rPr>
                <w:rFonts w:eastAsia="Calibri"/>
                <w:sz w:val="20"/>
              </w:rPr>
            </w:pPr>
          </w:p>
          <w:p w:rsidR="006412B3" w:rsidRPr="003E4A8C" w:rsidRDefault="006412B3" w:rsidP="009A57C7">
            <w:pPr>
              <w:jc w:val="both"/>
              <w:rPr>
                <w:rFonts w:eastAsia="Calibri"/>
                <w:sz w:val="20"/>
              </w:rPr>
            </w:pPr>
          </w:p>
        </w:tc>
      </w:tr>
    </w:tbl>
    <w:p w:rsidR="008831EB" w:rsidRDefault="008831EB"/>
    <w:p w:rsidR="008831EB" w:rsidRDefault="008831EB">
      <w:r>
        <w:br w:type="page"/>
      </w:r>
    </w:p>
    <w:tbl>
      <w:tblPr>
        <w:tblW w:w="4952" w:type="pct"/>
        <w:tblLayout w:type="fixed"/>
        <w:tblCellMar>
          <w:left w:w="0" w:type="dxa"/>
          <w:bottom w:w="99" w:type="dxa"/>
          <w:right w:w="0" w:type="dxa"/>
        </w:tblCellMar>
        <w:tblLook w:val="04A0"/>
      </w:tblPr>
      <w:tblGrid>
        <w:gridCol w:w="4624"/>
        <w:gridCol w:w="463"/>
        <w:gridCol w:w="4440"/>
      </w:tblGrid>
      <w:tr w:rsidR="006412B3" w:rsidRPr="003E4A8C" w:rsidTr="008831EB">
        <w:trPr>
          <w:cantSplit/>
        </w:trPr>
        <w:tc>
          <w:tcPr>
            <w:tcW w:w="2427" w:type="pct"/>
          </w:tcPr>
          <w:p w:rsidR="006412B3" w:rsidRPr="00E75C8D" w:rsidRDefault="006412B3" w:rsidP="009A57C7">
            <w:pPr>
              <w:jc w:val="both"/>
              <w:rPr>
                <w:rFonts w:eastAsia="Calibri"/>
                <w:sz w:val="20"/>
                <w:lang w:val="fr-CA"/>
              </w:rPr>
            </w:pPr>
            <w:r w:rsidRPr="00E75C8D">
              <w:rPr>
                <w:rFonts w:eastAsia="Calibri"/>
                <w:sz w:val="20"/>
                <w:lang w:val="fr-CA"/>
              </w:rPr>
              <w:lastRenderedPageBreak/>
              <w:t>16 mars 2012</w:t>
            </w:r>
          </w:p>
          <w:p w:rsidR="006412B3" w:rsidRPr="00E75C8D" w:rsidRDefault="006412B3" w:rsidP="009A57C7">
            <w:pPr>
              <w:jc w:val="both"/>
              <w:rPr>
                <w:rFonts w:eastAsia="Calibri"/>
                <w:sz w:val="20"/>
                <w:lang w:val="fr-CA"/>
              </w:rPr>
            </w:pPr>
            <w:r w:rsidRPr="00E75C8D">
              <w:rPr>
                <w:rFonts w:eastAsia="Calibri"/>
                <w:sz w:val="20"/>
                <w:lang w:val="fr-CA"/>
              </w:rPr>
              <w:t>Cour suprême du Canada</w:t>
            </w:r>
          </w:p>
        </w:tc>
        <w:tc>
          <w:tcPr>
            <w:tcW w:w="243" w:type="pct"/>
          </w:tcPr>
          <w:p w:rsidR="006412B3" w:rsidRPr="00E75C8D"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rPr>
            </w:pPr>
            <w:r w:rsidRPr="003E4A8C">
              <w:rPr>
                <w:rFonts w:eastAsia="Calibri"/>
                <w:sz w:val="20"/>
              </w:rPr>
              <w:t>Demande d’autorisation d’appel déposée</w:t>
            </w:r>
          </w:p>
          <w:p w:rsidR="006412B3" w:rsidRPr="003E4A8C" w:rsidRDefault="006412B3" w:rsidP="009A57C7">
            <w:pPr>
              <w:jc w:val="both"/>
              <w:rPr>
                <w:rFonts w:eastAsia="Calibri"/>
                <w:sz w:val="20"/>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81"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7847" w:rsidRPr="00B861B1" w:rsidTr="008B5DBF">
        <w:trPr>
          <w:cantSplit/>
        </w:trPr>
        <w:tc>
          <w:tcPr>
            <w:tcW w:w="1458" w:type="dxa"/>
          </w:tcPr>
          <w:p w:rsidR="004A7847" w:rsidRPr="00B861B1" w:rsidRDefault="004A7847" w:rsidP="008B5DBF">
            <w:pPr>
              <w:rPr>
                <w:rFonts w:cs="Times New Roman"/>
                <w:sz w:val="20"/>
                <w:szCs w:val="20"/>
              </w:rPr>
            </w:pPr>
            <w:r w:rsidRPr="00B861B1">
              <w:rPr>
                <w:rStyle w:val="SCCFileNumberChar"/>
                <w:sz w:val="20"/>
                <w:szCs w:val="20"/>
              </w:rPr>
              <w:t>34738</w:t>
            </w:r>
          </w:p>
          <w:p w:rsidR="004A7847" w:rsidRPr="00B861B1" w:rsidRDefault="004A7847" w:rsidP="008B5DBF">
            <w:pPr>
              <w:rPr>
                <w:rFonts w:cs="Times New Roman"/>
                <w:b/>
                <w:sz w:val="20"/>
                <w:szCs w:val="20"/>
                <w:lang w:val="fr-CA"/>
              </w:rPr>
            </w:pPr>
          </w:p>
        </w:tc>
        <w:tc>
          <w:tcPr>
            <w:tcW w:w="8118" w:type="dxa"/>
          </w:tcPr>
          <w:p w:rsidR="004A7847" w:rsidRPr="00B861B1" w:rsidRDefault="004A7847" w:rsidP="008B5DBF">
            <w:pPr>
              <w:jc w:val="both"/>
              <w:rPr>
                <w:rFonts w:cs="Times New Roman"/>
                <w:sz w:val="20"/>
                <w:szCs w:val="20"/>
              </w:rPr>
            </w:pPr>
            <w:r w:rsidRPr="004A7847">
              <w:rPr>
                <w:rStyle w:val="SCCLsocChar"/>
                <w:rFonts w:cs="Times New Roman"/>
                <w:sz w:val="20"/>
                <w:szCs w:val="20"/>
                <w:lang w:val="en-CA"/>
              </w:rPr>
              <w:t>AIC Limited v. Dennis Fischer, Sheila Snyder, Lawrence Dykun, Ray Shugar and Wayne Dzeoba AND BETWEEN CI Mutual Funds Inc. v. Dennis Fischer, Sheila Snyder, Lawrence Dykun, Ray Shugar</w:t>
            </w:r>
            <w:r w:rsidR="00D311A8">
              <w:rPr>
                <w:rStyle w:val="SCCLsocChar"/>
                <w:rFonts w:cs="Times New Roman"/>
                <w:sz w:val="20"/>
                <w:szCs w:val="20"/>
                <w:lang w:val="en-CA"/>
              </w:rPr>
              <w:t>,</w:t>
            </w:r>
            <w:r w:rsidRPr="004A7847">
              <w:rPr>
                <w:rStyle w:val="SCCLsocChar"/>
                <w:rFonts w:cs="Times New Roman"/>
                <w:sz w:val="20"/>
                <w:szCs w:val="20"/>
                <w:lang w:val="en-CA"/>
              </w:rPr>
              <w:t xml:space="preserve"> Wayne Dzeoba and AIC Limited</w:t>
            </w:r>
            <w:r w:rsidRPr="00B861B1">
              <w:rPr>
                <w:rFonts w:cs="Times New Roman"/>
                <w:sz w:val="20"/>
                <w:szCs w:val="20"/>
              </w:rPr>
              <w:t xml:space="preserve"> (Ont.) (Civil) (By Leave)</w:t>
            </w:r>
          </w:p>
          <w:p w:rsidR="004A7847" w:rsidRPr="00B861B1" w:rsidRDefault="004A7847" w:rsidP="008B5DBF">
            <w:pPr>
              <w:rPr>
                <w:rFonts w:cs="Times New Roman"/>
                <w:sz w:val="20"/>
                <w:szCs w:val="20"/>
              </w:rPr>
            </w:pPr>
          </w:p>
        </w:tc>
      </w:tr>
      <w:tr w:rsidR="004A7847" w:rsidRPr="00B861B1" w:rsidTr="008B5DBF">
        <w:trPr>
          <w:cantSplit/>
        </w:trPr>
        <w:tc>
          <w:tcPr>
            <w:tcW w:w="1458" w:type="dxa"/>
          </w:tcPr>
          <w:p w:rsidR="004A7847" w:rsidRPr="00B861B1" w:rsidRDefault="004A7847" w:rsidP="008B5DBF">
            <w:pPr>
              <w:rPr>
                <w:rFonts w:cs="Times New Roman"/>
                <w:sz w:val="20"/>
                <w:szCs w:val="20"/>
              </w:rPr>
            </w:pPr>
            <w:r w:rsidRPr="00B861B1">
              <w:rPr>
                <w:rFonts w:cs="Times New Roman"/>
                <w:sz w:val="20"/>
                <w:szCs w:val="20"/>
              </w:rPr>
              <w:t>Coram :</w:t>
            </w:r>
          </w:p>
        </w:tc>
        <w:tc>
          <w:tcPr>
            <w:tcW w:w="8118" w:type="dxa"/>
          </w:tcPr>
          <w:p w:rsidR="004A7847" w:rsidRPr="00B861B1" w:rsidRDefault="004A7847" w:rsidP="008B5DBF">
            <w:pPr>
              <w:rPr>
                <w:rFonts w:cs="Times New Roman"/>
                <w:sz w:val="20"/>
                <w:szCs w:val="20"/>
              </w:rPr>
            </w:pPr>
            <w:r w:rsidRPr="004A7847">
              <w:rPr>
                <w:rStyle w:val="SCCCoramChar"/>
                <w:rFonts w:cs="Times New Roman"/>
                <w:sz w:val="20"/>
                <w:szCs w:val="20"/>
                <w:lang w:val="en-CA"/>
              </w:rPr>
              <w:t>McLachlin C.J. and Rothstein and Moldaver JJ.</w:t>
            </w:r>
          </w:p>
          <w:p w:rsidR="004A7847" w:rsidRPr="00B861B1" w:rsidRDefault="004A7847" w:rsidP="008B5DBF">
            <w:pPr>
              <w:rPr>
                <w:rFonts w:cs="Times New Roman"/>
                <w:sz w:val="20"/>
                <w:szCs w:val="20"/>
                <w:u w:val="single"/>
              </w:rPr>
            </w:pPr>
          </w:p>
        </w:tc>
      </w:tr>
      <w:tr w:rsidR="004A7847" w:rsidRPr="00147672" w:rsidTr="008B5DBF">
        <w:trPr>
          <w:cantSplit/>
        </w:trPr>
        <w:tc>
          <w:tcPr>
            <w:tcW w:w="9576" w:type="dxa"/>
            <w:gridSpan w:val="2"/>
          </w:tcPr>
          <w:p w:rsidR="004A7847" w:rsidRPr="00B861B1" w:rsidRDefault="004A7847" w:rsidP="008B5DBF">
            <w:pPr>
              <w:pStyle w:val="SCCShortJudgment"/>
              <w:rPr>
                <w:rFonts w:cs="Times New Roman"/>
                <w:szCs w:val="20"/>
              </w:rPr>
            </w:pPr>
            <w:r w:rsidRPr="00B861B1">
              <w:rPr>
                <w:rFonts w:cs="Times New Roman"/>
                <w:szCs w:val="20"/>
              </w:rPr>
              <w:t>The applications for leave to appeal from the judgment of the Court of Appeal for Ontario, Numbers C53852 and C53853, 2012 ONCA 47, dated January 27, 2012, are granted with costs in the cause.</w:t>
            </w:r>
          </w:p>
          <w:p w:rsidR="004A7847" w:rsidRPr="00B861B1" w:rsidRDefault="004A7847" w:rsidP="008B5DBF">
            <w:pPr>
              <w:pStyle w:val="SCCShortJudgment"/>
              <w:ind w:firstLine="0"/>
              <w:rPr>
                <w:rFonts w:cs="Times New Roman"/>
                <w:szCs w:val="20"/>
              </w:rPr>
            </w:pPr>
          </w:p>
          <w:p w:rsidR="004A7847" w:rsidRPr="00B861B1" w:rsidRDefault="004A7847" w:rsidP="008B5DBF">
            <w:pPr>
              <w:pStyle w:val="SCCShortJudgment"/>
              <w:rPr>
                <w:rFonts w:cs="Times New Roman"/>
                <w:szCs w:val="20"/>
                <w:lang w:val="fr-CA"/>
              </w:rPr>
            </w:pPr>
            <w:r w:rsidRPr="00B861B1">
              <w:rPr>
                <w:rFonts w:cs="Times New Roman"/>
                <w:szCs w:val="20"/>
                <w:lang w:val="fr-CA"/>
              </w:rPr>
              <w:t>Les demandes d’autorisation d’appel de l’arrêt de la Cour d’appel de l’Ontario, numéros C53852 et C53853, 2012 ONCA 47, daté du 27 janvier 2012, sont accueillies avec dépens suivant l’issue de la cause.</w:t>
            </w:r>
          </w:p>
        </w:tc>
      </w:tr>
    </w:tbl>
    <w:p w:rsidR="00F96FE7" w:rsidRPr="004A7847"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4D29" w:rsidRPr="003E4A8C" w:rsidTr="009A57C7">
        <w:tc>
          <w:tcPr>
            <w:tcW w:w="5000" w:type="pct"/>
            <w:gridSpan w:val="3"/>
          </w:tcPr>
          <w:p w:rsidR="00C24D29" w:rsidRPr="003E4A8C" w:rsidRDefault="00C24D29" w:rsidP="009A57C7">
            <w:pPr>
              <w:jc w:val="both"/>
              <w:rPr>
                <w:rFonts w:eastAsia="Calibri"/>
                <w:sz w:val="20"/>
              </w:rPr>
            </w:pPr>
            <w:r w:rsidRPr="003E4A8C">
              <w:rPr>
                <w:rFonts w:eastAsia="Calibri"/>
                <w:sz w:val="20"/>
              </w:rPr>
              <w:t xml:space="preserve">Civil procedure – Class actions – Certification – Preferable procedure – What are the temporal, procedural and substantive elements which a court may consider in relation to the preferable procedure criterion? – </w:t>
            </w:r>
            <w:r w:rsidRPr="003E4A8C">
              <w:rPr>
                <w:rFonts w:eastAsia="Calibri"/>
                <w:i/>
                <w:sz w:val="20"/>
              </w:rPr>
              <w:t>Class Proceedings Act, 1992</w:t>
            </w:r>
            <w:r w:rsidRPr="003E4A8C">
              <w:rPr>
                <w:rFonts w:eastAsia="Calibri"/>
                <w:sz w:val="20"/>
              </w:rPr>
              <w:t>, S.O. 1992, c. 6, s. 5(1</w:t>
            </w:r>
            <w:proofErr w:type="gramStart"/>
            <w:r w:rsidRPr="003E4A8C">
              <w:rPr>
                <w:rFonts w:eastAsia="Calibri"/>
                <w:sz w:val="20"/>
              </w:rPr>
              <w:t>)(</w:t>
            </w:r>
            <w:proofErr w:type="gramEnd"/>
            <w:r w:rsidRPr="003E4A8C">
              <w:rPr>
                <w:rFonts w:eastAsia="Calibri"/>
                <w:sz w:val="20"/>
              </w:rPr>
              <w:t>d).</w:t>
            </w:r>
          </w:p>
        </w:tc>
      </w:tr>
      <w:tr w:rsidR="00C24D29" w:rsidRPr="003E4A8C" w:rsidTr="009A57C7">
        <w:tc>
          <w:tcPr>
            <w:tcW w:w="5000" w:type="pct"/>
            <w:gridSpan w:val="3"/>
          </w:tcPr>
          <w:p w:rsidR="00C24D29" w:rsidRPr="003E4A8C" w:rsidRDefault="00C24D29" w:rsidP="009A57C7">
            <w:pPr>
              <w:jc w:val="both"/>
              <w:rPr>
                <w:rFonts w:eastAsia="Calibri"/>
                <w:sz w:val="20"/>
              </w:rPr>
            </w:pPr>
          </w:p>
        </w:tc>
      </w:tr>
      <w:tr w:rsidR="00C24D29" w:rsidRPr="003E4A8C" w:rsidTr="009A57C7">
        <w:tc>
          <w:tcPr>
            <w:tcW w:w="5000" w:type="pct"/>
            <w:gridSpan w:val="3"/>
          </w:tcPr>
          <w:p w:rsidR="00C24D29" w:rsidRPr="003E4A8C" w:rsidRDefault="00C24D29" w:rsidP="009A57C7">
            <w:pPr>
              <w:jc w:val="both"/>
              <w:rPr>
                <w:rFonts w:eastAsia="Calibri"/>
                <w:sz w:val="20"/>
              </w:rPr>
            </w:pPr>
            <w:r w:rsidRPr="003E4A8C">
              <w:rPr>
                <w:rFonts w:eastAsia="Calibri"/>
                <w:sz w:val="20"/>
              </w:rPr>
              <w:t xml:space="preserve">The applicants are mutual fund managers who were the subject of an investigation conducted by the Ontario Securities Commission into “market timing”, a practice which was alleged to have caused long-term investors to suffer losses in the value of their investments. The fund managers ultimately entered into settlement agreements with the Commission, the terms of which required them to pay over two hundred million dollars to investors, including the respondents. Following the settlement agreements, the respondents brought a motion for certification of a class action against the fund managers for the same market timing conduct. The motion judge concluded that although the action otherwise satisfied the criteria for certification, it did not satisfy the preferable procedure requirement. The Divisional Court disagreed, concluding that the Commission proceedings could not be the preferable procedure for recovering damages because the investors’ action was for significant monetary damages beyond the amount recovered through the settlement agreements. The Court of Appeal dismissed the appeal. </w:t>
            </w:r>
          </w:p>
          <w:p w:rsidR="00C24D29" w:rsidRPr="003E4A8C" w:rsidRDefault="00C24D29" w:rsidP="009A57C7">
            <w:pPr>
              <w:jc w:val="both"/>
              <w:rPr>
                <w:rFonts w:eastAsia="Calibri"/>
                <w:sz w:val="20"/>
              </w:rPr>
            </w:pPr>
          </w:p>
        </w:tc>
      </w:tr>
      <w:tr w:rsidR="00C24D29" w:rsidRPr="003E4A8C" w:rsidTr="009A57C7">
        <w:trPr>
          <w:trHeight w:val="768"/>
        </w:trPr>
        <w:tc>
          <w:tcPr>
            <w:tcW w:w="2427" w:type="pct"/>
          </w:tcPr>
          <w:p w:rsidR="00C24D29" w:rsidRPr="003E4A8C" w:rsidRDefault="00C24D29" w:rsidP="009A57C7">
            <w:pPr>
              <w:jc w:val="both"/>
              <w:rPr>
                <w:rFonts w:eastAsia="Calibri"/>
                <w:sz w:val="20"/>
              </w:rPr>
            </w:pPr>
            <w:r w:rsidRPr="003E4A8C">
              <w:rPr>
                <w:rFonts w:eastAsia="Calibri"/>
                <w:sz w:val="20"/>
              </w:rPr>
              <w:t>January 12, 2010</w:t>
            </w:r>
          </w:p>
          <w:p w:rsidR="00C24D29" w:rsidRPr="003E4A8C" w:rsidRDefault="00C24D29" w:rsidP="009A57C7">
            <w:pPr>
              <w:jc w:val="both"/>
              <w:rPr>
                <w:rFonts w:eastAsia="Calibri"/>
                <w:sz w:val="20"/>
              </w:rPr>
            </w:pPr>
            <w:r w:rsidRPr="003E4A8C">
              <w:rPr>
                <w:rFonts w:eastAsia="Calibri"/>
                <w:sz w:val="20"/>
              </w:rPr>
              <w:t>Ontario Superior Court of Justice</w:t>
            </w:r>
          </w:p>
          <w:p w:rsidR="00C24D29" w:rsidRPr="003E4A8C" w:rsidRDefault="00C24D29" w:rsidP="009A57C7">
            <w:pPr>
              <w:jc w:val="both"/>
              <w:rPr>
                <w:rFonts w:eastAsia="Calibri"/>
                <w:sz w:val="20"/>
              </w:rPr>
            </w:pPr>
            <w:r w:rsidRPr="003E4A8C">
              <w:rPr>
                <w:rFonts w:eastAsia="Calibri"/>
                <w:sz w:val="20"/>
              </w:rPr>
              <w:t>(Perell J.)</w:t>
            </w:r>
          </w:p>
          <w:p w:rsidR="00C24D29" w:rsidRPr="003E4A8C" w:rsidRDefault="00C24D29" w:rsidP="009A57C7">
            <w:pPr>
              <w:jc w:val="both"/>
              <w:rPr>
                <w:rFonts w:eastAsia="Calibri"/>
                <w:sz w:val="20"/>
              </w:rPr>
            </w:pPr>
            <w:r w:rsidRPr="003E4A8C">
              <w:rPr>
                <w:rFonts w:eastAsia="Calibri"/>
                <w:sz w:val="20"/>
              </w:rPr>
              <w:t>2010 ONSC 296</w:t>
            </w:r>
          </w:p>
          <w:p w:rsidR="00C24D29" w:rsidRPr="003E4A8C" w:rsidRDefault="00C24D29" w:rsidP="009A57C7">
            <w:pPr>
              <w:jc w:val="both"/>
              <w:rPr>
                <w:rFonts w:eastAsia="Calibri"/>
                <w:sz w:val="20"/>
              </w:rPr>
            </w:pPr>
          </w:p>
        </w:tc>
        <w:tc>
          <w:tcPr>
            <w:tcW w:w="243" w:type="pct"/>
            <w:vMerge w:val="restar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Motion for certification of class action dismissed</w:t>
            </w:r>
          </w:p>
          <w:p w:rsidR="00C24D29" w:rsidRPr="003E4A8C" w:rsidRDefault="00C24D29" w:rsidP="009A57C7">
            <w:pPr>
              <w:jc w:val="both"/>
              <w:rPr>
                <w:rFonts w:eastAsia="Calibri"/>
                <w:sz w:val="20"/>
              </w:rPr>
            </w:pPr>
          </w:p>
        </w:tc>
      </w:tr>
      <w:tr w:rsidR="00C24D29" w:rsidRPr="003E4A8C" w:rsidTr="009A57C7">
        <w:trPr>
          <w:trHeight w:val="766"/>
        </w:trPr>
        <w:tc>
          <w:tcPr>
            <w:tcW w:w="2427" w:type="pct"/>
          </w:tcPr>
          <w:p w:rsidR="00C24D29" w:rsidRPr="003E4A8C" w:rsidRDefault="00C24D29" w:rsidP="009A57C7">
            <w:pPr>
              <w:jc w:val="both"/>
              <w:rPr>
                <w:rFonts w:eastAsia="Calibri"/>
                <w:sz w:val="20"/>
              </w:rPr>
            </w:pPr>
            <w:r w:rsidRPr="003E4A8C">
              <w:rPr>
                <w:rFonts w:eastAsia="Calibri"/>
                <w:sz w:val="20"/>
              </w:rPr>
              <w:t>January 31, 2011</w:t>
            </w:r>
          </w:p>
          <w:p w:rsidR="00C24D29" w:rsidRPr="003E4A8C" w:rsidRDefault="00C24D29" w:rsidP="009A57C7">
            <w:pPr>
              <w:jc w:val="both"/>
              <w:rPr>
                <w:rFonts w:eastAsia="Calibri"/>
                <w:sz w:val="20"/>
              </w:rPr>
            </w:pPr>
            <w:r w:rsidRPr="003E4A8C">
              <w:rPr>
                <w:rFonts w:eastAsia="Calibri"/>
                <w:sz w:val="20"/>
              </w:rPr>
              <w:t>Ontario Superior Court of Justice, Divisional Court</w:t>
            </w:r>
          </w:p>
          <w:p w:rsidR="00C24D29" w:rsidRPr="003E4A8C" w:rsidRDefault="00C24D29" w:rsidP="009A57C7">
            <w:pPr>
              <w:jc w:val="both"/>
              <w:rPr>
                <w:rFonts w:eastAsia="Calibri"/>
                <w:sz w:val="20"/>
              </w:rPr>
            </w:pPr>
            <w:r w:rsidRPr="003E4A8C">
              <w:rPr>
                <w:rFonts w:eastAsia="Calibri"/>
                <w:sz w:val="20"/>
              </w:rPr>
              <w:t>(Molloy, Swinton and Herman JJ.)</w:t>
            </w:r>
          </w:p>
          <w:p w:rsidR="00C24D29" w:rsidRPr="003E4A8C" w:rsidRDefault="00C24D29" w:rsidP="009A57C7">
            <w:pPr>
              <w:jc w:val="both"/>
              <w:rPr>
                <w:rFonts w:eastAsia="Calibri"/>
                <w:sz w:val="20"/>
              </w:rPr>
            </w:pPr>
            <w:r w:rsidRPr="003E4A8C">
              <w:rPr>
                <w:rFonts w:eastAsia="Calibri"/>
                <w:sz w:val="20"/>
              </w:rPr>
              <w:t>2011 ONSC 292</w:t>
            </w:r>
          </w:p>
          <w:p w:rsidR="00C24D29" w:rsidRPr="003E4A8C" w:rsidRDefault="00C24D29" w:rsidP="009A57C7">
            <w:pPr>
              <w:jc w:val="both"/>
              <w:rPr>
                <w:rFonts w:eastAsia="Calibri"/>
                <w:sz w:val="20"/>
              </w:rPr>
            </w:pPr>
          </w:p>
        </w:tc>
        <w:tc>
          <w:tcPr>
            <w:tcW w:w="243" w:type="pct"/>
            <w:vMerge/>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Appeal allowed</w:t>
            </w:r>
          </w:p>
          <w:p w:rsidR="00C24D29" w:rsidRPr="003E4A8C" w:rsidRDefault="00C24D29" w:rsidP="009A57C7">
            <w:pPr>
              <w:jc w:val="both"/>
              <w:rPr>
                <w:rFonts w:eastAsia="Calibri"/>
                <w:sz w:val="20"/>
              </w:rPr>
            </w:pPr>
          </w:p>
        </w:tc>
      </w:tr>
      <w:tr w:rsidR="00C24D29" w:rsidRPr="003E4A8C" w:rsidTr="009A57C7">
        <w:trPr>
          <w:trHeight w:val="766"/>
        </w:trPr>
        <w:tc>
          <w:tcPr>
            <w:tcW w:w="2427" w:type="pct"/>
          </w:tcPr>
          <w:p w:rsidR="00C24D29" w:rsidRPr="003E4A8C" w:rsidRDefault="00C24D29" w:rsidP="009A57C7">
            <w:pPr>
              <w:jc w:val="both"/>
              <w:rPr>
                <w:rFonts w:eastAsia="Calibri"/>
                <w:sz w:val="20"/>
              </w:rPr>
            </w:pPr>
            <w:r w:rsidRPr="003E4A8C">
              <w:rPr>
                <w:rFonts w:eastAsia="Calibri"/>
                <w:sz w:val="20"/>
              </w:rPr>
              <w:t>January 27, 2012</w:t>
            </w:r>
          </w:p>
          <w:p w:rsidR="00C24D29" w:rsidRPr="003E4A8C" w:rsidRDefault="00C24D29" w:rsidP="009A57C7">
            <w:pPr>
              <w:jc w:val="both"/>
              <w:rPr>
                <w:rFonts w:eastAsia="Calibri"/>
                <w:sz w:val="20"/>
              </w:rPr>
            </w:pPr>
            <w:r w:rsidRPr="003E4A8C">
              <w:rPr>
                <w:rFonts w:eastAsia="Calibri"/>
                <w:sz w:val="20"/>
              </w:rPr>
              <w:t>Court of Appeal for Ontario</w:t>
            </w:r>
          </w:p>
          <w:p w:rsidR="00C24D29" w:rsidRPr="003E4A8C" w:rsidRDefault="00C24D29" w:rsidP="009A57C7">
            <w:pPr>
              <w:jc w:val="both"/>
              <w:rPr>
                <w:rFonts w:eastAsia="Calibri"/>
                <w:sz w:val="20"/>
              </w:rPr>
            </w:pPr>
            <w:r w:rsidRPr="003E4A8C">
              <w:rPr>
                <w:rFonts w:eastAsia="Calibri"/>
                <w:sz w:val="20"/>
              </w:rPr>
              <w:t>(Winkler C.J.O. and Epstein and Pardu JJ.A.)</w:t>
            </w:r>
          </w:p>
          <w:p w:rsidR="00C24D29" w:rsidRPr="003E4A8C" w:rsidRDefault="00C24D29" w:rsidP="009A57C7">
            <w:pPr>
              <w:jc w:val="both"/>
              <w:rPr>
                <w:rFonts w:eastAsia="Calibri"/>
                <w:sz w:val="20"/>
              </w:rPr>
            </w:pPr>
            <w:r w:rsidRPr="003E4A8C">
              <w:rPr>
                <w:rFonts w:eastAsia="Calibri"/>
                <w:sz w:val="20"/>
              </w:rPr>
              <w:t>2012 ONCA 47</w:t>
            </w:r>
          </w:p>
          <w:p w:rsidR="00C24D29" w:rsidRPr="003E4A8C" w:rsidRDefault="00C24D29" w:rsidP="009A57C7">
            <w:pPr>
              <w:jc w:val="both"/>
              <w:rPr>
                <w:rFonts w:eastAsia="Calibri"/>
                <w:sz w:val="20"/>
              </w:rPr>
            </w:pPr>
          </w:p>
        </w:tc>
        <w:tc>
          <w:tcPr>
            <w:tcW w:w="243" w:type="pct"/>
            <w:vMerge/>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Appeal dismissed</w:t>
            </w:r>
          </w:p>
          <w:p w:rsidR="00C24D29" w:rsidRPr="003E4A8C" w:rsidRDefault="00C24D29" w:rsidP="009A57C7">
            <w:pPr>
              <w:jc w:val="both"/>
              <w:rPr>
                <w:rFonts w:eastAsia="Calibri"/>
                <w:sz w:val="20"/>
              </w:rPr>
            </w:pPr>
          </w:p>
        </w:tc>
      </w:tr>
      <w:tr w:rsidR="00C24D29" w:rsidRPr="003E4A8C" w:rsidTr="009A57C7">
        <w:tc>
          <w:tcPr>
            <w:tcW w:w="2427" w:type="pct"/>
          </w:tcPr>
          <w:p w:rsidR="00C24D29" w:rsidRPr="003E4A8C" w:rsidRDefault="00C24D29" w:rsidP="009A57C7">
            <w:pPr>
              <w:jc w:val="both"/>
              <w:rPr>
                <w:rFonts w:eastAsia="Calibri"/>
                <w:sz w:val="20"/>
              </w:rPr>
            </w:pPr>
            <w:r w:rsidRPr="003E4A8C">
              <w:rPr>
                <w:rFonts w:eastAsia="Calibri"/>
                <w:sz w:val="20"/>
              </w:rPr>
              <w:lastRenderedPageBreak/>
              <w:t>March 27, 2012</w:t>
            </w:r>
          </w:p>
          <w:p w:rsidR="00C24D29" w:rsidRPr="003E4A8C" w:rsidRDefault="00C24D29" w:rsidP="009A57C7">
            <w:pPr>
              <w:jc w:val="both"/>
              <w:rPr>
                <w:rFonts w:eastAsia="Calibri"/>
                <w:sz w:val="20"/>
              </w:rPr>
            </w:pPr>
            <w:r w:rsidRPr="003E4A8C">
              <w:rPr>
                <w:rFonts w:eastAsia="Calibri"/>
                <w:sz w:val="20"/>
              </w:rPr>
              <w:t>Supreme Court of Canada</w:t>
            </w: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Application for leave to appeal filed</w:t>
            </w: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82"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24D29" w:rsidRPr="00147672" w:rsidTr="009A57C7">
        <w:tc>
          <w:tcPr>
            <w:tcW w:w="5000" w:type="pct"/>
            <w:gridSpan w:val="3"/>
          </w:tcPr>
          <w:p w:rsidR="00C24D29" w:rsidRPr="003E4A8C" w:rsidRDefault="00C24D29" w:rsidP="009A57C7">
            <w:pPr>
              <w:jc w:val="both"/>
              <w:rPr>
                <w:rFonts w:eastAsia="Calibri"/>
                <w:sz w:val="20"/>
                <w:lang w:val="fr-CA"/>
              </w:rPr>
            </w:pPr>
            <w:r w:rsidRPr="003E4A8C">
              <w:rPr>
                <w:rFonts w:eastAsia="Calibri"/>
                <w:sz w:val="20"/>
                <w:lang w:val="fr-CA"/>
              </w:rPr>
              <w:t>Procédure civile – Recours collectifs – Certification – Meilleur moyen – Quels sont les éléments temporels, procéduraux et substantiels qu'un tribunal peut considérer en lien avec le critère du meilleur moyen? –</w:t>
            </w:r>
            <w:r w:rsidRPr="003E4A8C">
              <w:rPr>
                <w:rFonts w:eastAsia="Calibri"/>
                <w:i/>
                <w:sz w:val="20"/>
                <w:lang w:val="fr-CA"/>
              </w:rPr>
              <w:t xml:space="preserve"> Loi de 1992 sur les recours collectifs</w:t>
            </w:r>
            <w:r w:rsidRPr="003E4A8C">
              <w:rPr>
                <w:rFonts w:eastAsia="Calibri"/>
                <w:sz w:val="20"/>
                <w:lang w:val="fr-CA"/>
              </w:rPr>
              <w:t>, L.O. 1992, ch. 6, al. 5(1)</w:t>
            </w:r>
            <w:r w:rsidRPr="003E4A8C">
              <w:rPr>
                <w:rFonts w:eastAsia="Calibri"/>
                <w:i/>
                <w:sz w:val="20"/>
                <w:lang w:val="fr-CA"/>
              </w:rPr>
              <w:t>d</w:t>
            </w:r>
            <w:r w:rsidRPr="003E4A8C">
              <w:rPr>
                <w:rFonts w:eastAsia="Calibri"/>
                <w:sz w:val="20"/>
                <w:lang w:val="fr-CA"/>
              </w:rPr>
              <w:t>).</w:t>
            </w:r>
          </w:p>
        </w:tc>
      </w:tr>
      <w:tr w:rsidR="00C24D29" w:rsidRPr="00147672" w:rsidTr="009A57C7">
        <w:tc>
          <w:tcPr>
            <w:tcW w:w="5000" w:type="pct"/>
            <w:gridSpan w:val="3"/>
          </w:tcPr>
          <w:p w:rsidR="00C24D29" w:rsidRPr="003E4A8C" w:rsidRDefault="00C24D29" w:rsidP="009A57C7">
            <w:pPr>
              <w:jc w:val="both"/>
              <w:rPr>
                <w:rFonts w:eastAsia="Calibri"/>
                <w:sz w:val="20"/>
                <w:lang w:val="fr-CA"/>
              </w:rPr>
            </w:pPr>
          </w:p>
        </w:tc>
      </w:tr>
      <w:tr w:rsidR="00C24D29" w:rsidRPr="003E4A8C" w:rsidTr="009A57C7">
        <w:tc>
          <w:tcPr>
            <w:tcW w:w="5000" w:type="pct"/>
            <w:gridSpan w:val="3"/>
          </w:tcPr>
          <w:p w:rsidR="00C24D29" w:rsidRPr="003E4A8C" w:rsidRDefault="00C24D29" w:rsidP="009A57C7">
            <w:pPr>
              <w:jc w:val="both"/>
              <w:rPr>
                <w:rFonts w:eastAsia="Calibri"/>
                <w:sz w:val="20"/>
                <w:lang w:val="fr-CA"/>
              </w:rPr>
            </w:pPr>
            <w:r w:rsidRPr="003E4A8C">
              <w:rPr>
                <w:rFonts w:eastAsia="Calibri"/>
                <w:sz w:val="20"/>
                <w:lang w:val="fr-CA"/>
              </w:rPr>
              <w:t xml:space="preserve">Les demanderesses sont des gestionnaires de fonds communs de placement qui ont fait l'objet d'une enquête menée par la Commission des valeurs mobilières de l'Ontario portant sur la « synchronisation des marchés », une pratique qui aurait censément fait subir aux investisseurs à long terme des pertes sur la valeur de leurs placements. Les gestionnaires de fonds ont fini par conclure des règlements amiables avec la Commission, aux termes desquels ils devaient verser plus de 200 millions de dollars aux investisseurs, y compris les intimés. À la suite des règlements amiables, les intimés ont présenté une motion en vue de faire certifier le recours collectif contre les gestionnaires de fonds pour les mêmes actes de synchronisation des marchés. Le juge saisi de la motion a conclu que même si le recours répondait par ailleurs aux critères de certification, il ne répondait pas au critère du meilleur moyen. La Cour divisionnaire n'était pas du même avis, concluant que l'instance devant la Commission ne pouvait être considérée comme le meilleur moyen de recouvrer les dommages-intérêts, puisque l'action des investisseurs avait pour objet des dommages-intérêts monétaires importants qui dépassaient le montant recouvré dans le cadre des règlements amiables. La Cour d'appel a rejeté l'appel. </w:t>
            </w:r>
          </w:p>
          <w:p w:rsidR="00C24D29" w:rsidRPr="003E4A8C" w:rsidRDefault="00C24D29" w:rsidP="009A57C7">
            <w:pPr>
              <w:jc w:val="both"/>
              <w:rPr>
                <w:rFonts w:eastAsia="Calibri"/>
                <w:sz w:val="20"/>
                <w:lang w:val="fr-CA"/>
              </w:rPr>
            </w:pPr>
          </w:p>
        </w:tc>
      </w:tr>
      <w:tr w:rsidR="00C24D29" w:rsidRPr="00147672" w:rsidTr="009A57C7">
        <w:trPr>
          <w:trHeight w:val="818"/>
        </w:trPr>
        <w:tc>
          <w:tcPr>
            <w:tcW w:w="2427" w:type="pct"/>
          </w:tcPr>
          <w:p w:rsidR="00C24D29" w:rsidRPr="003E4A8C" w:rsidRDefault="00C24D29" w:rsidP="009A57C7">
            <w:pPr>
              <w:jc w:val="both"/>
              <w:rPr>
                <w:rFonts w:eastAsia="Calibri"/>
                <w:sz w:val="20"/>
                <w:lang w:val="fr-CA"/>
              </w:rPr>
            </w:pPr>
            <w:r w:rsidRPr="003E4A8C">
              <w:rPr>
                <w:rFonts w:eastAsia="Calibri"/>
                <w:sz w:val="20"/>
                <w:lang w:val="fr-CA"/>
              </w:rPr>
              <w:t>12 janvier 2010</w:t>
            </w:r>
          </w:p>
          <w:p w:rsidR="00C24D29" w:rsidRPr="003E4A8C" w:rsidRDefault="00C24D29" w:rsidP="009A57C7">
            <w:pPr>
              <w:jc w:val="both"/>
              <w:rPr>
                <w:rFonts w:eastAsia="Calibri"/>
                <w:sz w:val="20"/>
                <w:lang w:val="fr-CA"/>
              </w:rPr>
            </w:pPr>
            <w:r w:rsidRPr="003E4A8C">
              <w:rPr>
                <w:rFonts w:eastAsia="Calibri"/>
                <w:sz w:val="20"/>
                <w:lang w:val="fr-CA"/>
              </w:rPr>
              <w:t xml:space="preserve">Cour supérieure de justice de l'Ontario </w:t>
            </w:r>
          </w:p>
          <w:p w:rsidR="00C24D29" w:rsidRPr="003E4A8C" w:rsidRDefault="00C24D29" w:rsidP="009A57C7">
            <w:pPr>
              <w:jc w:val="both"/>
              <w:rPr>
                <w:rFonts w:eastAsia="Calibri"/>
                <w:sz w:val="20"/>
                <w:lang w:val="fr-CA"/>
              </w:rPr>
            </w:pPr>
            <w:r w:rsidRPr="003E4A8C">
              <w:rPr>
                <w:rFonts w:eastAsia="Calibri"/>
                <w:sz w:val="20"/>
                <w:lang w:val="fr-CA"/>
              </w:rPr>
              <w:t>(Juge Perell)</w:t>
            </w:r>
          </w:p>
          <w:p w:rsidR="00C24D29" w:rsidRPr="003E4A8C" w:rsidRDefault="00C24D29" w:rsidP="009A57C7">
            <w:pPr>
              <w:jc w:val="both"/>
              <w:rPr>
                <w:rFonts w:eastAsia="Calibri"/>
                <w:sz w:val="20"/>
                <w:lang w:val="fr-CA"/>
              </w:rPr>
            </w:pPr>
            <w:r w:rsidRPr="003E4A8C">
              <w:rPr>
                <w:rFonts w:eastAsia="Calibri"/>
                <w:sz w:val="20"/>
                <w:lang w:val="fr-CA"/>
              </w:rPr>
              <w:t>2010 ONSC 296</w:t>
            </w:r>
          </w:p>
          <w:p w:rsidR="00C24D29" w:rsidRPr="003E4A8C" w:rsidRDefault="00C24D29" w:rsidP="009A57C7">
            <w:pPr>
              <w:jc w:val="both"/>
              <w:rPr>
                <w:rFonts w:eastAsia="Calibri"/>
                <w:sz w:val="20"/>
                <w:lang w:val="fr-CA"/>
              </w:rPr>
            </w:pPr>
          </w:p>
        </w:tc>
        <w:tc>
          <w:tcPr>
            <w:tcW w:w="243" w:type="pct"/>
            <w:vMerge w:val="restart"/>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Motion en vue de faire certifier le recours collectif, rejetée</w:t>
            </w:r>
          </w:p>
          <w:p w:rsidR="00C24D29" w:rsidRPr="003E4A8C" w:rsidRDefault="00C24D29" w:rsidP="009A57C7">
            <w:pPr>
              <w:jc w:val="both"/>
              <w:rPr>
                <w:rFonts w:eastAsia="Calibri"/>
                <w:sz w:val="20"/>
                <w:lang w:val="fr-CA"/>
              </w:rPr>
            </w:pPr>
          </w:p>
        </w:tc>
      </w:tr>
      <w:tr w:rsidR="00C24D29" w:rsidRPr="003E4A8C" w:rsidTr="009A57C7">
        <w:trPr>
          <w:trHeight w:val="816"/>
        </w:trPr>
        <w:tc>
          <w:tcPr>
            <w:tcW w:w="2427" w:type="pct"/>
          </w:tcPr>
          <w:p w:rsidR="00C24D29" w:rsidRPr="003E4A8C" w:rsidRDefault="00C24D29" w:rsidP="009A57C7">
            <w:pPr>
              <w:jc w:val="both"/>
              <w:rPr>
                <w:rFonts w:eastAsia="Calibri"/>
                <w:sz w:val="20"/>
                <w:lang w:val="fr-CA"/>
              </w:rPr>
            </w:pPr>
            <w:r w:rsidRPr="003E4A8C">
              <w:rPr>
                <w:rFonts w:eastAsia="Calibri"/>
                <w:sz w:val="20"/>
                <w:lang w:val="fr-CA"/>
              </w:rPr>
              <w:t>31 janvier 2011</w:t>
            </w:r>
          </w:p>
          <w:p w:rsidR="00C24D29" w:rsidRPr="003E4A8C" w:rsidRDefault="00C24D29" w:rsidP="009A57C7">
            <w:pPr>
              <w:jc w:val="both"/>
              <w:rPr>
                <w:rFonts w:eastAsia="Calibri"/>
                <w:sz w:val="20"/>
                <w:lang w:val="fr-CA"/>
              </w:rPr>
            </w:pPr>
            <w:r w:rsidRPr="003E4A8C">
              <w:rPr>
                <w:rFonts w:eastAsia="Calibri"/>
                <w:sz w:val="20"/>
                <w:lang w:val="fr-CA"/>
              </w:rPr>
              <w:t>Cour supérieure de justice de l'Ontario, Cour divisionnaire</w:t>
            </w:r>
          </w:p>
          <w:p w:rsidR="00C24D29" w:rsidRPr="003E4A8C" w:rsidRDefault="00C24D29" w:rsidP="009A57C7">
            <w:pPr>
              <w:jc w:val="both"/>
              <w:rPr>
                <w:rFonts w:eastAsia="Calibri"/>
                <w:sz w:val="20"/>
                <w:lang w:val="fr-CA"/>
              </w:rPr>
            </w:pPr>
            <w:r w:rsidRPr="003E4A8C">
              <w:rPr>
                <w:rFonts w:eastAsia="Calibri"/>
                <w:sz w:val="20"/>
                <w:lang w:val="fr-CA"/>
              </w:rPr>
              <w:t>(Juges Molloy, Swinton et Herman)</w:t>
            </w:r>
          </w:p>
          <w:p w:rsidR="00C24D29" w:rsidRPr="003E4A8C" w:rsidRDefault="00C24D29" w:rsidP="009A57C7">
            <w:pPr>
              <w:jc w:val="both"/>
              <w:rPr>
                <w:rFonts w:eastAsia="Calibri"/>
                <w:sz w:val="20"/>
                <w:lang w:val="fr-CA"/>
              </w:rPr>
            </w:pPr>
            <w:r w:rsidRPr="003E4A8C">
              <w:rPr>
                <w:rFonts w:eastAsia="Calibri"/>
                <w:sz w:val="20"/>
                <w:lang w:val="fr-CA"/>
              </w:rPr>
              <w:t>2011 ONSC 292</w:t>
            </w:r>
          </w:p>
          <w:p w:rsidR="00C24D29" w:rsidRPr="003E4A8C" w:rsidRDefault="00C24D29" w:rsidP="009A57C7">
            <w:pPr>
              <w:jc w:val="both"/>
              <w:rPr>
                <w:rFonts w:eastAsia="Calibri"/>
                <w:sz w:val="20"/>
                <w:lang w:val="fr-CA"/>
              </w:rPr>
            </w:pPr>
          </w:p>
        </w:tc>
        <w:tc>
          <w:tcPr>
            <w:tcW w:w="243" w:type="pct"/>
            <w:vMerge/>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Appel accueilli</w:t>
            </w:r>
          </w:p>
          <w:p w:rsidR="00C24D29" w:rsidRPr="003E4A8C" w:rsidRDefault="00C24D29" w:rsidP="009A57C7">
            <w:pPr>
              <w:jc w:val="both"/>
              <w:rPr>
                <w:rFonts w:eastAsia="Calibri"/>
                <w:sz w:val="20"/>
                <w:lang w:val="fr-CA"/>
              </w:rPr>
            </w:pPr>
          </w:p>
        </w:tc>
      </w:tr>
      <w:tr w:rsidR="00C24D29" w:rsidRPr="003E4A8C" w:rsidTr="009A57C7">
        <w:trPr>
          <w:trHeight w:val="816"/>
        </w:trPr>
        <w:tc>
          <w:tcPr>
            <w:tcW w:w="2427" w:type="pct"/>
          </w:tcPr>
          <w:p w:rsidR="00C24D29" w:rsidRPr="003E4A8C" w:rsidRDefault="00C24D29" w:rsidP="009A57C7">
            <w:pPr>
              <w:jc w:val="both"/>
              <w:rPr>
                <w:rFonts w:eastAsia="Calibri"/>
                <w:sz w:val="20"/>
                <w:lang w:val="fr-CA"/>
              </w:rPr>
            </w:pPr>
            <w:r w:rsidRPr="003E4A8C">
              <w:rPr>
                <w:rFonts w:eastAsia="Calibri"/>
                <w:sz w:val="20"/>
                <w:lang w:val="fr-CA"/>
              </w:rPr>
              <w:t>27 janvier 2012</w:t>
            </w:r>
          </w:p>
          <w:p w:rsidR="00C24D29" w:rsidRPr="003E4A8C" w:rsidRDefault="00C24D29" w:rsidP="009A57C7">
            <w:pPr>
              <w:jc w:val="both"/>
              <w:rPr>
                <w:rFonts w:eastAsia="Calibri"/>
                <w:sz w:val="20"/>
                <w:lang w:val="fr-CA"/>
              </w:rPr>
            </w:pPr>
            <w:r w:rsidRPr="003E4A8C">
              <w:rPr>
                <w:rFonts w:eastAsia="Calibri"/>
                <w:sz w:val="20"/>
                <w:lang w:val="fr-CA"/>
              </w:rPr>
              <w:t>Cour d'appel de l'Ontario</w:t>
            </w:r>
          </w:p>
          <w:p w:rsidR="00C24D29" w:rsidRPr="003E4A8C" w:rsidRDefault="00C24D29" w:rsidP="009A57C7">
            <w:pPr>
              <w:jc w:val="both"/>
              <w:rPr>
                <w:rFonts w:eastAsia="Calibri"/>
                <w:sz w:val="20"/>
                <w:lang w:val="fr-CA"/>
              </w:rPr>
            </w:pPr>
            <w:r w:rsidRPr="003E4A8C">
              <w:rPr>
                <w:rFonts w:eastAsia="Calibri"/>
                <w:sz w:val="20"/>
                <w:lang w:val="fr-CA"/>
              </w:rPr>
              <w:t>(Juge en chef Winkler, juges Epstein et Pardu)</w:t>
            </w:r>
          </w:p>
          <w:p w:rsidR="00C24D29" w:rsidRPr="003E4A8C" w:rsidRDefault="00C24D29" w:rsidP="009A57C7">
            <w:pPr>
              <w:jc w:val="both"/>
              <w:rPr>
                <w:rFonts w:eastAsia="Calibri"/>
                <w:sz w:val="20"/>
                <w:lang w:val="fr-CA"/>
              </w:rPr>
            </w:pPr>
            <w:r w:rsidRPr="003E4A8C">
              <w:rPr>
                <w:rFonts w:eastAsia="Calibri"/>
                <w:sz w:val="20"/>
                <w:lang w:val="fr-CA"/>
              </w:rPr>
              <w:t>2012 ONCA 47</w:t>
            </w:r>
          </w:p>
          <w:p w:rsidR="00C24D29" w:rsidRPr="003E4A8C" w:rsidRDefault="00C24D29" w:rsidP="009A57C7">
            <w:pPr>
              <w:jc w:val="both"/>
              <w:rPr>
                <w:rFonts w:eastAsia="Calibri"/>
                <w:sz w:val="20"/>
                <w:lang w:val="fr-CA"/>
              </w:rPr>
            </w:pPr>
          </w:p>
        </w:tc>
        <w:tc>
          <w:tcPr>
            <w:tcW w:w="243" w:type="pct"/>
            <w:vMerge/>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Appel rejeté</w:t>
            </w:r>
          </w:p>
          <w:p w:rsidR="00C24D29" w:rsidRPr="003E4A8C" w:rsidRDefault="00C24D29" w:rsidP="009A57C7">
            <w:pPr>
              <w:jc w:val="both"/>
              <w:rPr>
                <w:rFonts w:eastAsia="Calibri"/>
                <w:sz w:val="20"/>
                <w:lang w:val="fr-CA"/>
              </w:rPr>
            </w:pPr>
          </w:p>
        </w:tc>
      </w:tr>
      <w:tr w:rsidR="00C24D29" w:rsidRPr="003E4A8C"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t>27 mars 2012</w:t>
            </w:r>
          </w:p>
          <w:p w:rsidR="00C24D29" w:rsidRPr="003E4A8C" w:rsidRDefault="00C24D29" w:rsidP="009A57C7">
            <w:pPr>
              <w:jc w:val="both"/>
              <w:rPr>
                <w:rFonts w:eastAsia="Calibri"/>
                <w:sz w:val="20"/>
                <w:lang w:val="fr-CA"/>
              </w:rPr>
            </w:pPr>
            <w:r w:rsidRPr="003E4A8C">
              <w:rPr>
                <w:rFonts w:eastAsia="Calibri"/>
                <w:sz w:val="20"/>
                <w:lang w:val="fr-CA"/>
              </w:rPr>
              <w:t>Cour suprême du Canada</w:t>
            </w:r>
          </w:p>
        </w:tc>
        <w:tc>
          <w:tcPr>
            <w:tcW w:w="243" w:type="pct"/>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Demande d'autorisation d'appel, déposée</w:t>
            </w: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83"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05156" w:rsidRPr="00B861B1" w:rsidTr="008B5DBF">
        <w:trPr>
          <w:cantSplit/>
        </w:trPr>
        <w:tc>
          <w:tcPr>
            <w:tcW w:w="1458" w:type="dxa"/>
          </w:tcPr>
          <w:p w:rsidR="00F05156" w:rsidRPr="00B861B1" w:rsidRDefault="00F05156" w:rsidP="008B5DBF">
            <w:pPr>
              <w:rPr>
                <w:rFonts w:cs="Times New Roman"/>
                <w:sz w:val="20"/>
                <w:szCs w:val="20"/>
              </w:rPr>
            </w:pPr>
            <w:r w:rsidRPr="00B861B1">
              <w:rPr>
                <w:rStyle w:val="SCCFileNumberChar"/>
                <w:sz w:val="20"/>
                <w:szCs w:val="20"/>
              </w:rPr>
              <w:t>34767</w:t>
            </w:r>
          </w:p>
          <w:p w:rsidR="00F05156" w:rsidRPr="00B861B1" w:rsidRDefault="00F05156" w:rsidP="008B5DBF">
            <w:pPr>
              <w:rPr>
                <w:rFonts w:cs="Times New Roman"/>
                <w:b/>
                <w:sz w:val="20"/>
                <w:szCs w:val="20"/>
                <w:lang w:val="fr-CA"/>
              </w:rPr>
            </w:pPr>
          </w:p>
        </w:tc>
        <w:tc>
          <w:tcPr>
            <w:tcW w:w="8118" w:type="dxa"/>
          </w:tcPr>
          <w:p w:rsidR="00F05156" w:rsidRPr="00B861B1" w:rsidRDefault="00F05156" w:rsidP="008B5DBF">
            <w:pPr>
              <w:jc w:val="both"/>
              <w:rPr>
                <w:rFonts w:cs="Times New Roman"/>
                <w:sz w:val="20"/>
                <w:szCs w:val="20"/>
              </w:rPr>
            </w:pPr>
            <w:r w:rsidRPr="00F05156">
              <w:rPr>
                <w:rStyle w:val="SCCLsocChar"/>
                <w:rFonts w:cs="Times New Roman"/>
                <w:sz w:val="20"/>
                <w:szCs w:val="20"/>
                <w:lang w:val="en-CA"/>
              </w:rPr>
              <w:t>Attorney General of Canada on behalf of the Czech Republic and  Minister of Justice of Canada v. Bretislav Zajicek</w:t>
            </w:r>
            <w:r w:rsidRPr="00B861B1">
              <w:rPr>
                <w:rFonts w:cs="Times New Roman"/>
                <w:sz w:val="20"/>
                <w:szCs w:val="20"/>
              </w:rPr>
              <w:t xml:space="preserve"> (Ont.) (Criminal) (By Leave)</w:t>
            </w:r>
          </w:p>
          <w:p w:rsidR="00F05156" w:rsidRPr="00B861B1" w:rsidRDefault="00F05156" w:rsidP="008B5DBF">
            <w:pPr>
              <w:rPr>
                <w:rFonts w:cs="Times New Roman"/>
                <w:sz w:val="20"/>
                <w:szCs w:val="20"/>
              </w:rPr>
            </w:pPr>
          </w:p>
        </w:tc>
      </w:tr>
      <w:tr w:rsidR="00F05156" w:rsidRPr="00B861B1" w:rsidTr="008B5DBF">
        <w:trPr>
          <w:cantSplit/>
        </w:trPr>
        <w:tc>
          <w:tcPr>
            <w:tcW w:w="1458" w:type="dxa"/>
          </w:tcPr>
          <w:p w:rsidR="00F05156" w:rsidRPr="00B861B1" w:rsidRDefault="00F05156" w:rsidP="008B5DBF">
            <w:pPr>
              <w:rPr>
                <w:rFonts w:cs="Times New Roman"/>
                <w:sz w:val="20"/>
                <w:szCs w:val="20"/>
              </w:rPr>
            </w:pPr>
            <w:r w:rsidRPr="00B861B1">
              <w:rPr>
                <w:rFonts w:cs="Times New Roman"/>
                <w:sz w:val="20"/>
                <w:szCs w:val="20"/>
              </w:rPr>
              <w:t>Coram :</w:t>
            </w:r>
          </w:p>
        </w:tc>
        <w:tc>
          <w:tcPr>
            <w:tcW w:w="8118" w:type="dxa"/>
          </w:tcPr>
          <w:p w:rsidR="00F05156" w:rsidRPr="00B861B1" w:rsidRDefault="00F05156" w:rsidP="008B5DBF">
            <w:pPr>
              <w:rPr>
                <w:rFonts w:cs="Times New Roman"/>
                <w:sz w:val="20"/>
                <w:szCs w:val="20"/>
              </w:rPr>
            </w:pPr>
            <w:r w:rsidRPr="00F05156">
              <w:rPr>
                <w:rStyle w:val="SCCCoramChar"/>
                <w:rFonts w:cs="Times New Roman"/>
                <w:sz w:val="20"/>
                <w:szCs w:val="20"/>
                <w:lang w:val="en-CA"/>
              </w:rPr>
              <w:t>McLachlin C.J. and Rothstein and Moldaver JJ.</w:t>
            </w:r>
          </w:p>
          <w:p w:rsidR="00F05156" w:rsidRPr="00B861B1" w:rsidRDefault="00F05156" w:rsidP="008B5DBF">
            <w:pPr>
              <w:rPr>
                <w:rFonts w:cs="Times New Roman"/>
                <w:sz w:val="20"/>
                <w:szCs w:val="20"/>
                <w:u w:val="single"/>
              </w:rPr>
            </w:pPr>
          </w:p>
        </w:tc>
      </w:tr>
      <w:tr w:rsidR="00F05156" w:rsidRPr="00147672" w:rsidTr="008B5DBF">
        <w:trPr>
          <w:cantSplit/>
        </w:trPr>
        <w:tc>
          <w:tcPr>
            <w:tcW w:w="9576" w:type="dxa"/>
            <w:gridSpan w:val="2"/>
          </w:tcPr>
          <w:p w:rsidR="00F05156" w:rsidRPr="00B861B1" w:rsidRDefault="00F05156" w:rsidP="008B5DBF">
            <w:pPr>
              <w:pStyle w:val="SCCShortJudgment"/>
              <w:rPr>
                <w:rFonts w:cs="Times New Roman"/>
                <w:szCs w:val="20"/>
              </w:rPr>
            </w:pPr>
            <w:r w:rsidRPr="00B861B1">
              <w:rPr>
                <w:rFonts w:cs="Times New Roman"/>
                <w:szCs w:val="20"/>
              </w:rPr>
              <w:lastRenderedPageBreak/>
              <w:t>The application for leave to appeal from the judgment of the Court of Appeal for Ontario, Numbers C51360 and C53764, 2012 ONCA 99, dated February 14, 2012, is granted without costs.</w:t>
            </w:r>
          </w:p>
          <w:p w:rsidR="00F05156" w:rsidRPr="00B861B1" w:rsidRDefault="00F05156" w:rsidP="008B5DBF">
            <w:pPr>
              <w:pStyle w:val="SCCShortJudgment"/>
              <w:ind w:firstLine="0"/>
              <w:rPr>
                <w:rFonts w:cs="Times New Roman"/>
                <w:szCs w:val="20"/>
              </w:rPr>
            </w:pPr>
          </w:p>
          <w:p w:rsidR="00F05156" w:rsidRPr="00B861B1" w:rsidRDefault="00F05156" w:rsidP="008B5DBF">
            <w:pPr>
              <w:pStyle w:val="SCCShortJudgment"/>
              <w:rPr>
                <w:rFonts w:cs="Times New Roman"/>
                <w:szCs w:val="20"/>
                <w:lang w:val="fr-CA"/>
              </w:rPr>
            </w:pPr>
            <w:r w:rsidRPr="00B861B1">
              <w:rPr>
                <w:rFonts w:cs="Times New Roman"/>
                <w:szCs w:val="20"/>
                <w:lang w:val="fr-CA"/>
              </w:rPr>
              <w:t>La demande d’autorisation d’appel de l’arrêt de la Cour d’appel de l’Ontario, numéros C51360 et C53764, 2012 ONCA 99, daté du 14 février 2012, est accueillie sans dépens.</w:t>
            </w:r>
          </w:p>
        </w:tc>
      </w:tr>
    </w:tbl>
    <w:p w:rsidR="00F96FE7" w:rsidRPr="00F05156"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4D29" w:rsidRPr="003E4A8C" w:rsidTr="009A57C7">
        <w:tc>
          <w:tcPr>
            <w:tcW w:w="5000" w:type="pct"/>
            <w:gridSpan w:val="3"/>
          </w:tcPr>
          <w:p w:rsidR="00C24D29" w:rsidRPr="003E4A8C" w:rsidRDefault="00C24D29" w:rsidP="009A57C7">
            <w:pPr>
              <w:jc w:val="both"/>
              <w:rPr>
                <w:sz w:val="20"/>
              </w:rPr>
            </w:pPr>
            <w:r w:rsidRPr="003E4A8C">
              <w:rPr>
                <w:sz w:val="20"/>
              </w:rPr>
              <w:t>Criminal Law – Extradition – Jurisdiction – Whether an extradition judge’s jurisdiction extends to considering allegations of misconduct by authorities in the requesting state that do not impact on the fairness of the extradition hearing – Scope of a reviewing court’s remedial jurisdiction in applying curative proviso in section 53(b</w:t>
            </w:r>
            <w:proofErr w:type="gramStart"/>
            <w:r w:rsidRPr="003E4A8C">
              <w:rPr>
                <w:sz w:val="20"/>
              </w:rPr>
              <w:t>)(</w:t>
            </w:r>
            <w:proofErr w:type="gramEnd"/>
            <w:r w:rsidRPr="003E4A8C">
              <w:rPr>
                <w:sz w:val="20"/>
              </w:rPr>
              <w:t xml:space="preserve">ii) of the </w:t>
            </w:r>
            <w:r w:rsidRPr="003E4A8C">
              <w:rPr>
                <w:i/>
                <w:sz w:val="20"/>
              </w:rPr>
              <w:t>Extradition Act</w:t>
            </w:r>
            <w:r w:rsidRPr="003E4A8C">
              <w:rPr>
                <w:sz w:val="20"/>
              </w:rPr>
              <w:t xml:space="preserve">, S.C. 1999, c. 18 – </w:t>
            </w:r>
            <w:r w:rsidRPr="003E4A8C">
              <w:rPr>
                <w:i/>
                <w:sz w:val="20"/>
              </w:rPr>
              <w:t>Extradition Act</w:t>
            </w:r>
            <w:r w:rsidRPr="003E4A8C">
              <w:rPr>
                <w:sz w:val="20"/>
              </w:rPr>
              <w:t>, ss. 25, 29, 44(1)(a), 53(b)(ii), 54.</w:t>
            </w:r>
          </w:p>
        </w:tc>
      </w:tr>
      <w:tr w:rsidR="00C24D29" w:rsidRPr="003E4A8C" w:rsidTr="009A57C7">
        <w:tc>
          <w:tcPr>
            <w:tcW w:w="5000" w:type="pct"/>
            <w:gridSpan w:val="3"/>
          </w:tcPr>
          <w:p w:rsidR="00C24D29" w:rsidRPr="003E4A8C" w:rsidRDefault="00C24D29" w:rsidP="009A57C7">
            <w:pPr>
              <w:jc w:val="both"/>
              <w:rPr>
                <w:sz w:val="20"/>
              </w:rPr>
            </w:pPr>
          </w:p>
        </w:tc>
      </w:tr>
      <w:tr w:rsidR="00C24D29" w:rsidRPr="003E4A8C" w:rsidTr="009A57C7">
        <w:tc>
          <w:tcPr>
            <w:tcW w:w="5000" w:type="pct"/>
            <w:gridSpan w:val="3"/>
          </w:tcPr>
          <w:p w:rsidR="00C24D29" w:rsidRPr="003E4A8C" w:rsidRDefault="00C24D29" w:rsidP="009A57C7">
            <w:pPr>
              <w:jc w:val="both"/>
              <w:rPr>
                <w:sz w:val="20"/>
              </w:rPr>
            </w:pPr>
            <w:r w:rsidRPr="003E4A8C">
              <w:rPr>
                <w:sz w:val="20"/>
              </w:rPr>
              <w:t>The Czech Republic sought the Respondent’s extradition to stand trial on charges of robbery and property offences alleged to have been committed nine years before the extradition request was made.  The evidence allegedly implicating the Respondent in these offences includes his confession to Czech authorities and statements made by three alleged accomplices.</w:t>
            </w:r>
          </w:p>
          <w:p w:rsidR="00C24D29" w:rsidRPr="003E4A8C" w:rsidRDefault="00C24D29" w:rsidP="009A57C7">
            <w:pPr>
              <w:jc w:val="both"/>
              <w:rPr>
                <w:sz w:val="20"/>
              </w:rPr>
            </w:pPr>
          </w:p>
          <w:p w:rsidR="00C24D29" w:rsidRPr="003E4A8C" w:rsidRDefault="00C24D29" w:rsidP="009A57C7">
            <w:pPr>
              <w:jc w:val="both"/>
              <w:rPr>
                <w:sz w:val="20"/>
              </w:rPr>
            </w:pPr>
            <w:r w:rsidRPr="003E4A8C">
              <w:rPr>
                <w:sz w:val="20"/>
              </w:rPr>
              <w:t xml:space="preserve">In resisting committal, the Respondent claimed that his confession was obtained by torture and accordingly sought a stay of the extradition proceedings on grounds of abuse of process in violation of section 7 of the </w:t>
            </w:r>
            <w:r w:rsidRPr="003E4A8C">
              <w:rPr>
                <w:i/>
                <w:sz w:val="20"/>
              </w:rPr>
              <w:t>Charter</w:t>
            </w:r>
            <w:r w:rsidRPr="003E4A8C">
              <w:rPr>
                <w:sz w:val="20"/>
              </w:rPr>
              <w:t xml:space="preserve">.   The judge conducting the extradition hearing granted the Applicants’ application for a committal order.  In so doing, the extradition judge found that there was sufficient evidence, namely the accomplice evidence, to commit the Respondent regardless of his confession which was not considered.  The extradition judge concluded that her jurisdiction to grant </w:t>
            </w:r>
            <w:r w:rsidRPr="003E4A8C">
              <w:rPr>
                <w:i/>
                <w:sz w:val="20"/>
              </w:rPr>
              <w:t>Charter</w:t>
            </w:r>
            <w:r w:rsidRPr="003E4A8C">
              <w:rPr>
                <w:sz w:val="20"/>
              </w:rPr>
              <w:t xml:space="preserve"> remedies, including a stay of proceedings, was not engaged in this regard as it was restricted to matters directly related to the fairness of the committal proceedings, and that the allegations of torture and procedural delay were matters for the Minister of Justice.</w:t>
            </w:r>
          </w:p>
          <w:p w:rsidR="00C24D29" w:rsidRPr="003E4A8C" w:rsidRDefault="00C24D29" w:rsidP="009A57C7">
            <w:pPr>
              <w:jc w:val="both"/>
              <w:rPr>
                <w:sz w:val="20"/>
              </w:rPr>
            </w:pPr>
          </w:p>
          <w:p w:rsidR="00C24D29" w:rsidRPr="003E4A8C" w:rsidRDefault="00C24D29" w:rsidP="009A57C7">
            <w:pPr>
              <w:jc w:val="both"/>
              <w:rPr>
                <w:sz w:val="20"/>
              </w:rPr>
            </w:pPr>
            <w:r w:rsidRPr="003E4A8C">
              <w:rPr>
                <w:sz w:val="20"/>
              </w:rPr>
              <w:t xml:space="preserve">The Respondent renewed his request for a stay of the extradition proceedings before the Minister of Justice, submitting that his surrender should be refused as unjust or oppressive, </w:t>
            </w:r>
            <w:r w:rsidRPr="003E4A8C">
              <w:rPr>
                <w:i/>
                <w:sz w:val="20"/>
              </w:rPr>
              <w:t>inter alia</w:t>
            </w:r>
            <w:r w:rsidRPr="003E4A8C">
              <w:rPr>
                <w:sz w:val="20"/>
              </w:rPr>
              <w:t xml:space="preserve"> on the basis that his confession was obtained by torture.  The Minister of Justice was not satisfied that the Respondent’s allegations of torture established an abuse of process and proceeded to issue a surrender order.</w:t>
            </w:r>
          </w:p>
          <w:p w:rsidR="00C24D29" w:rsidRPr="003E4A8C" w:rsidRDefault="00C24D29" w:rsidP="009A57C7">
            <w:pPr>
              <w:jc w:val="both"/>
              <w:rPr>
                <w:sz w:val="20"/>
              </w:rPr>
            </w:pPr>
          </w:p>
        </w:tc>
      </w:tr>
      <w:tr w:rsidR="00C24D29" w:rsidRPr="003E4A8C" w:rsidTr="009A57C7">
        <w:tc>
          <w:tcPr>
            <w:tcW w:w="2427" w:type="pct"/>
          </w:tcPr>
          <w:p w:rsidR="00C24D29" w:rsidRPr="003E4A8C" w:rsidRDefault="00C24D29" w:rsidP="009A57C7">
            <w:pPr>
              <w:jc w:val="both"/>
              <w:rPr>
                <w:sz w:val="20"/>
              </w:rPr>
            </w:pPr>
            <w:r w:rsidRPr="003E4A8C">
              <w:rPr>
                <w:sz w:val="20"/>
              </w:rPr>
              <w:t>November 27, 2009</w:t>
            </w:r>
          </w:p>
          <w:p w:rsidR="00C24D29" w:rsidRPr="003E4A8C" w:rsidRDefault="00C24D29" w:rsidP="009A57C7">
            <w:pPr>
              <w:jc w:val="both"/>
              <w:rPr>
                <w:sz w:val="20"/>
              </w:rPr>
            </w:pPr>
            <w:r w:rsidRPr="003E4A8C">
              <w:rPr>
                <w:sz w:val="20"/>
              </w:rPr>
              <w:t>Ontario Superior Court of Justice</w:t>
            </w:r>
          </w:p>
          <w:p w:rsidR="00C24D29" w:rsidRPr="003E4A8C" w:rsidRDefault="00C24D29" w:rsidP="009A57C7">
            <w:pPr>
              <w:jc w:val="both"/>
              <w:rPr>
                <w:sz w:val="20"/>
              </w:rPr>
            </w:pPr>
            <w:r w:rsidRPr="003E4A8C">
              <w:rPr>
                <w:sz w:val="20"/>
              </w:rPr>
              <w:t>(Frank J.)</w:t>
            </w:r>
          </w:p>
          <w:p w:rsidR="00C24D29" w:rsidRPr="003E4A8C" w:rsidRDefault="00C24D29" w:rsidP="009A57C7">
            <w:pPr>
              <w:jc w:val="both"/>
              <w:rPr>
                <w:sz w:val="20"/>
              </w:rPr>
            </w:pPr>
            <w:r w:rsidRPr="003E4A8C">
              <w:rPr>
                <w:sz w:val="20"/>
              </w:rPr>
              <w:t>Ex 35/08</w:t>
            </w:r>
          </w:p>
          <w:p w:rsidR="00C24D29" w:rsidRPr="003E4A8C" w:rsidRDefault="00C24D29" w:rsidP="009A57C7">
            <w:pPr>
              <w:jc w:val="both"/>
              <w:rPr>
                <w:sz w:val="20"/>
              </w:rPr>
            </w:pPr>
          </w:p>
        </w:tc>
        <w:tc>
          <w:tcPr>
            <w:tcW w:w="243" w:type="pct"/>
          </w:tcPr>
          <w:p w:rsidR="00C24D29" w:rsidRPr="003E4A8C" w:rsidRDefault="00C24D29" w:rsidP="009A57C7">
            <w:pPr>
              <w:jc w:val="both"/>
              <w:rPr>
                <w:sz w:val="20"/>
              </w:rPr>
            </w:pPr>
          </w:p>
        </w:tc>
        <w:tc>
          <w:tcPr>
            <w:tcW w:w="2330" w:type="pct"/>
          </w:tcPr>
          <w:p w:rsidR="00C24D29" w:rsidRPr="003E4A8C" w:rsidRDefault="00C24D29" w:rsidP="009A57C7">
            <w:pPr>
              <w:jc w:val="both"/>
              <w:rPr>
                <w:sz w:val="20"/>
              </w:rPr>
            </w:pPr>
            <w:r w:rsidRPr="003E4A8C">
              <w:rPr>
                <w:sz w:val="20"/>
              </w:rPr>
              <w:t>Application for committal order granted.</w:t>
            </w:r>
          </w:p>
          <w:p w:rsidR="00C24D29" w:rsidRPr="003E4A8C" w:rsidRDefault="00C24D29" w:rsidP="009A57C7">
            <w:pPr>
              <w:jc w:val="both"/>
              <w:rPr>
                <w:sz w:val="20"/>
              </w:rPr>
            </w:pPr>
          </w:p>
        </w:tc>
      </w:tr>
      <w:tr w:rsidR="00C24D29" w:rsidRPr="003E4A8C" w:rsidTr="009A57C7">
        <w:tc>
          <w:tcPr>
            <w:tcW w:w="2427" w:type="pct"/>
          </w:tcPr>
          <w:p w:rsidR="00C24D29" w:rsidRPr="003E4A8C" w:rsidRDefault="00C24D29" w:rsidP="009A57C7">
            <w:pPr>
              <w:jc w:val="both"/>
              <w:rPr>
                <w:sz w:val="20"/>
              </w:rPr>
            </w:pPr>
            <w:r w:rsidRPr="003E4A8C">
              <w:rPr>
                <w:sz w:val="20"/>
              </w:rPr>
              <w:t>February 14, 2012</w:t>
            </w:r>
          </w:p>
          <w:p w:rsidR="00C24D29" w:rsidRPr="003E4A8C" w:rsidRDefault="00C24D29" w:rsidP="009A57C7">
            <w:pPr>
              <w:jc w:val="both"/>
              <w:rPr>
                <w:sz w:val="20"/>
              </w:rPr>
            </w:pPr>
            <w:r w:rsidRPr="003E4A8C">
              <w:rPr>
                <w:sz w:val="20"/>
              </w:rPr>
              <w:t>Court of Appeal for Ontario</w:t>
            </w:r>
          </w:p>
          <w:p w:rsidR="00C24D29" w:rsidRPr="003E4A8C" w:rsidRDefault="00C24D29" w:rsidP="009A57C7">
            <w:pPr>
              <w:jc w:val="both"/>
              <w:rPr>
                <w:sz w:val="20"/>
              </w:rPr>
            </w:pPr>
            <w:r w:rsidRPr="003E4A8C">
              <w:rPr>
                <w:sz w:val="20"/>
              </w:rPr>
              <w:t>(MacPherson, Juriansz [dissenting] and Epstein JJ.A.)</w:t>
            </w:r>
          </w:p>
          <w:p w:rsidR="00C24D29" w:rsidRPr="003E4A8C" w:rsidRDefault="00C24D29" w:rsidP="009A57C7">
            <w:pPr>
              <w:jc w:val="both"/>
              <w:rPr>
                <w:sz w:val="20"/>
              </w:rPr>
            </w:pPr>
            <w:r w:rsidRPr="003E4A8C">
              <w:rPr>
                <w:sz w:val="20"/>
              </w:rPr>
              <w:t>C51360 and C53764</w:t>
            </w:r>
          </w:p>
          <w:p w:rsidR="00C24D29" w:rsidRPr="003E4A8C" w:rsidRDefault="00C24D29" w:rsidP="009A57C7">
            <w:pPr>
              <w:jc w:val="both"/>
              <w:rPr>
                <w:sz w:val="20"/>
              </w:rPr>
            </w:pPr>
            <w:r w:rsidRPr="003E4A8C">
              <w:rPr>
                <w:sz w:val="20"/>
              </w:rPr>
              <w:t>2012 ONCA 99</w:t>
            </w:r>
          </w:p>
          <w:p w:rsidR="00C24D29" w:rsidRPr="003E4A8C" w:rsidRDefault="00C24D29" w:rsidP="009A57C7">
            <w:pPr>
              <w:jc w:val="both"/>
              <w:rPr>
                <w:sz w:val="20"/>
              </w:rPr>
            </w:pPr>
          </w:p>
        </w:tc>
        <w:tc>
          <w:tcPr>
            <w:tcW w:w="243" w:type="pct"/>
          </w:tcPr>
          <w:p w:rsidR="00C24D29" w:rsidRPr="003E4A8C" w:rsidRDefault="00C24D29" w:rsidP="009A57C7">
            <w:pPr>
              <w:jc w:val="both"/>
              <w:rPr>
                <w:sz w:val="20"/>
              </w:rPr>
            </w:pPr>
          </w:p>
        </w:tc>
        <w:tc>
          <w:tcPr>
            <w:tcW w:w="2330" w:type="pct"/>
          </w:tcPr>
          <w:p w:rsidR="00C24D29" w:rsidRPr="003E4A8C" w:rsidRDefault="00C24D29" w:rsidP="009A57C7">
            <w:pPr>
              <w:jc w:val="both"/>
              <w:rPr>
                <w:sz w:val="20"/>
              </w:rPr>
            </w:pPr>
            <w:r w:rsidRPr="003E4A8C">
              <w:rPr>
                <w:sz w:val="20"/>
              </w:rPr>
              <w:t>Appeal from committal order allowed and new extradition hearing ordered.</w:t>
            </w:r>
          </w:p>
        </w:tc>
      </w:tr>
      <w:tr w:rsidR="00C24D29" w:rsidRPr="003E4A8C" w:rsidTr="009A57C7">
        <w:tc>
          <w:tcPr>
            <w:tcW w:w="2427" w:type="pct"/>
          </w:tcPr>
          <w:p w:rsidR="00C24D29" w:rsidRPr="003E4A8C" w:rsidRDefault="00C24D29" w:rsidP="009A57C7">
            <w:pPr>
              <w:jc w:val="both"/>
              <w:rPr>
                <w:sz w:val="20"/>
              </w:rPr>
            </w:pPr>
            <w:r w:rsidRPr="003E4A8C">
              <w:rPr>
                <w:sz w:val="20"/>
              </w:rPr>
              <w:t>April 16, 2012</w:t>
            </w:r>
          </w:p>
          <w:p w:rsidR="00C24D29" w:rsidRPr="003E4A8C" w:rsidRDefault="00C24D29" w:rsidP="00C24D29">
            <w:pPr>
              <w:jc w:val="both"/>
              <w:rPr>
                <w:sz w:val="20"/>
              </w:rPr>
            </w:pPr>
            <w:r w:rsidRPr="003E4A8C">
              <w:rPr>
                <w:sz w:val="20"/>
              </w:rPr>
              <w:t>Supreme Court of Canada</w:t>
            </w:r>
          </w:p>
        </w:tc>
        <w:tc>
          <w:tcPr>
            <w:tcW w:w="243" w:type="pct"/>
          </w:tcPr>
          <w:p w:rsidR="00C24D29" w:rsidRPr="003E4A8C" w:rsidRDefault="00C24D29" w:rsidP="009A57C7">
            <w:pPr>
              <w:jc w:val="both"/>
              <w:rPr>
                <w:sz w:val="20"/>
              </w:rPr>
            </w:pPr>
          </w:p>
        </w:tc>
        <w:tc>
          <w:tcPr>
            <w:tcW w:w="2330" w:type="pct"/>
          </w:tcPr>
          <w:p w:rsidR="00C24D29" w:rsidRPr="003E4A8C" w:rsidRDefault="00C24D29" w:rsidP="009A57C7">
            <w:pPr>
              <w:jc w:val="both"/>
              <w:rPr>
                <w:sz w:val="20"/>
              </w:rPr>
            </w:pPr>
            <w:r w:rsidRPr="003E4A8C">
              <w:rPr>
                <w:sz w:val="20"/>
              </w:rPr>
              <w:t>Application for leave to appeal filed.</w:t>
            </w:r>
          </w:p>
          <w:p w:rsidR="00C24D29" w:rsidRPr="003E4A8C" w:rsidRDefault="00C24D29" w:rsidP="009A57C7">
            <w:pPr>
              <w:jc w:val="both"/>
              <w:rPr>
                <w:sz w:val="20"/>
              </w:rPr>
            </w:pP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84"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24D29" w:rsidRPr="00D61692" w:rsidTr="009A57C7">
        <w:tc>
          <w:tcPr>
            <w:tcW w:w="5000" w:type="pct"/>
            <w:gridSpan w:val="3"/>
          </w:tcPr>
          <w:p w:rsidR="00C24D29" w:rsidRPr="003E4A8C" w:rsidRDefault="00C24D29" w:rsidP="009A57C7">
            <w:pPr>
              <w:jc w:val="both"/>
              <w:rPr>
                <w:rFonts w:eastAsia="Calibri"/>
                <w:sz w:val="20"/>
                <w:lang w:val="fr-CA"/>
              </w:rPr>
            </w:pPr>
            <w:r w:rsidRPr="003E4A8C">
              <w:rPr>
                <w:rFonts w:eastAsia="Calibri"/>
                <w:sz w:val="20"/>
                <w:lang w:val="fr-CA"/>
              </w:rPr>
              <w:t xml:space="preserve">Droit criminel – Extradition – Compétence – La compétence du juge d’extradition va-t-elle jusqu’à lui permettre de </w:t>
            </w:r>
            <w:r w:rsidRPr="003E4A8C">
              <w:rPr>
                <w:rFonts w:eastAsia="Calibri"/>
                <w:sz w:val="20"/>
                <w:lang w:val="fr-CA"/>
              </w:rPr>
              <w:lastRenderedPageBreak/>
              <w:t>considérer des allégations d’inconduite, de la part des autorités de l’État requérant, qui n’ont aucune incidence sur l’équité de l’audience en matière d’extradition?  – Portée de la compétence en matière de réparation dans l’application de la disposition réparatrice prévue au sous-alinéa 53</w:t>
            </w:r>
            <w:r w:rsidRPr="003E4A8C">
              <w:rPr>
                <w:rFonts w:eastAsia="Calibri"/>
                <w:i/>
                <w:sz w:val="20"/>
                <w:lang w:val="fr-CA"/>
              </w:rPr>
              <w:t>b</w:t>
            </w:r>
            <w:proofErr w:type="gramStart"/>
            <w:r w:rsidRPr="003E4A8C">
              <w:rPr>
                <w:rFonts w:eastAsia="Calibri"/>
                <w:sz w:val="20"/>
                <w:lang w:val="fr-CA"/>
              </w:rPr>
              <w:t>)(</w:t>
            </w:r>
            <w:proofErr w:type="gramEnd"/>
            <w:r w:rsidRPr="003E4A8C">
              <w:rPr>
                <w:rFonts w:eastAsia="Calibri"/>
                <w:sz w:val="20"/>
                <w:lang w:val="fr-CA"/>
              </w:rPr>
              <w:t xml:space="preserve">ii) de la </w:t>
            </w:r>
            <w:r w:rsidRPr="003E4A8C">
              <w:rPr>
                <w:rFonts w:eastAsia="Calibri"/>
                <w:i/>
                <w:sz w:val="20"/>
                <w:lang w:val="fr-CA"/>
              </w:rPr>
              <w:t>Loi sur l’extradition</w:t>
            </w:r>
            <w:r w:rsidRPr="003E4A8C">
              <w:rPr>
                <w:rFonts w:eastAsia="Calibri"/>
                <w:sz w:val="20"/>
                <w:lang w:val="fr-CA"/>
              </w:rPr>
              <w:t xml:space="preserve">, L.C. 1999, ch. 18 – </w:t>
            </w:r>
            <w:r w:rsidRPr="003E4A8C">
              <w:rPr>
                <w:rFonts w:eastAsia="Calibri"/>
                <w:i/>
                <w:sz w:val="20"/>
                <w:lang w:val="fr-CA"/>
              </w:rPr>
              <w:t>Loi sur l’extradition</w:t>
            </w:r>
            <w:r w:rsidRPr="003E4A8C">
              <w:rPr>
                <w:rFonts w:eastAsia="Calibri"/>
                <w:sz w:val="20"/>
                <w:lang w:val="fr-CA"/>
              </w:rPr>
              <w:t>, art. 25, 29, 44(1)</w:t>
            </w:r>
            <w:r w:rsidRPr="003E4A8C">
              <w:rPr>
                <w:rFonts w:eastAsia="Calibri"/>
                <w:i/>
                <w:sz w:val="20"/>
                <w:lang w:val="fr-CA"/>
              </w:rPr>
              <w:t>a</w:t>
            </w:r>
            <w:r w:rsidRPr="003E4A8C">
              <w:rPr>
                <w:rFonts w:eastAsia="Calibri"/>
                <w:sz w:val="20"/>
                <w:lang w:val="fr-CA"/>
              </w:rPr>
              <w:t>), 53</w:t>
            </w:r>
            <w:r w:rsidRPr="003E4A8C">
              <w:rPr>
                <w:rFonts w:eastAsia="Calibri"/>
                <w:i/>
                <w:sz w:val="20"/>
                <w:lang w:val="fr-CA"/>
              </w:rPr>
              <w:t>b</w:t>
            </w:r>
            <w:proofErr w:type="gramStart"/>
            <w:r w:rsidRPr="003E4A8C">
              <w:rPr>
                <w:rFonts w:eastAsia="Calibri"/>
                <w:sz w:val="20"/>
                <w:lang w:val="fr-CA"/>
              </w:rPr>
              <w:t>)(</w:t>
            </w:r>
            <w:proofErr w:type="gramEnd"/>
            <w:r w:rsidRPr="003E4A8C">
              <w:rPr>
                <w:rFonts w:eastAsia="Calibri"/>
                <w:sz w:val="20"/>
                <w:lang w:val="fr-CA"/>
              </w:rPr>
              <w:t>ii), 54.</w:t>
            </w:r>
          </w:p>
        </w:tc>
      </w:tr>
      <w:tr w:rsidR="00C24D29" w:rsidRPr="00D61692" w:rsidTr="009A57C7">
        <w:tc>
          <w:tcPr>
            <w:tcW w:w="5000" w:type="pct"/>
            <w:gridSpan w:val="3"/>
          </w:tcPr>
          <w:p w:rsidR="00C24D29" w:rsidRPr="003E4A8C" w:rsidRDefault="00C24D29" w:rsidP="009A57C7">
            <w:pPr>
              <w:jc w:val="both"/>
              <w:rPr>
                <w:rFonts w:eastAsia="Calibri"/>
                <w:sz w:val="20"/>
                <w:lang w:val="fr-CA"/>
              </w:rPr>
            </w:pPr>
          </w:p>
        </w:tc>
      </w:tr>
      <w:tr w:rsidR="00C24D29" w:rsidRPr="00147672" w:rsidTr="009A57C7">
        <w:tc>
          <w:tcPr>
            <w:tcW w:w="5000" w:type="pct"/>
            <w:gridSpan w:val="3"/>
          </w:tcPr>
          <w:p w:rsidR="00C24D29" w:rsidRPr="003E4A8C" w:rsidRDefault="00C24D29" w:rsidP="009A57C7">
            <w:pPr>
              <w:jc w:val="both"/>
              <w:rPr>
                <w:rFonts w:eastAsia="Calibri"/>
                <w:sz w:val="20"/>
                <w:lang w:val="fr-CA"/>
              </w:rPr>
            </w:pPr>
            <w:r w:rsidRPr="003E4A8C">
              <w:rPr>
                <w:rFonts w:eastAsia="Calibri"/>
                <w:sz w:val="20"/>
                <w:lang w:val="fr-CA"/>
              </w:rPr>
              <w:t>La République tchèque a demandé l’extradition de l’intimé pour qu’il subisse son procès sur des accusations de vol qualifié et d’infractions contre les biens qu’ils aurait censément commis neuf ans avant la demande d’extradition.  La preuve qui impliquerait censément l’intimé dans ces infractions comprend notamment son aveu aux autorités tchèques et des déclarations faites par trois complices présumés.</w:t>
            </w:r>
          </w:p>
          <w:p w:rsidR="00C24D29" w:rsidRPr="003E4A8C" w:rsidRDefault="00C24D29" w:rsidP="009A57C7">
            <w:pPr>
              <w:jc w:val="both"/>
              <w:rPr>
                <w:rFonts w:eastAsia="Calibri"/>
                <w:sz w:val="20"/>
                <w:lang w:val="fr-CA"/>
              </w:rPr>
            </w:pPr>
          </w:p>
          <w:p w:rsidR="00C24D29" w:rsidRPr="003E4A8C" w:rsidRDefault="00C24D29" w:rsidP="009A57C7">
            <w:pPr>
              <w:jc w:val="both"/>
              <w:rPr>
                <w:rFonts w:eastAsia="Calibri"/>
                <w:sz w:val="20"/>
                <w:lang w:val="fr-CA"/>
              </w:rPr>
            </w:pPr>
            <w:r w:rsidRPr="003E4A8C">
              <w:rPr>
                <w:rFonts w:eastAsia="Calibri"/>
                <w:sz w:val="20"/>
                <w:lang w:val="fr-CA"/>
              </w:rPr>
              <w:t xml:space="preserve">Dans sa contestation de l’incarcération, l’intimé a allégué que son aveu avait été obtenu par la torture et il a par conséquent demandé l’arrêt de la procédure d’extradition pour abus de procédure en violation de l’article 7 de la </w:t>
            </w:r>
            <w:r w:rsidRPr="003E4A8C">
              <w:rPr>
                <w:rFonts w:eastAsia="Calibri"/>
                <w:i/>
                <w:sz w:val="20"/>
                <w:lang w:val="fr-CA"/>
              </w:rPr>
              <w:t>Charte</w:t>
            </w:r>
            <w:r w:rsidRPr="003E4A8C">
              <w:rPr>
                <w:rFonts w:eastAsia="Calibri"/>
                <w:sz w:val="20"/>
                <w:lang w:val="fr-CA"/>
              </w:rPr>
              <w:t xml:space="preserve">.  La juge qui présidait l’audience en matière d’extradition a accueilli la demande d’ordonnance d’incarcération présentée par les demandeurs. Ce faisant, la juge d’extradition a conclu qu’il y avait suffisamment d’éléments de preuve, notamment les témoignages des complices, pour incarcérer l’intimé sans égard à son aveu qui n’a pas été pris en compte. La juge d’extradition a conclu que sa compétence pour accorder des réparations fondées sur la </w:t>
            </w:r>
            <w:r w:rsidRPr="003E4A8C">
              <w:rPr>
                <w:rFonts w:eastAsia="Calibri"/>
                <w:i/>
                <w:sz w:val="20"/>
                <w:lang w:val="fr-CA"/>
              </w:rPr>
              <w:t>Charte</w:t>
            </w:r>
            <w:r w:rsidRPr="003E4A8C">
              <w:rPr>
                <w:rFonts w:eastAsia="Calibri"/>
                <w:sz w:val="20"/>
                <w:lang w:val="fr-CA"/>
              </w:rPr>
              <w:t>, notamment l’arrêt de la procédure, ne pouvait être exercée à cet égard, puisqu’elle se limitait à des questions directement liées à l’équité de la procédure d’incarcération, et que les allégations de torture et de retards dans la procédure relevaient de la compétence du ministre de la Justice.</w:t>
            </w:r>
          </w:p>
          <w:p w:rsidR="00C24D29" w:rsidRPr="003E4A8C" w:rsidRDefault="00C24D29" w:rsidP="009A57C7">
            <w:pPr>
              <w:jc w:val="both"/>
              <w:rPr>
                <w:rFonts w:eastAsia="Calibri"/>
                <w:sz w:val="20"/>
                <w:lang w:val="fr-CA"/>
              </w:rPr>
            </w:pPr>
          </w:p>
          <w:p w:rsidR="00C24D29" w:rsidRPr="003E4A8C" w:rsidRDefault="00C24D29" w:rsidP="009A57C7">
            <w:pPr>
              <w:jc w:val="both"/>
              <w:rPr>
                <w:rFonts w:eastAsia="Calibri"/>
                <w:sz w:val="20"/>
                <w:lang w:val="fr-CA"/>
              </w:rPr>
            </w:pPr>
            <w:r w:rsidRPr="003E4A8C">
              <w:rPr>
                <w:rFonts w:eastAsia="Calibri"/>
                <w:sz w:val="20"/>
                <w:lang w:val="fr-CA"/>
              </w:rPr>
              <w:t>L’intimé a réitéré sa demande d’arrêt de la procédure d’extradition au ministre de la Justice, faisant valoir que son extradition devrait être refusée parce qu’injuste ou tyrannique, notamment parce que son aveu avait été obtenu par la torture. Le ministre de la Justice n’était pas convaincu que les allégations de torture de l’intimé permettaient de conclure à un abus de procédure et a pris un arrêté d’extradition.</w:t>
            </w:r>
          </w:p>
          <w:p w:rsidR="00C24D29" w:rsidRPr="003E4A8C" w:rsidRDefault="00C24D29" w:rsidP="009A57C7">
            <w:pPr>
              <w:jc w:val="both"/>
              <w:rPr>
                <w:rFonts w:eastAsia="Calibri"/>
                <w:sz w:val="20"/>
                <w:lang w:val="fr-CA"/>
              </w:rPr>
            </w:pPr>
          </w:p>
        </w:tc>
      </w:tr>
      <w:tr w:rsidR="00C24D29" w:rsidRPr="003E4A8C"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t>27 novembre 2009</w:t>
            </w:r>
          </w:p>
          <w:p w:rsidR="00C24D29" w:rsidRPr="003E4A8C" w:rsidRDefault="00C24D29" w:rsidP="009A57C7">
            <w:pPr>
              <w:jc w:val="both"/>
              <w:rPr>
                <w:rFonts w:eastAsia="Calibri"/>
                <w:sz w:val="20"/>
                <w:lang w:val="fr-CA"/>
              </w:rPr>
            </w:pPr>
            <w:r w:rsidRPr="003E4A8C">
              <w:rPr>
                <w:rFonts w:eastAsia="Calibri"/>
                <w:sz w:val="20"/>
                <w:lang w:val="fr-CA"/>
              </w:rPr>
              <w:t>Cour supérieure de justice de l’Ontario</w:t>
            </w:r>
          </w:p>
          <w:p w:rsidR="00C24D29" w:rsidRPr="003E4A8C" w:rsidRDefault="00C24D29" w:rsidP="009A57C7">
            <w:pPr>
              <w:jc w:val="both"/>
              <w:rPr>
                <w:rFonts w:eastAsia="Calibri"/>
                <w:sz w:val="20"/>
                <w:lang w:val="fr-CA"/>
              </w:rPr>
            </w:pPr>
            <w:r w:rsidRPr="003E4A8C">
              <w:rPr>
                <w:rFonts w:eastAsia="Calibri"/>
                <w:sz w:val="20"/>
                <w:lang w:val="fr-CA"/>
              </w:rPr>
              <w:t>(Juge Frank)</w:t>
            </w:r>
          </w:p>
          <w:p w:rsidR="00C24D29" w:rsidRPr="003E4A8C" w:rsidRDefault="00C24D29" w:rsidP="009A57C7">
            <w:pPr>
              <w:jc w:val="both"/>
              <w:rPr>
                <w:rFonts w:eastAsia="Calibri"/>
                <w:sz w:val="20"/>
                <w:lang w:val="fr-CA"/>
              </w:rPr>
            </w:pPr>
            <w:r w:rsidRPr="003E4A8C">
              <w:rPr>
                <w:rFonts w:eastAsia="Calibri"/>
                <w:sz w:val="20"/>
                <w:lang w:val="fr-CA"/>
              </w:rPr>
              <w:t>Ex 35/08</w:t>
            </w:r>
          </w:p>
          <w:p w:rsidR="00C24D29" w:rsidRPr="003E4A8C" w:rsidRDefault="00C24D29" w:rsidP="009A57C7">
            <w:pPr>
              <w:jc w:val="both"/>
              <w:rPr>
                <w:rFonts w:eastAsia="Calibri"/>
                <w:sz w:val="20"/>
                <w:lang w:val="fr-CA"/>
              </w:rPr>
            </w:pPr>
          </w:p>
        </w:tc>
        <w:tc>
          <w:tcPr>
            <w:tcW w:w="243" w:type="pct"/>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Demande d’ordonnance d’incarcération, accueillie.</w:t>
            </w:r>
          </w:p>
          <w:p w:rsidR="00C24D29" w:rsidRPr="003E4A8C" w:rsidRDefault="00C24D29" w:rsidP="009A57C7">
            <w:pPr>
              <w:jc w:val="both"/>
              <w:rPr>
                <w:rFonts w:eastAsia="Calibri"/>
                <w:sz w:val="20"/>
                <w:lang w:val="fr-CA"/>
              </w:rPr>
            </w:pPr>
          </w:p>
        </w:tc>
      </w:tr>
      <w:tr w:rsidR="00C24D29" w:rsidRPr="00147672"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t>14 février 2012</w:t>
            </w:r>
          </w:p>
          <w:p w:rsidR="00C24D29" w:rsidRPr="003E4A8C" w:rsidRDefault="00C24D29" w:rsidP="009A57C7">
            <w:pPr>
              <w:jc w:val="both"/>
              <w:rPr>
                <w:rFonts w:eastAsia="Calibri"/>
                <w:sz w:val="20"/>
                <w:lang w:val="fr-CA"/>
              </w:rPr>
            </w:pPr>
            <w:r w:rsidRPr="003E4A8C">
              <w:rPr>
                <w:rFonts w:eastAsia="Calibri"/>
                <w:sz w:val="20"/>
                <w:lang w:val="fr-CA"/>
              </w:rPr>
              <w:t>Cour d’appel de l’Ontario</w:t>
            </w:r>
          </w:p>
          <w:p w:rsidR="00C24D29" w:rsidRPr="003E4A8C" w:rsidRDefault="00C24D29" w:rsidP="009A57C7">
            <w:pPr>
              <w:jc w:val="both"/>
              <w:rPr>
                <w:rFonts w:eastAsia="Calibri"/>
                <w:sz w:val="20"/>
                <w:lang w:val="fr-CA"/>
              </w:rPr>
            </w:pPr>
            <w:r w:rsidRPr="003E4A8C">
              <w:rPr>
                <w:rFonts w:eastAsia="Calibri"/>
                <w:sz w:val="20"/>
                <w:lang w:val="fr-CA"/>
              </w:rPr>
              <w:t>(Juges MacPherson, Juriansz [dissident] et Epstein)</w:t>
            </w:r>
          </w:p>
          <w:p w:rsidR="00C24D29" w:rsidRPr="003E4A8C" w:rsidRDefault="00C24D29" w:rsidP="009A57C7">
            <w:pPr>
              <w:jc w:val="both"/>
              <w:rPr>
                <w:rFonts w:eastAsia="Calibri"/>
                <w:sz w:val="20"/>
                <w:lang w:val="fr-CA"/>
              </w:rPr>
            </w:pPr>
            <w:r w:rsidRPr="003E4A8C">
              <w:rPr>
                <w:rFonts w:eastAsia="Calibri"/>
                <w:sz w:val="20"/>
                <w:lang w:val="fr-CA"/>
              </w:rPr>
              <w:t>C51360 et C53764</w:t>
            </w:r>
          </w:p>
          <w:p w:rsidR="00C24D29" w:rsidRPr="003E4A8C" w:rsidRDefault="00C24D29" w:rsidP="009A57C7">
            <w:pPr>
              <w:jc w:val="both"/>
              <w:rPr>
                <w:rFonts w:eastAsia="Calibri"/>
                <w:sz w:val="20"/>
                <w:lang w:val="fr-CA"/>
              </w:rPr>
            </w:pPr>
            <w:r w:rsidRPr="003E4A8C">
              <w:rPr>
                <w:rFonts w:eastAsia="Calibri"/>
                <w:sz w:val="20"/>
                <w:lang w:val="fr-CA"/>
              </w:rPr>
              <w:t>2012 ONCA 99</w:t>
            </w:r>
          </w:p>
          <w:p w:rsidR="00C24D29" w:rsidRPr="003E4A8C" w:rsidRDefault="00C24D29" w:rsidP="009A57C7">
            <w:pPr>
              <w:jc w:val="both"/>
              <w:rPr>
                <w:rFonts w:eastAsia="Calibri"/>
                <w:sz w:val="20"/>
                <w:lang w:val="fr-CA"/>
              </w:rPr>
            </w:pPr>
          </w:p>
        </w:tc>
        <w:tc>
          <w:tcPr>
            <w:tcW w:w="243" w:type="pct"/>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Appel de l’ordonnance d’incarcération, accueilli et nouvelle audience en matière d’extradition, ordonnée.</w:t>
            </w:r>
          </w:p>
        </w:tc>
      </w:tr>
      <w:tr w:rsidR="00C24D29" w:rsidRPr="003E4A8C"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t>16 avril 2012</w:t>
            </w:r>
          </w:p>
          <w:p w:rsidR="00C24D29" w:rsidRPr="003E4A8C" w:rsidRDefault="00C24D29" w:rsidP="009A57C7">
            <w:pPr>
              <w:jc w:val="both"/>
              <w:rPr>
                <w:rFonts w:eastAsia="Calibri"/>
                <w:sz w:val="20"/>
                <w:lang w:val="fr-CA"/>
              </w:rPr>
            </w:pPr>
            <w:r w:rsidRPr="003E4A8C">
              <w:rPr>
                <w:rFonts w:eastAsia="Calibri"/>
                <w:sz w:val="20"/>
                <w:lang w:val="fr-CA"/>
              </w:rPr>
              <w:t>Cour suprême du Canada</w:t>
            </w:r>
          </w:p>
        </w:tc>
        <w:tc>
          <w:tcPr>
            <w:tcW w:w="243" w:type="pct"/>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Demande d’autorisation d’appel, déposée.</w:t>
            </w:r>
          </w:p>
          <w:p w:rsidR="00C24D29" w:rsidRPr="003E4A8C" w:rsidRDefault="00C24D29" w:rsidP="009A57C7">
            <w:pPr>
              <w:jc w:val="both"/>
              <w:rPr>
                <w:rFonts w:eastAsia="Calibri"/>
                <w:sz w:val="20"/>
                <w:lang w:val="fr-CA"/>
              </w:rPr>
            </w:pPr>
          </w:p>
        </w:tc>
      </w:tr>
    </w:tbl>
    <w:p w:rsidR="00F96FE7" w:rsidRDefault="00F96FE7" w:rsidP="00F96FE7">
      <w:pPr>
        <w:rPr>
          <w:sz w:val="20"/>
          <w:szCs w:val="20"/>
        </w:rPr>
      </w:pPr>
    </w:p>
    <w:p w:rsidR="00F96FE7" w:rsidRDefault="00D70052" w:rsidP="00F96FE7">
      <w:pPr>
        <w:rPr>
          <w:sz w:val="20"/>
          <w:szCs w:val="20"/>
          <w:lang w:val="fr-CA"/>
        </w:rPr>
      </w:pPr>
      <w:r w:rsidRPr="00D70052">
        <w:rPr>
          <w:sz w:val="20"/>
          <w:szCs w:val="20"/>
          <w:lang w:val="fr-CA"/>
        </w:rPr>
        <w:pict>
          <v:rect id="_x0000_i1085"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A2439" w:rsidRPr="00BD2AF7" w:rsidTr="008B5DBF">
        <w:trPr>
          <w:cantSplit/>
        </w:trPr>
        <w:tc>
          <w:tcPr>
            <w:tcW w:w="1458" w:type="dxa"/>
          </w:tcPr>
          <w:p w:rsidR="00CA2439" w:rsidRPr="00BD2AF7" w:rsidRDefault="00CA2439" w:rsidP="008B5DBF">
            <w:pPr>
              <w:rPr>
                <w:rFonts w:cs="Times New Roman"/>
                <w:sz w:val="20"/>
                <w:szCs w:val="20"/>
              </w:rPr>
            </w:pPr>
            <w:r w:rsidRPr="00BD2AF7">
              <w:rPr>
                <w:rStyle w:val="SCCFileNumberChar"/>
                <w:sz w:val="20"/>
                <w:szCs w:val="20"/>
              </w:rPr>
              <w:t>34813</w:t>
            </w:r>
          </w:p>
          <w:p w:rsidR="00CA2439" w:rsidRPr="00BD2AF7" w:rsidRDefault="00CA2439" w:rsidP="008B5DBF">
            <w:pPr>
              <w:rPr>
                <w:rFonts w:cs="Times New Roman"/>
                <w:b/>
                <w:sz w:val="20"/>
                <w:szCs w:val="20"/>
                <w:lang w:val="fr-CA"/>
              </w:rPr>
            </w:pPr>
          </w:p>
        </w:tc>
        <w:tc>
          <w:tcPr>
            <w:tcW w:w="8118" w:type="dxa"/>
          </w:tcPr>
          <w:p w:rsidR="00CA2439" w:rsidRPr="00BD2AF7" w:rsidRDefault="00CA2439" w:rsidP="008B5DBF">
            <w:pPr>
              <w:rPr>
                <w:rFonts w:cs="Times New Roman"/>
                <w:sz w:val="20"/>
                <w:szCs w:val="20"/>
              </w:rPr>
            </w:pPr>
            <w:r w:rsidRPr="00BD2AF7">
              <w:rPr>
                <w:rStyle w:val="SCCLsocChar"/>
                <w:rFonts w:cs="Times New Roman"/>
                <w:sz w:val="20"/>
                <w:szCs w:val="20"/>
              </w:rPr>
              <w:t>Ivanco Keremelevski v. Olga Michelle</w:t>
            </w:r>
            <w:r w:rsidRPr="00BD2AF7">
              <w:rPr>
                <w:rFonts w:cs="Times New Roman"/>
                <w:sz w:val="20"/>
                <w:szCs w:val="20"/>
                <w:lang w:val="fr-CA"/>
              </w:rPr>
              <w:t xml:space="preserve"> (B.C.) </w:t>
            </w:r>
            <w:r w:rsidRPr="00BD2AF7">
              <w:rPr>
                <w:rFonts w:cs="Times New Roman"/>
                <w:sz w:val="20"/>
                <w:szCs w:val="20"/>
              </w:rPr>
              <w:t>(Civil) (By Leave)</w:t>
            </w:r>
          </w:p>
          <w:p w:rsidR="00CA2439" w:rsidRPr="00BD2AF7" w:rsidRDefault="00CA2439" w:rsidP="008B5DBF">
            <w:pPr>
              <w:rPr>
                <w:rFonts w:cs="Times New Roman"/>
                <w:sz w:val="20"/>
                <w:szCs w:val="20"/>
              </w:rPr>
            </w:pPr>
          </w:p>
        </w:tc>
      </w:tr>
      <w:tr w:rsidR="00CA2439" w:rsidRPr="00BD2AF7" w:rsidTr="008B5DBF">
        <w:trPr>
          <w:cantSplit/>
        </w:trPr>
        <w:tc>
          <w:tcPr>
            <w:tcW w:w="1458" w:type="dxa"/>
          </w:tcPr>
          <w:p w:rsidR="00CA2439" w:rsidRPr="00BD2AF7" w:rsidRDefault="00CA2439" w:rsidP="008B5DBF">
            <w:pPr>
              <w:rPr>
                <w:rFonts w:cs="Times New Roman"/>
                <w:sz w:val="20"/>
                <w:szCs w:val="20"/>
              </w:rPr>
            </w:pPr>
            <w:r w:rsidRPr="00BD2AF7">
              <w:rPr>
                <w:rFonts w:cs="Times New Roman"/>
                <w:sz w:val="20"/>
                <w:szCs w:val="20"/>
              </w:rPr>
              <w:t>Coram :</w:t>
            </w:r>
          </w:p>
        </w:tc>
        <w:tc>
          <w:tcPr>
            <w:tcW w:w="8118" w:type="dxa"/>
          </w:tcPr>
          <w:p w:rsidR="00CA2439" w:rsidRPr="00BD2AF7" w:rsidRDefault="00CA2439" w:rsidP="008B5DBF">
            <w:pPr>
              <w:rPr>
                <w:rFonts w:cs="Times New Roman"/>
                <w:sz w:val="20"/>
                <w:szCs w:val="20"/>
              </w:rPr>
            </w:pPr>
            <w:r w:rsidRPr="00CA2439">
              <w:rPr>
                <w:rStyle w:val="SCCCoramChar"/>
                <w:rFonts w:cs="Times New Roman"/>
                <w:sz w:val="20"/>
                <w:szCs w:val="20"/>
                <w:lang w:val="en-CA"/>
              </w:rPr>
              <w:t>Deschamps, Fish and Karakatsanis JJ.</w:t>
            </w:r>
          </w:p>
          <w:p w:rsidR="00CA2439" w:rsidRPr="00BD2AF7" w:rsidRDefault="00CA2439" w:rsidP="008B5DBF">
            <w:pPr>
              <w:rPr>
                <w:rFonts w:cs="Times New Roman"/>
                <w:sz w:val="20"/>
                <w:szCs w:val="20"/>
                <w:u w:val="single"/>
              </w:rPr>
            </w:pPr>
          </w:p>
        </w:tc>
      </w:tr>
      <w:tr w:rsidR="00CA2439" w:rsidRPr="00147672" w:rsidTr="008B5DBF">
        <w:trPr>
          <w:cantSplit/>
        </w:trPr>
        <w:tc>
          <w:tcPr>
            <w:tcW w:w="9576" w:type="dxa"/>
            <w:gridSpan w:val="2"/>
          </w:tcPr>
          <w:p w:rsidR="00CA2439" w:rsidRPr="00BD2AF7" w:rsidRDefault="00CA2439" w:rsidP="008B5DBF">
            <w:pPr>
              <w:pStyle w:val="SCCShortJudgment"/>
              <w:rPr>
                <w:rFonts w:cs="Times New Roman"/>
                <w:szCs w:val="20"/>
              </w:rPr>
            </w:pPr>
            <w:r w:rsidRPr="00BD2AF7">
              <w:rPr>
                <w:rFonts w:cs="Times New Roman"/>
                <w:szCs w:val="20"/>
              </w:rPr>
              <w:lastRenderedPageBreak/>
              <w:t>The motion for an extension of time to serve and file the application for leave to appeal is granted. The motion for indigent status is dismissed. The application for leave to appeal from the judgment of the Court of Appeal for British Columbia (Vancouver), Number CA038923, 2011 BCCA 469, dated November 16, 2011, is dismissed without costs.</w:t>
            </w:r>
          </w:p>
          <w:p w:rsidR="00CA2439" w:rsidRPr="00BD2AF7" w:rsidRDefault="00CA2439" w:rsidP="008B5DBF">
            <w:pPr>
              <w:pStyle w:val="SCCShortJudgment"/>
              <w:ind w:firstLine="0"/>
              <w:rPr>
                <w:rFonts w:cs="Times New Roman"/>
                <w:szCs w:val="20"/>
              </w:rPr>
            </w:pPr>
          </w:p>
          <w:p w:rsidR="00CA2439" w:rsidRPr="00BD2AF7" w:rsidRDefault="00CA2439" w:rsidP="008B5DBF">
            <w:pPr>
              <w:pStyle w:val="SCCShortJudgment"/>
              <w:rPr>
                <w:rFonts w:cs="Times New Roman"/>
                <w:szCs w:val="20"/>
                <w:lang w:val="fr-CA"/>
              </w:rPr>
            </w:pPr>
            <w:r w:rsidRPr="00BD2AF7">
              <w:rPr>
                <w:rFonts w:cs="Times New Roman"/>
                <w:szCs w:val="20"/>
                <w:lang w:val="fr-CA"/>
              </w:rPr>
              <w:t>La requête en prorogation du délai de signification et de dépôt de la demande d’autorisation d’appel est accueillie. La requête en vue de se faire reconnaître le statut d’indigent est rejetée. La demande d’autorisation d’appel de l’arrêt de la Cour d’appel de la Colombie-Britannique (Vancouver), numéro CA038923, 2011 BCCA 469, daté du 16 novembre 2011, est rejetée sans dépens.</w:t>
            </w:r>
          </w:p>
        </w:tc>
      </w:tr>
    </w:tbl>
    <w:p w:rsidR="00F96FE7" w:rsidRPr="00CA2439"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4D29" w:rsidRPr="003E4A8C" w:rsidTr="009A57C7">
        <w:tc>
          <w:tcPr>
            <w:tcW w:w="5000" w:type="pct"/>
            <w:gridSpan w:val="3"/>
          </w:tcPr>
          <w:p w:rsidR="00C24D29" w:rsidRPr="003E4A8C" w:rsidRDefault="00C24D29" w:rsidP="009A57C7">
            <w:pPr>
              <w:jc w:val="both"/>
              <w:rPr>
                <w:rFonts w:eastAsia="Calibri"/>
                <w:sz w:val="20"/>
              </w:rPr>
            </w:pPr>
            <w:r w:rsidRPr="003E4A8C">
              <w:rPr>
                <w:rFonts w:eastAsia="Calibri"/>
                <w:sz w:val="20"/>
              </w:rPr>
              <w:t>Civil procedure – Appeals – Leave to appeal – Variation – Whether lower courts were biased and denied Applicant a fair hearing – Whether there has been a miscarriage of justice</w:t>
            </w:r>
          </w:p>
        </w:tc>
      </w:tr>
      <w:tr w:rsidR="00C24D29" w:rsidRPr="003E4A8C" w:rsidTr="009A57C7">
        <w:tc>
          <w:tcPr>
            <w:tcW w:w="5000" w:type="pct"/>
            <w:gridSpan w:val="3"/>
          </w:tcPr>
          <w:p w:rsidR="00C24D29" w:rsidRPr="003E4A8C" w:rsidRDefault="00C24D29" w:rsidP="009A57C7">
            <w:pPr>
              <w:jc w:val="both"/>
              <w:rPr>
                <w:rFonts w:eastAsia="Calibri"/>
                <w:sz w:val="20"/>
              </w:rPr>
            </w:pPr>
          </w:p>
        </w:tc>
      </w:tr>
      <w:tr w:rsidR="00C24D29" w:rsidRPr="003E4A8C" w:rsidTr="009A57C7">
        <w:tc>
          <w:tcPr>
            <w:tcW w:w="5000" w:type="pct"/>
            <w:gridSpan w:val="3"/>
          </w:tcPr>
          <w:p w:rsidR="00C24D29" w:rsidRPr="003E4A8C" w:rsidRDefault="00C24D29" w:rsidP="009A57C7">
            <w:pPr>
              <w:jc w:val="both"/>
              <w:rPr>
                <w:rFonts w:eastAsia="Calibri"/>
                <w:sz w:val="20"/>
              </w:rPr>
            </w:pPr>
            <w:r w:rsidRPr="003E4A8C">
              <w:rPr>
                <w:rFonts w:eastAsia="Calibri"/>
                <w:sz w:val="20"/>
              </w:rPr>
              <w:t>Mr. Keremelevski brought an action for damages against the Respondents with respect to a transaction involving the sale of land.  The Respondent, Ms. Michelle, was Mr. Keremelevski’s realtor.  Mr. Keremelevski had intended to purchase land with the Respondent, Mr. Vujicic.  Mr. Keremelevski’s sued Ms. Michelle for negligently or fraudulently failing to include him on title.  Ms. Michelle did not file an appearance in the action and Mr. Keremelevski applied for default judgment against her.</w:t>
            </w:r>
          </w:p>
          <w:p w:rsidR="00C24D29" w:rsidRPr="003E4A8C" w:rsidRDefault="00C24D29" w:rsidP="009A57C7">
            <w:pPr>
              <w:jc w:val="both"/>
              <w:rPr>
                <w:rFonts w:eastAsia="Calibri"/>
                <w:sz w:val="20"/>
              </w:rPr>
            </w:pPr>
          </w:p>
        </w:tc>
      </w:tr>
      <w:tr w:rsidR="00C24D29" w:rsidRPr="003E4A8C" w:rsidTr="009A57C7">
        <w:tc>
          <w:tcPr>
            <w:tcW w:w="2427" w:type="pct"/>
          </w:tcPr>
          <w:p w:rsidR="00C24D29" w:rsidRPr="003E4A8C" w:rsidRDefault="00C24D29" w:rsidP="009A57C7">
            <w:pPr>
              <w:jc w:val="both"/>
              <w:rPr>
                <w:rFonts w:eastAsia="Calibri"/>
                <w:sz w:val="20"/>
              </w:rPr>
            </w:pPr>
            <w:r w:rsidRPr="003E4A8C">
              <w:rPr>
                <w:rFonts w:eastAsia="Calibri"/>
                <w:sz w:val="20"/>
              </w:rPr>
              <w:t>March 9, 2011</w:t>
            </w:r>
          </w:p>
          <w:p w:rsidR="00C24D29" w:rsidRPr="003E4A8C" w:rsidRDefault="00C24D29" w:rsidP="009A57C7">
            <w:pPr>
              <w:jc w:val="both"/>
              <w:rPr>
                <w:rFonts w:eastAsia="Calibri"/>
                <w:sz w:val="20"/>
              </w:rPr>
            </w:pPr>
            <w:r w:rsidRPr="003E4A8C">
              <w:rPr>
                <w:rFonts w:eastAsia="Calibri"/>
                <w:sz w:val="20"/>
              </w:rPr>
              <w:t>Supreme Court of British Columbia</w:t>
            </w:r>
          </w:p>
          <w:p w:rsidR="00C24D29" w:rsidRPr="003E4A8C" w:rsidRDefault="00C24D29" w:rsidP="009A57C7">
            <w:pPr>
              <w:jc w:val="both"/>
              <w:rPr>
                <w:rFonts w:eastAsia="Calibri"/>
                <w:sz w:val="20"/>
              </w:rPr>
            </w:pPr>
            <w:r w:rsidRPr="003E4A8C">
              <w:rPr>
                <w:rFonts w:eastAsia="Calibri"/>
                <w:sz w:val="20"/>
              </w:rPr>
              <w:t>(Sigurdson J.)</w:t>
            </w:r>
          </w:p>
          <w:p w:rsidR="00C24D29" w:rsidRPr="003E4A8C" w:rsidRDefault="00C24D29" w:rsidP="009A57C7">
            <w:pPr>
              <w:jc w:val="both"/>
              <w:rPr>
                <w:rFonts w:eastAsia="Calibri"/>
                <w:sz w:val="20"/>
              </w:rPr>
            </w:pPr>
            <w:r w:rsidRPr="003E4A8C">
              <w:rPr>
                <w:rFonts w:eastAsia="Calibri"/>
                <w:sz w:val="20"/>
              </w:rPr>
              <w:t xml:space="preserve">2011 BCSC 463 </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Applicant’s application for summary judgment against one of the Respondents dismissed</w:t>
            </w:r>
          </w:p>
          <w:p w:rsidR="00C24D29" w:rsidRPr="003E4A8C" w:rsidRDefault="00C24D29" w:rsidP="009A57C7">
            <w:pPr>
              <w:jc w:val="both"/>
              <w:rPr>
                <w:rFonts w:eastAsia="Calibri"/>
                <w:sz w:val="20"/>
              </w:rPr>
            </w:pPr>
          </w:p>
          <w:p w:rsidR="00C24D29" w:rsidRPr="003E4A8C" w:rsidRDefault="00C24D29" w:rsidP="009A57C7">
            <w:pPr>
              <w:jc w:val="both"/>
              <w:rPr>
                <w:rFonts w:eastAsia="Calibri"/>
                <w:sz w:val="20"/>
              </w:rPr>
            </w:pPr>
          </w:p>
        </w:tc>
      </w:tr>
      <w:tr w:rsidR="00C24D29" w:rsidRPr="003E4A8C" w:rsidTr="009A57C7">
        <w:tc>
          <w:tcPr>
            <w:tcW w:w="2427" w:type="pct"/>
          </w:tcPr>
          <w:p w:rsidR="00C24D29" w:rsidRPr="003E4A8C" w:rsidRDefault="00C24D29" w:rsidP="009A57C7">
            <w:pPr>
              <w:jc w:val="both"/>
              <w:rPr>
                <w:rFonts w:eastAsia="Calibri"/>
                <w:sz w:val="20"/>
              </w:rPr>
            </w:pPr>
            <w:r w:rsidRPr="003E4A8C">
              <w:rPr>
                <w:rFonts w:eastAsia="Calibri"/>
                <w:sz w:val="20"/>
              </w:rPr>
              <w:t>May 4, 2011</w:t>
            </w:r>
          </w:p>
          <w:p w:rsidR="00C24D29" w:rsidRPr="003E4A8C" w:rsidRDefault="00C24D29" w:rsidP="009A57C7">
            <w:pPr>
              <w:jc w:val="both"/>
              <w:rPr>
                <w:rFonts w:eastAsia="Calibri"/>
                <w:sz w:val="20"/>
              </w:rPr>
            </w:pPr>
            <w:r w:rsidRPr="003E4A8C">
              <w:rPr>
                <w:rFonts w:eastAsia="Calibri"/>
                <w:sz w:val="20"/>
              </w:rPr>
              <w:t>Court of Appeal for British Columbia (Vancouver)</w:t>
            </w:r>
          </w:p>
          <w:p w:rsidR="00C24D29" w:rsidRPr="003E4A8C" w:rsidRDefault="00C24D29" w:rsidP="009A57C7">
            <w:pPr>
              <w:jc w:val="both"/>
              <w:rPr>
                <w:rFonts w:eastAsia="Calibri"/>
                <w:sz w:val="20"/>
              </w:rPr>
            </w:pPr>
            <w:r w:rsidRPr="003E4A8C">
              <w:rPr>
                <w:rFonts w:eastAsia="Calibri"/>
                <w:sz w:val="20"/>
              </w:rPr>
              <w:t>(Groberman J.A.)</w:t>
            </w:r>
          </w:p>
          <w:p w:rsidR="00C24D29" w:rsidRPr="003E4A8C" w:rsidRDefault="00C24D29" w:rsidP="009A57C7">
            <w:pPr>
              <w:jc w:val="both"/>
              <w:rPr>
                <w:rFonts w:eastAsia="Calibri"/>
                <w:sz w:val="20"/>
              </w:rPr>
            </w:pPr>
            <w:r w:rsidRPr="003E4A8C">
              <w:rPr>
                <w:rFonts w:eastAsia="Calibri"/>
                <w:sz w:val="20"/>
              </w:rPr>
              <w:t>Unreported</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Applicant’s application for indigent status, for direction from the court and leave to appeal dismissed</w:t>
            </w:r>
          </w:p>
          <w:p w:rsidR="00C24D29" w:rsidRPr="003E4A8C" w:rsidRDefault="00C24D29" w:rsidP="009A57C7">
            <w:pPr>
              <w:jc w:val="both"/>
              <w:rPr>
                <w:rFonts w:eastAsia="Calibri"/>
                <w:sz w:val="20"/>
              </w:rPr>
            </w:pPr>
          </w:p>
          <w:p w:rsidR="00C24D29" w:rsidRPr="003E4A8C" w:rsidRDefault="00C24D29" w:rsidP="009A57C7">
            <w:pPr>
              <w:jc w:val="both"/>
              <w:rPr>
                <w:rFonts w:eastAsia="Calibri"/>
                <w:sz w:val="20"/>
              </w:rPr>
            </w:pPr>
          </w:p>
        </w:tc>
      </w:tr>
      <w:tr w:rsidR="00C24D29" w:rsidRPr="003E4A8C" w:rsidTr="009A57C7">
        <w:tc>
          <w:tcPr>
            <w:tcW w:w="2427" w:type="pct"/>
          </w:tcPr>
          <w:p w:rsidR="00C24D29" w:rsidRPr="003E4A8C" w:rsidRDefault="00C24D29" w:rsidP="009A57C7">
            <w:pPr>
              <w:jc w:val="both"/>
              <w:rPr>
                <w:rFonts w:eastAsia="Calibri"/>
                <w:sz w:val="20"/>
              </w:rPr>
            </w:pPr>
            <w:r w:rsidRPr="003E4A8C">
              <w:rPr>
                <w:rFonts w:eastAsia="Calibri"/>
                <w:sz w:val="20"/>
              </w:rPr>
              <w:t>November 16, 2011</w:t>
            </w:r>
          </w:p>
          <w:p w:rsidR="00C24D29" w:rsidRPr="003E4A8C" w:rsidRDefault="00C24D29" w:rsidP="009A57C7">
            <w:pPr>
              <w:jc w:val="both"/>
              <w:rPr>
                <w:rFonts w:eastAsia="Calibri"/>
                <w:sz w:val="20"/>
              </w:rPr>
            </w:pPr>
            <w:r w:rsidRPr="003E4A8C">
              <w:rPr>
                <w:rFonts w:eastAsia="Calibri"/>
                <w:sz w:val="20"/>
              </w:rPr>
              <w:t>Court of Appeal for British Columbia (Vancouver)</w:t>
            </w:r>
          </w:p>
          <w:p w:rsidR="00C24D29" w:rsidRPr="003E4A8C" w:rsidRDefault="00C24D29" w:rsidP="009A57C7">
            <w:pPr>
              <w:jc w:val="both"/>
              <w:rPr>
                <w:rFonts w:eastAsia="Calibri"/>
                <w:sz w:val="20"/>
              </w:rPr>
            </w:pPr>
            <w:r w:rsidRPr="003E4A8C">
              <w:rPr>
                <w:rFonts w:eastAsia="Calibri"/>
                <w:sz w:val="20"/>
              </w:rPr>
              <w:t>(Frankel, Hinkson and Low JJ.A.)</w:t>
            </w:r>
          </w:p>
          <w:p w:rsidR="00C24D29" w:rsidRPr="003E4A8C" w:rsidRDefault="00C24D29" w:rsidP="009A57C7">
            <w:pPr>
              <w:jc w:val="both"/>
              <w:rPr>
                <w:rFonts w:eastAsia="Calibri"/>
                <w:sz w:val="20"/>
              </w:rPr>
            </w:pPr>
            <w:r w:rsidRPr="003E4A8C">
              <w:rPr>
                <w:rFonts w:eastAsia="Calibri"/>
                <w:sz w:val="20"/>
              </w:rPr>
              <w:t>2011 BCCA 469</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p>
          <w:p w:rsidR="00C24D29" w:rsidRPr="003E4A8C" w:rsidRDefault="00C24D29" w:rsidP="009A57C7">
            <w:pPr>
              <w:jc w:val="both"/>
              <w:rPr>
                <w:rFonts w:eastAsia="Calibri"/>
                <w:sz w:val="20"/>
              </w:rPr>
            </w:pPr>
            <w:r w:rsidRPr="003E4A8C">
              <w:rPr>
                <w:rFonts w:eastAsia="Calibri"/>
                <w:sz w:val="20"/>
              </w:rPr>
              <w:t>Applicant’s application to vary order of Groberman J.A. dismissed</w:t>
            </w:r>
          </w:p>
          <w:p w:rsidR="00C24D29" w:rsidRPr="003E4A8C" w:rsidRDefault="00C24D29" w:rsidP="009A57C7">
            <w:pPr>
              <w:jc w:val="both"/>
              <w:rPr>
                <w:rFonts w:eastAsia="Calibri"/>
                <w:sz w:val="20"/>
              </w:rPr>
            </w:pPr>
          </w:p>
        </w:tc>
      </w:tr>
      <w:tr w:rsidR="00C24D29" w:rsidRPr="003E4A8C" w:rsidTr="009A57C7">
        <w:tc>
          <w:tcPr>
            <w:tcW w:w="2427" w:type="pct"/>
          </w:tcPr>
          <w:p w:rsidR="00C24D29" w:rsidRPr="003E4A8C" w:rsidRDefault="00C24D29" w:rsidP="009A57C7">
            <w:pPr>
              <w:jc w:val="both"/>
              <w:rPr>
                <w:rFonts w:eastAsia="Calibri"/>
                <w:sz w:val="20"/>
              </w:rPr>
            </w:pPr>
            <w:r w:rsidRPr="003E4A8C">
              <w:rPr>
                <w:rFonts w:eastAsia="Calibri"/>
                <w:sz w:val="20"/>
              </w:rPr>
              <w:t>February 27, 2012</w:t>
            </w:r>
          </w:p>
          <w:p w:rsidR="00C24D29" w:rsidRPr="003E4A8C" w:rsidRDefault="00C24D29" w:rsidP="009A57C7">
            <w:pPr>
              <w:jc w:val="both"/>
              <w:rPr>
                <w:rFonts w:eastAsia="Calibri"/>
                <w:sz w:val="20"/>
              </w:rPr>
            </w:pPr>
            <w:r w:rsidRPr="003E4A8C">
              <w:rPr>
                <w:rFonts w:eastAsia="Calibri"/>
                <w:sz w:val="20"/>
              </w:rPr>
              <w:t>Supreme Court of Canada</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Application for leave to appeal and motion for extension of time in which to serve and file the application for leave to appeal filed</w:t>
            </w:r>
          </w:p>
        </w:tc>
      </w:tr>
    </w:tbl>
    <w:p w:rsidR="00F96FE7" w:rsidRDefault="00F96FE7" w:rsidP="00F96FE7">
      <w:pPr>
        <w:rPr>
          <w:sz w:val="20"/>
          <w:szCs w:val="20"/>
        </w:rPr>
      </w:pPr>
    </w:p>
    <w:p w:rsidR="00F96FE7" w:rsidRPr="00C50A5C" w:rsidRDefault="00D70052" w:rsidP="00F96FE7">
      <w:pPr>
        <w:rPr>
          <w:sz w:val="20"/>
          <w:szCs w:val="20"/>
        </w:rPr>
      </w:pPr>
      <w:r w:rsidRPr="00D70052">
        <w:rPr>
          <w:sz w:val="20"/>
          <w:szCs w:val="20"/>
          <w:lang w:val="fr-CA"/>
        </w:rPr>
        <w:pict>
          <v:rect id="_x0000_i1086"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4D29" w:rsidRPr="00147672" w:rsidTr="009A57C7">
        <w:tc>
          <w:tcPr>
            <w:tcW w:w="5000" w:type="pct"/>
            <w:gridSpan w:val="3"/>
          </w:tcPr>
          <w:p w:rsidR="00C24D29" w:rsidRPr="003E4A8C" w:rsidRDefault="00C24D29" w:rsidP="009A57C7">
            <w:pPr>
              <w:jc w:val="both"/>
              <w:rPr>
                <w:rFonts w:eastAsia="Calibri"/>
                <w:sz w:val="20"/>
                <w:lang w:val="fr-FR"/>
              </w:rPr>
            </w:pPr>
            <w:r w:rsidRPr="003E4A8C">
              <w:rPr>
                <w:rFonts w:eastAsia="Calibri"/>
                <w:sz w:val="20"/>
                <w:lang w:val="fr-FR"/>
              </w:rPr>
              <w:t xml:space="preserve">Procédure civile – Appels – Autorisation d’appel – Modification – Les juridictions inférieures étaient-elles partiales et ont-elles privé le demandeur d’un procès équitable? – Y a-t-il eu déni de justice? </w:t>
            </w:r>
          </w:p>
        </w:tc>
      </w:tr>
      <w:tr w:rsidR="00C24D29" w:rsidRPr="00147672" w:rsidTr="009A57C7">
        <w:tc>
          <w:tcPr>
            <w:tcW w:w="5000" w:type="pct"/>
            <w:gridSpan w:val="3"/>
          </w:tcPr>
          <w:p w:rsidR="00C24D29" w:rsidRPr="003E4A8C" w:rsidRDefault="00C24D29" w:rsidP="009A57C7">
            <w:pPr>
              <w:jc w:val="both"/>
              <w:rPr>
                <w:rFonts w:eastAsia="Calibri"/>
                <w:sz w:val="20"/>
                <w:lang w:val="fr-FR"/>
              </w:rPr>
            </w:pPr>
          </w:p>
        </w:tc>
      </w:tr>
      <w:tr w:rsidR="00C24D29" w:rsidRPr="00147672" w:rsidTr="009A57C7">
        <w:tc>
          <w:tcPr>
            <w:tcW w:w="5000" w:type="pct"/>
            <w:gridSpan w:val="3"/>
          </w:tcPr>
          <w:p w:rsidR="00C24D29" w:rsidRPr="003E4A8C" w:rsidRDefault="00C24D29" w:rsidP="009A57C7">
            <w:pPr>
              <w:jc w:val="both"/>
              <w:rPr>
                <w:rFonts w:eastAsia="Calibri"/>
                <w:sz w:val="20"/>
                <w:lang w:val="fr-FR"/>
              </w:rPr>
            </w:pPr>
            <w:r w:rsidRPr="003E4A8C">
              <w:rPr>
                <w:rFonts w:eastAsia="Calibri"/>
                <w:sz w:val="20"/>
                <w:lang w:val="fr-FR"/>
              </w:rPr>
              <w:t>M. Keremelevski a intenté une action en dommages-intérêts contre les intimés relativement à la vente d’un terrain. L’intimée M</w:t>
            </w:r>
            <w:r w:rsidRPr="003E4A8C">
              <w:rPr>
                <w:rFonts w:eastAsia="Calibri"/>
                <w:sz w:val="20"/>
                <w:vertAlign w:val="superscript"/>
                <w:lang w:val="fr-FR"/>
              </w:rPr>
              <w:t>me</w:t>
            </w:r>
            <w:r w:rsidRPr="003E4A8C">
              <w:rPr>
                <w:rFonts w:eastAsia="Calibri"/>
                <w:sz w:val="20"/>
                <w:lang w:val="fr-FR"/>
              </w:rPr>
              <w:t xml:space="preserve"> Michelle était l’agente immobilière de M. Keremelevski, qui comptait acheter un terrain auprès de l’intimé M. Vujicic. M. Keremelevski a poursuivi M</w:t>
            </w:r>
            <w:r w:rsidRPr="003E4A8C">
              <w:rPr>
                <w:rFonts w:eastAsia="Calibri"/>
                <w:sz w:val="20"/>
                <w:vertAlign w:val="superscript"/>
                <w:lang w:val="fr-FR"/>
              </w:rPr>
              <w:t>me</w:t>
            </w:r>
            <w:r w:rsidRPr="003E4A8C">
              <w:rPr>
                <w:rFonts w:eastAsia="Calibri"/>
                <w:sz w:val="20"/>
                <w:lang w:val="fr-FR"/>
              </w:rPr>
              <w:t xml:space="preserve"> Michelle pour avoir omis, de manière négligente ou </w:t>
            </w:r>
            <w:r w:rsidRPr="003E4A8C">
              <w:rPr>
                <w:rFonts w:eastAsia="Calibri"/>
                <w:sz w:val="20"/>
                <w:lang w:val="fr-FR"/>
              </w:rPr>
              <w:lastRenderedPageBreak/>
              <w:t>frauduleuse, d’inscrire son nom sur le titre. M</w:t>
            </w:r>
            <w:r w:rsidRPr="003E4A8C">
              <w:rPr>
                <w:rFonts w:eastAsia="Calibri"/>
                <w:sz w:val="20"/>
                <w:vertAlign w:val="superscript"/>
                <w:lang w:val="fr-FR"/>
              </w:rPr>
              <w:t>me</w:t>
            </w:r>
            <w:r w:rsidRPr="003E4A8C">
              <w:rPr>
                <w:rFonts w:eastAsia="Calibri"/>
                <w:sz w:val="20"/>
                <w:lang w:val="fr-FR"/>
              </w:rPr>
              <w:t xml:space="preserve"> Michelle n’a pas comparu dans l’instance et M. Keremelevski a demandé un jugement par défaut contre elle.</w:t>
            </w:r>
          </w:p>
          <w:p w:rsidR="00C24D29" w:rsidRPr="003E4A8C" w:rsidRDefault="00C24D29" w:rsidP="009A57C7">
            <w:pPr>
              <w:jc w:val="both"/>
              <w:rPr>
                <w:rFonts w:eastAsia="Calibri"/>
                <w:sz w:val="20"/>
                <w:lang w:val="fr-FR"/>
              </w:rPr>
            </w:pPr>
          </w:p>
        </w:tc>
      </w:tr>
      <w:tr w:rsidR="00C24D29" w:rsidRPr="00147672"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lastRenderedPageBreak/>
              <w:t>9 mars 2011</w:t>
            </w:r>
          </w:p>
          <w:p w:rsidR="00C24D29" w:rsidRPr="003E4A8C" w:rsidRDefault="00C24D29" w:rsidP="009A57C7">
            <w:pPr>
              <w:jc w:val="both"/>
              <w:rPr>
                <w:rFonts w:eastAsia="Calibri"/>
                <w:sz w:val="20"/>
                <w:lang w:val="fr-CA"/>
              </w:rPr>
            </w:pPr>
            <w:r w:rsidRPr="003E4A8C">
              <w:rPr>
                <w:rFonts w:eastAsia="Calibri"/>
                <w:sz w:val="20"/>
                <w:lang w:val="fr-CA"/>
              </w:rPr>
              <w:t>Cour suprême de la Colombie-Britannique</w:t>
            </w:r>
          </w:p>
          <w:p w:rsidR="00C24D29" w:rsidRPr="003E4A8C" w:rsidRDefault="00C24D29" w:rsidP="009A57C7">
            <w:pPr>
              <w:jc w:val="both"/>
              <w:rPr>
                <w:rFonts w:eastAsia="Calibri"/>
                <w:sz w:val="20"/>
              </w:rPr>
            </w:pPr>
            <w:r w:rsidRPr="003E4A8C">
              <w:rPr>
                <w:rFonts w:eastAsia="Calibri"/>
                <w:sz w:val="20"/>
              </w:rPr>
              <w:t>(Juge Sigurdson)</w:t>
            </w:r>
          </w:p>
          <w:p w:rsidR="00C24D29" w:rsidRPr="003E4A8C" w:rsidRDefault="00C24D29" w:rsidP="009A57C7">
            <w:pPr>
              <w:jc w:val="both"/>
              <w:rPr>
                <w:rFonts w:eastAsia="Calibri"/>
                <w:sz w:val="20"/>
              </w:rPr>
            </w:pPr>
            <w:r w:rsidRPr="003E4A8C">
              <w:rPr>
                <w:rFonts w:eastAsia="Calibri"/>
                <w:sz w:val="20"/>
              </w:rPr>
              <w:t xml:space="preserve">2011 BCSC 463 </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lang w:val="fr-FR"/>
              </w:rPr>
            </w:pPr>
            <w:r w:rsidRPr="003E4A8C">
              <w:rPr>
                <w:rFonts w:eastAsia="Calibri"/>
                <w:sz w:val="20"/>
                <w:lang w:val="fr-CA"/>
              </w:rPr>
              <w:t>Demande du demandeur visant à obtenir u</w:t>
            </w:r>
            <w:r w:rsidRPr="003E4A8C">
              <w:rPr>
                <w:rFonts w:eastAsia="Calibri"/>
                <w:sz w:val="20"/>
                <w:lang w:val="fr-FR"/>
              </w:rPr>
              <w:t xml:space="preserve">n jugement sommaire contre l’une des intimés rejetée </w:t>
            </w:r>
          </w:p>
          <w:p w:rsidR="00C24D29" w:rsidRPr="003E4A8C" w:rsidRDefault="00C24D29" w:rsidP="009A57C7">
            <w:pPr>
              <w:jc w:val="both"/>
              <w:rPr>
                <w:rFonts w:eastAsia="Calibri"/>
                <w:sz w:val="20"/>
                <w:lang w:val="fr-FR"/>
              </w:rPr>
            </w:pPr>
          </w:p>
          <w:p w:rsidR="00C24D29" w:rsidRPr="003E4A8C" w:rsidRDefault="00C24D29" w:rsidP="009A57C7">
            <w:pPr>
              <w:jc w:val="both"/>
              <w:rPr>
                <w:rFonts w:eastAsia="Calibri"/>
                <w:sz w:val="20"/>
                <w:lang w:val="fr-FR"/>
              </w:rPr>
            </w:pPr>
          </w:p>
        </w:tc>
      </w:tr>
      <w:tr w:rsidR="00C24D29" w:rsidRPr="00147672" w:rsidTr="009A57C7">
        <w:tc>
          <w:tcPr>
            <w:tcW w:w="2427" w:type="pct"/>
          </w:tcPr>
          <w:p w:rsidR="00C24D29" w:rsidRPr="003E4A8C" w:rsidRDefault="00C24D29" w:rsidP="009A57C7">
            <w:pPr>
              <w:jc w:val="both"/>
              <w:rPr>
                <w:rFonts w:eastAsia="Calibri"/>
                <w:sz w:val="20"/>
                <w:lang w:val="fr-FR"/>
              </w:rPr>
            </w:pPr>
            <w:r w:rsidRPr="003E4A8C">
              <w:rPr>
                <w:rFonts w:eastAsia="Calibri"/>
                <w:sz w:val="20"/>
                <w:lang w:val="fr-FR"/>
              </w:rPr>
              <w:t>4 mai 2011</w:t>
            </w:r>
          </w:p>
          <w:p w:rsidR="00C24D29" w:rsidRPr="003E4A8C" w:rsidRDefault="00C24D29" w:rsidP="009A57C7">
            <w:pPr>
              <w:jc w:val="both"/>
              <w:rPr>
                <w:rFonts w:eastAsia="Calibri"/>
                <w:sz w:val="20"/>
                <w:lang w:val="fr-FR"/>
              </w:rPr>
            </w:pPr>
            <w:r w:rsidRPr="003E4A8C">
              <w:rPr>
                <w:rFonts w:eastAsia="Calibri"/>
                <w:sz w:val="20"/>
                <w:lang w:val="fr-FR"/>
              </w:rPr>
              <w:t>Cour d’appel de la Colombie-Britannique  (Vancouver)</w:t>
            </w:r>
          </w:p>
          <w:p w:rsidR="00C24D29" w:rsidRPr="003E4A8C" w:rsidRDefault="00C24D29" w:rsidP="009A57C7">
            <w:pPr>
              <w:jc w:val="both"/>
              <w:rPr>
                <w:rFonts w:eastAsia="Calibri"/>
                <w:sz w:val="20"/>
                <w:lang w:val="fr-FR"/>
              </w:rPr>
            </w:pPr>
            <w:r w:rsidRPr="003E4A8C">
              <w:rPr>
                <w:rFonts w:eastAsia="Calibri"/>
                <w:sz w:val="20"/>
                <w:lang w:val="fr-FR"/>
              </w:rPr>
              <w:t>(Juge Groberman)</w:t>
            </w:r>
          </w:p>
          <w:p w:rsidR="00C24D29" w:rsidRPr="003E4A8C" w:rsidRDefault="00C24D29" w:rsidP="009A57C7">
            <w:pPr>
              <w:jc w:val="both"/>
              <w:rPr>
                <w:rFonts w:eastAsia="Calibri"/>
                <w:sz w:val="20"/>
                <w:lang w:val="fr-FR"/>
              </w:rPr>
            </w:pPr>
            <w:r w:rsidRPr="003E4A8C">
              <w:rPr>
                <w:rFonts w:eastAsia="Calibri"/>
                <w:sz w:val="20"/>
                <w:lang w:val="fr-FR"/>
              </w:rPr>
              <w:t>Non publié</w:t>
            </w:r>
          </w:p>
          <w:p w:rsidR="00C24D29" w:rsidRPr="003E4A8C" w:rsidRDefault="00C24D29" w:rsidP="009A57C7">
            <w:pPr>
              <w:jc w:val="both"/>
              <w:rPr>
                <w:rFonts w:eastAsia="Calibri"/>
                <w:sz w:val="20"/>
                <w:lang w:val="fr-FR"/>
              </w:rPr>
            </w:pPr>
          </w:p>
        </w:tc>
        <w:tc>
          <w:tcPr>
            <w:tcW w:w="243" w:type="pct"/>
          </w:tcPr>
          <w:p w:rsidR="00C24D29" w:rsidRPr="003E4A8C" w:rsidRDefault="00C24D29" w:rsidP="009A57C7">
            <w:pPr>
              <w:jc w:val="both"/>
              <w:rPr>
                <w:rFonts w:eastAsia="Calibri"/>
                <w:sz w:val="20"/>
                <w:lang w:val="fr-FR"/>
              </w:rPr>
            </w:pPr>
          </w:p>
        </w:tc>
        <w:tc>
          <w:tcPr>
            <w:tcW w:w="2330" w:type="pct"/>
          </w:tcPr>
          <w:p w:rsidR="00C24D29" w:rsidRPr="003E4A8C" w:rsidRDefault="00C24D29" w:rsidP="009A57C7">
            <w:pPr>
              <w:jc w:val="both"/>
              <w:rPr>
                <w:rFonts w:eastAsia="Calibri"/>
                <w:sz w:val="20"/>
                <w:lang w:val="fr-FR"/>
              </w:rPr>
            </w:pPr>
            <w:r w:rsidRPr="003E4A8C">
              <w:rPr>
                <w:rFonts w:eastAsia="Calibri"/>
                <w:sz w:val="20"/>
                <w:lang w:val="fr-FR"/>
              </w:rPr>
              <w:t xml:space="preserve">Demande du demandeur visant à être déclaré plaideur impécunieux et à obtenir des directives de la cour et l’autorisation de se pourvoir en appel rejetée </w:t>
            </w:r>
          </w:p>
          <w:p w:rsidR="00C24D29" w:rsidRPr="003E4A8C" w:rsidRDefault="00C24D29" w:rsidP="009A57C7">
            <w:pPr>
              <w:jc w:val="both"/>
              <w:rPr>
                <w:rFonts w:eastAsia="Calibri"/>
                <w:sz w:val="20"/>
                <w:lang w:val="fr-FR"/>
              </w:rPr>
            </w:pPr>
          </w:p>
        </w:tc>
      </w:tr>
      <w:tr w:rsidR="00C24D29" w:rsidRPr="00147672"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t>16 novembre 2011</w:t>
            </w:r>
          </w:p>
          <w:p w:rsidR="00C24D29" w:rsidRPr="003E4A8C" w:rsidRDefault="00C24D29" w:rsidP="009A57C7">
            <w:pPr>
              <w:jc w:val="both"/>
              <w:rPr>
                <w:rFonts w:eastAsia="Calibri"/>
                <w:sz w:val="20"/>
                <w:lang w:val="fr-FR"/>
              </w:rPr>
            </w:pPr>
            <w:r w:rsidRPr="003E4A8C">
              <w:rPr>
                <w:rFonts w:eastAsia="Calibri"/>
                <w:sz w:val="20"/>
                <w:lang w:val="fr-FR"/>
              </w:rPr>
              <w:t>Cour d’appel de la Colombie-Britannique  (Vancouver)</w:t>
            </w:r>
          </w:p>
          <w:p w:rsidR="00C24D29" w:rsidRPr="003E4A8C" w:rsidRDefault="00C24D29" w:rsidP="009A57C7">
            <w:pPr>
              <w:jc w:val="both"/>
              <w:rPr>
                <w:rFonts w:eastAsia="Calibri"/>
                <w:sz w:val="20"/>
              </w:rPr>
            </w:pPr>
            <w:r w:rsidRPr="003E4A8C">
              <w:rPr>
                <w:rFonts w:eastAsia="Calibri"/>
                <w:sz w:val="20"/>
              </w:rPr>
              <w:t>(Juges Frankel, Hinkson et Low)</w:t>
            </w:r>
          </w:p>
          <w:p w:rsidR="00C24D29" w:rsidRPr="003E4A8C" w:rsidRDefault="00C24D29" w:rsidP="009A57C7">
            <w:pPr>
              <w:jc w:val="both"/>
              <w:rPr>
                <w:rFonts w:eastAsia="Calibri"/>
                <w:sz w:val="20"/>
              </w:rPr>
            </w:pPr>
            <w:r w:rsidRPr="003E4A8C">
              <w:rPr>
                <w:rFonts w:eastAsia="Calibri"/>
                <w:sz w:val="20"/>
              </w:rPr>
              <w:t>2011 BCCA 469</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lang w:val="fr-FR"/>
              </w:rPr>
            </w:pPr>
            <w:r w:rsidRPr="003E4A8C">
              <w:rPr>
                <w:rFonts w:eastAsia="Calibri"/>
                <w:sz w:val="20"/>
                <w:lang w:val="fr-FR"/>
              </w:rPr>
              <w:t>Demande du demandeur en vue de faire modifier l’ordonnance du juge Groberman rejetée</w:t>
            </w:r>
          </w:p>
          <w:p w:rsidR="00C24D29" w:rsidRPr="003E4A8C" w:rsidRDefault="00C24D29" w:rsidP="009A57C7">
            <w:pPr>
              <w:jc w:val="both"/>
              <w:rPr>
                <w:rFonts w:eastAsia="Calibri"/>
                <w:sz w:val="20"/>
                <w:lang w:val="fr-FR"/>
              </w:rPr>
            </w:pPr>
          </w:p>
        </w:tc>
      </w:tr>
      <w:tr w:rsidR="00C24D29" w:rsidRPr="00D61692" w:rsidTr="009A57C7">
        <w:tc>
          <w:tcPr>
            <w:tcW w:w="2427" w:type="pct"/>
          </w:tcPr>
          <w:p w:rsidR="00C24D29" w:rsidRPr="003E4A8C" w:rsidRDefault="00C24D29" w:rsidP="009A57C7">
            <w:pPr>
              <w:jc w:val="both"/>
              <w:rPr>
                <w:rFonts w:eastAsia="Calibri"/>
                <w:sz w:val="20"/>
              </w:rPr>
            </w:pPr>
            <w:r w:rsidRPr="003E4A8C">
              <w:rPr>
                <w:rFonts w:eastAsia="Calibri"/>
                <w:sz w:val="20"/>
              </w:rPr>
              <w:t>27 février 2012</w:t>
            </w:r>
          </w:p>
          <w:p w:rsidR="00C24D29" w:rsidRPr="003E4A8C" w:rsidRDefault="00C24D29" w:rsidP="009A57C7">
            <w:pPr>
              <w:jc w:val="both"/>
              <w:rPr>
                <w:rFonts w:eastAsia="Calibri"/>
                <w:sz w:val="20"/>
              </w:rPr>
            </w:pPr>
            <w:r w:rsidRPr="003E4A8C">
              <w:rPr>
                <w:rFonts w:eastAsia="Calibri"/>
                <w:sz w:val="20"/>
              </w:rPr>
              <w:t>Cour suprême du Canada</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lang w:val="fr-FR"/>
              </w:rPr>
            </w:pPr>
            <w:r w:rsidRPr="003E4A8C">
              <w:rPr>
                <w:rFonts w:eastAsia="Calibri"/>
                <w:sz w:val="20"/>
                <w:lang w:val="fr-FR"/>
              </w:rPr>
              <w:t xml:space="preserve">Demande d’autorisation d’appel et requête en prorogation du délai pour signifier et déposer la demande d’autorisation </w:t>
            </w:r>
            <w:proofErr w:type="gramStart"/>
            <w:r w:rsidRPr="003E4A8C">
              <w:rPr>
                <w:rFonts w:eastAsia="Calibri"/>
                <w:sz w:val="20"/>
                <w:lang w:val="fr-FR"/>
              </w:rPr>
              <w:t>d’appel déposées</w:t>
            </w:r>
            <w:proofErr w:type="gramEnd"/>
            <w:r w:rsidRPr="003E4A8C">
              <w:rPr>
                <w:rFonts w:eastAsia="Calibri"/>
                <w:sz w:val="20"/>
                <w:lang w:val="fr-FR"/>
              </w:rPr>
              <w:t xml:space="preserve"> </w:t>
            </w:r>
          </w:p>
        </w:tc>
      </w:tr>
    </w:tbl>
    <w:p w:rsidR="00F96FE7" w:rsidRPr="00C24D29" w:rsidRDefault="00F96FE7" w:rsidP="00F96FE7">
      <w:pPr>
        <w:rPr>
          <w:sz w:val="20"/>
          <w:szCs w:val="20"/>
          <w:lang w:val="fr-CA"/>
        </w:rPr>
      </w:pPr>
    </w:p>
    <w:p w:rsidR="00F96FE7" w:rsidRDefault="00D70052" w:rsidP="00F96FE7">
      <w:pPr>
        <w:rPr>
          <w:sz w:val="20"/>
          <w:szCs w:val="20"/>
          <w:lang w:val="fr-CA"/>
        </w:rPr>
      </w:pPr>
      <w:r w:rsidRPr="00D70052">
        <w:rPr>
          <w:sz w:val="20"/>
          <w:szCs w:val="20"/>
          <w:lang w:val="fr-CA"/>
        </w:rPr>
        <w:pict>
          <v:rect id="_x0000_i1087" style="width:2in;height:1pt" o:hrpct="0" o:hralign="center" o:hrstd="t" o:hrnoshade="t" o:hr="t" fillcolor="black [3213]" stroked="f"/>
        </w:pict>
      </w:r>
    </w:p>
    <w:p w:rsidR="00F96FE7" w:rsidRDefault="00F96FE7" w:rsidP="00F96FE7">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2B7C72" w:rsidRPr="001225D4" w:rsidRDefault="002B7C72" w:rsidP="002B7C72">
      <w:pPr>
        <w:tabs>
          <w:tab w:val="left" w:pos="-1440"/>
          <w:tab w:val="left" w:pos="-720"/>
        </w:tabs>
        <w:jc w:val="both"/>
        <w:rPr>
          <w:sz w:val="20"/>
          <w:szCs w:val="20"/>
        </w:rPr>
      </w:pPr>
      <w:r w:rsidRPr="001225D4">
        <w:rPr>
          <w:sz w:val="20"/>
          <w:szCs w:val="20"/>
        </w:rPr>
        <w:t>14.06.2012</w:t>
      </w:r>
    </w:p>
    <w:p w:rsidR="002B7C72" w:rsidRPr="001225D4" w:rsidRDefault="002B7C72" w:rsidP="002B7C72">
      <w:pPr>
        <w:tabs>
          <w:tab w:val="left" w:pos="-1440"/>
          <w:tab w:val="left" w:pos="-720"/>
        </w:tabs>
        <w:jc w:val="both"/>
        <w:rPr>
          <w:sz w:val="20"/>
          <w:szCs w:val="20"/>
        </w:rPr>
      </w:pPr>
    </w:p>
    <w:p w:rsidR="002B7C72" w:rsidRPr="001225D4" w:rsidRDefault="002B7C72" w:rsidP="002B7C72">
      <w:pPr>
        <w:tabs>
          <w:tab w:val="left" w:pos="-1440"/>
          <w:tab w:val="left" w:pos="-720"/>
        </w:tabs>
        <w:jc w:val="both"/>
        <w:rPr>
          <w:sz w:val="20"/>
          <w:szCs w:val="20"/>
        </w:rPr>
      </w:pPr>
      <w:r w:rsidRPr="001225D4">
        <w:rPr>
          <w:sz w:val="20"/>
          <w:szCs w:val="20"/>
        </w:rPr>
        <w:t xml:space="preserve">Before / </w:t>
      </w:r>
      <w:proofErr w:type="gramStart"/>
      <w:r w:rsidRPr="001225D4">
        <w:rPr>
          <w:sz w:val="20"/>
          <w:szCs w:val="20"/>
        </w:rPr>
        <w:t>Devant :</w:t>
      </w:r>
      <w:proofErr w:type="gramEnd"/>
      <w:r w:rsidRPr="001225D4">
        <w:rPr>
          <w:sz w:val="20"/>
          <w:szCs w:val="20"/>
        </w:rPr>
        <w:t xml:space="preserve">   THE COURT / LA COUR</w:t>
      </w:r>
    </w:p>
    <w:p w:rsidR="002B7C72" w:rsidRPr="001225D4" w:rsidRDefault="002B7C72" w:rsidP="002B7C72">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7C72" w:rsidRPr="00147672" w:rsidTr="007A3220">
        <w:tc>
          <w:tcPr>
            <w:tcW w:w="4338" w:type="dxa"/>
          </w:tcPr>
          <w:p w:rsidR="002B7C72" w:rsidRPr="001225D4" w:rsidRDefault="00D70052" w:rsidP="007A3220">
            <w:pPr>
              <w:jc w:val="both"/>
              <w:rPr>
                <w:b/>
                <w:bCs/>
                <w:sz w:val="20"/>
                <w:szCs w:val="20"/>
              </w:rPr>
            </w:pPr>
            <w:r w:rsidRPr="001225D4">
              <w:rPr>
                <w:sz w:val="20"/>
                <w:szCs w:val="20"/>
              </w:rPr>
              <w:fldChar w:fldCharType="begin"/>
            </w:r>
            <w:r w:rsidR="002B7C72" w:rsidRPr="001225D4">
              <w:rPr>
                <w:sz w:val="20"/>
                <w:szCs w:val="20"/>
              </w:rPr>
              <w:instrText xml:space="preserve"> SEQ CHAPTER \h \r 1</w:instrText>
            </w:r>
            <w:r w:rsidRPr="001225D4">
              <w:rPr>
                <w:sz w:val="20"/>
                <w:szCs w:val="20"/>
              </w:rPr>
              <w:fldChar w:fldCharType="end"/>
            </w:r>
            <w:r w:rsidR="002B7C72" w:rsidRPr="001225D4">
              <w:rPr>
                <w:b/>
                <w:bCs/>
                <w:sz w:val="20"/>
                <w:szCs w:val="20"/>
              </w:rPr>
              <w:t>Motion for directions</w:t>
            </w:r>
          </w:p>
          <w:p w:rsidR="002B7C72" w:rsidRPr="001225D4" w:rsidRDefault="00D70052" w:rsidP="007A3220">
            <w:pPr>
              <w:jc w:val="both"/>
              <w:rPr>
                <w:b/>
                <w:sz w:val="20"/>
                <w:szCs w:val="20"/>
              </w:rPr>
            </w:pPr>
            <w:r w:rsidRPr="001225D4">
              <w:rPr>
                <w:b/>
                <w:sz w:val="20"/>
                <w:szCs w:val="20"/>
              </w:rPr>
              <w:fldChar w:fldCharType="begin"/>
            </w:r>
            <w:r w:rsidR="002B7C72" w:rsidRPr="001225D4">
              <w:rPr>
                <w:b/>
                <w:sz w:val="20"/>
                <w:szCs w:val="20"/>
              </w:rPr>
              <w:instrText xml:space="preserve"> SEQ CHAPTER \h \r 1</w:instrText>
            </w:r>
            <w:r w:rsidRPr="001225D4">
              <w:rPr>
                <w:b/>
                <w:sz w:val="20"/>
                <w:szCs w:val="20"/>
              </w:rPr>
              <w:fldChar w:fldCharType="end"/>
            </w:r>
          </w:p>
        </w:tc>
        <w:tc>
          <w:tcPr>
            <w:tcW w:w="1170" w:type="dxa"/>
          </w:tcPr>
          <w:p w:rsidR="002B7C72" w:rsidRPr="001225D4" w:rsidRDefault="002B7C72" w:rsidP="007A3220">
            <w:pPr>
              <w:rPr>
                <w:sz w:val="20"/>
                <w:szCs w:val="20"/>
              </w:rPr>
            </w:pPr>
          </w:p>
          <w:p w:rsidR="002B7C72" w:rsidRPr="001225D4" w:rsidRDefault="002B7C72" w:rsidP="007A3220">
            <w:pPr>
              <w:rPr>
                <w:sz w:val="20"/>
                <w:szCs w:val="20"/>
              </w:rPr>
            </w:pPr>
          </w:p>
        </w:tc>
        <w:tc>
          <w:tcPr>
            <w:tcW w:w="4327" w:type="dxa"/>
          </w:tcPr>
          <w:p w:rsidR="002B7C72" w:rsidRPr="001225D4" w:rsidRDefault="00D70052" w:rsidP="007A3220">
            <w:pPr>
              <w:rPr>
                <w:b/>
                <w:bCs/>
                <w:sz w:val="20"/>
                <w:szCs w:val="20"/>
                <w:lang w:val="fr-CA"/>
              </w:rPr>
            </w:pPr>
            <w:r w:rsidRPr="001225D4">
              <w:rPr>
                <w:sz w:val="20"/>
                <w:szCs w:val="20"/>
              </w:rPr>
              <w:fldChar w:fldCharType="begin"/>
            </w:r>
            <w:r w:rsidR="002B7C72" w:rsidRPr="001225D4">
              <w:rPr>
                <w:sz w:val="20"/>
                <w:szCs w:val="20"/>
                <w:lang w:val="fr-CA"/>
              </w:rPr>
              <w:instrText xml:space="preserve"> SEQ CHAPTER \h \r 1</w:instrText>
            </w:r>
            <w:r w:rsidRPr="001225D4">
              <w:rPr>
                <w:sz w:val="20"/>
                <w:szCs w:val="20"/>
              </w:rPr>
              <w:fldChar w:fldCharType="end"/>
            </w:r>
            <w:r w:rsidR="002B7C72" w:rsidRPr="001225D4">
              <w:rPr>
                <w:b/>
                <w:bCs/>
                <w:sz w:val="20"/>
                <w:szCs w:val="20"/>
                <w:lang w:val="fr-CA"/>
              </w:rPr>
              <w:t>Requête en vue d’obtenir des instructions</w:t>
            </w:r>
          </w:p>
          <w:p w:rsidR="002B7C72" w:rsidRPr="001225D4" w:rsidRDefault="00D70052" w:rsidP="007A3220">
            <w:pPr>
              <w:jc w:val="both"/>
              <w:rPr>
                <w:b/>
                <w:sz w:val="20"/>
                <w:szCs w:val="20"/>
                <w:lang w:val="fr-CA"/>
              </w:rPr>
            </w:pPr>
            <w:r w:rsidRPr="001225D4">
              <w:rPr>
                <w:b/>
                <w:sz w:val="20"/>
                <w:szCs w:val="20"/>
              </w:rPr>
              <w:fldChar w:fldCharType="begin"/>
            </w:r>
            <w:r w:rsidR="002B7C72" w:rsidRPr="001225D4">
              <w:rPr>
                <w:b/>
                <w:sz w:val="20"/>
                <w:szCs w:val="20"/>
                <w:lang w:val="fr-CA"/>
              </w:rPr>
              <w:instrText xml:space="preserve"> SEQ CHAPTER \h \r 1</w:instrText>
            </w:r>
            <w:r w:rsidRPr="001225D4">
              <w:rPr>
                <w:b/>
                <w:sz w:val="20"/>
                <w:szCs w:val="20"/>
              </w:rPr>
              <w:fldChar w:fldCharType="end"/>
            </w:r>
          </w:p>
        </w:tc>
      </w:tr>
      <w:tr w:rsidR="002B7C72" w:rsidRPr="00147672" w:rsidTr="007A3220">
        <w:trPr>
          <w:trHeight w:val="1008"/>
        </w:trPr>
        <w:tc>
          <w:tcPr>
            <w:tcW w:w="4338" w:type="dxa"/>
          </w:tcPr>
          <w:p w:rsidR="002B7C72" w:rsidRPr="001225D4" w:rsidRDefault="002B7C72" w:rsidP="007A3220">
            <w:pPr>
              <w:rPr>
                <w:sz w:val="20"/>
                <w:szCs w:val="20"/>
                <w:lang w:val="fr-CA"/>
              </w:rPr>
            </w:pPr>
            <w:r w:rsidRPr="001225D4">
              <w:rPr>
                <w:sz w:val="20"/>
                <w:szCs w:val="20"/>
                <w:lang w:val="fr-CA"/>
              </w:rPr>
              <w:t xml:space="preserve">Ted Opitz et al. </w:t>
            </w:r>
          </w:p>
          <w:p w:rsidR="002B7C72" w:rsidRPr="001225D4" w:rsidRDefault="002B7C72" w:rsidP="007A3220">
            <w:pPr>
              <w:rPr>
                <w:sz w:val="20"/>
                <w:szCs w:val="20"/>
                <w:lang w:val="fr-CA"/>
              </w:rPr>
            </w:pPr>
          </w:p>
          <w:p w:rsidR="002B7C72" w:rsidRPr="001225D4" w:rsidRDefault="002B7C72" w:rsidP="007A3220">
            <w:pPr>
              <w:rPr>
                <w:sz w:val="20"/>
                <w:szCs w:val="20"/>
                <w:lang w:val="fr-CA"/>
              </w:rPr>
            </w:pPr>
            <w:r w:rsidRPr="001225D4">
              <w:rPr>
                <w:sz w:val="20"/>
                <w:szCs w:val="20"/>
                <w:lang w:val="fr-CA"/>
              </w:rPr>
              <w:tab/>
              <w:t>v. (34845)</w:t>
            </w:r>
          </w:p>
          <w:p w:rsidR="002B7C72" w:rsidRPr="001225D4" w:rsidRDefault="002B7C72" w:rsidP="007A3220">
            <w:pPr>
              <w:rPr>
                <w:sz w:val="20"/>
                <w:szCs w:val="20"/>
                <w:lang w:val="fr-CA"/>
              </w:rPr>
            </w:pPr>
          </w:p>
          <w:p w:rsidR="002B7C72" w:rsidRPr="001225D4" w:rsidRDefault="002B7C72" w:rsidP="007A3220">
            <w:pPr>
              <w:jc w:val="both"/>
              <w:rPr>
                <w:sz w:val="20"/>
                <w:szCs w:val="20"/>
                <w:lang w:val="fr-CA"/>
              </w:rPr>
            </w:pPr>
            <w:r w:rsidRPr="001225D4">
              <w:rPr>
                <w:sz w:val="20"/>
                <w:szCs w:val="20"/>
                <w:lang w:val="fr-CA"/>
              </w:rPr>
              <w:t>Boris Wrzesnewskyj et al. (Ont.)</w:t>
            </w:r>
          </w:p>
        </w:tc>
        <w:tc>
          <w:tcPr>
            <w:tcW w:w="1170" w:type="dxa"/>
          </w:tcPr>
          <w:p w:rsidR="002B7C72" w:rsidRPr="001225D4" w:rsidRDefault="002B7C72" w:rsidP="007A3220">
            <w:pPr>
              <w:rPr>
                <w:sz w:val="20"/>
                <w:szCs w:val="20"/>
                <w:lang w:val="fr-CA"/>
              </w:rPr>
            </w:pPr>
          </w:p>
        </w:tc>
        <w:tc>
          <w:tcPr>
            <w:tcW w:w="4327" w:type="dxa"/>
          </w:tcPr>
          <w:p w:rsidR="002B7C72" w:rsidRPr="001225D4" w:rsidRDefault="002B7C72" w:rsidP="007A3220">
            <w:pPr>
              <w:rPr>
                <w:sz w:val="20"/>
                <w:szCs w:val="20"/>
                <w:lang w:val="fr-CA"/>
              </w:rPr>
            </w:pPr>
          </w:p>
        </w:tc>
      </w:tr>
    </w:tbl>
    <w:p w:rsidR="002B7C72" w:rsidRPr="001225D4" w:rsidRDefault="002B7C72" w:rsidP="002B7C72">
      <w:pPr>
        <w:spacing w:line="225" w:lineRule="auto"/>
        <w:jc w:val="both"/>
        <w:rPr>
          <w:sz w:val="20"/>
          <w:szCs w:val="20"/>
          <w:lang w:val="fr-CA"/>
        </w:rPr>
      </w:pPr>
    </w:p>
    <w:p w:rsidR="002B7C72" w:rsidRPr="001225D4" w:rsidRDefault="00D70052" w:rsidP="002B7C72">
      <w:pPr>
        <w:spacing w:line="225" w:lineRule="auto"/>
        <w:jc w:val="both"/>
        <w:rPr>
          <w:b/>
          <w:bCs/>
          <w:sz w:val="20"/>
          <w:szCs w:val="20"/>
          <w:lang w:val="fr-CA"/>
        </w:rPr>
      </w:pPr>
      <w:r w:rsidRPr="001225D4">
        <w:rPr>
          <w:sz w:val="20"/>
          <w:szCs w:val="20"/>
        </w:rPr>
        <w:fldChar w:fldCharType="begin"/>
      </w:r>
      <w:r w:rsidR="002B7C72" w:rsidRPr="001225D4">
        <w:rPr>
          <w:sz w:val="20"/>
          <w:szCs w:val="20"/>
          <w:lang w:val="fr-FR"/>
        </w:rPr>
        <w:instrText xml:space="preserve"> SEQ CHAPTER \h \r 1</w:instrText>
      </w:r>
      <w:r w:rsidRPr="001225D4">
        <w:rPr>
          <w:sz w:val="20"/>
          <w:szCs w:val="20"/>
        </w:rPr>
        <w:fldChar w:fldCharType="end"/>
      </w:r>
      <w:r w:rsidR="002B7C72" w:rsidRPr="001225D4">
        <w:rPr>
          <w:b/>
          <w:bCs/>
          <w:sz w:val="20"/>
          <w:szCs w:val="20"/>
          <w:lang w:val="fr-CA"/>
        </w:rPr>
        <w:t>GRANTED IN PART / ACCORDÉE EN PARTIE</w:t>
      </w:r>
    </w:p>
    <w:p w:rsidR="002B7C72" w:rsidRPr="001225D4" w:rsidRDefault="002B7C72" w:rsidP="002B7C72">
      <w:pPr>
        <w:spacing w:line="225" w:lineRule="auto"/>
        <w:jc w:val="both"/>
        <w:rPr>
          <w:b/>
          <w:bCs/>
          <w:sz w:val="20"/>
          <w:szCs w:val="20"/>
          <w:lang w:val="fr-CA"/>
        </w:rPr>
      </w:pPr>
    </w:p>
    <w:p w:rsidR="002B7C72" w:rsidRPr="001225D4" w:rsidRDefault="002B7C72" w:rsidP="002B7C72">
      <w:pPr>
        <w:jc w:val="both"/>
        <w:rPr>
          <w:sz w:val="20"/>
          <w:szCs w:val="20"/>
        </w:rPr>
      </w:pPr>
      <w:r w:rsidRPr="001225D4">
        <w:rPr>
          <w:b/>
          <w:sz w:val="20"/>
          <w:szCs w:val="20"/>
        </w:rPr>
        <w:t xml:space="preserve">UPON MOTIONS </w:t>
      </w:r>
      <w:r w:rsidRPr="001225D4">
        <w:rPr>
          <w:sz w:val="20"/>
          <w:szCs w:val="20"/>
        </w:rPr>
        <w:t>by the Appellants Opitz and Wrzesnewskyj for directions regarding the hearing date and deadlines for filing records and factums;</w:t>
      </w:r>
    </w:p>
    <w:p w:rsidR="002B7C72" w:rsidRPr="001225D4" w:rsidRDefault="002B7C72" w:rsidP="002B7C72">
      <w:pPr>
        <w:jc w:val="both"/>
        <w:rPr>
          <w:sz w:val="20"/>
          <w:szCs w:val="20"/>
        </w:rPr>
      </w:pPr>
    </w:p>
    <w:p w:rsidR="002B7C72" w:rsidRPr="001225D4" w:rsidRDefault="002B7C72" w:rsidP="002B7C72">
      <w:pPr>
        <w:jc w:val="both"/>
        <w:rPr>
          <w:sz w:val="20"/>
          <w:szCs w:val="20"/>
        </w:rPr>
      </w:pPr>
      <w:r w:rsidRPr="001225D4">
        <w:rPr>
          <w:b/>
          <w:sz w:val="20"/>
          <w:szCs w:val="20"/>
        </w:rPr>
        <w:t xml:space="preserve">AND THE MATERIAL FILED </w:t>
      </w:r>
      <w:r w:rsidRPr="001225D4">
        <w:rPr>
          <w:sz w:val="20"/>
          <w:szCs w:val="20"/>
        </w:rPr>
        <w:t>by each of the parties having been read;</w:t>
      </w:r>
    </w:p>
    <w:p w:rsidR="002B7C72" w:rsidRPr="001225D4" w:rsidRDefault="002B7C72" w:rsidP="002B7C72">
      <w:pPr>
        <w:jc w:val="both"/>
        <w:rPr>
          <w:sz w:val="20"/>
          <w:szCs w:val="20"/>
        </w:rPr>
      </w:pPr>
    </w:p>
    <w:p w:rsidR="002B7C72" w:rsidRPr="001225D4" w:rsidRDefault="002B7C72" w:rsidP="002B7C72">
      <w:pPr>
        <w:jc w:val="both"/>
        <w:rPr>
          <w:b/>
          <w:caps/>
          <w:sz w:val="20"/>
          <w:szCs w:val="20"/>
        </w:rPr>
      </w:pPr>
      <w:r w:rsidRPr="001225D4">
        <w:rPr>
          <w:b/>
          <w:caps/>
          <w:sz w:val="20"/>
          <w:szCs w:val="20"/>
        </w:rPr>
        <w:t>IT IS HEREBY ORDERED THAT:</w:t>
      </w:r>
    </w:p>
    <w:p w:rsidR="002B7C72" w:rsidRPr="001225D4" w:rsidRDefault="002B7C72" w:rsidP="002B7C72">
      <w:pPr>
        <w:jc w:val="both"/>
        <w:rPr>
          <w:sz w:val="20"/>
          <w:szCs w:val="20"/>
        </w:rPr>
      </w:pPr>
    </w:p>
    <w:p w:rsidR="002B7C72" w:rsidRPr="001225D4" w:rsidRDefault="002B7C72" w:rsidP="002B7C72">
      <w:pPr>
        <w:pStyle w:val="ListParagraph"/>
        <w:numPr>
          <w:ilvl w:val="0"/>
          <w:numId w:val="4"/>
        </w:numPr>
        <w:jc w:val="both"/>
        <w:rPr>
          <w:sz w:val="20"/>
          <w:szCs w:val="20"/>
        </w:rPr>
      </w:pPr>
      <w:r w:rsidRPr="001225D4">
        <w:rPr>
          <w:sz w:val="20"/>
          <w:szCs w:val="20"/>
        </w:rPr>
        <w:t>The appeals will be heard on July 10, 2012.</w:t>
      </w:r>
    </w:p>
    <w:p w:rsidR="002B7C72" w:rsidRPr="001225D4" w:rsidRDefault="002B7C72" w:rsidP="002B7C72">
      <w:pPr>
        <w:pStyle w:val="ListParagraph"/>
        <w:ind w:left="1080"/>
        <w:jc w:val="both"/>
        <w:rPr>
          <w:sz w:val="20"/>
          <w:szCs w:val="20"/>
        </w:rPr>
      </w:pPr>
    </w:p>
    <w:p w:rsidR="002B7C72" w:rsidRPr="001225D4" w:rsidRDefault="002B7C72" w:rsidP="002B7C72">
      <w:pPr>
        <w:pStyle w:val="ListParagraph"/>
        <w:numPr>
          <w:ilvl w:val="0"/>
          <w:numId w:val="4"/>
        </w:numPr>
        <w:jc w:val="both"/>
        <w:rPr>
          <w:sz w:val="20"/>
          <w:szCs w:val="20"/>
        </w:rPr>
      </w:pPr>
      <w:r w:rsidRPr="001225D4">
        <w:rPr>
          <w:sz w:val="20"/>
          <w:szCs w:val="20"/>
        </w:rPr>
        <w:t>The Appellants are directed to file a single joint record that complies with the requirements of Rule 38 and contains only those documents that are necessary.  Any dispute over the contents of the joint record may be settled by motion to the Registrar.</w:t>
      </w:r>
    </w:p>
    <w:p w:rsidR="002B7C72" w:rsidRPr="001225D4" w:rsidRDefault="002B7C72" w:rsidP="002B7C72">
      <w:pPr>
        <w:pStyle w:val="ListParagraph"/>
        <w:ind w:left="1080"/>
        <w:jc w:val="both"/>
        <w:rPr>
          <w:sz w:val="20"/>
          <w:szCs w:val="20"/>
        </w:rPr>
      </w:pPr>
    </w:p>
    <w:p w:rsidR="002B7C72" w:rsidRPr="001225D4" w:rsidRDefault="002B7C72" w:rsidP="002B7C72">
      <w:pPr>
        <w:pStyle w:val="ListParagraph"/>
        <w:numPr>
          <w:ilvl w:val="0"/>
          <w:numId w:val="4"/>
        </w:numPr>
        <w:jc w:val="both"/>
        <w:rPr>
          <w:sz w:val="20"/>
          <w:szCs w:val="20"/>
        </w:rPr>
      </w:pPr>
      <w:r w:rsidRPr="001225D4">
        <w:rPr>
          <w:sz w:val="20"/>
          <w:szCs w:val="20"/>
        </w:rPr>
        <w:t>The schedule for serving and filing the material is set as follows:</w:t>
      </w:r>
    </w:p>
    <w:p w:rsidR="002B7C72" w:rsidRPr="001225D4" w:rsidRDefault="002B7C72" w:rsidP="002B7C72">
      <w:pPr>
        <w:jc w:val="both"/>
        <w:rPr>
          <w:sz w:val="20"/>
          <w:szCs w:val="20"/>
        </w:rPr>
      </w:pPr>
    </w:p>
    <w:p w:rsidR="002B7C72" w:rsidRPr="001225D4" w:rsidRDefault="002B7C72" w:rsidP="002B7C72">
      <w:pPr>
        <w:pStyle w:val="ListParagraph"/>
        <w:numPr>
          <w:ilvl w:val="0"/>
          <w:numId w:val="5"/>
        </w:numPr>
        <w:autoSpaceDE w:val="0"/>
        <w:autoSpaceDN w:val="0"/>
        <w:adjustRightInd w:val="0"/>
        <w:ind w:left="1440"/>
        <w:jc w:val="both"/>
        <w:rPr>
          <w:sz w:val="20"/>
          <w:szCs w:val="20"/>
        </w:rPr>
      </w:pPr>
      <w:r w:rsidRPr="001225D4">
        <w:rPr>
          <w:sz w:val="20"/>
          <w:szCs w:val="20"/>
        </w:rPr>
        <w:t xml:space="preserve">Appellants’ Joint Record to be served and filed no later than June 25, 2012. </w:t>
      </w:r>
    </w:p>
    <w:p w:rsidR="002B7C72" w:rsidRPr="001225D4" w:rsidRDefault="002B7C72" w:rsidP="002B7C72">
      <w:pPr>
        <w:pStyle w:val="ListParagraph"/>
        <w:autoSpaceDE w:val="0"/>
        <w:autoSpaceDN w:val="0"/>
        <w:adjustRightInd w:val="0"/>
        <w:ind w:left="0"/>
        <w:jc w:val="both"/>
        <w:rPr>
          <w:sz w:val="20"/>
          <w:szCs w:val="20"/>
        </w:rPr>
      </w:pPr>
    </w:p>
    <w:p w:rsidR="002B7C72" w:rsidRPr="001225D4" w:rsidRDefault="002B7C72" w:rsidP="002B7C72">
      <w:pPr>
        <w:pStyle w:val="ListParagraph"/>
        <w:numPr>
          <w:ilvl w:val="0"/>
          <w:numId w:val="5"/>
        </w:numPr>
        <w:autoSpaceDE w:val="0"/>
        <w:autoSpaceDN w:val="0"/>
        <w:adjustRightInd w:val="0"/>
        <w:ind w:left="1440"/>
        <w:jc w:val="both"/>
        <w:rPr>
          <w:sz w:val="20"/>
          <w:szCs w:val="20"/>
        </w:rPr>
      </w:pPr>
      <w:r w:rsidRPr="001225D4">
        <w:rPr>
          <w:sz w:val="20"/>
          <w:szCs w:val="20"/>
        </w:rPr>
        <w:t>Appellants’ Factums to be served and filed no later than June 25, 2012.</w:t>
      </w:r>
    </w:p>
    <w:p w:rsidR="002B7C72" w:rsidRPr="001225D4" w:rsidRDefault="002B7C72" w:rsidP="002B7C72">
      <w:pPr>
        <w:pStyle w:val="ListParagraph"/>
        <w:autoSpaceDE w:val="0"/>
        <w:autoSpaceDN w:val="0"/>
        <w:adjustRightInd w:val="0"/>
        <w:ind w:left="0"/>
        <w:jc w:val="both"/>
        <w:rPr>
          <w:sz w:val="20"/>
          <w:szCs w:val="20"/>
        </w:rPr>
      </w:pPr>
    </w:p>
    <w:p w:rsidR="002B7C72" w:rsidRPr="001225D4" w:rsidRDefault="002B7C72" w:rsidP="002B7C72">
      <w:pPr>
        <w:pStyle w:val="ListParagraph"/>
        <w:numPr>
          <w:ilvl w:val="0"/>
          <w:numId w:val="5"/>
        </w:numPr>
        <w:autoSpaceDE w:val="0"/>
        <w:autoSpaceDN w:val="0"/>
        <w:adjustRightInd w:val="0"/>
        <w:ind w:left="1440"/>
        <w:jc w:val="both"/>
        <w:rPr>
          <w:sz w:val="20"/>
          <w:szCs w:val="20"/>
        </w:rPr>
      </w:pPr>
      <w:r w:rsidRPr="001225D4">
        <w:rPr>
          <w:sz w:val="20"/>
          <w:szCs w:val="20"/>
        </w:rPr>
        <w:t>Notice of Motion for Leave to Intervene to be served and filed no later than June 27, 2012.</w:t>
      </w:r>
    </w:p>
    <w:p w:rsidR="002B7C72" w:rsidRPr="001225D4" w:rsidRDefault="002B7C72" w:rsidP="002B7C72">
      <w:pPr>
        <w:pStyle w:val="ListParagraph"/>
        <w:autoSpaceDE w:val="0"/>
        <w:autoSpaceDN w:val="0"/>
        <w:adjustRightInd w:val="0"/>
        <w:ind w:left="0"/>
        <w:jc w:val="both"/>
        <w:rPr>
          <w:sz w:val="20"/>
          <w:szCs w:val="20"/>
        </w:rPr>
      </w:pPr>
    </w:p>
    <w:p w:rsidR="002B7C72" w:rsidRPr="001225D4" w:rsidRDefault="002B7C72" w:rsidP="002B7C72">
      <w:pPr>
        <w:pStyle w:val="ListParagraph"/>
        <w:numPr>
          <w:ilvl w:val="0"/>
          <w:numId w:val="5"/>
        </w:numPr>
        <w:autoSpaceDE w:val="0"/>
        <w:autoSpaceDN w:val="0"/>
        <w:adjustRightInd w:val="0"/>
        <w:ind w:left="1440"/>
        <w:jc w:val="both"/>
        <w:rPr>
          <w:sz w:val="20"/>
          <w:szCs w:val="20"/>
        </w:rPr>
      </w:pPr>
      <w:r w:rsidRPr="001225D4">
        <w:rPr>
          <w:sz w:val="20"/>
          <w:szCs w:val="20"/>
        </w:rPr>
        <w:t>Respondents’ Factums to be served and filed no later than July 4, 2012.</w:t>
      </w:r>
    </w:p>
    <w:p w:rsidR="002B7C72" w:rsidRPr="001225D4" w:rsidRDefault="002B7C72" w:rsidP="002B7C72">
      <w:pPr>
        <w:tabs>
          <w:tab w:val="left" w:pos="720"/>
          <w:tab w:val="left" w:pos="851"/>
        </w:tabs>
        <w:jc w:val="both"/>
        <w:rPr>
          <w:sz w:val="20"/>
          <w:szCs w:val="20"/>
        </w:rPr>
      </w:pPr>
    </w:p>
    <w:p w:rsidR="002B7C72" w:rsidRPr="001225D4" w:rsidRDefault="002B7C72" w:rsidP="002B7C72">
      <w:pPr>
        <w:pStyle w:val="ListParagraph"/>
        <w:numPr>
          <w:ilvl w:val="0"/>
          <w:numId w:val="5"/>
        </w:numPr>
        <w:autoSpaceDE w:val="0"/>
        <w:autoSpaceDN w:val="0"/>
        <w:adjustRightInd w:val="0"/>
        <w:ind w:left="1440"/>
        <w:jc w:val="both"/>
        <w:rPr>
          <w:sz w:val="20"/>
          <w:szCs w:val="20"/>
        </w:rPr>
      </w:pPr>
      <w:r w:rsidRPr="001225D4">
        <w:rPr>
          <w:sz w:val="20"/>
          <w:szCs w:val="20"/>
        </w:rPr>
        <w:t>If Leave to Intervene is granted, Interverners’ Factums to be served and filed no later than July 4, 2012.</w:t>
      </w:r>
    </w:p>
    <w:p w:rsidR="002B7C72" w:rsidRPr="001225D4" w:rsidRDefault="002B7C72" w:rsidP="002B7C72">
      <w:pPr>
        <w:pStyle w:val="ListParagraph"/>
        <w:ind w:left="0"/>
        <w:jc w:val="both"/>
        <w:rPr>
          <w:sz w:val="20"/>
          <w:szCs w:val="20"/>
        </w:rPr>
      </w:pPr>
    </w:p>
    <w:p w:rsidR="002B7C72" w:rsidRPr="001225D4" w:rsidRDefault="002B7C72" w:rsidP="002B7C72">
      <w:pPr>
        <w:pStyle w:val="ListParagraph"/>
        <w:numPr>
          <w:ilvl w:val="0"/>
          <w:numId w:val="4"/>
        </w:numPr>
        <w:jc w:val="both"/>
        <w:rPr>
          <w:sz w:val="20"/>
          <w:szCs w:val="20"/>
        </w:rPr>
      </w:pPr>
      <w:r w:rsidRPr="001225D4">
        <w:rPr>
          <w:sz w:val="20"/>
          <w:szCs w:val="20"/>
        </w:rPr>
        <w:t>The motion compelling the Appellant, Ted Opitz, to serve and file an Amended Notice of Appeal or to set out his grounds of appeal of the decision of the Honourable Mr. Justice Lederer is dismissed.</w:t>
      </w:r>
    </w:p>
    <w:p w:rsidR="002B7C72" w:rsidRPr="001225D4" w:rsidRDefault="002B7C72" w:rsidP="002B7C72">
      <w:pPr>
        <w:jc w:val="both"/>
        <w:rPr>
          <w:sz w:val="20"/>
          <w:szCs w:val="20"/>
        </w:rPr>
      </w:pPr>
    </w:p>
    <w:p w:rsidR="002B7C72" w:rsidRPr="001225D4" w:rsidRDefault="002B7C72" w:rsidP="002B7C72">
      <w:pPr>
        <w:jc w:val="both"/>
        <w:rPr>
          <w:sz w:val="20"/>
          <w:szCs w:val="20"/>
        </w:rPr>
      </w:pPr>
    </w:p>
    <w:p w:rsidR="002B7C72" w:rsidRPr="001225D4" w:rsidRDefault="002B7C72" w:rsidP="002B7C72">
      <w:pPr>
        <w:jc w:val="both"/>
        <w:rPr>
          <w:sz w:val="20"/>
          <w:szCs w:val="20"/>
        </w:rPr>
      </w:pPr>
    </w:p>
    <w:p w:rsidR="002B7C72" w:rsidRPr="001225D4" w:rsidRDefault="002B7C72" w:rsidP="002B7C72">
      <w:pPr>
        <w:jc w:val="both"/>
        <w:rPr>
          <w:sz w:val="20"/>
          <w:szCs w:val="20"/>
          <w:lang w:val="fr-FR"/>
        </w:rPr>
      </w:pPr>
      <w:r w:rsidRPr="001225D4">
        <w:rPr>
          <w:b/>
          <w:sz w:val="20"/>
          <w:szCs w:val="20"/>
          <w:lang w:val="fr-FR"/>
        </w:rPr>
        <w:t xml:space="preserve">À LA SUITE DES REQUÊTES </w:t>
      </w:r>
      <w:r w:rsidRPr="001225D4">
        <w:rPr>
          <w:sz w:val="20"/>
          <w:szCs w:val="20"/>
          <w:lang w:val="fr-FR"/>
        </w:rPr>
        <w:t>présentées par les appelants Opitz et Wrzesnewskyj en vue d’obtenir des directives concernant la date d’audience et les échéances pour déposer les dossiers et les mémoires;</w:t>
      </w:r>
    </w:p>
    <w:p w:rsidR="002B7C72" w:rsidRPr="001225D4" w:rsidRDefault="002B7C72" w:rsidP="002B7C72">
      <w:pPr>
        <w:jc w:val="both"/>
        <w:rPr>
          <w:sz w:val="20"/>
          <w:szCs w:val="20"/>
          <w:lang w:val="fr-FR"/>
        </w:rPr>
      </w:pPr>
    </w:p>
    <w:p w:rsidR="002B7C72" w:rsidRPr="001225D4" w:rsidRDefault="002B7C72" w:rsidP="002B7C72">
      <w:pPr>
        <w:jc w:val="both"/>
        <w:rPr>
          <w:sz w:val="20"/>
          <w:szCs w:val="20"/>
          <w:lang w:val="fr-FR"/>
        </w:rPr>
      </w:pPr>
      <w:r w:rsidRPr="001225D4">
        <w:rPr>
          <w:b/>
          <w:sz w:val="20"/>
          <w:szCs w:val="20"/>
          <w:lang w:val="fr-FR"/>
        </w:rPr>
        <w:t xml:space="preserve">ET APRÈS EXAMEN </w:t>
      </w:r>
      <w:r w:rsidRPr="001225D4">
        <w:rPr>
          <w:sz w:val="20"/>
          <w:szCs w:val="20"/>
          <w:lang w:val="fr-FR"/>
        </w:rPr>
        <w:t>des documents déposés;</w:t>
      </w:r>
    </w:p>
    <w:p w:rsidR="002B7C72" w:rsidRPr="001225D4" w:rsidRDefault="002B7C72" w:rsidP="002B7C72">
      <w:pPr>
        <w:jc w:val="both"/>
        <w:rPr>
          <w:sz w:val="20"/>
          <w:szCs w:val="20"/>
          <w:lang w:val="fr-FR"/>
        </w:rPr>
      </w:pPr>
    </w:p>
    <w:p w:rsidR="002B7C72" w:rsidRPr="001225D4" w:rsidRDefault="002B7C72" w:rsidP="002B7C72">
      <w:pPr>
        <w:jc w:val="both"/>
        <w:rPr>
          <w:b/>
          <w:caps/>
          <w:sz w:val="20"/>
          <w:szCs w:val="20"/>
          <w:lang w:val="fr-FR"/>
        </w:rPr>
      </w:pPr>
      <w:r w:rsidRPr="001225D4">
        <w:rPr>
          <w:b/>
          <w:caps/>
          <w:sz w:val="20"/>
          <w:szCs w:val="20"/>
          <w:lang w:val="fr-FR"/>
        </w:rPr>
        <w:t>IL EST ORDONNÉ CE QUI SUIT :</w:t>
      </w:r>
    </w:p>
    <w:p w:rsidR="002B7C72" w:rsidRPr="001225D4" w:rsidRDefault="002B7C72" w:rsidP="002B7C72">
      <w:pPr>
        <w:jc w:val="both"/>
        <w:rPr>
          <w:sz w:val="20"/>
          <w:szCs w:val="20"/>
          <w:lang w:val="fr-FR"/>
        </w:rPr>
      </w:pPr>
    </w:p>
    <w:p w:rsidR="002B7C72" w:rsidRPr="001225D4" w:rsidRDefault="002B7C72" w:rsidP="002B7C72">
      <w:pPr>
        <w:pStyle w:val="ListParagraph"/>
        <w:numPr>
          <w:ilvl w:val="0"/>
          <w:numId w:val="6"/>
        </w:numPr>
        <w:ind w:left="1080"/>
        <w:jc w:val="both"/>
        <w:rPr>
          <w:sz w:val="20"/>
          <w:szCs w:val="20"/>
          <w:lang w:val="fr-FR"/>
        </w:rPr>
      </w:pPr>
      <w:r w:rsidRPr="001225D4">
        <w:rPr>
          <w:sz w:val="20"/>
          <w:szCs w:val="20"/>
          <w:lang w:val="fr-FR"/>
        </w:rPr>
        <w:t>Les appels seront entendus le 10 juillet 2012.</w:t>
      </w:r>
    </w:p>
    <w:p w:rsidR="002B7C72" w:rsidRPr="001225D4" w:rsidRDefault="002B7C72" w:rsidP="002B7C72">
      <w:pPr>
        <w:pStyle w:val="ListParagraph"/>
        <w:ind w:left="1080"/>
        <w:jc w:val="both"/>
        <w:rPr>
          <w:sz w:val="20"/>
          <w:szCs w:val="20"/>
          <w:lang w:val="fr-FR"/>
        </w:rPr>
      </w:pPr>
    </w:p>
    <w:p w:rsidR="002B7C72" w:rsidRPr="001225D4" w:rsidRDefault="002B7C72" w:rsidP="002B7C72">
      <w:pPr>
        <w:pStyle w:val="ListParagraph"/>
        <w:numPr>
          <w:ilvl w:val="0"/>
          <w:numId w:val="6"/>
        </w:numPr>
        <w:jc w:val="both"/>
        <w:rPr>
          <w:sz w:val="20"/>
          <w:szCs w:val="20"/>
          <w:lang w:val="fr-FR"/>
        </w:rPr>
      </w:pPr>
      <w:r w:rsidRPr="001225D4">
        <w:rPr>
          <w:sz w:val="20"/>
          <w:szCs w:val="20"/>
          <w:lang w:val="fr-FR"/>
        </w:rPr>
        <w:lastRenderedPageBreak/>
        <w:t>Les appelants déposeront un seul dossier conjoint conforme aux exigences de la règle 38 et ne contenant que les documents nécessaires.  Tout litige quant au contenu du dossier conjoint pourra être tranché par suite de la présentation d’une requête au registraire.</w:t>
      </w:r>
    </w:p>
    <w:p w:rsidR="002B7C72" w:rsidRPr="001225D4" w:rsidRDefault="002B7C72" w:rsidP="002B7C72">
      <w:pPr>
        <w:pStyle w:val="ListParagraph"/>
        <w:ind w:left="1080"/>
        <w:jc w:val="both"/>
        <w:rPr>
          <w:sz w:val="20"/>
          <w:szCs w:val="20"/>
          <w:lang w:val="fr-FR"/>
        </w:rPr>
      </w:pPr>
    </w:p>
    <w:p w:rsidR="002B7C72" w:rsidRPr="001225D4" w:rsidRDefault="002B7C72" w:rsidP="002B7C72">
      <w:pPr>
        <w:pStyle w:val="ListParagraph"/>
        <w:numPr>
          <w:ilvl w:val="0"/>
          <w:numId w:val="6"/>
        </w:numPr>
        <w:jc w:val="both"/>
        <w:rPr>
          <w:sz w:val="20"/>
          <w:szCs w:val="20"/>
          <w:lang w:val="fr-FR"/>
        </w:rPr>
      </w:pPr>
      <w:r w:rsidRPr="001225D4">
        <w:rPr>
          <w:sz w:val="20"/>
          <w:szCs w:val="20"/>
          <w:lang w:val="fr-FR"/>
        </w:rPr>
        <w:t xml:space="preserve">La signification et le dépôt des documents se feront selon le calendrier suivant : </w:t>
      </w:r>
    </w:p>
    <w:p w:rsidR="002B7C72" w:rsidRPr="001225D4" w:rsidRDefault="002B7C72" w:rsidP="002B7C72">
      <w:pPr>
        <w:jc w:val="both"/>
        <w:rPr>
          <w:sz w:val="20"/>
          <w:szCs w:val="20"/>
          <w:lang w:val="fr-FR"/>
        </w:rPr>
      </w:pPr>
    </w:p>
    <w:p w:rsidR="002B7C72" w:rsidRPr="001225D4" w:rsidRDefault="002B7C72" w:rsidP="002B7C72">
      <w:pPr>
        <w:pStyle w:val="ListParagraph"/>
        <w:numPr>
          <w:ilvl w:val="0"/>
          <w:numId w:val="7"/>
        </w:numPr>
        <w:autoSpaceDE w:val="0"/>
        <w:autoSpaceDN w:val="0"/>
        <w:adjustRightInd w:val="0"/>
        <w:jc w:val="both"/>
        <w:rPr>
          <w:sz w:val="20"/>
          <w:szCs w:val="20"/>
          <w:lang w:val="fr-FR"/>
        </w:rPr>
      </w:pPr>
      <w:r w:rsidRPr="001225D4">
        <w:rPr>
          <w:sz w:val="20"/>
          <w:szCs w:val="20"/>
          <w:lang w:val="fr-FR"/>
        </w:rPr>
        <w:t xml:space="preserve">Le dossier conjoint des appelants sera signifié et déposé au plus tard le 25 juin 2012. </w:t>
      </w:r>
    </w:p>
    <w:p w:rsidR="002B7C72" w:rsidRPr="001225D4" w:rsidRDefault="002B7C72" w:rsidP="002B7C72">
      <w:pPr>
        <w:pStyle w:val="ListParagraph"/>
        <w:autoSpaceDE w:val="0"/>
        <w:autoSpaceDN w:val="0"/>
        <w:adjustRightInd w:val="0"/>
        <w:ind w:left="0"/>
        <w:jc w:val="both"/>
        <w:rPr>
          <w:sz w:val="20"/>
          <w:szCs w:val="20"/>
          <w:lang w:val="fr-FR"/>
        </w:rPr>
      </w:pPr>
    </w:p>
    <w:p w:rsidR="002B7C72" w:rsidRPr="001225D4" w:rsidRDefault="002B7C72" w:rsidP="002B7C72">
      <w:pPr>
        <w:pStyle w:val="ListParagraph"/>
        <w:numPr>
          <w:ilvl w:val="0"/>
          <w:numId w:val="7"/>
        </w:numPr>
        <w:autoSpaceDE w:val="0"/>
        <w:autoSpaceDN w:val="0"/>
        <w:adjustRightInd w:val="0"/>
        <w:jc w:val="both"/>
        <w:rPr>
          <w:sz w:val="20"/>
          <w:szCs w:val="20"/>
          <w:lang w:val="fr-FR"/>
        </w:rPr>
      </w:pPr>
      <w:r w:rsidRPr="001225D4">
        <w:rPr>
          <w:sz w:val="20"/>
          <w:szCs w:val="20"/>
          <w:lang w:val="fr-FR"/>
        </w:rPr>
        <w:t>Les mémoires des appelants seront signifiés et déposés au plus tard le 25 juin 2012.</w:t>
      </w:r>
    </w:p>
    <w:p w:rsidR="002B7C72" w:rsidRPr="001225D4" w:rsidRDefault="002B7C72" w:rsidP="002B7C72">
      <w:pPr>
        <w:autoSpaceDE w:val="0"/>
        <w:autoSpaceDN w:val="0"/>
        <w:adjustRightInd w:val="0"/>
        <w:jc w:val="both"/>
        <w:rPr>
          <w:sz w:val="20"/>
          <w:szCs w:val="20"/>
          <w:lang w:val="fr-FR"/>
        </w:rPr>
      </w:pPr>
    </w:p>
    <w:p w:rsidR="002B7C72" w:rsidRPr="001225D4" w:rsidRDefault="002B7C72" w:rsidP="002B7C72">
      <w:pPr>
        <w:pStyle w:val="ListParagraph"/>
        <w:numPr>
          <w:ilvl w:val="0"/>
          <w:numId w:val="7"/>
        </w:numPr>
        <w:autoSpaceDE w:val="0"/>
        <w:autoSpaceDN w:val="0"/>
        <w:adjustRightInd w:val="0"/>
        <w:jc w:val="both"/>
        <w:rPr>
          <w:sz w:val="20"/>
          <w:szCs w:val="20"/>
          <w:lang w:val="fr-FR"/>
        </w:rPr>
      </w:pPr>
      <w:r w:rsidRPr="001225D4">
        <w:rPr>
          <w:sz w:val="20"/>
          <w:szCs w:val="20"/>
          <w:lang w:val="fr-FR"/>
        </w:rPr>
        <w:t>Les requêtes en vue d’intervenir devront être signifiées et déposées au plus tard le 27 juin 2012.</w:t>
      </w:r>
    </w:p>
    <w:p w:rsidR="002B7C72" w:rsidRPr="001225D4" w:rsidRDefault="002B7C72" w:rsidP="002B7C72">
      <w:pPr>
        <w:autoSpaceDE w:val="0"/>
        <w:autoSpaceDN w:val="0"/>
        <w:adjustRightInd w:val="0"/>
        <w:jc w:val="both"/>
        <w:rPr>
          <w:sz w:val="20"/>
          <w:szCs w:val="20"/>
          <w:lang w:val="fr-FR"/>
        </w:rPr>
      </w:pPr>
    </w:p>
    <w:p w:rsidR="002B7C72" w:rsidRPr="001225D4" w:rsidRDefault="002B7C72" w:rsidP="002B7C72">
      <w:pPr>
        <w:pStyle w:val="ListParagraph"/>
        <w:numPr>
          <w:ilvl w:val="0"/>
          <w:numId w:val="7"/>
        </w:numPr>
        <w:autoSpaceDE w:val="0"/>
        <w:autoSpaceDN w:val="0"/>
        <w:adjustRightInd w:val="0"/>
        <w:jc w:val="both"/>
        <w:rPr>
          <w:sz w:val="20"/>
          <w:szCs w:val="20"/>
          <w:lang w:val="fr-FR"/>
        </w:rPr>
      </w:pPr>
      <w:r w:rsidRPr="001225D4">
        <w:rPr>
          <w:sz w:val="20"/>
          <w:szCs w:val="20"/>
          <w:lang w:val="fr-FR"/>
        </w:rPr>
        <w:t>Les mémoires des intimés seront signifiés et déposés au plus tard le 4 juillet 2012.</w:t>
      </w:r>
    </w:p>
    <w:p w:rsidR="002B7C72" w:rsidRPr="001225D4" w:rsidRDefault="002B7C72" w:rsidP="002B7C72">
      <w:pPr>
        <w:autoSpaceDE w:val="0"/>
        <w:autoSpaceDN w:val="0"/>
        <w:adjustRightInd w:val="0"/>
        <w:jc w:val="both"/>
        <w:rPr>
          <w:sz w:val="20"/>
          <w:szCs w:val="20"/>
          <w:lang w:val="fr-FR"/>
        </w:rPr>
      </w:pPr>
    </w:p>
    <w:p w:rsidR="002B7C72" w:rsidRPr="001225D4" w:rsidRDefault="002B7C72" w:rsidP="002B7C72">
      <w:pPr>
        <w:pStyle w:val="ListParagraph"/>
        <w:numPr>
          <w:ilvl w:val="0"/>
          <w:numId w:val="7"/>
        </w:numPr>
        <w:autoSpaceDE w:val="0"/>
        <w:autoSpaceDN w:val="0"/>
        <w:adjustRightInd w:val="0"/>
        <w:jc w:val="both"/>
        <w:rPr>
          <w:sz w:val="20"/>
          <w:szCs w:val="20"/>
          <w:lang w:val="fr-FR"/>
        </w:rPr>
      </w:pPr>
      <w:r w:rsidRPr="001225D4">
        <w:rPr>
          <w:sz w:val="20"/>
          <w:szCs w:val="20"/>
          <w:lang w:val="fr-FR"/>
        </w:rPr>
        <w:t>Si l’autorisation d’intervenir est accordée, les mémoires des intervenants devront être signifiés et déposés au plus tard le  4 juillet 2012.</w:t>
      </w:r>
    </w:p>
    <w:p w:rsidR="002B7C72" w:rsidRPr="001225D4" w:rsidRDefault="002B7C72" w:rsidP="002B7C72">
      <w:pPr>
        <w:tabs>
          <w:tab w:val="left" w:pos="720"/>
          <w:tab w:val="left" w:pos="851"/>
        </w:tabs>
        <w:autoSpaceDE w:val="0"/>
        <w:autoSpaceDN w:val="0"/>
        <w:adjustRightInd w:val="0"/>
        <w:jc w:val="both"/>
        <w:rPr>
          <w:sz w:val="20"/>
          <w:szCs w:val="20"/>
          <w:lang w:val="fr-FR"/>
        </w:rPr>
      </w:pPr>
    </w:p>
    <w:p w:rsidR="002B7C72" w:rsidRPr="001225D4" w:rsidRDefault="002B7C72" w:rsidP="002B7C72">
      <w:pPr>
        <w:pStyle w:val="ListParagraph"/>
        <w:numPr>
          <w:ilvl w:val="0"/>
          <w:numId w:val="6"/>
        </w:numPr>
        <w:jc w:val="both"/>
        <w:rPr>
          <w:sz w:val="20"/>
          <w:szCs w:val="20"/>
          <w:lang w:val="fr-FR"/>
        </w:rPr>
      </w:pPr>
      <w:r w:rsidRPr="001225D4">
        <w:rPr>
          <w:sz w:val="20"/>
          <w:szCs w:val="20"/>
          <w:lang w:val="fr-FR"/>
        </w:rPr>
        <w:t xml:space="preserve">La requête visant à obliger l’appelant, Ted Opitz, à signifier et à déposer un avis d’appel modifié ou à énoncer les motifs qu’il invoque pour interjeter appel de la décision du juge Lederer est rejetée.  </w:t>
      </w:r>
    </w:p>
    <w:p w:rsidR="002B7C72" w:rsidRPr="001225D4" w:rsidRDefault="002B7C72" w:rsidP="002B7C72">
      <w:pPr>
        <w:jc w:val="both"/>
        <w:rPr>
          <w:sz w:val="20"/>
          <w:szCs w:val="20"/>
          <w:lang w:val="fr-FR"/>
        </w:rPr>
      </w:pPr>
    </w:p>
    <w:p w:rsidR="002B7C72" w:rsidRPr="001225D4" w:rsidRDefault="00D70052" w:rsidP="002B7C72">
      <w:pPr>
        <w:jc w:val="both"/>
        <w:rPr>
          <w:sz w:val="20"/>
          <w:szCs w:val="20"/>
        </w:rPr>
      </w:pPr>
      <w:r w:rsidRPr="00D70052">
        <w:rPr>
          <w:sz w:val="20"/>
          <w:szCs w:val="20"/>
          <w:lang w:val="fr-CA"/>
        </w:rPr>
        <w:pict>
          <v:rect id="_x0000_i1090" style="width:2in;height:1pt" o:hrpct="0" o:hralign="center" o:hrstd="t" o:hrnoshade="t" o:hr="t" fillcolor="black [3213]" stroked="f"/>
        </w:pict>
      </w:r>
    </w:p>
    <w:p w:rsidR="002B7C72" w:rsidRPr="001225D4" w:rsidRDefault="002B7C72" w:rsidP="002B7C72">
      <w:pPr>
        <w:tabs>
          <w:tab w:val="left" w:pos="-1440"/>
          <w:tab w:val="left" w:pos="-720"/>
        </w:tabs>
        <w:jc w:val="both"/>
        <w:rPr>
          <w:sz w:val="20"/>
          <w:szCs w:val="20"/>
        </w:rPr>
      </w:pPr>
    </w:p>
    <w:p w:rsidR="002B7C72" w:rsidRPr="001225D4" w:rsidRDefault="002B7C72" w:rsidP="002B7C72">
      <w:pPr>
        <w:tabs>
          <w:tab w:val="left" w:pos="-1440"/>
          <w:tab w:val="left" w:pos="-720"/>
        </w:tabs>
        <w:jc w:val="both"/>
        <w:rPr>
          <w:sz w:val="20"/>
          <w:szCs w:val="20"/>
          <w:lang w:val="fr-CA"/>
        </w:rPr>
      </w:pPr>
      <w:r w:rsidRPr="001225D4">
        <w:rPr>
          <w:sz w:val="20"/>
          <w:szCs w:val="20"/>
          <w:lang w:val="fr-CA"/>
        </w:rPr>
        <w:t>19.06.2012</w:t>
      </w:r>
    </w:p>
    <w:p w:rsidR="002B7C72" w:rsidRPr="001225D4" w:rsidRDefault="002B7C72" w:rsidP="002B7C72">
      <w:pPr>
        <w:tabs>
          <w:tab w:val="left" w:pos="-1440"/>
          <w:tab w:val="left" w:pos="-720"/>
        </w:tabs>
        <w:jc w:val="both"/>
        <w:rPr>
          <w:sz w:val="20"/>
          <w:szCs w:val="20"/>
          <w:lang w:val="fr-CA"/>
        </w:rPr>
      </w:pPr>
    </w:p>
    <w:p w:rsidR="002B7C72" w:rsidRPr="001225D4" w:rsidRDefault="002B7C72" w:rsidP="002B7C72">
      <w:pPr>
        <w:tabs>
          <w:tab w:val="left" w:pos="-1440"/>
          <w:tab w:val="left" w:pos="-720"/>
        </w:tabs>
        <w:jc w:val="both"/>
        <w:rPr>
          <w:sz w:val="20"/>
          <w:szCs w:val="20"/>
          <w:lang w:val="fr-CA"/>
        </w:rPr>
      </w:pPr>
      <w:r w:rsidRPr="001225D4">
        <w:rPr>
          <w:sz w:val="20"/>
          <w:szCs w:val="20"/>
          <w:lang w:val="fr-CA"/>
        </w:rPr>
        <w:t>Before / Devant :   THE CHIEF JUSTICE / LA JUGE EN CHEF</w:t>
      </w:r>
    </w:p>
    <w:p w:rsidR="002B7C72" w:rsidRPr="001225D4" w:rsidRDefault="002B7C72" w:rsidP="002B7C7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7C72" w:rsidRPr="00147672" w:rsidTr="007A3220">
        <w:tc>
          <w:tcPr>
            <w:tcW w:w="4338" w:type="dxa"/>
          </w:tcPr>
          <w:p w:rsidR="002B7C72" w:rsidRPr="001225D4" w:rsidRDefault="002B7C72" w:rsidP="007A3220">
            <w:pPr>
              <w:rPr>
                <w:b/>
                <w:sz w:val="20"/>
                <w:szCs w:val="20"/>
              </w:rPr>
            </w:pPr>
            <w:r w:rsidRPr="001225D4">
              <w:rPr>
                <w:b/>
                <w:sz w:val="20"/>
                <w:szCs w:val="20"/>
              </w:rPr>
              <w:t>Motion to state constitutional questions</w:t>
            </w:r>
          </w:p>
        </w:tc>
        <w:tc>
          <w:tcPr>
            <w:tcW w:w="1170" w:type="dxa"/>
          </w:tcPr>
          <w:p w:rsidR="002B7C72" w:rsidRPr="001225D4" w:rsidRDefault="002B7C72" w:rsidP="007A3220">
            <w:pPr>
              <w:rPr>
                <w:sz w:val="20"/>
                <w:szCs w:val="20"/>
              </w:rPr>
            </w:pPr>
          </w:p>
          <w:p w:rsidR="002B7C72" w:rsidRPr="001225D4" w:rsidRDefault="002B7C72" w:rsidP="007A3220">
            <w:pPr>
              <w:rPr>
                <w:sz w:val="20"/>
                <w:szCs w:val="20"/>
              </w:rPr>
            </w:pPr>
          </w:p>
          <w:p w:rsidR="002B7C72" w:rsidRPr="001225D4" w:rsidRDefault="002B7C72" w:rsidP="007A3220">
            <w:pPr>
              <w:rPr>
                <w:sz w:val="20"/>
                <w:szCs w:val="20"/>
              </w:rPr>
            </w:pPr>
          </w:p>
        </w:tc>
        <w:tc>
          <w:tcPr>
            <w:tcW w:w="4327" w:type="dxa"/>
          </w:tcPr>
          <w:p w:rsidR="002B7C72" w:rsidRPr="001225D4" w:rsidRDefault="00D70052" w:rsidP="007A3220">
            <w:pPr>
              <w:rPr>
                <w:b/>
                <w:sz w:val="20"/>
                <w:szCs w:val="20"/>
                <w:lang w:val="fr-CA"/>
              </w:rPr>
            </w:pPr>
            <w:r w:rsidRPr="001225D4">
              <w:rPr>
                <w:sz w:val="20"/>
                <w:szCs w:val="20"/>
              </w:rPr>
              <w:fldChar w:fldCharType="begin"/>
            </w:r>
            <w:r w:rsidR="002B7C72" w:rsidRPr="001225D4">
              <w:rPr>
                <w:sz w:val="20"/>
                <w:szCs w:val="20"/>
                <w:lang w:val="fr-CA"/>
              </w:rPr>
              <w:instrText xml:space="preserve"> SEQ CHAPTER \h \r 1</w:instrText>
            </w:r>
            <w:r w:rsidRPr="001225D4">
              <w:rPr>
                <w:sz w:val="20"/>
                <w:szCs w:val="20"/>
              </w:rPr>
              <w:fldChar w:fldCharType="end"/>
            </w:r>
            <w:r w:rsidR="002B7C72" w:rsidRPr="001225D4">
              <w:rPr>
                <w:b/>
                <w:bCs/>
                <w:sz w:val="20"/>
                <w:szCs w:val="20"/>
                <w:lang w:val="fr-CA"/>
              </w:rPr>
              <w:t>Requête en formulation de questions constitutionnelles</w:t>
            </w:r>
          </w:p>
          <w:p w:rsidR="002B7C72" w:rsidRPr="001225D4" w:rsidRDefault="002B7C72" w:rsidP="007A3220">
            <w:pPr>
              <w:jc w:val="both"/>
              <w:rPr>
                <w:b/>
                <w:sz w:val="20"/>
                <w:szCs w:val="20"/>
                <w:lang w:val="fr-CA"/>
              </w:rPr>
            </w:pPr>
          </w:p>
        </w:tc>
      </w:tr>
      <w:tr w:rsidR="002B7C72" w:rsidRPr="001225D4" w:rsidTr="007A3220">
        <w:tc>
          <w:tcPr>
            <w:tcW w:w="4338" w:type="dxa"/>
          </w:tcPr>
          <w:p w:rsidR="002B7C72" w:rsidRPr="001225D4" w:rsidRDefault="002B7C72" w:rsidP="007A3220">
            <w:pPr>
              <w:tabs>
                <w:tab w:val="left" w:pos="-1440"/>
                <w:tab w:val="left" w:pos="-720"/>
              </w:tabs>
              <w:jc w:val="both"/>
              <w:rPr>
                <w:sz w:val="20"/>
                <w:szCs w:val="20"/>
                <w:lang w:val="fr-CA"/>
              </w:rPr>
            </w:pPr>
            <w:r w:rsidRPr="001225D4">
              <w:rPr>
                <w:sz w:val="20"/>
                <w:szCs w:val="20"/>
                <w:lang w:val="fr-CA"/>
              </w:rPr>
              <w:t>Marine Services International Limited et al.</w:t>
            </w:r>
          </w:p>
          <w:p w:rsidR="002B7C72" w:rsidRPr="001225D4" w:rsidRDefault="002B7C72" w:rsidP="007A3220">
            <w:pPr>
              <w:tabs>
                <w:tab w:val="left" w:pos="-1440"/>
                <w:tab w:val="left" w:pos="-720"/>
              </w:tabs>
              <w:jc w:val="both"/>
              <w:rPr>
                <w:sz w:val="20"/>
                <w:szCs w:val="20"/>
                <w:lang w:val="fr-CA"/>
              </w:rPr>
            </w:pPr>
          </w:p>
          <w:p w:rsidR="002B7C72" w:rsidRPr="001225D4" w:rsidRDefault="002B7C72" w:rsidP="007A3220">
            <w:pPr>
              <w:tabs>
                <w:tab w:val="left" w:pos="-1440"/>
                <w:tab w:val="left" w:pos="-720"/>
              </w:tabs>
              <w:jc w:val="both"/>
              <w:rPr>
                <w:sz w:val="20"/>
                <w:szCs w:val="20"/>
              </w:rPr>
            </w:pPr>
            <w:r w:rsidRPr="001225D4">
              <w:rPr>
                <w:sz w:val="20"/>
                <w:szCs w:val="20"/>
                <w:lang w:val="fr-CA"/>
              </w:rPr>
              <w:tab/>
            </w:r>
            <w:r w:rsidRPr="001225D4">
              <w:rPr>
                <w:sz w:val="20"/>
                <w:szCs w:val="20"/>
              </w:rPr>
              <w:t>v. (34429)</w:t>
            </w:r>
          </w:p>
          <w:p w:rsidR="002B7C72" w:rsidRPr="001225D4" w:rsidRDefault="002B7C72" w:rsidP="007A3220">
            <w:pPr>
              <w:tabs>
                <w:tab w:val="left" w:pos="-1440"/>
                <w:tab w:val="left" w:pos="-720"/>
              </w:tabs>
              <w:jc w:val="both"/>
              <w:rPr>
                <w:sz w:val="20"/>
                <w:szCs w:val="20"/>
              </w:rPr>
            </w:pPr>
          </w:p>
          <w:p w:rsidR="002B7C72" w:rsidRPr="001225D4" w:rsidRDefault="002B7C72" w:rsidP="007A3220">
            <w:pPr>
              <w:tabs>
                <w:tab w:val="left" w:pos="-1440"/>
                <w:tab w:val="left" w:pos="-720"/>
              </w:tabs>
              <w:jc w:val="both"/>
              <w:rPr>
                <w:sz w:val="20"/>
                <w:szCs w:val="20"/>
              </w:rPr>
            </w:pPr>
            <w:r w:rsidRPr="001225D4">
              <w:rPr>
                <w:sz w:val="20"/>
                <w:szCs w:val="20"/>
              </w:rPr>
              <w:t>Estate of Joseph Ryan, by its Administratrix, Yvonne Ryan et al. (N.L.)</w:t>
            </w:r>
          </w:p>
        </w:tc>
        <w:tc>
          <w:tcPr>
            <w:tcW w:w="1170" w:type="dxa"/>
          </w:tcPr>
          <w:p w:rsidR="002B7C72" w:rsidRPr="001225D4" w:rsidRDefault="002B7C72" w:rsidP="007A3220">
            <w:pPr>
              <w:tabs>
                <w:tab w:val="left" w:pos="-1440"/>
                <w:tab w:val="left" w:pos="-720"/>
              </w:tabs>
              <w:jc w:val="both"/>
              <w:rPr>
                <w:sz w:val="20"/>
                <w:szCs w:val="20"/>
              </w:rPr>
            </w:pPr>
          </w:p>
        </w:tc>
        <w:tc>
          <w:tcPr>
            <w:tcW w:w="4327" w:type="dxa"/>
          </w:tcPr>
          <w:p w:rsidR="002B7C72" w:rsidRPr="001225D4" w:rsidRDefault="002B7C72" w:rsidP="007A3220">
            <w:pPr>
              <w:tabs>
                <w:tab w:val="left" w:pos="-1440"/>
                <w:tab w:val="left" w:pos="-720"/>
              </w:tabs>
              <w:jc w:val="both"/>
              <w:rPr>
                <w:sz w:val="20"/>
                <w:szCs w:val="20"/>
              </w:rPr>
            </w:pPr>
          </w:p>
        </w:tc>
      </w:tr>
    </w:tbl>
    <w:p w:rsidR="002B7C72" w:rsidRPr="001225D4" w:rsidRDefault="002B7C72" w:rsidP="002B7C72">
      <w:pPr>
        <w:tabs>
          <w:tab w:val="left" w:pos="-1440"/>
          <w:tab w:val="left" w:pos="-720"/>
        </w:tabs>
        <w:jc w:val="both"/>
        <w:rPr>
          <w:sz w:val="20"/>
          <w:szCs w:val="20"/>
        </w:rPr>
      </w:pPr>
    </w:p>
    <w:p w:rsidR="002B7C72" w:rsidRPr="001225D4" w:rsidRDefault="002B7C72" w:rsidP="002B7C72">
      <w:pPr>
        <w:tabs>
          <w:tab w:val="left" w:pos="-1440"/>
          <w:tab w:val="left" w:pos="-720"/>
        </w:tabs>
        <w:jc w:val="both"/>
        <w:rPr>
          <w:b/>
          <w:sz w:val="20"/>
          <w:szCs w:val="20"/>
        </w:rPr>
      </w:pPr>
      <w:r w:rsidRPr="001225D4">
        <w:rPr>
          <w:b/>
          <w:sz w:val="20"/>
          <w:szCs w:val="20"/>
        </w:rPr>
        <w:t>GRANTED / ACCORDÉE</w:t>
      </w:r>
    </w:p>
    <w:p w:rsidR="002B7C72" w:rsidRPr="001225D4" w:rsidRDefault="002B7C72" w:rsidP="002B7C72">
      <w:pPr>
        <w:tabs>
          <w:tab w:val="left" w:pos="-1440"/>
          <w:tab w:val="left" w:pos="-720"/>
        </w:tabs>
        <w:jc w:val="both"/>
        <w:rPr>
          <w:sz w:val="20"/>
          <w:szCs w:val="20"/>
        </w:rPr>
      </w:pPr>
    </w:p>
    <w:p w:rsidR="002B7C72" w:rsidRPr="001225D4" w:rsidRDefault="002B7C72" w:rsidP="002B7C72">
      <w:pPr>
        <w:jc w:val="both"/>
        <w:rPr>
          <w:sz w:val="20"/>
          <w:szCs w:val="20"/>
        </w:rPr>
      </w:pPr>
      <w:r w:rsidRPr="001225D4">
        <w:rPr>
          <w:b/>
          <w:bCs/>
          <w:sz w:val="20"/>
          <w:szCs w:val="20"/>
        </w:rPr>
        <w:t>UPON APPLICATION</w:t>
      </w:r>
      <w:r w:rsidRPr="001225D4">
        <w:rPr>
          <w:sz w:val="20"/>
          <w:szCs w:val="20"/>
        </w:rPr>
        <w:t xml:space="preserve"> by the appellants </w:t>
      </w:r>
      <w:r w:rsidR="00D70052" w:rsidRPr="001225D4">
        <w:rPr>
          <w:sz w:val="20"/>
          <w:szCs w:val="20"/>
        </w:rPr>
        <w:fldChar w:fldCharType="begin"/>
      </w:r>
      <w:r w:rsidRPr="001225D4">
        <w:rPr>
          <w:sz w:val="20"/>
          <w:szCs w:val="20"/>
        </w:rPr>
        <w:instrText xml:space="preserve"> SEQ CHAPTER \h \r 1</w:instrText>
      </w:r>
      <w:r w:rsidR="00D70052" w:rsidRPr="001225D4">
        <w:rPr>
          <w:sz w:val="20"/>
          <w:szCs w:val="20"/>
        </w:rPr>
        <w:fldChar w:fldCharType="end"/>
      </w:r>
      <w:r w:rsidRPr="001225D4">
        <w:rPr>
          <w:sz w:val="20"/>
          <w:szCs w:val="20"/>
        </w:rPr>
        <w:t>for an order stating constitutional questions in the above appeal;</w:t>
      </w:r>
    </w:p>
    <w:p w:rsidR="002B7C72" w:rsidRPr="001225D4" w:rsidRDefault="002B7C72" w:rsidP="002B7C72">
      <w:pPr>
        <w:jc w:val="both"/>
        <w:rPr>
          <w:sz w:val="20"/>
          <w:szCs w:val="20"/>
        </w:rPr>
      </w:pPr>
    </w:p>
    <w:p w:rsidR="002B7C72" w:rsidRPr="001225D4" w:rsidRDefault="002B7C72" w:rsidP="002B7C72">
      <w:pPr>
        <w:jc w:val="both"/>
        <w:rPr>
          <w:sz w:val="20"/>
          <w:szCs w:val="20"/>
        </w:rPr>
      </w:pPr>
      <w:r w:rsidRPr="001225D4">
        <w:rPr>
          <w:b/>
          <w:bCs/>
          <w:sz w:val="20"/>
          <w:szCs w:val="20"/>
        </w:rPr>
        <w:t>AND THE MATERIAL FILED</w:t>
      </w:r>
      <w:r w:rsidRPr="001225D4">
        <w:rPr>
          <w:sz w:val="20"/>
          <w:szCs w:val="20"/>
        </w:rPr>
        <w:t xml:space="preserve"> having been read;</w:t>
      </w:r>
    </w:p>
    <w:p w:rsidR="002B7C72" w:rsidRPr="001225D4" w:rsidRDefault="002B7C72" w:rsidP="002B7C72">
      <w:pPr>
        <w:jc w:val="both"/>
        <w:rPr>
          <w:sz w:val="20"/>
          <w:szCs w:val="20"/>
        </w:rPr>
      </w:pPr>
    </w:p>
    <w:p w:rsidR="002B7C72" w:rsidRPr="001225D4" w:rsidRDefault="002B7C72" w:rsidP="002B7C72">
      <w:pPr>
        <w:jc w:val="both"/>
        <w:rPr>
          <w:b/>
          <w:bCs/>
          <w:sz w:val="20"/>
          <w:szCs w:val="20"/>
        </w:rPr>
      </w:pPr>
      <w:r w:rsidRPr="001225D4">
        <w:rPr>
          <w:b/>
          <w:bCs/>
          <w:sz w:val="20"/>
          <w:szCs w:val="20"/>
        </w:rPr>
        <w:t>IT IS HEREBY ORDERED THAT THE CONSTITUTIONAL QUESTIONS BE STATED AS FOLLOW:</w:t>
      </w:r>
    </w:p>
    <w:p w:rsidR="002B7C72" w:rsidRPr="001225D4" w:rsidRDefault="002B7C72" w:rsidP="002B7C72">
      <w:pPr>
        <w:jc w:val="both"/>
        <w:rPr>
          <w:sz w:val="20"/>
          <w:szCs w:val="20"/>
        </w:rPr>
      </w:pPr>
    </w:p>
    <w:p w:rsidR="002B7C72" w:rsidRPr="001225D4" w:rsidRDefault="002B7C72" w:rsidP="002B7C72">
      <w:pPr>
        <w:pStyle w:val="ListParagraph"/>
        <w:numPr>
          <w:ilvl w:val="0"/>
          <w:numId w:val="2"/>
        </w:numPr>
        <w:autoSpaceDE w:val="0"/>
        <w:autoSpaceDN w:val="0"/>
        <w:ind w:left="992" w:right="851" w:hanging="720"/>
        <w:contextualSpacing w:val="0"/>
        <w:jc w:val="both"/>
        <w:rPr>
          <w:rFonts w:cs="Times New Roman"/>
          <w:sz w:val="20"/>
          <w:szCs w:val="20"/>
        </w:rPr>
      </w:pPr>
      <w:r w:rsidRPr="001225D4">
        <w:rPr>
          <w:rFonts w:cs="Times New Roman"/>
          <w:sz w:val="20"/>
          <w:szCs w:val="20"/>
        </w:rPr>
        <w:t xml:space="preserve">Is s. 44 of the </w:t>
      </w:r>
      <w:r w:rsidRPr="001225D4">
        <w:rPr>
          <w:rFonts w:cs="Times New Roman"/>
          <w:i/>
          <w:iCs/>
          <w:sz w:val="20"/>
          <w:szCs w:val="20"/>
        </w:rPr>
        <w:t>Workplace Health, Safety and Compensation Act</w:t>
      </w:r>
      <w:r w:rsidRPr="001225D4">
        <w:rPr>
          <w:rFonts w:cs="Times New Roman"/>
          <w:sz w:val="20"/>
          <w:szCs w:val="20"/>
        </w:rPr>
        <w:t xml:space="preserve">, R.S.N.L. 1990 c. W-11, constitutionally inoperative in respect of federal maritime negligence claims made pursuant to s. 6 of the </w:t>
      </w:r>
      <w:r w:rsidRPr="001225D4">
        <w:rPr>
          <w:rFonts w:cs="Times New Roman"/>
          <w:i/>
          <w:iCs/>
          <w:sz w:val="20"/>
          <w:szCs w:val="20"/>
        </w:rPr>
        <w:t>Marine Liability Act</w:t>
      </w:r>
      <w:r w:rsidRPr="001225D4">
        <w:rPr>
          <w:rFonts w:cs="Times New Roman"/>
          <w:sz w:val="20"/>
          <w:szCs w:val="20"/>
        </w:rPr>
        <w:t>, S.C. 2001, c. 6, by reason of the doctrine of federal paramountcy?</w:t>
      </w:r>
    </w:p>
    <w:p w:rsidR="002B7C72" w:rsidRPr="001225D4" w:rsidRDefault="002B7C72" w:rsidP="002B7C72">
      <w:pPr>
        <w:ind w:right="1440"/>
        <w:jc w:val="both"/>
        <w:rPr>
          <w:sz w:val="20"/>
          <w:szCs w:val="20"/>
        </w:rPr>
      </w:pPr>
    </w:p>
    <w:p w:rsidR="002B7C72" w:rsidRPr="001225D4" w:rsidRDefault="002B7C72" w:rsidP="002B7C72">
      <w:pPr>
        <w:pStyle w:val="ListParagraph"/>
        <w:numPr>
          <w:ilvl w:val="0"/>
          <w:numId w:val="2"/>
        </w:numPr>
        <w:autoSpaceDE w:val="0"/>
        <w:autoSpaceDN w:val="0"/>
        <w:ind w:left="993" w:right="851" w:hanging="709"/>
        <w:contextualSpacing w:val="0"/>
        <w:jc w:val="both"/>
        <w:rPr>
          <w:rFonts w:cs="Times New Roman"/>
          <w:sz w:val="20"/>
          <w:szCs w:val="20"/>
        </w:rPr>
      </w:pPr>
      <w:r w:rsidRPr="001225D4">
        <w:rPr>
          <w:rFonts w:cs="Times New Roman"/>
          <w:sz w:val="20"/>
          <w:szCs w:val="20"/>
        </w:rPr>
        <w:t xml:space="preserve">Is s. 44 of the </w:t>
      </w:r>
      <w:r w:rsidRPr="001225D4">
        <w:rPr>
          <w:rFonts w:cs="Times New Roman"/>
          <w:i/>
          <w:iCs/>
          <w:sz w:val="20"/>
          <w:szCs w:val="20"/>
        </w:rPr>
        <w:t>Workplace Health, Safety and Compensation Act</w:t>
      </w:r>
      <w:r w:rsidRPr="001225D4">
        <w:rPr>
          <w:rFonts w:cs="Times New Roman"/>
          <w:sz w:val="20"/>
          <w:szCs w:val="20"/>
        </w:rPr>
        <w:t xml:space="preserve">, R.S.N.L. 1990 c. W-11, constitutionally inapplicable to federal maritime negligence claims made pursuant to s. 6 of the </w:t>
      </w:r>
      <w:r w:rsidRPr="001225D4">
        <w:rPr>
          <w:rFonts w:cs="Times New Roman"/>
          <w:i/>
          <w:iCs/>
          <w:sz w:val="20"/>
          <w:szCs w:val="20"/>
        </w:rPr>
        <w:t>Marine Liability Act</w:t>
      </w:r>
      <w:r w:rsidRPr="001225D4">
        <w:rPr>
          <w:rFonts w:cs="Times New Roman"/>
          <w:sz w:val="20"/>
          <w:szCs w:val="20"/>
        </w:rPr>
        <w:t xml:space="preserve">, S.C. 2001, c. 6, by reason of the doctrine of interjurisdictional immunity? </w:t>
      </w:r>
    </w:p>
    <w:p w:rsidR="002B7C72" w:rsidRPr="001225D4" w:rsidRDefault="002B7C72" w:rsidP="002B7C72">
      <w:pPr>
        <w:jc w:val="both"/>
        <w:rPr>
          <w:sz w:val="20"/>
          <w:szCs w:val="20"/>
        </w:rPr>
      </w:pPr>
    </w:p>
    <w:p w:rsidR="00735F22" w:rsidRDefault="00735F22">
      <w:pPr>
        <w:rPr>
          <w:sz w:val="20"/>
          <w:szCs w:val="20"/>
        </w:rPr>
      </w:pPr>
      <w:r>
        <w:rPr>
          <w:sz w:val="20"/>
          <w:szCs w:val="20"/>
        </w:rPr>
        <w:br w:type="page"/>
      </w:r>
    </w:p>
    <w:p w:rsidR="002B7C72" w:rsidRPr="001225D4" w:rsidRDefault="002B7C72" w:rsidP="002B7C72">
      <w:pPr>
        <w:jc w:val="both"/>
        <w:rPr>
          <w:sz w:val="20"/>
          <w:szCs w:val="20"/>
        </w:rPr>
      </w:pPr>
      <w:r w:rsidRPr="001225D4">
        <w:rPr>
          <w:sz w:val="20"/>
          <w:szCs w:val="20"/>
        </w:rPr>
        <w:lastRenderedPageBreak/>
        <w:t>Any Attorney General who intervenes pursuant to Rule 61(4) shall pay the appellants and respondents the costs of any additional disbursements they incur as a result of the intervention.</w:t>
      </w:r>
    </w:p>
    <w:p w:rsidR="002B7C72" w:rsidRDefault="002B7C72" w:rsidP="002B7C72">
      <w:pPr>
        <w:jc w:val="both"/>
        <w:rPr>
          <w:color w:val="000000"/>
          <w:sz w:val="20"/>
          <w:szCs w:val="20"/>
        </w:rPr>
      </w:pPr>
    </w:p>
    <w:p w:rsidR="00735F22" w:rsidRPr="001225D4" w:rsidRDefault="00735F22" w:rsidP="002B7C72">
      <w:pPr>
        <w:jc w:val="both"/>
        <w:rPr>
          <w:color w:val="000000"/>
          <w:sz w:val="20"/>
          <w:szCs w:val="20"/>
        </w:rPr>
      </w:pPr>
    </w:p>
    <w:p w:rsidR="002B7C72" w:rsidRPr="001225D4" w:rsidRDefault="002B7C72" w:rsidP="002B7C72">
      <w:pPr>
        <w:jc w:val="both"/>
        <w:rPr>
          <w:color w:val="000000"/>
          <w:sz w:val="20"/>
          <w:szCs w:val="20"/>
        </w:rPr>
      </w:pPr>
    </w:p>
    <w:p w:rsidR="002B7C72" w:rsidRPr="001225D4" w:rsidRDefault="002B7C72" w:rsidP="002B7C72">
      <w:pPr>
        <w:jc w:val="both"/>
        <w:rPr>
          <w:sz w:val="20"/>
          <w:szCs w:val="20"/>
          <w:lang w:val="fr-CA"/>
        </w:rPr>
      </w:pPr>
      <w:r w:rsidRPr="001225D4">
        <w:rPr>
          <w:b/>
          <w:bCs/>
          <w:sz w:val="20"/>
          <w:szCs w:val="20"/>
          <w:lang w:val="fr-CA"/>
        </w:rPr>
        <w:t>À LA SUITE DE LA DEMANDE</w:t>
      </w:r>
      <w:r w:rsidRPr="001225D4">
        <w:rPr>
          <w:sz w:val="20"/>
          <w:szCs w:val="20"/>
          <w:lang w:val="fr-CA"/>
        </w:rPr>
        <w:t xml:space="preserve"> des appelants visant à obtenir la formulation de questions constitutionnelles dans l'appel susmentionné;</w:t>
      </w:r>
    </w:p>
    <w:p w:rsidR="002B7C72" w:rsidRPr="001225D4" w:rsidRDefault="002B7C72" w:rsidP="002B7C72">
      <w:pPr>
        <w:jc w:val="both"/>
        <w:rPr>
          <w:sz w:val="20"/>
          <w:szCs w:val="20"/>
          <w:lang w:val="fr-CA"/>
        </w:rPr>
      </w:pPr>
    </w:p>
    <w:p w:rsidR="002B7C72" w:rsidRPr="001225D4" w:rsidRDefault="002B7C72" w:rsidP="002B7C72">
      <w:pPr>
        <w:jc w:val="both"/>
        <w:rPr>
          <w:sz w:val="20"/>
          <w:szCs w:val="20"/>
          <w:lang w:val="fr-CA"/>
        </w:rPr>
      </w:pPr>
      <w:r w:rsidRPr="001225D4">
        <w:rPr>
          <w:b/>
          <w:bCs/>
          <w:sz w:val="20"/>
          <w:szCs w:val="20"/>
          <w:lang w:val="fr-CA"/>
        </w:rPr>
        <w:t>ET APRÈS AVOIR LU</w:t>
      </w:r>
      <w:r w:rsidRPr="001225D4">
        <w:rPr>
          <w:sz w:val="20"/>
          <w:szCs w:val="20"/>
          <w:lang w:val="fr-CA"/>
        </w:rPr>
        <w:t xml:space="preserve"> la documentation déposée;</w:t>
      </w:r>
    </w:p>
    <w:p w:rsidR="002B7C72" w:rsidRPr="001225D4" w:rsidRDefault="002B7C72" w:rsidP="002B7C72">
      <w:pPr>
        <w:jc w:val="both"/>
        <w:rPr>
          <w:sz w:val="20"/>
          <w:szCs w:val="20"/>
          <w:lang w:val="fr-CA"/>
        </w:rPr>
      </w:pPr>
    </w:p>
    <w:p w:rsidR="002B7C72" w:rsidRPr="001225D4" w:rsidRDefault="002B7C72" w:rsidP="002B7C72">
      <w:pPr>
        <w:jc w:val="both"/>
        <w:rPr>
          <w:sz w:val="20"/>
          <w:szCs w:val="20"/>
          <w:lang w:val="fr-CA"/>
        </w:rPr>
      </w:pPr>
      <w:r w:rsidRPr="001225D4">
        <w:rPr>
          <w:b/>
          <w:bCs/>
          <w:sz w:val="20"/>
          <w:szCs w:val="20"/>
          <w:lang w:val="fr-CA"/>
        </w:rPr>
        <w:t>LES QUESTIONS CONSTITUTIONNELLES SUIVANTES SONT FORMULÉES :</w:t>
      </w:r>
    </w:p>
    <w:p w:rsidR="002B7C72" w:rsidRPr="001225D4" w:rsidRDefault="002B7C72" w:rsidP="002B7C72">
      <w:pPr>
        <w:jc w:val="both"/>
        <w:rPr>
          <w:sz w:val="20"/>
          <w:szCs w:val="20"/>
          <w:lang w:val="fr-FR"/>
        </w:rPr>
      </w:pPr>
    </w:p>
    <w:p w:rsidR="002B7C72" w:rsidRPr="001225D4" w:rsidRDefault="002B7C72" w:rsidP="002B7C7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2" w:right="851" w:hanging="720"/>
        <w:jc w:val="both"/>
        <w:rPr>
          <w:rFonts w:cs="Times New Roman"/>
          <w:sz w:val="20"/>
          <w:szCs w:val="20"/>
          <w:lang w:val="fr-FR"/>
        </w:rPr>
      </w:pPr>
      <w:r w:rsidRPr="001225D4">
        <w:rPr>
          <w:rFonts w:cs="Times New Roman"/>
          <w:sz w:val="20"/>
          <w:szCs w:val="20"/>
          <w:lang w:val="fr-FR"/>
        </w:rPr>
        <w:tab/>
        <w:t xml:space="preserve">Est-ce que l’art. 44 de la loi intitulée </w:t>
      </w:r>
      <w:r w:rsidRPr="001225D4">
        <w:rPr>
          <w:rFonts w:cs="Times New Roman"/>
          <w:i/>
          <w:iCs/>
          <w:sz w:val="20"/>
          <w:szCs w:val="20"/>
          <w:lang w:val="fr-FR"/>
        </w:rPr>
        <w:t>Workplace Health, Safety and Compensation Act</w:t>
      </w:r>
      <w:r w:rsidRPr="001225D4">
        <w:rPr>
          <w:rFonts w:cs="Times New Roman"/>
          <w:sz w:val="20"/>
          <w:szCs w:val="20"/>
          <w:lang w:val="fr-FR"/>
        </w:rPr>
        <w:t xml:space="preserve">, R.S.N.L. 1990 c. W-11, est inopérant du point de vue constitutionnel, en raison de la doctrine de la prépondérance des lois fédérales,  à l’égard des actions en négligence fondées sur le droit maritime fédéral qui sont présentées en vertu de l’art. 6 de la </w:t>
      </w:r>
      <w:r w:rsidRPr="001225D4">
        <w:rPr>
          <w:rFonts w:cs="Times New Roman"/>
          <w:i/>
          <w:iCs/>
          <w:sz w:val="20"/>
          <w:szCs w:val="20"/>
          <w:lang w:val="fr-FR"/>
        </w:rPr>
        <w:t>Loi sur la responsabilité en matière maritime</w:t>
      </w:r>
      <w:r w:rsidRPr="001225D4">
        <w:rPr>
          <w:rFonts w:cs="Times New Roman"/>
          <w:sz w:val="20"/>
          <w:szCs w:val="20"/>
          <w:lang w:val="fr-FR"/>
        </w:rPr>
        <w:t>, L.C. 2001, ch. 6?</w:t>
      </w:r>
    </w:p>
    <w:p w:rsidR="002B7C72" w:rsidRPr="001225D4" w:rsidRDefault="002B7C72" w:rsidP="002B7C72">
      <w:pPr>
        <w:jc w:val="both"/>
        <w:rPr>
          <w:sz w:val="20"/>
          <w:szCs w:val="20"/>
          <w:lang w:val="fr-CA"/>
        </w:rPr>
      </w:pPr>
    </w:p>
    <w:p w:rsidR="002B7C72" w:rsidRPr="001225D4" w:rsidRDefault="002B7C72" w:rsidP="002B7C7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2" w:right="851" w:hanging="720"/>
        <w:jc w:val="both"/>
        <w:rPr>
          <w:rFonts w:cs="Times New Roman"/>
          <w:color w:val="1F497D"/>
          <w:sz w:val="20"/>
          <w:szCs w:val="20"/>
          <w:lang w:val="fr-FR"/>
        </w:rPr>
      </w:pPr>
      <w:r w:rsidRPr="001225D4">
        <w:rPr>
          <w:rFonts w:cs="Times New Roman"/>
          <w:sz w:val="20"/>
          <w:szCs w:val="20"/>
          <w:lang w:val="fr-FR"/>
        </w:rPr>
        <w:tab/>
        <w:t xml:space="preserve">Est-ce que l’art. 44 de la loi intitulée </w:t>
      </w:r>
      <w:r w:rsidRPr="001225D4">
        <w:rPr>
          <w:rFonts w:cs="Times New Roman"/>
          <w:i/>
          <w:iCs/>
          <w:sz w:val="20"/>
          <w:szCs w:val="20"/>
          <w:lang w:val="fr-FR"/>
        </w:rPr>
        <w:t>Workplace Health, Safety and Compensation Act</w:t>
      </w:r>
      <w:r w:rsidRPr="001225D4">
        <w:rPr>
          <w:rFonts w:cs="Times New Roman"/>
          <w:sz w:val="20"/>
          <w:szCs w:val="20"/>
          <w:lang w:val="fr-FR"/>
        </w:rPr>
        <w:t xml:space="preserve">, R.S.N.L. 1990 c. W-11, est inapplicable du point de vue constitutionnel, en raison de la doctrine de l’exclusivité des compétences, à l’égard des actions en négligence fondées sur le droit maritime fédéral qui sont présentées en vertu de l’art. 6 de la </w:t>
      </w:r>
      <w:r w:rsidRPr="001225D4">
        <w:rPr>
          <w:rFonts w:cs="Times New Roman"/>
          <w:i/>
          <w:iCs/>
          <w:sz w:val="20"/>
          <w:szCs w:val="20"/>
          <w:lang w:val="fr-FR"/>
        </w:rPr>
        <w:t>Loi sur la responsabilité en matière maritime</w:t>
      </w:r>
      <w:r w:rsidRPr="001225D4">
        <w:rPr>
          <w:rFonts w:cs="Times New Roman"/>
          <w:sz w:val="20"/>
          <w:szCs w:val="20"/>
          <w:lang w:val="fr-FR"/>
        </w:rPr>
        <w:t>, L.C. 2001, ch. 6?</w:t>
      </w:r>
    </w:p>
    <w:p w:rsidR="002B7C72" w:rsidRPr="001225D4" w:rsidRDefault="002B7C72" w:rsidP="002B7C72">
      <w:pPr>
        <w:pStyle w:val="ListParagraph"/>
        <w:jc w:val="both"/>
        <w:rPr>
          <w:rFonts w:cs="Times New Roman"/>
          <w:sz w:val="20"/>
          <w:szCs w:val="20"/>
          <w:lang w:val="fr-CA"/>
        </w:rPr>
      </w:pPr>
    </w:p>
    <w:p w:rsidR="002B7C72" w:rsidRPr="001225D4" w:rsidRDefault="002B7C72" w:rsidP="002B7C72">
      <w:pPr>
        <w:jc w:val="both"/>
        <w:rPr>
          <w:sz w:val="20"/>
          <w:szCs w:val="20"/>
          <w:lang w:val="fr-FR"/>
        </w:rPr>
      </w:pPr>
      <w:r w:rsidRPr="001225D4">
        <w:rPr>
          <w:sz w:val="20"/>
          <w:szCs w:val="20"/>
          <w:lang w:val="fr-CA"/>
        </w:rPr>
        <w:t>T</w:t>
      </w:r>
      <w:r w:rsidRPr="001225D4">
        <w:rPr>
          <w:sz w:val="20"/>
          <w:szCs w:val="20"/>
          <w:lang w:val="fr-FR"/>
        </w:rPr>
        <w:t xml:space="preserve">out procureur général qui intervient en vertu du par. 61(4) des </w:t>
      </w:r>
      <w:r w:rsidRPr="001225D4">
        <w:rPr>
          <w:i/>
          <w:iCs/>
          <w:sz w:val="20"/>
          <w:szCs w:val="20"/>
          <w:lang w:val="fr-FR"/>
        </w:rPr>
        <w:t>Règles</w:t>
      </w:r>
      <w:r w:rsidRPr="001225D4">
        <w:rPr>
          <w:sz w:val="20"/>
          <w:szCs w:val="20"/>
          <w:lang w:val="fr-FR"/>
        </w:rPr>
        <w:t xml:space="preserve"> est tenu de payer aux appelants et aux intimés les dépens supplémentaires résultant de son intervention.</w:t>
      </w:r>
    </w:p>
    <w:p w:rsidR="002B7C72" w:rsidRPr="001225D4" w:rsidRDefault="002B7C72" w:rsidP="002B7C72">
      <w:pPr>
        <w:tabs>
          <w:tab w:val="left" w:pos="-1440"/>
          <w:tab w:val="left" w:pos="-720"/>
        </w:tabs>
        <w:jc w:val="both"/>
        <w:rPr>
          <w:sz w:val="20"/>
          <w:szCs w:val="20"/>
          <w:lang w:val="fr-CA"/>
        </w:rPr>
      </w:pPr>
    </w:p>
    <w:p w:rsidR="002B7C72" w:rsidRPr="001225D4" w:rsidRDefault="00D70052" w:rsidP="002B7C72">
      <w:pPr>
        <w:tabs>
          <w:tab w:val="left" w:pos="-1440"/>
          <w:tab w:val="left" w:pos="-720"/>
        </w:tabs>
        <w:jc w:val="both"/>
        <w:rPr>
          <w:sz w:val="20"/>
          <w:szCs w:val="20"/>
        </w:rPr>
      </w:pPr>
      <w:r w:rsidRPr="00D70052">
        <w:rPr>
          <w:sz w:val="20"/>
          <w:szCs w:val="20"/>
          <w:lang w:val="fr-CA"/>
        </w:rPr>
        <w:pict>
          <v:rect id="_x0000_i1091" style="width:2in;height:1pt" o:hrpct="0" o:hralign="center" o:hrstd="t" o:hrnoshade="t" o:hr="t" fillcolor="black [3213]" stroked="f"/>
        </w:pict>
      </w:r>
    </w:p>
    <w:p w:rsidR="002B7C72" w:rsidRPr="001225D4" w:rsidRDefault="002B7C72" w:rsidP="002B7C72">
      <w:pPr>
        <w:tabs>
          <w:tab w:val="left" w:pos="-1440"/>
          <w:tab w:val="left" w:pos="-720"/>
        </w:tabs>
        <w:jc w:val="both"/>
        <w:rPr>
          <w:sz w:val="20"/>
          <w:szCs w:val="20"/>
        </w:rPr>
      </w:pPr>
    </w:p>
    <w:p w:rsidR="002B7C72" w:rsidRPr="001225D4" w:rsidRDefault="002B7C72" w:rsidP="002B7C72">
      <w:pPr>
        <w:tabs>
          <w:tab w:val="left" w:pos="-1440"/>
          <w:tab w:val="left" w:pos="-720"/>
        </w:tabs>
        <w:jc w:val="both"/>
        <w:rPr>
          <w:sz w:val="20"/>
          <w:szCs w:val="20"/>
        </w:rPr>
      </w:pPr>
      <w:r w:rsidRPr="001225D4">
        <w:rPr>
          <w:sz w:val="20"/>
          <w:szCs w:val="20"/>
        </w:rPr>
        <w:t>20.06.2012</w:t>
      </w:r>
    </w:p>
    <w:p w:rsidR="002B7C72" w:rsidRPr="001225D4" w:rsidRDefault="002B7C72" w:rsidP="002B7C72">
      <w:pPr>
        <w:tabs>
          <w:tab w:val="left" w:pos="-1440"/>
          <w:tab w:val="left" w:pos="-720"/>
        </w:tabs>
        <w:jc w:val="both"/>
        <w:rPr>
          <w:sz w:val="20"/>
          <w:szCs w:val="20"/>
        </w:rPr>
      </w:pPr>
    </w:p>
    <w:p w:rsidR="002B7C72" w:rsidRPr="001225D4" w:rsidRDefault="002B7C72" w:rsidP="002B7C72">
      <w:pPr>
        <w:jc w:val="both"/>
        <w:rPr>
          <w:sz w:val="20"/>
          <w:szCs w:val="20"/>
        </w:rPr>
      </w:pPr>
      <w:r w:rsidRPr="001225D4">
        <w:rPr>
          <w:sz w:val="20"/>
          <w:szCs w:val="20"/>
        </w:rPr>
        <w:t>Before / Devant:   CROMWELL J. / LE JUGE CROMWELL</w:t>
      </w:r>
    </w:p>
    <w:p w:rsidR="002B7C72" w:rsidRPr="001225D4" w:rsidRDefault="002B7C72" w:rsidP="002B7C72">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7C72" w:rsidRPr="00147672" w:rsidTr="007A3220">
        <w:tc>
          <w:tcPr>
            <w:tcW w:w="4338" w:type="dxa"/>
          </w:tcPr>
          <w:p w:rsidR="002B7C72" w:rsidRPr="001225D4" w:rsidRDefault="002B7C72" w:rsidP="007A3220">
            <w:pPr>
              <w:jc w:val="both"/>
              <w:rPr>
                <w:b/>
                <w:sz w:val="20"/>
                <w:szCs w:val="20"/>
              </w:rPr>
            </w:pPr>
            <w:r w:rsidRPr="001225D4">
              <w:rPr>
                <w:b/>
                <w:sz w:val="20"/>
                <w:szCs w:val="20"/>
              </w:rPr>
              <w:t>Motion to expedite the application for leave to appeal</w:t>
            </w:r>
            <w:r w:rsidR="00D70052" w:rsidRPr="001225D4">
              <w:rPr>
                <w:sz w:val="20"/>
                <w:szCs w:val="20"/>
              </w:rPr>
              <w:fldChar w:fldCharType="begin"/>
            </w:r>
            <w:r w:rsidRPr="001225D4">
              <w:rPr>
                <w:sz w:val="20"/>
                <w:szCs w:val="20"/>
              </w:rPr>
              <w:instrText xml:space="preserve"> SEQ CHAPTER \h \r 1</w:instrText>
            </w:r>
            <w:r w:rsidR="00D70052" w:rsidRPr="001225D4">
              <w:rPr>
                <w:sz w:val="20"/>
                <w:szCs w:val="20"/>
              </w:rPr>
              <w:fldChar w:fldCharType="end"/>
            </w:r>
          </w:p>
        </w:tc>
        <w:tc>
          <w:tcPr>
            <w:tcW w:w="1170" w:type="dxa"/>
          </w:tcPr>
          <w:p w:rsidR="002B7C72" w:rsidRPr="001225D4" w:rsidRDefault="002B7C72" w:rsidP="007A3220">
            <w:pPr>
              <w:rPr>
                <w:sz w:val="20"/>
                <w:szCs w:val="20"/>
              </w:rPr>
            </w:pPr>
          </w:p>
          <w:p w:rsidR="002B7C72" w:rsidRPr="001225D4" w:rsidRDefault="002B7C72" w:rsidP="007A3220">
            <w:pPr>
              <w:rPr>
                <w:sz w:val="20"/>
                <w:szCs w:val="20"/>
              </w:rPr>
            </w:pPr>
          </w:p>
          <w:p w:rsidR="002B7C72" w:rsidRPr="001225D4" w:rsidRDefault="002B7C72" w:rsidP="007A3220">
            <w:pPr>
              <w:rPr>
                <w:sz w:val="20"/>
                <w:szCs w:val="20"/>
              </w:rPr>
            </w:pPr>
          </w:p>
        </w:tc>
        <w:tc>
          <w:tcPr>
            <w:tcW w:w="4327" w:type="dxa"/>
          </w:tcPr>
          <w:p w:rsidR="002B7C72" w:rsidRPr="001225D4" w:rsidRDefault="002B7C72" w:rsidP="007A3220">
            <w:pPr>
              <w:jc w:val="both"/>
              <w:rPr>
                <w:b/>
                <w:sz w:val="20"/>
                <w:szCs w:val="20"/>
                <w:lang w:val="fr-CA"/>
              </w:rPr>
            </w:pPr>
            <w:r w:rsidRPr="001225D4">
              <w:rPr>
                <w:b/>
                <w:bCs/>
                <w:sz w:val="20"/>
                <w:szCs w:val="20"/>
                <w:lang w:val="fr-CA"/>
              </w:rPr>
              <w:t xml:space="preserve">La requête visant à accélérer la procédure des demandes d’autorisation d’appel </w:t>
            </w:r>
            <w:r w:rsidR="00D70052" w:rsidRPr="001225D4">
              <w:rPr>
                <w:sz w:val="20"/>
                <w:szCs w:val="20"/>
              </w:rPr>
              <w:fldChar w:fldCharType="begin"/>
            </w:r>
            <w:r w:rsidRPr="001225D4">
              <w:rPr>
                <w:sz w:val="20"/>
                <w:szCs w:val="20"/>
                <w:lang w:val="fr-CA"/>
              </w:rPr>
              <w:instrText xml:space="preserve"> SEQ CHAPTER \h \r 1</w:instrText>
            </w:r>
            <w:r w:rsidR="00D70052" w:rsidRPr="001225D4">
              <w:rPr>
                <w:sz w:val="20"/>
                <w:szCs w:val="20"/>
              </w:rPr>
              <w:fldChar w:fldCharType="end"/>
            </w:r>
          </w:p>
        </w:tc>
      </w:tr>
      <w:tr w:rsidR="002B7C72" w:rsidRPr="001225D4" w:rsidTr="007A3220">
        <w:tc>
          <w:tcPr>
            <w:tcW w:w="4338" w:type="dxa"/>
          </w:tcPr>
          <w:p w:rsidR="002B7C72" w:rsidRPr="001225D4" w:rsidRDefault="002B7C72" w:rsidP="007A3220">
            <w:pPr>
              <w:tabs>
                <w:tab w:val="left" w:pos="-1440"/>
                <w:tab w:val="left" w:pos="-720"/>
              </w:tabs>
              <w:jc w:val="both"/>
              <w:rPr>
                <w:sz w:val="20"/>
                <w:szCs w:val="20"/>
              </w:rPr>
            </w:pPr>
            <w:r w:rsidRPr="001225D4">
              <w:rPr>
                <w:sz w:val="20"/>
                <w:szCs w:val="20"/>
              </w:rPr>
              <w:t>Computershare Trust Company of Canada</w:t>
            </w:r>
          </w:p>
          <w:p w:rsidR="002B7C72" w:rsidRPr="001225D4" w:rsidRDefault="002B7C72" w:rsidP="007A3220">
            <w:pPr>
              <w:tabs>
                <w:tab w:val="left" w:pos="-1440"/>
                <w:tab w:val="left" w:pos="-720"/>
              </w:tabs>
              <w:jc w:val="both"/>
              <w:rPr>
                <w:sz w:val="20"/>
                <w:szCs w:val="20"/>
              </w:rPr>
            </w:pPr>
          </w:p>
          <w:p w:rsidR="002B7C72" w:rsidRPr="001225D4" w:rsidRDefault="002B7C72" w:rsidP="007A3220">
            <w:pPr>
              <w:tabs>
                <w:tab w:val="left" w:pos="-1440"/>
                <w:tab w:val="left" w:pos="-720"/>
              </w:tabs>
              <w:jc w:val="both"/>
              <w:rPr>
                <w:sz w:val="20"/>
                <w:szCs w:val="20"/>
              </w:rPr>
            </w:pPr>
            <w:r w:rsidRPr="001225D4">
              <w:rPr>
                <w:sz w:val="20"/>
                <w:szCs w:val="20"/>
              </w:rPr>
              <w:tab/>
              <w:t>v. (34872)</w:t>
            </w:r>
          </w:p>
          <w:p w:rsidR="002B7C72" w:rsidRPr="001225D4" w:rsidRDefault="002B7C72" w:rsidP="007A3220">
            <w:pPr>
              <w:tabs>
                <w:tab w:val="left" w:pos="-1440"/>
                <w:tab w:val="left" w:pos="-720"/>
              </w:tabs>
              <w:jc w:val="both"/>
              <w:rPr>
                <w:sz w:val="20"/>
                <w:szCs w:val="20"/>
              </w:rPr>
            </w:pPr>
          </w:p>
          <w:p w:rsidR="002B7C72" w:rsidRPr="001225D4" w:rsidRDefault="002B7C72" w:rsidP="007A3220">
            <w:pPr>
              <w:rPr>
                <w:sz w:val="20"/>
                <w:szCs w:val="20"/>
              </w:rPr>
            </w:pPr>
            <w:r w:rsidRPr="001225D4">
              <w:rPr>
                <w:sz w:val="20"/>
                <w:szCs w:val="20"/>
                <w:lang w:val="fr-CA"/>
              </w:rPr>
              <w:t>Crystallex International Corporation et al. (Ont.)</w:t>
            </w:r>
          </w:p>
        </w:tc>
        <w:tc>
          <w:tcPr>
            <w:tcW w:w="1170" w:type="dxa"/>
          </w:tcPr>
          <w:p w:rsidR="002B7C72" w:rsidRPr="001225D4" w:rsidRDefault="002B7C72" w:rsidP="007A3220">
            <w:pPr>
              <w:rPr>
                <w:sz w:val="20"/>
                <w:szCs w:val="20"/>
              </w:rPr>
            </w:pPr>
          </w:p>
        </w:tc>
        <w:tc>
          <w:tcPr>
            <w:tcW w:w="4327" w:type="dxa"/>
          </w:tcPr>
          <w:p w:rsidR="002B7C72" w:rsidRPr="001225D4" w:rsidRDefault="002B7C72" w:rsidP="007A3220">
            <w:pPr>
              <w:rPr>
                <w:sz w:val="20"/>
                <w:szCs w:val="20"/>
              </w:rPr>
            </w:pPr>
          </w:p>
        </w:tc>
      </w:tr>
    </w:tbl>
    <w:p w:rsidR="002B7C72" w:rsidRPr="001225D4" w:rsidRDefault="002B7C72" w:rsidP="002B7C72">
      <w:pPr>
        <w:jc w:val="both"/>
        <w:rPr>
          <w:sz w:val="20"/>
          <w:szCs w:val="20"/>
        </w:rPr>
      </w:pPr>
    </w:p>
    <w:p w:rsidR="002B7C72" w:rsidRPr="001225D4" w:rsidRDefault="002B7C72" w:rsidP="002B7C72">
      <w:pPr>
        <w:tabs>
          <w:tab w:val="left" w:pos="-1440"/>
          <w:tab w:val="left" w:pos="-720"/>
        </w:tabs>
        <w:jc w:val="both"/>
        <w:rPr>
          <w:sz w:val="20"/>
          <w:szCs w:val="20"/>
        </w:rPr>
      </w:pPr>
      <w:r w:rsidRPr="001225D4">
        <w:rPr>
          <w:b/>
          <w:sz w:val="20"/>
          <w:szCs w:val="20"/>
        </w:rPr>
        <w:t>GRANTED / ACCORDÉE</w:t>
      </w:r>
    </w:p>
    <w:p w:rsidR="002B7C72" w:rsidRPr="001225D4" w:rsidRDefault="002B7C72" w:rsidP="002B7C72">
      <w:pPr>
        <w:tabs>
          <w:tab w:val="left" w:pos="-1440"/>
          <w:tab w:val="left" w:pos="-720"/>
        </w:tabs>
        <w:jc w:val="both"/>
        <w:rPr>
          <w:sz w:val="20"/>
          <w:szCs w:val="20"/>
        </w:rPr>
      </w:pPr>
    </w:p>
    <w:p w:rsidR="002B7C72" w:rsidRPr="001225D4" w:rsidRDefault="002B7C72" w:rsidP="002B7C72">
      <w:pPr>
        <w:ind w:right="-23"/>
        <w:jc w:val="both"/>
        <w:rPr>
          <w:sz w:val="20"/>
          <w:szCs w:val="20"/>
        </w:rPr>
      </w:pPr>
      <w:r w:rsidRPr="001225D4">
        <w:rPr>
          <w:b/>
          <w:bCs/>
          <w:sz w:val="20"/>
          <w:szCs w:val="20"/>
        </w:rPr>
        <w:t>UPON APPLICATION</w:t>
      </w:r>
      <w:r w:rsidRPr="001225D4">
        <w:rPr>
          <w:sz w:val="20"/>
          <w:szCs w:val="20"/>
        </w:rPr>
        <w:t xml:space="preserve"> by the applicant for an order expediting the application for leave to appeal;</w:t>
      </w:r>
    </w:p>
    <w:p w:rsidR="002B7C72" w:rsidRPr="001225D4" w:rsidRDefault="002B7C72" w:rsidP="002B7C72">
      <w:pPr>
        <w:spacing w:line="190" w:lineRule="auto"/>
        <w:ind w:right="-23"/>
        <w:jc w:val="both"/>
        <w:rPr>
          <w:sz w:val="20"/>
          <w:szCs w:val="20"/>
        </w:rPr>
      </w:pPr>
    </w:p>
    <w:p w:rsidR="002B7C72" w:rsidRPr="001225D4" w:rsidRDefault="002B7C72" w:rsidP="002B7C72">
      <w:pPr>
        <w:spacing w:line="233" w:lineRule="auto"/>
        <w:rPr>
          <w:sz w:val="20"/>
          <w:szCs w:val="20"/>
        </w:rPr>
      </w:pPr>
      <w:r w:rsidRPr="001225D4">
        <w:rPr>
          <w:b/>
          <w:bCs/>
          <w:sz w:val="20"/>
          <w:szCs w:val="20"/>
        </w:rPr>
        <w:t>AND THE MATERIAL FILED</w:t>
      </w:r>
      <w:r w:rsidRPr="001225D4">
        <w:rPr>
          <w:sz w:val="20"/>
          <w:szCs w:val="20"/>
        </w:rPr>
        <w:t xml:space="preserve"> having been read;</w:t>
      </w:r>
    </w:p>
    <w:p w:rsidR="002B7C72" w:rsidRPr="001225D4" w:rsidRDefault="002B7C72" w:rsidP="002B7C72">
      <w:pPr>
        <w:spacing w:line="190" w:lineRule="auto"/>
        <w:ind w:right="-23"/>
        <w:jc w:val="both"/>
        <w:rPr>
          <w:sz w:val="20"/>
          <w:szCs w:val="20"/>
        </w:rPr>
      </w:pPr>
    </w:p>
    <w:p w:rsidR="002B7C72" w:rsidRPr="001225D4" w:rsidRDefault="002B7C72" w:rsidP="002B7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0" w:lineRule="auto"/>
        <w:ind w:right="-23"/>
        <w:jc w:val="both"/>
        <w:rPr>
          <w:b/>
          <w:bCs/>
          <w:sz w:val="20"/>
          <w:szCs w:val="20"/>
        </w:rPr>
      </w:pPr>
      <w:r w:rsidRPr="001225D4">
        <w:rPr>
          <w:b/>
          <w:bCs/>
          <w:sz w:val="20"/>
          <w:szCs w:val="20"/>
        </w:rPr>
        <w:t>IT IS HEREBY ORDERED THAT:</w:t>
      </w:r>
    </w:p>
    <w:p w:rsidR="002B7C72" w:rsidRPr="001225D4" w:rsidRDefault="002B7C72" w:rsidP="002B7C72">
      <w:pPr>
        <w:spacing w:line="190" w:lineRule="auto"/>
        <w:ind w:right="-23"/>
        <w:jc w:val="both"/>
        <w:rPr>
          <w:sz w:val="20"/>
          <w:szCs w:val="20"/>
        </w:rPr>
      </w:pPr>
    </w:p>
    <w:p w:rsidR="002B7C72" w:rsidRPr="001225D4" w:rsidRDefault="002B7C72" w:rsidP="002B7C72">
      <w:pPr>
        <w:spacing w:line="190" w:lineRule="auto"/>
        <w:ind w:right="-29"/>
        <w:jc w:val="both"/>
        <w:rPr>
          <w:sz w:val="20"/>
          <w:szCs w:val="20"/>
        </w:rPr>
      </w:pPr>
      <w:r w:rsidRPr="001225D4">
        <w:rPr>
          <w:sz w:val="20"/>
          <w:szCs w:val="20"/>
        </w:rPr>
        <w:tab/>
        <w:t xml:space="preserve">The request to expedite the application for leave to appeal is granted without costs. </w:t>
      </w:r>
    </w:p>
    <w:p w:rsidR="002B7C72" w:rsidRPr="001225D4" w:rsidRDefault="002B7C72" w:rsidP="002B7C72">
      <w:pPr>
        <w:spacing w:line="190" w:lineRule="auto"/>
        <w:ind w:right="-29"/>
        <w:jc w:val="both"/>
        <w:rPr>
          <w:sz w:val="20"/>
          <w:szCs w:val="20"/>
        </w:rPr>
      </w:pPr>
    </w:p>
    <w:p w:rsidR="002B7C72" w:rsidRPr="001225D4" w:rsidRDefault="002B7C72" w:rsidP="002B7C72">
      <w:pPr>
        <w:spacing w:line="190" w:lineRule="auto"/>
        <w:ind w:right="-29"/>
        <w:jc w:val="both"/>
        <w:rPr>
          <w:sz w:val="20"/>
          <w:szCs w:val="20"/>
        </w:rPr>
      </w:pPr>
    </w:p>
    <w:p w:rsidR="002B7C72" w:rsidRPr="001225D4" w:rsidRDefault="002B7C72" w:rsidP="002B7C72">
      <w:pPr>
        <w:spacing w:line="190" w:lineRule="auto"/>
        <w:ind w:right="-23"/>
        <w:jc w:val="both"/>
        <w:rPr>
          <w:sz w:val="20"/>
          <w:szCs w:val="20"/>
          <w:lang w:val="fr-FR"/>
        </w:rPr>
      </w:pPr>
      <w:r w:rsidRPr="001225D4">
        <w:rPr>
          <w:b/>
          <w:sz w:val="20"/>
          <w:szCs w:val="20"/>
          <w:lang w:val="fr-FR"/>
        </w:rPr>
        <w:t>À LA SUITE DE LA REQUÊTE</w:t>
      </w:r>
      <w:r w:rsidRPr="001225D4">
        <w:rPr>
          <w:sz w:val="20"/>
          <w:szCs w:val="20"/>
          <w:lang w:val="fr-FR"/>
        </w:rPr>
        <w:t xml:space="preserve"> présentée par la demanderesse visant le traitement accéléré de la demande d’autorisation d’appel ;</w:t>
      </w:r>
    </w:p>
    <w:p w:rsidR="002B7C72" w:rsidRPr="001225D4" w:rsidRDefault="002B7C72" w:rsidP="002B7C72">
      <w:pPr>
        <w:spacing w:line="190" w:lineRule="auto"/>
        <w:ind w:right="-23"/>
        <w:jc w:val="both"/>
        <w:rPr>
          <w:sz w:val="20"/>
          <w:szCs w:val="20"/>
          <w:lang w:val="fr-FR"/>
        </w:rPr>
      </w:pPr>
    </w:p>
    <w:p w:rsidR="002B7C72" w:rsidRPr="001225D4" w:rsidRDefault="002B7C72" w:rsidP="002B7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0" w:lineRule="auto"/>
        <w:ind w:right="-23"/>
        <w:jc w:val="both"/>
        <w:rPr>
          <w:sz w:val="20"/>
          <w:szCs w:val="20"/>
          <w:lang w:val="fr-FR"/>
        </w:rPr>
      </w:pPr>
      <w:r w:rsidRPr="001225D4">
        <w:rPr>
          <w:b/>
          <w:sz w:val="20"/>
          <w:szCs w:val="20"/>
          <w:lang w:val="fr-FR"/>
        </w:rPr>
        <w:t>ET APRÈS EXAMEN</w:t>
      </w:r>
      <w:r w:rsidRPr="001225D4">
        <w:rPr>
          <w:sz w:val="20"/>
          <w:szCs w:val="20"/>
          <w:lang w:val="fr-FR"/>
        </w:rPr>
        <w:t xml:space="preserve"> des documents déposés ;</w:t>
      </w:r>
    </w:p>
    <w:p w:rsidR="002B7C72" w:rsidRPr="001225D4" w:rsidRDefault="002B7C72" w:rsidP="002B7C72">
      <w:pPr>
        <w:spacing w:line="190" w:lineRule="auto"/>
        <w:ind w:right="-23"/>
        <w:jc w:val="both"/>
        <w:rPr>
          <w:sz w:val="20"/>
          <w:szCs w:val="20"/>
          <w:lang w:val="fr-FR"/>
        </w:rPr>
      </w:pPr>
    </w:p>
    <w:p w:rsidR="002B7C72" w:rsidRPr="001225D4" w:rsidRDefault="002B7C72" w:rsidP="002B7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0" w:lineRule="auto"/>
        <w:ind w:right="-23"/>
        <w:jc w:val="both"/>
        <w:rPr>
          <w:b/>
          <w:sz w:val="20"/>
          <w:szCs w:val="20"/>
          <w:lang w:val="fr-FR"/>
        </w:rPr>
      </w:pPr>
      <w:r w:rsidRPr="001225D4">
        <w:rPr>
          <w:b/>
          <w:sz w:val="20"/>
          <w:szCs w:val="20"/>
          <w:lang w:val="fr-FR"/>
        </w:rPr>
        <w:lastRenderedPageBreak/>
        <w:t>IL EST ORDONNÉ CE QUI SUIT :</w:t>
      </w:r>
    </w:p>
    <w:p w:rsidR="002B7C72" w:rsidRPr="001225D4" w:rsidRDefault="002B7C72" w:rsidP="002B7C72">
      <w:pPr>
        <w:spacing w:line="190" w:lineRule="auto"/>
        <w:ind w:right="-23"/>
        <w:jc w:val="both"/>
        <w:rPr>
          <w:b/>
          <w:sz w:val="20"/>
          <w:szCs w:val="20"/>
          <w:lang w:val="fr-FR"/>
        </w:rPr>
      </w:pPr>
    </w:p>
    <w:p w:rsidR="002B7C72" w:rsidRPr="001225D4" w:rsidRDefault="002B7C72" w:rsidP="002B7C72">
      <w:pPr>
        <w:spacing w:line="190" w:lineRule="auto"/>
        <w:ind w:right="-23"/>
        <w:jc w:val="both"/>
        <w:rPr>
          <w:sz w:val="20"/>
          <w:szCs w:val="20"/>
          <w:lang w:val="fr-FR"/>
        </w:rPr>
      </w:pPr>
      <w:r w:rsidRPr="001225D4">
        <w:rPr>
          <w:sz w:val="20"/>
          <w:szCs w:val="20"/>
          <w:lang w:val="fr-FR"/>
        </w:rPr>
        <w:tab/>
        <w:t>La requête visant le traitement accéléré de la demande d’autorisation d’appel est accordée sans dépens.</w:t>
      </w:r>
    </w:p>
    <w:p w:rsidR="002B7C72" w:rsidRPr="001225D4" w:rsidRDefault="002B7C72" w:rsidP="002B7C72">
      <w:pPr>
        <w:jc w:val="both"/>
        <w:rPr>
          <w:sz w:val="20"/>
          <w:szCs w:val="20"/>
          <w:lang w:val="fr-FR"/>
        </w:rPr>
      </w:pPr>
    </w:p>
    <w:p w:rsidR="002B7C72" w:rsidRPr="001225D4" w:rsidRDefault="002B7C72" w:rsidP="002B7C72">
      <w:pPr>
        <w:tabs>
          <w:tab w:val="left" w:pos="-1440"/>
          <w:tab w:val="left" w:pos="-720"/>
        </w:tabs>
        <w:spacing w:line="-19" w:lineRule="auto"/>
        <w:jc w:val="both"/>
        <w:rPr>
          <w:sz w:val="20"/>
          <w:szCs w:val="20"/>
          <w:lang w:val="fr-CA"/>
        </w:rPr>
      </w:pPr>
    </w:p>
    <w:p w:rsidR="002B7C72" w:rsidRPr="001225D4" w:rsidRDefault="00D70052" w:rsidP="002B7C72">
      <w:pPr>
        <w:tabs>
          <w:tab w:val="left" w:pos="-1440"/>
          <w:tab w:val="left" w:pos="-720"/>
        </w:tabs>
        <w:jc w:val="both"/>
        <w:rPr>
          <w:sz w:val="20"/>
          <w:szCs w:val="20"/>
        </w:rPr>
      </w:pPr>
      <w:r w:rsidRPr="00D70052">
        <w:rPr>
          <w:sz w:val="20"/>
          <w:szCs w:val="20"/>
          <w:lang w:val="fr-CA"/>
        </w:rPr>
        <w:pict>
          <v:rect id="_x0000_i1092" style="width:2in;height:1pt" o:hrpct="0" o:hralign="center" o:hrstd="t" o:hrnoshade="t" o:hr="t" fillcolor="black [3213]" stroked="f"/>
        </w:pict>
      </w:r>
    </w:p>
    <w:p w:rsidR="002B7C72" w:rsidRDefault="002B7C72"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r w:rsidRPr="001225D4">
        <w:rPr>
          <w:sz w:val="20"/>
          <w:szCs w:val="20"/>
        </w:rPr>
        <w:t>20.06.2012</w:t>
      </w:r>
    </w:p>
    <w:p w:rsidR="00BE1E8A" w:rsidRPr="001225D4" w:rsidRDefault="00BE1E8A"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r w:rsidRPr="001225D4">
        <w:rPr>
          <w:sz w:val="20"/>
          <w:szCs w:val="20"/>
        </w:rPr>
        <w:t xml:space="preserve">Before / </w:t>
      </w:r>
      <w:proofErr w:type="gramStart"/>
      <w:r w:rsidRPr="001225D4">
        <w:rPr>
          <w:sz w:val="20"/>
          <w:szCs w:val="20"/>
        </w:rPr>
        <w:t>Devant :</w:t>
      </w:r>
      <w:proofErr w:type="gramEnd"/>
      <w:r w:rsidRPr="001225D4">
        <w:rPr>
          <w:sz w:val="20"/>
          <w:szCs w:val="20"/>
        </w:rPr>
        <w:t xml:space="preserve">   THE REGISTRAR / LE REGISTRAIRE </w:t>
      </w:r>
    </w:p>
    <w:p w:rsidR="00BE1E8A" w:rsidRPr="001225D4" w:rsidRDefault="00BE1E8A" w:rsidP="00BE1E8A">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E1E8A" w:rsidRPr="00147672" w:rsidTr="007A3220">
        <w:tc>
          <w:tcPr>
            <w:tcW w:w="4338" w:type="dxa"/>
          </w:tcPr>
          <w:p w:rsidR="00BE1E8A" w:rsidRPr="001225D4" w:rsidRDefault="00D70052" w:rsidP="007A3220">
            <w:pPr>
              <w:jc w:val="both"/>
              <w:rPr>
                <w:sz w:val="20"/>
                <w:szCs w:val="20"/>
              </w:rPr>
            </w:pPr>
            <w:r w:rsidRPr="001225D4">
              <w:rPr>
                <w:sz w:val="20"/>
                <w:szCs w:val="20"/>
              </w:rPr>
              <w:fldChar w:fldCharType="begin"/>
            </w:r>
            <w:r w:rsidR="00BE1E8A" w:rsidRPr="001225D4">
              <w:rPr>
                <w:sz w:val="20"/>
                <w:szCs w:val="20"/>
              </w:rPr>
              <w:instrText xml:space="preserve"> SEQ CHAPTER \h \r 1</w:instrText>
            </w:r>
            <w:r w:rsidRPr="001225D4">
              <w:rPr>
                <w:sz w:val="20"/>
                <w:szCs w:val="20"/>
              </w:rPr>
              <w:fldChar w:fldCharType="end"/>
            </w:r>
            <w:r w:rsidR="00BE1E8A" w:rsidRPr="001225D4">
              <w:rPr>
                <w:b/>
                <w:bCs/>
                <w:sz w:val="20"/>
                <w:szCs w:val="20"/>
              </w:rPr>
              <w:t>Motion by the respondent, Director under the Child, Youth and Family Enhancement Act to extend the time to serve and file the response to June 8, 2012</w:t>
            </w:r>
          </w:p>
        </w:tc>
        <w:tc>
          <w:tcPr>
            <w:tcW w:w="1170" w:type="dxa"/>
          </w:tcPr>
          <w:p w:rsidR="00BE1E8A" w:rsidRPr="001225D4" w:rsidRDefault="00BE1E8A" w:rsidP="007A3220">
            <w:pPr>
              <w:jc w:val="both"/>
              <w:rPr>
                <w:sz w:val="20"/>
                <w:szCs w:val="20"/>
              </w:rPr>
            </w:pPr>
          </w:p>
          <w:p w:rsidR="00BE1E8A" w:rsidRPr="001225D4" w:rsidRDefault="00BE1E8A" w:rsidP="007A3220">
            <w:pPr>
              <w:jc w:val="both"/>
              <w:rPr>
                <w:sz w:val="20"/>
                <w:szCs w:val="20"/>
              </w:rPr>
            </w:pPr>
          </w:p>
          <w:p w:rsidR="00BE1E8A" w:rsidRPr="001225D4" w:rsidRDefault="00BE1E8A" w:rsidP="007A3220">
            <w:pPr>
              <w:jc w:val="both"/>
              <w:rPr>
                <w:sz w:val="20"/>
                <w:szCs w:val="20"/>
              </w:rPr>
            </w:pPr>
          </w:p>
          <w:p w:rsidR="00BE1E8A" w:rsidRPr="001225D4" w:rsidRDefault="00BE1E8A" w:rsidP="007A3220">
            <w:pPr>
              <w:jc w:val="both"/>
              <w:rPr>
                <w:sz w:val="20"/>
                <w:szCs w:val="20"/>
              </w:rPr>
            </w:pPr>
          </w:p>
          <w:p w:rsidR="00BE1E8A" w:rsidRPr="001225D4" w:rsidRDefault="00BE1E8A" w:rsidP="007A3220">
            <w:pPr>
              <w:jc w:val="both"/>
              <w:rPr>
                <w:sz w:val="20"/>
                <w:szCs w:val="20"/>
              </w:rPr>
            </w:pPr>
          </w:p>
        </w:tc>
        <w:tc>
          <w:tcPr>
            <w:tcW w:w="4327" w:type="dxa"/>
          </w:tcPr>
          <w:p w:rsidR="00BE1E8A" w:rsidRPr="001225D4" w:rsidRDefault="00D70052" w:rsidP="007A3220">
            <w:pPr>
              <w:jc w:val="both"/>
              <w:rPr>
                <w:sz w:val="20"/>
                <w:szCs w:val="20"/>
                <w:lang w:val="fr-CA"/>
              </w:rPr>
            </w:pPr>
            <w:r w:rsidRPr="001225D4">
              <w:rPr>
                <w:sz w:val="20"/>
                <w:szCs w:val="20"/>
              </w:rPr>
              <w:fldChar w:fldCharType="begin"/>
            </w:r>
            <w:r w:rsidR="00BE1E8A" w:rsidRPr="001225D4">
              <w:rPr>
                <w:sz w:val="20"/>
                <w:szCs w:val="20"/>
                <w:lang w:val="fr-CA"/>
              </w:rPr>
              <w:instrText xml:space="preserve"> SEQ CHAPTER \h \r 1</w:instrText>
            </w:r>
            <w:r w:rsidRPr="001225D4">
              <w:rPr>
                <w:sz w:val="20"/>
                <w:szCs w:val="20"/>
              </w:rPr>
              <w:fldChar w:fldCharType="end"/>
            </w:r>
            <w:r w:rsidR="00BE1E8A" w:rsidRPr="001225D4">
              <w:rPr>
                <w:b/>
                <w:bCs/>
                <w:sz w:val="20"/>
                <w:szCs w:val="20"/>
                <w:lang w:val="fr-CA"/>
              </w:rPr>
              <w:t xml:space="preserve">Requête de l’intimé, le Director under the </w:t>
            </w:r>
            <w:r w:rsidR="00BE1E8A" w:rsidRPr="001225D4">
              <w:rPr>
                <w:b/>
                <w:bCs/>
                <w:i/>
                <w:sz w:val="20"/>
                <w:szCs w:val="20"/>
                <w:lang w:val="fr-CA"/>
              </w:rPr>
              <w:t>Child, Youth and Family Enhancement Act</w:t>
            </w:r>
            <w:r w:rsidR="00BE1E8A" w:rsidRPr="001225D4">
              <w:rPr>
                <w:b/>
                <w:bCs/>
                <w:sz w:val="20"/>
                <w:szCs w:val="20"/>
                <w:lang w:val="fr-CA"/>
              </w:rPr>
              <w:t>, en prorogation du délai de signification et de dépôt de la réponse jusqu’au 8 juin 2012</w:t>
            </w:r>
          </w:p>
        </w:tc>
      </w:tr>
      <w:tr w:rsidR="00BE1E8A" w:rsidRPr="001225D4" w:rsidTr="007A3220">
        <w:tc>
          <w:tcPr>
            <w:tcW w:w="4338" w:type="dxa"/>
          </w:tcPr>
          <w:p w:rsidR="00BE1E8A" w:rsidRPr="001225D4" w:rsidRDefault="00BE1E8A" w:rsidP="007A3220">
            <w:pPr>
              <w:tabs>
                <w:tab w:val="left" w:pos="-1440"/>
                <w:tab w:val="left" w:pos="-720"/>
              </w:tabs>
              <w:jc w:val="both"/>
              <w:rPr>
                <w:sz w:val="20"/>
                <w:szCs w:val="20"/>
                <w:lang w:val="fr-CA"/>
              </w:rPr>
            </w:pPr>
            <w:r w:rsidRPr="001225D4">
              <w:rPr>
                <w:sz w:val="20"/>
                <w:szCs w:val="20"/>
                <w:lang w:val="fr-CA"/>
              </w:rPr>
              <w:t>L.K.D.</w:t>
            </w:r>
          </w:p>
          <w:p w:rsidR="00BE1E8A" w:rsidRPr="001225D4" w:rsidRDefault="00BE1E8A" w:rsidP="007A3220">
            <w:pPr>
              <w:tabs>
                <w:tab w:val="left" w:pos="-1440"/>
                <w:tab w:val="left" w:pos="-720"/>
              </w:tabs>
              <w:jc w:val="both"/>
              <w:rPr>
                <w:sz w:val="20"/>
                <w:szCs w:val="20"/>
                <w:lang w:val="fr-CA"/>
              </w:rPr>
            </w:pPr>
          </w:p>
          <w:p w:rsidR="00BE1E8A" w:rsidRPr="001225D4" w:rsidRDefault="00BE1E8A" w:rsidP="007A3220">
            <w:pPr>
              <w:tabs>
                <w:tab w:val="left" w:pos="-1440"/>
                <w:tab w:val="left" w:pos="-720"/>
              </w:tabs>
              <w:jc w:val="both"/>
              <w:rPr>
                <w:sz w:val="20"/>
                <w:szCs w:val="20"/>
                <w:lang w:val="fr-CA"/>
              </w:rPr>
            </w:pPr>
            <w:r w:rsidRPr="001225D4">
              <w:rPr>
                <w:sz w:val="20"/>
                <w:szCs w:val="20"/>
                <w:lang w:val="fr-CA"/>
              </w:rPr>
              <w:tab/>
              <w:t>v. (34814)</w:t>
            </w:r>
          </w:p>
          <w:p w:rsidR="00BE1E8A" w:rsidRPr="001225D4" w:rsidRDefault="00BE1E8A" w:rsidP="007A3220">
            <w:pPr>
              <w:tabs>
                <w:tab w:val="left" w:pos="-1440"/>
                <w:tab w:val="left" w:pos="-720"/>
              </w:tabs>
              <w:jc w:val="both"/>
              <w:rPr>
                <w:sz w:val="20"/>
                <w:szCs w:val="20"/>
                <w:lang w:val="fr-CA"/>
              </w:rPr>
            </w:pPr>
          </w:p>
          <w:p w:rsidR="00BE1E8A" w:rsidRPr="001225D4" w:rsidRDefault="00BE1E8A" w:rsidP="007A3220">
            <w:pPr>
              <w:tabs>
                <w:tab w:val="left" w:pos="-1440"/>
                <w:tab w:val="left" w:pos="-720"/>
              </w:tabs>
              <w:jc w:val="both"/>
              <w:rPr>
                <w:sz w:val="20"/>
                <w:szCs w:val="20"/>
                <w:lang w:val="fr-CA"/>
              </w:rPr>
            </w:pPr>
            <w:r w:rsidRPr="001225D4">
              <w:rPr>
                <w:sz w:val="20"/>
                <w:szCs w:val="20"/>
                <w:lang w:val="fr-CA"/>
              </w:rPr>
              <w:t>J.B. et al. (Alta.)</w:t>
            </w:r>
          </w:p>
        </w:tc>
        <w:tc>
          <w:tcPr>
            <w:tcW w:w="1170" w:type="dxa"/>
          </w:tcPr>
          <w:p w:rsidR="00BE1E8A" w:rsidRPr="001225D4" w:rsidRDefault="00BE1E8A" w:rsidP="007A3220">
            <w:pPr>
              <w:tabs>
                <w:tab w:val="left" w:pos="-1440"/>
                <w:tab w:val="left" w:pos="-720"/>
              </w:tabs>
              <w:jc w:val="both"/>
              <w:rPr>
                <w:sz w:val="20"/>
                <w:szCs w:val="20"/>
                <w:lang w:val="fr-CA"/>
              </w:rPr>
            </w:pPr>
          </w:p>
        </w:tc>
        <w:tc>
          <w:tcPr>
            <w:tcW w:w="4327" w:type="dxa"/>
          </w:tcPr>
          <w:p w:rsidR="00BE1E8A" w:rsidRPr="001225D4" w:rsidRDefault="00BE1E8A" w:rsidP="007A3220">
            <w:pPr>
              <w:tabs>
                <w:tab w:val="left" w:pos="-1440"/>
                <w:tab w:val="left" w:pos="-720"/>
              </w:tabs>
              <w:jc w:val="both"/>
              <w:rPr>
                <w:sz w:val="20"/>
                <w:szCs w:val="20"/>
                <w:lang w:val="fr-CA"/>
              </w:rPr>
            </w:pPr>
          </w:p>
        </w:tc>
      </w:tr>
    </w:tbl>
    <w:p w:rsidR="00BE1E8A" w:rsidRPr="001225D4" w:rsidRDefault="00BE1E8A" w:rsidP="00BE1E8A">
      <w:pPr>
        <w:tabs>
          <w:tab w:val="left" w:pos="-1440"/>
          <w:tab w:val="left" w:pos="-720"/>
        </w:tabs>
        <w:jc w:val="both"/>
        <w:rPr>
          <w:sz w:val="20"/>
          <w:szCs w:val="20"/>
          <w:lang w:val="fr-CA"/>
        </w:rPr>
      </w:pPr>
    </w:p>
    <w:p w:rsidR="00BE1E8A" w:rsidRPr="001225D4" w:rsidRDefault="00BE1E8A" w:rsidP="00BE1E8A">
      <w:pPr>
        <w:tabs>
          <w:tab w:val="left" w:pos="-1440"/>
          <w:tab w:val="left" w:pos="-720"/>
        </w:tabs>
        <w:jc w:val="both"/>
        <w:rPr>
          <w:b/>
          <w:sz w:val="20"/>
          <w:szCs w:val="20"/>
          <w:lang w:val="fr-CA"/>
        </w:rPr>
      </w:pPr>
      <w:r w:rsidRPr="001225D4">
        <w:rPr>
          <w:b/>
          <w:sz w:val="20"/>
          <w:szCs w:val="20"/>
          <w:lang w:val="fr-CA"/>
        </w:rPr>
        <w:t>GRANTED / ACCORDÉE</w:t>
      </w:r>
    </w:p>
    <w:p w:rsidR="00BE1E8A" w:rsidRPr="001225D4" w:rsidRDefault="00BE1E8A" w:rsidP="00BE1E8A">
      <w:pPr>
        <w:tabs>
          <w:tab w:val="left" w:pos="-1440"/>
          <w:tab w:val="left" w:pos="-720"/>
        </w:tabs>
        <w:jc w:val="both"/>
        <w:rPr>
          <w:sz w:val="20"/>
          <w:szCs w:val="20"/>
          <w:lang w:val="fr-CA"/>
        </w:rPr>
      </w:pPr>
    </w:p>
    <w:p w:rsidR="00BE1E8A" w:rsidRPr="001225D4" w:rsidRDefault="00D70052" w:rsidP="00BE1E8A">
      <w:pPr>
        <w:tabs>
          <w:tab w:val="left" w:pos="-1440"/>
          <w:tab w:val="left" w:pos="-720"/>
        </w:tabs>
        <w:jc w:val="both"/>
        <w:rPr>
          <w:sz w:val="20"/>
          <w:szCs w:val="20"/>
          <w:lang w:val="fr-CA"/>
        </w:rPr>
      </w:pPr>
      <w:r w:rsidRPr="00D70052">
        <w:rPr>
          <w:sz w:val="20"/>
          <w:szCs w:val="20"/>
          <w:lang w:val="fr-CA"/>
        </w:rPr>
        <w:pict>
          <v:rect id="_x0000_i1093" style="width:2in;height:1pt" o:hrpct="0" o:hralign="center" o:hrstd="t" o:hrnoshade="t" o:hr="t" fillcolor="black [3213]" stroked="f"/>
        </w:pict>
      </w:r>
    </w:p>
    <w:p w:rsidR="00BE1E8A" w:rsidRPr="001225D4" w:rsidRDefault="00BE1E8A" w:rsidP="00BE1E8A">
      <w:pPr>
        <w:tabs>
          <w:tab w:val="left" w:pos="-1440"/>
          <w:tab w:val="left" w:pos="-720"/>
        </w:tabs>
        <w:jc w:val="both"/>
        <w:rPr>
          <w:sz w:val="20"/>
          <w:szCs w:val="20"/>
          <w:lang w:val="fr-CA"/>
        </w:rPr>
      </w:pPr>
    </w:p>
    <w:p w:rsidR="00BE1E8A" w:rsidRPr="001225D4" w:rsidRDefault="00BE1E8A" w:rsidP="00BE1E8A">
      <w:pPr>
        <w:tabs>
          <w:tab w:val="left" w:pos="-1440"/>
          <w:tab w:val="left" w:pos="-720"/>
        </w:tabs>
        <w:jc w:val="both"/>
        <w:rPr>
          <w:sz w:val="20"/>
          <w:szCs w:val="20"/>
          <w:lang w:val="fr-CA"/>
        </w:rPr>
      </w:pPr>
      <w:r w:rsidRPr="001225D4">
        <w:rPr>
          <w:sz w:val="20"/>
          <w:szCs w:val="20"/>
          <w:lang w:val="fr-CA"/>
        </w:rPr>
        <w:t>20.06.2012</w:t>
      </w:r>
    </w:p>
    <w:p w:rsidR="00BE1E8A" w:rsidRPr="001225D4" w:rsidRDefault="00BE1E8A" w:rsidP="00BE1E8A">
      <w:pPr>
        <w:tabs>
          <w:tab w:val="left" w:pos="-1440"/>
          <w:tab w:val="left" w:pos="-720"/>
        </w:tabs>
        <w:jc w:val="both"/>
        <w:rPr>
          <w:sz w:val="20"/>
          <w:szCs w:val="20"/>
          <w:lang w:val="fr-CA"/>
        </w:rPr>
      </w:pPr>
    </w:p>
    <w:p w:rsidR="00BE1E8A" w:rsidRPr="001225D4" w:rsidRDefault="00BE1E8A" w:rsidP="00BE1E8A">
      <w:pPr>
        <w:tabs>
          <w:tab w:val="left" w:pos="-1440"/>
          <w:tab w:val="left" w:pos="-720"/>
        </w:tabs>
        <w:jc w:val="both"/>
        <w:rPr>
          <w:sz w:val="20"/>
          <w:szCs w:val="20"/>
          <w:lang w:val="fr-CA"/>
        </w:rPr>
      </w:pPr>
      <w:r w:rsidRPr="001225D4">
        <w:rPr>
          <w:sz w:val="20"/>
          <w:szCs w:val="20"/>
          <w:lang w:val="fr-CA"/>
        </w:rPr>
        <w:t>Before / Devant :   CROMWELL J. / LE JUGE CROMWELL</w:t>
      </w:r>
    </w:p>
    <w:p w:rsidR="00BE1E8A" w:rsidRPr="001225D4" w:rsidRDefault="00BE1E8A" w:rsidP="00BE1E8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E1E8A" w:rsidRPr="001225D4" w:rsidTr="007A3220">
        <w:tc>
          <w:tcPr>
            <w:tcW w:w="4338" w:type="dxa"/>
            <w:gridSpan w:val="2"/>
          </w:tcPr>
          <w:p w:rsidR="00BE1E8A" w:rsidRPr="001225D4" w:rsidRDefault="00BE1E8A" w:rsidP="007A3220">
            <w:pPr>
              <w:rPr>
                <w:b/>
                <w:sz w:val="20"/>
                <w:szCs w:val="20"/>
              </w:rPr>
            </w:pPr>
            <w:r w:rsidRPr="001225D4">
              <w:rPr>
                <w:b/>
                <w:sz w:val="20"/>
                <w:szCs w:val="20"/>
              </w:rPr>
              <w:t>Motions for leave to intervene</w:t>
            </w:r>
            <w:r w:rsidRPr="001225D4">
              <w:rPr>
                <w:sz w:val="20"/>
                <w:szCs w:val="20"/>
              </w:rPr>
              <w:t xml:space="preserve"> </w:t>
            </w:r>
            <w:r w:rsidR="00D70052" w:rsidRPr="001225D4">
              <w:rPr>
                <w:sz w:val="20"/>
                <w:szCs w:val="20"/>
              </w:rPr>
              <w:fldChar w:fldCharType="begin"/>
            </w:r>
            <w:r w:rsidRPr="001225D4">
              <w:rPr>
                <w:sz w:val="20"/>
                <w:szCs w:val="20"/>
              </w:rPr>
              <w:instrText xml:space="preserve"> SEQ CHAPTER \h \r 1</w:instrText>
            </w:r>
            <w:r w:rsidR="00D70052" w:rsidRPr="001225D4">
              <w:rPr>
                <w:sz w:val="20"/>
                <w:szCs w:val="20"/>
              </w:rPr>
              <w:fldChar w:fldCharType="end"/>
            </w:r>
          </w:p>
        </w:tc>
        <w:tc>
          <w:tcPr>
            <w:tcW w:w="1170" w:type="dxa"/>
          </w:tcPr>
          <w:p w:rsidR="00BE1E8A" w:rsidRPr="001225D4" w:rsidRDefault="00BE1E8A" w:rsidP="007A3220">
            <w:pPr>
              <w:rPr>
                <w:sz w:val="20"/>
                <w:szCs w:val="20"/>
              </w:rPr>
            </w:pPr>
          </w:p>
          <w:p w:rsidR="00BE1E8A" w:rsidRPr="001225D4" w:rsidRDefault="00BE1E8A" w:rsidP="007A3220">
            <w:pPr>
              <w:rPr>
                <w:sz w:val="20"/>
                <w:szCs w:val="20"/>
              </w:rPr>
            </w:pPr>
          </w:p>
        </w:tc>
        <w:tc>
          <w:tcPr>
            <w:tcW w:w="4327" w:type="dxa"/>
          </w:tcPr>
          <w:p w:rsidR="00BE1E8A" w:rsidRPr="001225D4" w:rsidRDefault="00BE1E8A" w:rsidP="007A3220">
            <w:pPr>
              <w:rPr>
                <w:b/>
                <w:sz w:val="20"/>
                <w:szCs w:val="20"/>
              </w:rPr>
            </w:pPr>
            <w:r w:rsidRPr="001225D4">
              <w:rPr>
                <w:b/>
                <w:bCs/>
                <w:sz w:val="20"/>
                <w:szCs w:val="20"/>
                <w:lang w:val="fr-CA"/>
              </w:rPr>
              <w:t>Requêtes en autorisation d’intervenir</w:t>
            </w:r>
            <w:r w:rsidRPr="001225D4">
              <w:rPr>
                <w:sz w:val="20"/>
                <w:szCs w:val="20"/>
              </w:rPr>
              <w:t xml:space="preserve"> </w:t>
            </w:r>
            <w:r w:rsidR="00D70052" w:rsidRPr="001225D4">
              <w:rPr>
                <w:sz w:val="20"/>
                <w:szCs w:val="20"/>
              </w:rPr>
              <w:fldChar w:fldCharType="begin"/>
            </w:r>
            <w:r w:rsidRPr="001225D4">
              <w:rPr>
                <w:sz w:val="20"/>
                <w:szCs w:val="20"/>
              </w:rPr>
              <w:instrText xml:space="preserve"> SEQ CHAPTER \h \r 1</w:instrText>
            </w:r>
            <w:r w:rsidR="00D70052" w:rsidRPr="001225D4">
              <w:rPr>
                <w:sz w:val="20"/>
                <w:szCs w:val="20"/>
              </w:rPr>
              <w:fldChar w:fldCharType="end"/>
            </w:r>
          </w:p>
        </w:tc>
      </w:tr>
      <w:tr w:rsidR="00BE1E8A" w:rsidRPr="001225D4" w:rsidTr="007A3220">
        <w:tc>
          <w:tcPr>
            <w:tcW w:w="1368" w:type="dxa"/>
          </w:tcPr>
          <w:p w:rsidR="00BE1E8A" w:rsidRPr="001225D4" w:rsidRDefault="00BE1E8A" w:rsidP="007A3220">
            <w:pPr>
              <w:rPr>
                <w:sz w:val="20"/>
                <w:szCs w:val="20"/>
              </w:rPr>
            </w:pPr>
            <w:r w:rsidRPr="001225D4">
              <w:rPr>
                <w:sz w:val="20"/>
                <w:szCs w:val="20"/>
              </w:rPr>
              <w:t>BY / PAR</w:t>
            </w:r>
          </w:p>
        </w:tc>
        <w:tc>
          <w:tcPr>
            <w:tcW w:w="2970" w:type="dxa"/>
          </w:tcPr>
          <w:p w:rsidR="00BE1E8A" w:rsidRPr="001225D4" w:rsidRDefault="00BE1E8A" w:rsidP="007A3220">
            <w:pPr>
              <w:rPr>
                <w:sz w:val="20"/>
                <w:szCs w:val="20"/>
              </w:rPr>
            </w:pPr>
            <w:r w:rsidRPr="001225D4">
              <w:rPr>
                <w:sz w:val="20"/>
                <w:szCs w:val="20"/>
              </w:rPr>
              <w:t>Director of Public Prosecutions of Canada;</w:t>
            </w: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rPr>
                <w:sz w:val="20"/>
                <w:szCs w:val="20"/>
              </w:rPr>
            </w:pPr>
            <w:r w:rsidRPr="001225D4">
              <w:rPr>
                <w:sz w:val="20"/>
                <w:szCs w:val="20"/>
              </w:rPr>
              <w:t>British Columbia Civil Liberties Association</w:t>
            </w: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r w:rsidRPr="001225D4">
              <w:rPr>
                <w:sz w:val="20"/>
                <w:szCs w:val="20"/>
              </w:rPr>
              <w:t>IN / DANS :</w:t>
            </w:r>
          </w:p>
        </w:tc>
        <w:tc>
          <w:tcPr>
            <w:tcW w:w="2970" w:type="dxa"/>
          </w:tcPr>
          <w:p w:rsidR="00BE1E8A" w:rsidRPr="001225D4" w:rsidRDefault="00BE1E8A" w:rsidP="007A3220">
            <w:pPr>
              <w:rPr>
                <w:sz w:val="20"/>
                <w:szCs w:val="20"/>
              </w:rPr>
            </w:pPr>
            <w:r w:rsidRPr="001225D4">
              <w:rPr>
                <w:sz w:val="20"/>
                <w:szCs w:val="20"/>
              </w:rPr>
              <w:t>J.F.</w:t>
            </w:r>
          </w:p>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rPr>
                <w:sz w:val="20"/>
                <w:szCs w:val="20"/>
              </w:rPr>
            </w:pPr>
            <w:r w:rsidRPr="001225D4">
              <w:rPr>
                <w:sz w:val="20"/>
                <w:szCs w:val="20"/>
              </w:rPr>
              <w:tab/>
              <w:t>v. (34284)</w:t>
            </w:r>
          </w:p>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jc w:val="both"/>
              <w:rPr>
                <w:sz w:val="20"/>
                <w:szCs w:val="20"/>
              </w:rPr>
            </w:pPr>
            <w:r w:rsidRPr="001225D4">
              <w:rPr>
                <w:sz w:val="20"/>
                <w:szCs w:val="20"/>
              </w:rPr>
              <w:t>Her Majesty the Queen (Crim.) (Ont.)</w:t>
            </w: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bl>
    <w:p w:rsidR="00BE1E8A" w:rsidRPr="001225D4" w:rsidRDefault="00BE1E8A"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r w:rsidRPr="001225D4">
        <w:rPr>
          <w:b/>
          <w:sz w:val="20"/>
          <w:szCs w:val="20"/>
        </w:rPr>
        <w:t>GRANTED / ACCORDÉES</w:t>
      </w:r>
    </w:p>
    <w:p w:rsidR="00BE1E8A" w:rsidRPr="001225D4" w:rsidRDefault="00BE1E8A" w:rsidP="00BE1E8A">
      <w:pPr>
        <w:tabs>
          <w:tab w:val="left" w:pos="-1440"/>
          <w:tab w:val="left" w:pos="-720"/>
        </w:tabs>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 xml:space="preserve">UPON APPLICATIONS </w:t>
      </w:r>
      <w:r w:rsidRPr="001225D4">
        <w:rPr>
          <w:sz w:val="20"/>
          <w:szCs w:val="20"/>
        </w:rPr>
        <w:t>by the Director of Public Prosecutions of Canada and the British Columbia Civil Liberties Association for leave to intervene in the above appeal;</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AND THE MATERIAL FILED</w:t>
      </w:r>
      <w:r w:rsidRPr="001225D4">
        <w:rPr>
          <w:sz w:val="20"/>
          <w:szCs w:val="20"/>
        </w:rPr>
        <w:t xml:space="preserve"> having been read;</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IT IS HEREBY ORDERED THAT:</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motion for leave to intervene by the British Columbia Civil Liberties Association is granted and the said intervener shall be entitled to serve and file a factum not to exceed 10 pages in length on or before August 15, 2012.</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motion for leave to intervene by the Director of Public Prosecutions of Canada is dismissed.</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request to present oral argument is deferred to a date following receipt and consideration of the written arguments of the parties and the intervener.</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intervener is not entitled to raise new issues or to adduce further evidence or otherwise to supplement the record of the parties.</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Pursuant to Rule 59(1</w:t>
      </w:r>
      <w:proofErr w:type="gramStart"/>
      <w:r w:rsidRPr="001225D4">
        <w:rPr>
          <w:sz w:val="20"/>
          <w:szCs w:val="20"/>
        </w:rPr>
        <w:t>)(</w:t>
      </w:r>
      <w:proofErr w:type="gramEnd"/>
      <w:r w:rsidRPr="001225D4">
        <w:rPr>
          <w:i/>
          <w:iCs/>
          <w:sz w:val="20"/>
          <w:szCs w:val="20"/>
        </w:rPr>
        <w:t>a</w:t>
      </w:r>
      <w:r w:rsidRPr="001225D4">
        <w:rPr>
          <w:sz w:val="20"/>
          <w:szCs w:val="20"/>
        </w:rPr>
        <w:t xml:space="preserve">) of the </w:t>
      </w:r>
      <w:r w:rsidRPr="001225D4">
        <w:rPr>
          <w:i/>
          <w:iCs/>
          <w:sz w:val="20"/>
          <w:szCs w:val="20"/>
        </w:rPr>
        <w:t>Rules of the Supreme Court of Canada</w:t>
      </w:r>
      <w:r w:rsidRPr="001225D4">
        <w:rPr>
          <w:sz w:val="20"/>
          <w:szCs w:val="20"/>
        </w:rPr>
        <w:t xml:space="preserve">, the intervener shall pay to the appellant and respondent any additional disbursements occasioned to the appellant and respondent by its intervention. </w:t>
      </w:r>
    </w:p>
    <w:p w:rsidR="00BE1E8A" w:rsidRPr="001225D4" w:rsidRDefault="00BE1E8A"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p>
    <w:p w:rsidR="00BE1E8A" w:rsidRPr="001225D4" w:rsidRDefault="00BE1E8A" w:rsidP="00BE1E8A">
      <w:pPr>
        <w:spacing w:line="233" w:lineRule="auto"/>
        <w:jc w:val="both"/>
        <w:rPr>
          <w:sz w:val="20"/>
          <w:szCs w:val="20"/>
          <w:lang w:val="fr-FR"/>
        </w:rPr>
      </w:pPr>
      <w:r w:rsidRPr="001225D4">
        <w:rPr>
          <w:b/>
          <w:sz w:val="20"/>
          <w:szCs w:val="20"/>
          <w:lang w:val="fr-FR"/>
        </w:rPr>
        <w:t>À LA SUITE DES DEMANDES</w:t>
      </w:r>
      <w:r w:rsidRPr="001225D4">
        <w:rPr>
          <w:sz w:val="20"/>
          <w:szCs w:val="20"/>
          <w:lang w:val="fr-FR"/>
        </w:rPr>
        <w:t xml:space="preserve"> présentées par le Directeur des poursuites pénales du Canada et par l’Association des libertés civiles de la Colombie</w:t>
      </w:r>
      <w:r w:rsidRPr="001225D4">
        <w:rPr>
          <w:rFonts w:ascii="MS Mincho" w:eastAsia="MS Mincho" w:hAnsi="MS Mincho" w:cs="MS Mincho" w:hint="eastAsia"/>
          <w:sz w:val="20"/>
          <w:szCs w:val="20"/>
          <w:lang w:val="fr-FR"/>
        </w:rPr>
        <w:t>‑</w:t>
      </w:r>
      <w:r w:rsidRPr="001225D4">
        <w:rPr>
          <w:sz w:val="20"/>
          <w:szCs w:val="20"/>
          <w:lang w:val="fr-FR"/>
        </w:rPr>
        <w:t>Britannique en autorisation d'intervenir dans l'appel;</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b/>
          <w:sz w:val="20"/>
          <w:szCs w:val="20"/>
          <w:lang w:val="fr-FR"/>
        </w:rPr>
        <w:t>ET APRÈS EXAMEN</w:t>
      </w:r>
      <w:r w:rsidRPr="001225D4">
        <w:rPr>
          <w:sz w:val="20"/>
          <w:szCs w:val="20"/>
          <w:lang w:val="fr-FR"/>
        </w:rPr>
        <w:t xml:space="preserve"> des documents déposés; </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b/>
          <w:sz w:val="20"/>
          <w:szCs w:val="20"/>
          <w:lang w:val="fr-FR"/>
        </w:rPr>
      </w:pPr>
      <w:r w:rsidRPr="001225D4">
        <w:rPr>
          <w:b/>
          <w:sz w:val="20"/>
          <w:szCs w:val="20"/>
          <w:lang w:val="fr-FR"/>
        </w:rPr>
        <w:t xml:space="preserve">IL EST ORDONNÉ CE QUI SUIT : </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sz w:val="20"/>
          <w:szCs w:val="20"/>
          <w:lang w:val="fr-FR"/>
        </w:rPr>
        <w:t>La requête en autorisation d'intervenir présentée par l’Association des libertés civiles de la Colombie</w:t>
      </w:r>
      <w:r w:rsidRPr="001225D4">
        <w:rPr>
          <w:rFonts w:ascii="MS Mincho" w:eastAsia="MS Mincho" w:hAnsi="MS Mincho" w:cs="MS Mincho" w:hint="eastAsia"/>
          <w:sz w:val="20"/>
          <w:szCs w:val="20"/>
          <w:lang w:val="fr-FR"/>
        </w:rPr>
        <w:t>‑</w:t>
      </w:r>
      <w:r w:rsidRPr="001225D4">
        <w:rPr>
          <w:sz w:val="20"/>
          <w:szCs w:val="20"/>
          <w:lang w:val="fr-FR"/>
        </w:rPr>
        <w:t xml:space="preserve">Britannique est accordée et l’intervenante en question pourra signifier et déposer un mémoire d'au plus dix (10) pages au plus tard le 15 août 2012. </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sz w:val="20"/>
          <w:szCs w:val="20"/>
          <w:lang w:val="fr-FR"/>
        </w:rPr>
        <w:t>La requête en autorisation d'intervenir présentée par le Directeur des poursuites pénales du Canada est rejetée</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sz w:val="20"/>
          <w:szCs w:val="20"/>
          <w:lang w:val="fr-FR"/>
        </w:rPr>
        <w:t xml:space="preserve">La décision sur la demande en vue de présenter une plaidoirie orale sera rendue après réception et examen des arguments écrits des parties et de l'intervenante. </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sz w:val="20"/>
          <w:szCs w:val="20"/>
          <w:lang w:val="fr-FR"/>
        </w:rPr>
        <w:t>L'intervenante n'a pas le droit de soulever de nouvelles questions, de produire d'autres éléments de preuve ni de compléter de quelque autre façon le dossier des parties.</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sz w:val="20"/>
          <w:szCs w:val="20"/>
          <w:lang w:val="fr-FR"/>
        </w:rPr>
        <w:t>Conformément à l'alinéa 59(1)</w:t>
      </w:r>
      <w:r w:rsidRPr="001225D4">
        <w:rPr>
          <w:i/>
          <w:sz w:val="20"/>
          <w:szCs w:val="20"/>
          <w:lang w:val="fr-FR"/>
        </w:rPr>
        <w:t>a</w:t>
      </w:r>
      <w:r w:rsidRPr="001225D4">
        <w:rPr>
          <w:sz w:val="20"/>
          <w:szCs w:val="20"/>
          <w:lang w:val="fr-FR"/>
        </w:rPr>
        <w:t xml:space="preserve">) des </w:t>
      </w:r>
      <w:r w:rsidRPr="001225D4">
        <w:rPr>
          <w:i/>
          <w:sz w:val="20"/>
          <w:szCs w:val="20"/>
          <w:lang w:val="fr-FR"/>
        </w:rPr>
        <w:t>Règles de la Cour suprême du Canada</w:t>
      </w:r>
      <w:r w:rsidRPr="001225D4">
        <w:rPr>
          <w:sz w:val="20"/>
          <w:szCs w:val="20"/>
          <w:lang w:val="fr-FR"/>
        </w:rPr>
        <w:t>, l'intervenante paiera à l’appelant et à l'intimée tous débours supplémentaires résultant de son intervention.</w:t>
      </w:r>
    </w:p>
    <w:p w:rsidR="00BE1E8A" w:rsidRPr="001225D4" w:rsidRDefault="00BE1E8A" w:rsidP="00BE1E8A">
      <w:pPr>
        <w:tabs>
          <w:tab w:val="left" w:pos="-1440"/>
          <w:tab w:val="left" w:pos="-720"/>
        </w:tabs>
        <w:jc w:val="both"/>
        <w:rPr>
          <w:sz w:val="20"/>
          <w:szCs w:val="20"/>
          <w:lang w:val="fr-FR"/>
        </w:rPr>
      </w:pPr>
    </w:p>
    <w:p w:rsidR="00BE1E8A" w:rsidRPr="001225D4" w:rsidRDefault="00D70052" w:rsidP="00BE1E8A">
      <w:pPr>
        <w:tabs>
          <w:tab w:val="left" w:pos="-1440"/>
          <w:tab w:val="left" w:pos="-720"/>
        </w:tabs>
        <w:jc w:val="both"/>
        <w:rPr>
          <w:sz w:val="20"/>
          <w:szCs w:val="20"/>
          <w:lang w:val="fr-CA"/>
        </w:rPr>
      </w:pPr>
      <w:r w:rsidRPr="00D70052">
        <w:rPr>
          <w:sz w:val="20"/>
          <w:szCs w:val="20"/>
          <w:lang w:val="fr-CA"/>
        </w:rPr>
        <w:pict>
          <v:rect id="_x0000_i1094" style="width:2in;height:1pt" o:hrpct="0" o:hralign="center" o:hrstd="t" o:hrnoshade="t" o:hr="t" fillcolor="black [3213]" stroked="f"/>
        </w:pict>
      </w:r>
    </w:p>
    <w:p w:rsidR="00BE1E8A" w:rsidRPr="001225D4" w:rsidRDefault="00BE1E8A" w:rsidP="00BE1E8A">
      <w:pPr>
        <w:tabs>
          <w:tab w:val="left" w:pos="-1440"/>
          <w:tab w:val="left" w:pos="-720"/>
        </w:tabs>
        <w:jc w:val="both"/>
        <w:rPr>
          <w:sz w:val="20"/>
          <w:szCs w:val="20"/>
          <w:lang w:val="fr-CA"/>
        </w:rPr>
      </w:pPr>
    </w:p>
    <w:p w:rsidR="002B7C72" w:rsidRPr="001225D4" w:rsidRDefault="002B7C72" w:rsidP="002B7C72">
      <w:pPr>
        <w:tabs>
          <w:tab w:val="left" w:pos="-1440"/>
          <w:tab w:val="left" w:pos="-720"/>
        </w:tabs>
        <w:jc w:val="both"/>
        <w:rPr>
          <w:sz w:val="20"/>
          <w:szCs w:val="20"/>
          <w:lang w:val="fr-CA"/>
        </w:rPr>
      </w:pPr>
      <w:r w:rsidRPr="001225D4">
        <w:rPr>
          <w:sz w:val="20"/>
          <w:szCs w:val="20"/>
          <w:lang w:val="fr-CA"/>
        </w:rPr>
        <w:t>20.06.2012</w:t>
      </w:r>
    </w:p>
    <w:p w:rsidR="002B7C72" w:rsidRPr="001225D4" w:rsidRDefault="002B7C72" w:rsidP="002B7C72">
      <w:pPr>
        <w:tabs>
          <w:tab w:val="left" w:pos="-1440"/>
          <w:tab w:val="left" w:pos="-720"/>
        </w:tabs>
        <w:jc w:val="both"/>
        <w:rPr>
          <w:sz w:val="20"/>
          <w:szCs w:val="20"/>
          <w:lang w:val="fr-CA"/>
        </w:rPr>
      </w:pPr>
    </w:p>
    <w:p w:rsidR="002B7C72" w:rsidRPr="001225D4" w:rsidRDefault="002B7C72" w:rsidP="002B7C72">
      <w:pPr>
        <w:tabs>
          <w:tab w:val="left" w:pos="-1440"/>
          <w:tab w:val="left" w:pos="-720"/>
        </w:tabs>
        <w:jc w:val="both"/>
        <w:rPr>
          <w:sz w:val="20"/>
          <w:szCs w:val="20"/>
          <w:lang w:val="fr-CA"/>
        </w:rPr>
      </w:pPr>
      <w:r w:rsidRPr="001225D4">
        <w:rPr>
          <w:sz w:val="20"/>
          <w:szCs w:val="20"/>
          <w:lang w:val="fr-CA"/>
        </w:rPr>
        <w:t>Before / Devant :   FISH J. / LE JUGE FISH</w:t>
      </w:r>
    </w:p>
    <w:p w:rsidR="002B7C72" w:rsidRPr="001225D4" w:rsidRDefault="002B7C72" w:rsidP="002B7C7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7C72" w:rsidRPr="00D61692" w:rsidTr="007A3220">
        <w:tc>
          <w:tcPr>
            <w:tcW w:w="4338" w:type="dxa"/>
          </w:tcPr>
          <w:p w:rsidR="002B7C72" w:rsidRPr="001225D4" w:rsidRDefault="00D70052" w:rsidP="007A3220">
            <w:pPr>
              <w:spacing w:line="233" w:lineRule="auto"/>
              <w:jc w:val="both"/>
              <w:rPr>
                <w:b/>
                <w:bCs/>
                <w:sz w:val="20"/>
                <w:szCs w:val="20"/>
              </w:rPr>
            </w:pPr>
            <w:r w:rsidRPr="001225D4">
              <w:rPr>
                <w:sz w:val="20"/>
                <w:szCs w:val="20"/>
              </w:rPr>
              <w:fldChar w:fldCharType="begin"/>
            </w:r>
            <w:r w:rsidR="002B7C72" w:rsidRPr="001225D4">
              <w:rPr>
                <w:sz w:val="20"/>
                <w:szCs w:val="20"/>
              </w:rPr>
              <w:instrText xml:space="preserve"> SEQ CHAPTER \h \r 1</w:instrText>
            </w:r>
            <w:r w:rsidRPr="001225D4">
              <w:rPr>
                <w:sz w:val="20"/>
                <w:szCs w:val="20"/>
              </w:rPr>
              <w:fldChar w:fldCharType="end"/>
            </w:r>
            <w:r w:rsidR="002B7C72" w:rsidRPr="001225D4">
              <w:rPr>
                <w:b/>
                <w:bCs/>
                <w:sz w:val="20"/>
                <w:szCs w:val="20"/>
              </w:rPr>
              <w:t>Motion to extend the time to serve and file the respondent’s factum and book of authorities to June 15, 2012, and to present oral argument at the hearing of the appeal</w:t>
            </w:r>
          </w:p>
          <w:p w:rsidR="002B7C72" w:rsidRPr="001225D4" w:rsidRDefault="002B7C72" w:rsidP="007A3220">
            <w:pPr>
              <w:spacing w:line="233" w:lineRule="auto"/>
              <w:jc w:val="both"/>
              <w:rPr>
                <w:sz w:val="20"/>
                <w:szCs w:val="20"/>
              </w:rPr>
            </w:pPr>
          </w:p>
          <w:p w:rsidR="002B7C72" w:rsidRPr="001225D4" w:rsidRDefault="002B7C72" w:rsidP="007A3220">
            <w:pPr>
              <w:spacing w:line="233" w:lineRule="auto"/>
              <w:jc w:val="both"/>
              <w:rPr>
                <w:sz w:val="20"/>
                <w:szCs w:val="20"/>
              </w:rPr>
            </w:pPr>
          </w:p>
        </w:tc>
        <w:tc>
          <w:tcPr>
            <w:tcW w:w="1170" w:type="dxa"/>
          </w:tcPr>
          <w:p w:rsidR="002B7C72" w:rsidRPr="001225D4" w:rsidRDefault="002B7C72" w:rsidP="007A3220">
            <w:pPr>
              <w:spacing w:line="233" w:lineRule="auto"/>
              <w:rPr>
                <w:sz w:val="20"/>
                <w:szCs w:val="20"/>
              </w:rPr>
            </w:pPr>
          </w:p>
        </w:tc>
        <w:tc>
          <w:tcPr>
            <w:tcW w:w="4327" w:type="dxa"/>
          </w:tcPr>
          <w:p w:rsidR="002B7C72" w:rsidRPr="001225D4" w:rsidRDefault="00D70052" w:rsidP="007A3220">
            <w:pPr>
              <w:jc w:val="both"/>
              <w:rPr>
                <w:sz w:val="20"/>
                <w:szCs w:val="20"/>
                <w:lang w:val="fr-CA"/>
              </w:rPr>
            </w:pPr>
            <w:r w:rsidRPr="001225D4">
              <w:rPr>
                <w:sz w:val="20"/>
                <w:szCs w:val="20"/>
              </w:rPr>
              <w:fldChar w:fldCharType="begin"/>
            </w:r>
            <w:r w:rsidR="002B7C72" w:rsidRPr="001225D4">
              <w:rPr>
                <w:sz w:val="20"/>
                <w:szCs w:val="20"/>
                <w:lang w:val="fr-CA"/>
              </w:rPr>
              <w:instrText xml:space="preserve"> SEQ CHAPTER \h \r 1</w:instrText>
            </w:r>
            <w:r w:rsidRPr="001225D4">
              <w:rPr>
                <w:sz w:val="20"/>
                <w:szCs w:val="20"/>
              </w:rPr>
              <w:fldChar w:fldCharType="end"/>
            </w:r>
            <w:r w:rsidR="002B7C72" w:rsidRPr="001225D4">
              <w:rPr>
                <w:b/>
                <w:bCs/>
                <w:sz w:val="20"/>
                <w:szCs w:val="20"/>
                <w:lang w:val="fr-CA"/>
              </w:rPr>
              <w:t xml:space="preserve">Requête en prorogation du délai de signification et de dépôt des </w:t>
            </w:r>
            <w:proofErr w:type="gramStart"/>
            <w:r w:rsidR="002B7C72" w:rsidRPr="001225D4">
              <w:rPr>
                <w:b/>
                <w:bCs/>
                <w:sz w:val="20"/>
                <w:szCs w:val="20"/>
                <w:lang w:val="fr-CA"/>
              </w:rPr>
              <w:t>mémoire</w:t>
            </w:r>
            <w:proofErr w:type="gramEnd"/>
            <w:r w:rsidR="002B7C72" w:rsidRPr="001225D4">
              <w:rPr>
                <w:b/>
                <w:bCs/>
                <w:sz w:val="20"/>
                <w:szCs w:val="20"/>
                <w:lang w:val="fr-CA"/>
              </w:rPr>
              <w:t xml:space="preserve"> et recueil de sources de l’intimée jusqu’au 15 juin 2012, et en vue de présenter une plaidoirie orale lors de l’audition de l’appel</w:t>
            </w:r>
          </w:p>
          <w:p w:rsidR="002B7C72" w:rsidRPr="001225D4" w:rsidRDefault="002B7C72" w:rsidP="007A3220">
            <w:pPr>
              <w:spacing w:line="233" w:lineRule="auto"/>
              <w:jc w:val="both"/>
              <w:rPr>
                <w:sz w:val="20"/>
                <w:szCs w:val="20"/>
                <w:lang w:val="fr-CA"/>
              </w:rPr>
            </w:pPr>
          </w:p>
        </w:tc>
      </w:tr>
      <w:tr w:rsidR="002B7C72" w:rsidRPr="001225D4" w:rsidTr="007A3220">
        <w:tc>
          <w:tcPr>
            <w:tcW w:w="4338" w:type="dxa"/>
          </w:tcPr>
          <w:p w:rsidR="002B7C72" w:rsidRPr="001225D4" w:rsidRDefault="002B7C72" w:rsidP="007A3220">
            <w:pPr>
              <w:tabs>
                <w:tab w:val="left" w:pos="-1440"/>
                <w:tab w:val="left" w:pos="-720"/>
              </w:tabs>
              <w:jc w:val="both"/>
              <w:rPr>
                <w:sz w:val="20"/>
                <w:szCs w:val="20"/>
                <w:lang w:val="fr-CA"/>
              </w:rPr>
            </w:pPr>
            <w:r w:rsidRPr="001225D4">
              <w:rPr>
                <w:sz w:val="20"/>
                <w:szCs w:val="20"/>
                <w:lang w:val="fr-CA"/>
              </w:rPr>
              <w:t>Sa Majesté la Reine</w:t>
            </w:r>
          </w:p>
          <w:p w:rsidR="002B7C72" w:rsidRPr="001225D4" w:rsidRDefault="002B7C72" w:rsidP="007A3220">
            <w:pPr>
              <w:tabs>
                <w:tab w:val="left" w:pos="-1440"/>
                <w:tab w:val="left" w:pos="-720"/>
              </w:tabs>
              <w:jc w:val="both"/>
              <w:rPr>
                <w:sz w:val="20"/>
                <w:szCs w:val="20"/>
                <w:lang w:val="fr-CA"/>
              </w:rPr>
            </w:pPr>
          </w:p>
          <w:p w:rsidR="002B7C72" w:rsidRPr="001225D4" w:rsidRDefault="002B7C72" w:rsidP="007A3220">
            <w:pPr>
              <w:tabs>
                <w:tab w:val="left" w:pos="-1440"/>
                <w:tab w:val="left" w:pos="-720"/>
              </w:tabs>
              <w:jc w:val="both"/>
              <w:rPr>
                <w:sz w:val="20"/>
                <w:szCs w:val="20"/>
                <w:lang w:val="fr-CA"/>
              </w:rPr>
            </w:pPr>
            <w:r w:rsidRPr="001225D4">
              <w:rPr>
                <w:sz w:val="20"/>
                <w:szCs w:val="20"/>
                <w:lang w:val="fr-CA"/>
              </w:rPr>
              <w:tab/>
              <w:t>c. (34557)</w:t>
            </w:r>
          </w:p>
          <w:p w:rsidR="002B7C72" w:rsidRPr="001225D4" w:rsidRDefault="002B7C72" w:rsidP="007A3220">
            <w:pPr>
              <w:tabs>
                <w:tab w:val="left" w:pos="-1440"/>
                <w:tab w:val="left" w:pos="-720"/>
              </w:tabs>
              <w:jc w:val="both"/>
              <w:rPr>
                <w:sz w:val="20"/>
                <w:szCs w:val="20"/>
                <w:lang w:val="fr-CA"/>
              </w:rPr>
            </w:pPr>
          </w:p>
          <w:p w:rsidR="002B7C72" w:rsidRPr="001225D4" w:rsidRDefault="002B7C72" w:rsidP="007A3220">
            <w:pPr>
              <w:tabs>
                <w:tab w:val="left" w:pos="-1440"/>
                <w:tab w:val="left" w:pos="-720"/>
              </w:tabs>
              <w:jc w:val="both"/>
              <w:rPr>
                <w:sz w:val="20"/>
                <w:szCs w:val="20"/>
              </w:rPr>
            </w:pPr>
            <w:r w:rsidRPr="001225D4">
              <w:rPr>
                <w:sz w:val="20"/>
                <w:szCs w:val="20"/>
              </w:rPr>
              <w:t>Nicole Rochon (Crim.) (Qc)</w:t>
            </w:r>
          </w:p>
        </w:tc>
        <w:tc>
          <w:tcPr>
            <w:tcW w:w="1170" w:type="dxa"/>
          </w:tcPr>
          <w:p w:rsidR="002B7C72" w:rsidRPr="001225D4" w:rsidRDefault="002B7C72" w:rsidP="007A3220">
            <w:pPr>
              <w:tabs>
                <w:tab w:val="left" w:pos="-1440"/>
                <w:tab w:val="left" w:pos="-720"/>
              </w:tabs>
              <w:jc w:val="both"/>
              <w:rPr>
                <w:sz w:val="20"/>
                <w:szCs w:val="20"/>
              </w:rPr>
            </w:pPr>
          </w:p>
        </w:tc>
        <w:tc>
          <w:tcPr>
            <w:tcW w:w="4327" w:type="dxa"/>
          </w:tcPr>
          <w:p w:rsidR="002B7C72" w:rsidRPr="001225D4" w:rsidRDefault="002B7C72" w:rsidP="007A3220">
            <w:pPr>
              <w:tabs>
                <w:tab w:val="left" w:pos="-1440"/>
                <w:tab w:val="left" w:pos="-720"/>
              </w:tabs>
              <w:jc w:val="both"/>
              <w:rPr>
                <w:sz w:val="20"/>
                <w:szCs w:val="20"/>
              </w:rPr>
            </w:pPr>
          </w:p>
        </w:tc>
      </w:tr>
    </w:tbl>
    <w:p w:rsidR="002B7C72" w:rsidRPr="001225D4" w:rsidRDefault="002B7C72" w:rsidP="002B7C72">
      <w:pPr>
        <w:tabs>
          <w:tab w:val="left" w:pos="-1440"/>
          <w:tab w:val="left" w:pos="-720"/>
        </w:tabs>
        <w:jc w:val="both"/>
        <w:rPr>
          <w:sz w:val="20"/>
          <w:szCs w:val="20"/>
        </w:rPr>
      </w:pPr>
    </w:p>
    <w:p w:rsidR="002B7C72" w:rsidRPr="001225D4" w:rsidRDefault="002B7C72" w:rsidP="002B7C72">
      <w:pPr>
        <w:tabs>
          <w:tab w:val="left" w:pos="-1440"/>
          <w:tab w:val="left" w:pos="-720"/>
        </w:tabs>
        <w:jc w:val="both"/>
        <w:rPr>
          <w:b/>
          <w:sz w:val="20"/>
          <w:szCs w:val="20"/>
        </w:rPr>
      </w:pPr>
      <w:r w:rsidRPr="001225D4">
        <w:rPr>
          <w:b/>
          <w:sz w:val="20"/>
          <w:szCs w:val="20"/>
        </w:rPr>
        <w:t>GRANTED / ACCORDÉE</w:t>
      </w:r>
    </w:p>
    <w:p w:rsidR="002B7C72" w:rsidRPr="001225D4" w:rsidRDefault="002B7C72" w:rsidP="002B7C72">
      <w:pPr>
        <w:tabs>
          <w:tab w:val="left" w:pos="-1440"/>
          <w:tab w:val="left" w:pos="-720"/>
        </w:tabs>
        <w:jc w:val="both"/>
        <w:rPr>
          <w:sz w:val="20"/>
          <w:szCs w:val="20"/>
        </w:rPr>
      </w:pPr>
    </w:p>
    <w:p w:rsidR="002B7C72" w:rsidRPr="001225D4" w:rsidRDefault="00D70052" w:rsidP="002B7C72">
      <w:pPr>
        <w:tabs>
          <w:tab w:val="left" w:pos="-1440"/>
          <w:tab w:val="left" w:pos="-720"/>
        </w:tabs>
        <w:jc w:val="both"/>
        <w:rPr>
          <w:sz w:val="20"/>
          <w:szCs w:val="20"/>
        </w:rPr>
      </w:pPr>
      <w:r w:rsidRPr="00D70052">
        <w:rPr>
          <w:sz w:val="20"/>
          <w:szCs w:val="20"/>
          <w:lang w:val="fr-CA"/>
        </w:rPr>
        <w:pict>
          <v:rect id="_x0000_i1095" style="width:2in;height:1pt" o:hrpct="0" o:hralign="center" o:hrstd="t" o:hrnoshade="t" o:hr="t" fillcolor="black [3213]" stroked="f"/>
        </w:pict>
      </w:r>
    </w:p>
    <w:p w:rsidR="002B7C72" w:rsidRPr="001225D4" w:rsidRDefault="002B7C72" w:rsidP="002B7C72">
      <w:pPr>
        <w:tabs>
          <w:tab w:val="left" w:pos="-1440"/>
          <w:tab w:val="left" w:pos="-720"/>
        </w:tabs>
        <w:jc w:val="both"/>
        <w:rPr>
          <w:sz w:val="20"/>
          <w:szCs w:val="20"/>
          <w:lang w:val="fr-CA"/>
        </w:rPr>
      </w:pPr>
    </w:p>
    <w:p w:rsidR="00BE1E8A" w:rsidRPr="001225D4" w:rsidRDefault="00BE1E8A" w:rsidP="00BE1E8A">
      <w:pPr>
        <w:tabs>
          <w:tab w:val="left" w:pos="-1440"/>
          <w:tab w:val="left" w:pos="-720"/>
        </w:tabs>
        <w:jc w:val="both"/>
        <w:rPr>
          <w:sz w:val="20"/>
          <w:szCs w:val="20"/>
          <w:lang w:val="fr-CA"/>
        </w:rPr>
      </w:pPr>
      <w:r w:rsidRPr="001225D4">
        <w:rPr>
          <w:sz w:val="20"/>
          <w:szCs w:val="20"/>
          <w:lang w:val="fr-CA"/>
        </w:rPr>
        <w:lastRenderedPageBreak/>
        <w:t>21.06.2012</w:t>
      </w:r>
    </w:p>
    <w:p w:rsidR="00BE1E8A" w:rsidRPr="001225D4" w:rsidRDefault="00BE1E8A" w:rsidP="00BE1E8A">
      <w:pPr>
        <w:tabs>
          <w:tab w:val="left" w:pos="-1440"/>
          <w:tab w:val="left" w:pos="-720"/>
        </w:tabs>
        <w:jc w:val="both"/>
        <w:rPr>
          <w:sz w:val="20"/>
          <w:szCs w:val="20"/>
          <w:lang w:val="fr-CA"/>
        </w:rPr>
      </w:pPr>
    </w:p>
    <w:p w:rsidR="00BE1E8A" w:rsidRPr="001225D4" w:rsidRDefault="00BE1E8A" w:rsidP="00BE1E8A">
      <w:pPr>
        <w:tabs>
          <w:tab w:val="left" w:pos="-1440"/>
          <w:tab w:val="left" w:pos="-720"/>
        </w:tabs>
        <w:jc w:val="both"/>
        <w:rPr>
          <w:sz w:val="20"/>
          <w:szCs w:val="20"/>
          <w:lang w:val="fr-CA"/>
        </w:rPr>
      </w:pPr>
      <w:r w:rsidRPr="001225D4">
        <w:rPr>
          <w:sz w:val="20"/>
          <w:szCs w:val="20"/>
          <w:lang w:val="fr-CA"/>
        </w:rPr>
        <w:t>Before / Devant :   CROMWELL J. / LE JUGE CROMWELL</w:t>
      </w:r>
    </w:p>
    <w:p w:rsidR="00BE1E8A" w:rsidRPr="001225D4" w:rsidRDefault="00BE1E8A" w:rsidP="00BE1E8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E1E8A" w:rsidRPr="001225D4" w:rsidTr="007A3220">
        <w:tc>
          <w:tcPr>
            <w:tcW w:w="4338" w:type="dxa"/>
            <w:gridSpan w:val="2"/>
          </w:tcPr>
          <w:p w:rsidR="00BE1E8A" w:rsidRPr="001225D4" w:rsidRDefault="00BE1E8A" w:rsidP="007A3220">
            <w:pPr>
              <w:rPr>
                <w:b/>
                <w:sz w:val="20"/>
                <w:szCs w:val="20"/>
              </w:rPr>
            </w:pPr>
            <w:r w:rsidRPr="001225D4">
              <w:rPr>
                <w:b/>
                <w:sz w:val="20"/>
                <w:szCs w:val="20"/>
              </w:rPr>
              <w:t>Motion for leave to intervene</w:t>
            </w:r>
            <w:r w:rsidRPr="001225D4">
              <w:rPr>
                <w:sz w:val="20"/>
                <w:szCs w:val="20"/>
              </w:rPr>
              <w:t xml:space="preserve"> </w:t>
            </w:r>
            <w:r w:rsidR="00D70052" w:rsidRPr="001225D4">
              <w:rPr>
                <w:sz w:val="20"/>
                <w:szCs w:val="20"/>
              </w:rPr>
              <w:fldChar w:fldCharType="begin"/>
            </w:r>
            <w:r w:rsidRPr="001225D4">
              <w:rPr>
                <w:sz w:val="20"/>
                <w:szCs w:val="20"/>
              </w:rPr>
              <w:instrText xml:space="preserve"> SEQ CHAPTER \h \r 1</w:instrText>
            </w:r>
            <w:r w:rsidR="00D70052" w:rsidRPr="001225D4">
              <w:rPr>
                <w:sz w:val="20"/>
                <w:szCs w:val="20"/>
              </w:rPr>
              <w:fldChar w:fldCharType="end"/>
            </w:r>
          </w:p>
        </w:tc>
        <w:tc>
          <w:tcPr>
            <w:tcW w:w="1170" w:type="dxa"/>
          </w:tcPr>
          <w:p w:rsidR="00BE1E8A" w:rsidRPr="001225D4" w:rsidRDefault="00BE1E8A" w:rsidP="007A3220">
            <w:pPr>
              <w:rPr>
                <w:sz w:val="20"/>
                <w:szCs w:val="20"/>
              </w:rPr>
            </w:pPr>
          </w:p>
          <w:p w:rsidR="00BE1E8A" w:rsidRPr="001225D4" w:rsidRDefault="00BE1E8A" w:rsidP="007A3220">
            <w:pPr>
              <w:rPr>
                <w:sz w:val="20"/>
                <w:szCs w:val="20"/>
              </w:rPr>
            </w:pPr>
          </w:p>
        </w:tc>
        <w:tc>
          <w:tcPr>
            <w:tcW w:w="4327" w:type="dxa"/>
          </w:tcPr>
          <w:p w:rsidR="00BE1E8A" w:rsidRPr="001225D4" w:rsidRDefault="00BE1E8A" w:rsidP="007A3220">
            <w:pPr>
              <w:rPr>
                <w:b/>
                <w:sz w:val="20"/>
                <w:szCs w:val="20"/>
              </w:rPr>
            </w:pPr>
            <w:r w:rsidRPr="001225D4">
              <w:rPr>
                <w:b/>
                <w:bCs/>
                <w:sz w:val="20"/>
                <w:szCs w:val="20"/>
                <w:lang w:val="fr-CA"/>
              </w:rPr>
              <w:t>Requête en autorisation d’intervenir</w:t>
            </w:r>
            <w:r w:rsidRPr="001225D4">
              <w:rPr>
                <w:sz w:val="20"/>
                <w:szCs w:val="20"/>
              </w:rPr>
              <w:t xml:space="preserve"> </w:t>
            </w:r>
            <w:r w:rsidR="00D70052" w:rsidRPr="001225D4">
              <w:rPr>
                <w:sz w:val="20"/>
                <w:szCs w:val="20"/>
              </w:rPr>
              <w:fldChar w:fldCharType="begin"/>
            </w:r>
            <w:r w:rsidRPr="001225D4">
              <w:rPr>
                <w:sz w:val="20"/>
                <w:szCs w:val="20"/>
              </w:rPr>
              <w:instrText xml:space="preserve"> SEQ CHAPTER \h \r 1</w:instrText>
            </w:r>
            <w:r w:rsidR="00D70052" w:rsidRPr="001225D4">
              <w:rPr>
                <w:sz w:val="20"/>
                <w:szCs w:val="20"/>
              </w:rPr>
              <w:fldChar w:fldCharType="end"/>
            </w:r>
          </w:p>
        </w:tc>
      </w:tr>
      <w:tr w:rsidR="00BE1E8A" w:rsidRPr="001225D4" w:rsidTr="007A3220">
        <w:tc>
          <w:tcPr>
            <w:tcW w:w="1368" w:type="dxa"/>
          </w:tcPr>
          <w:p w:rsidR="00BE1E8A" w:rsidRPr="001225D4" w:rsidRDefault="00BE1E8A" w:rsidP="007A3220">
            <w:pPr>
              <w:rPr>
                <w:sz w:val="20"/>
                <w:szCs w:val="20"/>
              </w:rPr>
            </w:pPr>
            <w:r w:rsidRPr="001225D4">
              <w:rPr>
                <w:sz w:val="20"/>
                <w:szCs w:val="20"/>
              </w:rPr>
              <w:t>BY / PAR</w:t>
            </w:r>
          </w:p>
        </w:tc>
        <w:tc>
          <w:tcPr>
            <w:tcW w:w="2970" w:type="dxa"/>
          </w:tcPr>
          <w:p w:rsidR="00BE1E8A" w:rsidRPr="001225D4" w:rsidRDefault="00BE1E8A" w:rsidP="007A3220">
            <w:pPr>
              <w:rPr>
                <w:sz w:val="20"/>
                <w:szCs w:val="20"/>
              </w:rPr>
            </w:pPr>
            <w:r w:rsidRPr="001225D4">
              <w:rPr>
                <w:sz w:val="20"/>
                <w:szCs w:val="20"/>
              </w:rPr>
              <w:t>Criminal Lawyers Association of Canada</w:t>
            </w: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r w:rsidRPr="001225D4">
              <w:rPr>
                <w:sz w:val="20"/>
                <w:szCs w:val="20"/>
              </w:rPr>
              <w:t>IN / DANS :</w:t>
            </w:r>
          </w:p>
        </w:tc>
        <w:tc>
          <w:tcPr>
            <w:tcW w:w="2970" w:type="dxa"/>
          </w:tcPr>
          <w:p w:rsidR="00BE1E8A" w:rsidRPr="001225D4" w:rsidRDefault="00BE1E8A" w:rsidP="007A3220">
            <w:pPr>
              <w:rPr>
                <w:sz w:val="20"/>
                <w:szCs w:val="20"/>
              </w:rPr>
            </w:pPr>
            <w:r w:rsidRPr="001225D4">
              <w:rPr>
                <w:sz w:val="20"/>
                <w:szCs w:val="20"/>
              </w:rPr>
              <w:t>Ivana Levkovic</w:t>
            </w:r>
          </w:p>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rPr>
                <w:sz w:val="20"/>
                <w:szCs w:val="20"/>
              </w:rPr>
            </w:pPr>
            <w:r w:rsidRPr="001225D4">
              <w:rPr>
                <w:sz w:val="20"/>
                <w:szCs w:val="20"/>
              </w:rPr>
              <w:tab/>
              <w:t>v. (34229)</w:t>
            </w:r>
          </w:p>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jc w:val="both"/>
              <w:rPr>
                <w:sz w:val="20"/>
                <w:szCs w:val="20"/>
              </w:rPr>
            </w:pPr>
            <w:r w:rsidRPr="001225D4">
              <w:rPr>
                <w:sz w:val="20"/>
                <w:szCs w:val="20"/>
              </w:rPr>
              <w:t>Her Majesty the Queen (Ont.)</w:t>
            </w: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bl>
    <w:p w:rsidR="00BE1E8A" w:rsidRPr="001225D4" w:rsidRDefault="00BE1E8A"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r w:rsidRPr="001225D4">
        <w:rPr>
          <w:b/>
          <w:sz w:val="20"/>
          <w:szCs w:val="20"/>
        </w:rPr>
        <w:t>GRANTED / ACCORDÉE</w:t>
      </w:r>
    </w:p>
    <w:p w:rsidR="00BE1E8A" w:rsidRPr="001225D4" w:rsidRDefault="00BE1E8A" w:rsidP="00BE1E8A">
      <w:pPr>
        <w:tabs>
          <w:tab w:val="left" w:pos="-1440"/>
          <w:tab w:val="left" w:pos="-720"/>
        </w:tabs>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 xml:space="preserve">UPON APPLICATION </w:t>
      </w:r>
      <w:r w:rsidRPr="001225D4">
        <w:rPr>
          <w:sz w:val="20"/>
          <w:szCs w:val="20"/>
        </w:rPr>
        <w:t>by the Criminal Lawyers' Association of Ontario for leave to intervene in the above appeal;</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AND THE MATERIAL FILED</w:t>
      </w:r>
      <w:r w:rsidRPr="001225D4">
        <w:rPr>
          <w:sz w:val="20"/>
          <w:szCs w:val="20"/>
        </w:rPr>
        <w:t xml:space="preserve"> having been read;</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IT IS HEREBY ORDERED THAT:</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motion for leave to intervene by the Criminal Lawyers' Association of Ontario is granted and the said intervener shall be entitled to serve and file a factum not to exceed 10 pages in length on or before August 16, 2012.</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request to present oral argument is deferred to a date following receipt and consideration of the written arguments of the parties and the intervener.</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intervener is not entitled to raise new issues or to adduce further evidence or otherwise to supplement the record of the parties.</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Pursuant to Rule 59(1</w:t>
      </w:r>
      <w:proofErr w:type="gramStart"/>
      <w:r w:rsidRPr="001225D4">
        <w:rPr>
          <w:sz w:val="20"/>
          <w:szCs w:val="20"/>
        </w:rPr>
        <w:t>)(</w:t>
      </w:r>
      <w:proofErr w:type="gramEnd"/>
      <w:r w:rsidRPr="001225D4">
        <w:rPr>
          <w:i/>
          <w:iCs/>
          <w:sz w:val="20"/>
          <w:szCs w:val="20"/>
        </w:rPr>
        <w:t>a</w:t>
      </w:r>
      <w:r w:rsidRPr="001225D4">
        <w:rPr>
          <w:sz w:val="20"/>
          <w:szCs w:val="20"/>
        </w:rPr>
        <w:t xml:space="preserve">) of the </w:t>
      </w:r>
      <w:r w:rsidRPr="001225D4">
        <w:rPr>
          <w:i/>
          <w:iCs/>
          <w:sz w:val="20"/>
          <w:szCs w:val="20"/>
        </w:rPr>
        <w:t>Rules of the Supreme Court of Canada</w:t>
      </w:r>
      <w:r w:rsidRPr="001225D4">
        <w:rPr>
          <w:sz w:val="20"/>
          <w:szCs w:val="20"/>
        </w:rPr>
        <w:t xml:space="preserve">, the intervener shall pay to the appellant and respondent any additional disbursements occasioned to the appellant and respondent by its intervention. </w:t>
      </w:r>
    </w:p>
    <w:p w:rsidR="00BE1E8A" w:rsidRPr="001225D4" w:rsidRDefault="00BE1E8A" w:rsidP="00BE1E8A">
      <w:pPr>
        <w:spacing w:line="233" w:lineRule="auto"/>
        <w:jc w:val="both"/>
        <w:rPr>
          <w:bCs/>
          <w:sz w:val="20"/>
          <w:szCs w:val="20"/>
        </w:rPr>
      </w:pPr>
    </w:p>
    <w:p w:rsidR="00BE1E8A" w:rsidRPr="001225D4" w:rsidRDefault="00BE1E8A" w:rsidP="00BE1E8A">
      <w:pPr>
        <w:spacing w:line="233" w:lineRule="auto"/>
        <w:jc w:val="both"/>
        <w:rPr>
          <w:bCs/>
          <w:sz w:val="20"/>
          <w:szCs w:val="20"/>
        </w:rPr>
      </w:pPr>
    </w:p>
    <w:p w:rsidR="00BE1E8A" w:rsidRPr="001225D4" w:rsidRDefault="00BE1E8A" w:rsidP="00BE1E8A">
      <w:pPr>
        <w:spacing w:line="233" w:lineRule="auto"/>
        <w:jc w:val="both"/>
        <w:rPr>
          <w:rFonts w:cs="Times New Roman"/>
          <w:sz w:val="20"/>
          <w:szCs w:val="20"/>
          <w:lang w:val="fr-FR"/>
        </w:rPr>
      </w:pPr>
      <w:r w:rsidRPr="001225D4">
        <w:rPr>
          <w:rFonts w:cs="Times New Roman"/>
          <w:b/>
          <w:sz w:val="20"/>
          <w:szCs w:val="20"/>
          <w:lang w:val="fr-FR"/>
        </w:rPr>
        <w:t>À LA SUITE DE LA DEMANDE</w:t>
      </w:r>
      <w:r w:rsidRPr="001225D4">
        <w:rPr>
          <w:rFonts w:cs="Times New Roman"/>
          <w:sz w:val="20"/>
          <w:szCs w:val="20"/>
          <w:lang w:val="fr-FR"/>
        </w:rPr>
        <w:t xml:space="preserve"> présentée par la Criminal Lawyers' Association of Ontario en autorisation d'intervenir dans l'appel;</w:t>
      </w:r>
    </w:p>
    <w:p w:rsidR="00BE1E8A" w:rsidRPr="001225D4" w:rsidRDefault="00BE1E8A" w:rsidP="00BE1E8A">
      <w:pPr>
        <w:spacing w:line="233" w:lineRule="auto"/>
        <w:jc w:val="both"/>
        <w:rPr>
          <w:rFonts w:cs="Times New Roman"/>
          <w:sz w:val="20"/>
          <w:szCs w:val="20"/>
          <w:lang w:val="fr-FR"/>
        </w:rPr>
      </w:pPr>
    </w:p>
    <w:p w:rsidR="00BE1E8A" w:rsidRPr="001225D4" w:rsidRDefault="00BE1E8A" w:rsidP="00BE1E8A">
      <w:pPr>
        <w:spacing w:line="233" w:lineRule="auto"/>
        <w:jc w:val="both"/>
        <w:rPr>
          <w:rFonts w:cs="Times New Roman"/>
          <w:sz w:val="20"/>
          <w:szCs w:val="20"/>
          <w:lang w:val="fr-FR"/>
        </w:rPr>
      </w:pPr>
      <w:r w:rsidRPr="001225D4">
        <w:rPr>
          <w:rFonts w:cs="Times New Roman"/>
          <w:b/>
          <w:sz w:val="20"/>
          <w:szCs w:val="20"/>
          <w:lang w:val="fr-FR"/>
        </w:rPr>
        <w:t>ET APRÈS EXAMEN</w:t>
      </w:r>
      <w:r w:rsidRPr="001225D4">
        <w:rPr>
          <w:rFonts w:cs="Times New Roman"/>
          <w:sz w:val="20"/>
          <w:szCs w:val="20"/>
          <w:lang w:val="fr-FR"/>
        </w:rPr>
        <w:t xml:space="preserve"> des documents déposés; </w:t>
      </w:r>
    </w:p>
    <w:p w:rsidR="00BE1E8A" w:rsidRPr="001225D4" w:rsidRDefault="00BE1E8A" w:rsidP="00BE1E8A">
      <w:pPr>
        <w:spacing w:line="233" w:lineRule="auto"/>
        <w:jc w:val="both"/>
        <w:rPr>
          <w:rFonts w:cs="Times New Roman"/>
          <w:sz w:val="20"/>
          <w:szCs w:val="20"/>
          <w:lang w:val="fr-FR"/>
        </w:rPr>
      </w:pPr>
    </w:p>
    <w:p w:rsidR="00BE1E8A" w:rsidRPr="001225D4" w:rsidRDefault="00BE1E8A" w:rsidP="00BE1E8A">
      <w:pPr>
        <w:spacing w:line="233" w:lineRule="auto"/>
        <w:jc w:val="both"/>
        <w:rPr>
          <w:rFonts w:cs="Times New Roman"/>
          <w:b/>
          <w:sz w:val="20"/>
          <w:szCs w:val="20"/>
          <w:lang w:val="fr-FR"/>
        </w:rPr>
      </w:pPr>
      <w:r w:rsidRPr="001225D4">
        <w:rPr>
          <w:rFonts w:cs="Times New Roman"/>
          <w:b/>
          <w:sz w:val="20"/>
          <w:szCs w:val="20"/>
          <w:lang w:val="fr-FR"/>
        </w:rPr>
        <w:t xml:space="preserve">IL EST ORDONNÉ CE QUI SUIT : </w:t>
      </w:r>
    </w:p>
    <w:p w:rsidR="00BE1E8A" w:rsidRPr="001225D4" w:rsidRDefault="00BE1E8A" w:rsidP="00BE1E8A">
      <w:pPr>
        <w:spacing w:line="233" w:lineRule="auto"/>
        <w:jc w:val="both"/>
        <w:rPr>
          <w:rFonts w:cs="Times New Roman"/>
          <w:sz w:val="20"/>
          <w:szCs w:val="20"/>
          <w:lang w:val="fr-FR"/>
        </w:rPr>
      </w:pPr>
    </w:p>
    <w:p w:rsidR="00BE1E8A" w:rsidRPr="001225D4" w:rsidRDefault="00BE1E8A" w:rsidP="00BE1E8A">
      <w:pPr>
        <w:spacing w:line="233" w:lineRule="auto"/>
        <w:jc w:val="both"/>
        <w:rPr>
          <w:rFonts w:cs="Times New Roman"/>
          <w:sz w:val="20"/>
          <w:szCs w:val="20"/>
          <w:lang w:val="fr-FR"/>
        </w:rPr>
      </w:pPr>
      <w:r w:rsidRPr="001225D4">
        <w:rPr>
          <w:rFonts w:cs="Times New Roman"/>
          <w:sz w:val="20"/>
          <w:szCs w:val="20"/>
          <w:lang w:val="fr-FR"/>
        </w:rPr>
        <w:t xml:space="preserve">La requête en autorisation d'intervenir présentée par la Criminal Lawyers' Association of Ontario est accordée et l’intervenante en question pourra signifier et déposer un mémoire d'au plus dix (10) pages au plus tard le 16 août 2012. </w:t>
      </w:r>
    </w:p>
    <w:p w:rsidR="00BE1E8A" w:rsidRPr="001225D4" w:rsidRDefault="00BE1E8A" w:rsidP="00BE1E8A">
      <w:pPr>
        <w:spacing w:line="233" w:lineRule="auto"/>
        <w:jc w:val="both"/>
        <w:rPr>
          <w:rFonts w:cs="Times New Roman"/>
          <w:sz w:val="20"/>
          <w:szCs w:val="20"/>
          <w:lang w:val="fr-FR"/>
        </w:rPr>
      </w:pPr>
    </w:p>
    <w:p w:rsidR="00BE1E8A" w:rsidRPr="001225D4" w:rsidRDefault="00BE1E8A" w:rsidP="00BE1E8A">
      <w:pPr>
        <w:spacing w:line="233" w:lineRule="auto"/>
        <w:jc w:val="both"/>
        <w:rPr>
          <w:rFonts w:cs="Times New Roman"/>
          <w:sz w:val="20"/>
          <w:szCs w:val="20"/>
          <w:lang w:val="fr-FR"/>
        </w:rPr>
      </w:pPr>
      <w:r w:rsidRPr="001225D4">
        <w:rPr>
          <w:rFonts w:cs="Times New Roman"/>
          <w:sz w:val="20"/>
          <w:szCs w:val="20"/>
          <w:lang w:val="fr-FR"/>
        </w:rPr>
        <w:t xml:space="preserve">La décision sur la demande en vue de présenter une plaidoirie orale sera rendue après réception et examen des arguments écrits des parties et de l'intervenante. </w:t>
      </w:r>
    </w:p>
    <w:p w:rsidR="00BE1E8A" w:rsidRPr="001225D4" w:rsidRDefault="00BE1E8A" w:rsidP="00BE1E8A">
      <w:pPr>
        <w:spacing w:line="233" w:lineRule="auto"/>
        <w:jc w:val="both"/>
        <w:rPr>
          <w:rFonts w:cs="Times New Roman"/>
          <w:sz w:val="20"/>
          <w:szCs w:val="20"/>
          <w:lang w:val="fr-FR"/>
        </w:rPr>
      </w:pPr>
    </w:p>
    <w:p w:rsidR="00BE1E8A" w:rsidRPr="001225D4" w:rsidRDefault="00BE1E8A" w:rsidP="00BE1E8A">
      <w:pPr>
        <w:spacing w:line="233" w:lineRule="auto"/>
        <w:jc w:val="both"/>
        <w:rPr>
          <w:rFonts w:cs="Times New Roman"/>
          <w:sz w:val="20"/>
          <w:szCs w:val="20"/>
          <w:lang w:val="fr-FR"/>
        </w:rPr>
      </w:pPr>
      <w:r w:rsidRPr="001225D4">
        <w:rPr>
          <w:rFonts w:cs="Times New Roman"/>
          <w:sz w:val="20"/>
          <w:szCs w:val="20"/>
          <w:lang w:val="fr-FR"/>
        </w:rPr>
        <w:t>L'intervenante n'a pas le droit de soulever de nouvelles questions, de produire d'autres éléments de preuve ni de compléter de quelque autre façon le dossier des parties.</w:t>
      </w:r>
    </w:p>
    <w:p w:rsidR="00BE1E8A" w:rsidRPr="001225D4" w:rsidRDefault="00BE1E8A" w:rsidP="00BE1E8A">
      <w:pPr>
        <w:spacing w:line="233" w:lineRule="auto"/>
        <w:jc w:val="both"/>
        <w:rPr>
          <w:rFonts w:cs="Times New Roman"/>
          <w:sz w:val="20"/>
          <w:szCs w:val="20"/>
          <w:lang w:val="fr-FR"/>
        </w:rPr>
      </w:pPr>
    </w:p>
    <w:p w:rsidR="00BE1E8A" w:rsidRDefault="00BE1E8A" w:rsidP="00BE1E8A">
      <w:pPr>
        <w:spacing w:line="233" w:lineRule="auto"/>
        <w:jc w:val="both"/>
        <w:rPr>
          <w:rFonts w:cs="Times New Roman"/>
          <w:sz w:val="20"/>
          <w:szCs w:val="20"/>
          <w:lang w:val="fr-FR"/>
        </w:rPr>
      </w:pPr>
      <w:r w:rsidRPr="001225D4">
        <w:rPr>
          <w:rFonts w:cs="Times New Roman"/>
          <w:sz w:val="20"/>
          <w:szCs w:val="20"/>
          <w:lang w:val="fr-FR"/>
        </w:rPr>
        <w:t>Conformément à l'alinéa 59(1)</w:t>
      </w:r>
      <w:r w:rsidRPr="001225D4">
        <w:rPr>
          <w:rFonts w:cs="Times New Roman"/>
          <w:i/>
          <w:sz w:val="20"/>
          <w:szCs w:val="20"/>
          <w:lang w:val="fr-FR"/>
        </w:rPr>
        <w:t>a</w:t>
      </w:r>
      <w:r w:rsidRPr="001225D4">
        <w:rPr>
          <w:rFonts w:cs="Times New Roman"/>
          <w:sz w:val="20"/>
          <w:szCs w:val="20"/>
          <w:lang w:val="fr-FR"/>
        </w:rPr>
        <w:t xml:space="preserve">) des </w:t>
      </w:r>
      <w:r w:rsidRPr="001225D4">
        <w:rPr>
          <w:rFonts w:cs="Times New Roman"/>
          <w:i/>
          <w:sz w:val="20"/>
          <w:szCs w:val="20"/>
          <w:lang w:val="fr-FR"/>
        </w:rPr>
        <w:t>Règles de la Cour suprême du Canada</w:t>
      </w:r>
      <w:r w:rsidRPr="001225D4">
        <w:rPr>
          <w:rFonts w:cs="Times New Roman"/>
          <w:sz w:val="20"/>
          <w:szCs w:val="20"/>
          <w:lang w:val="fr-FR"/>
        </w:rPr>
        <w:t>, l'intervenante paiera à l’appelante et à l'intimée tous débours supplémentaires résultant de son intervention.</w:t>
      </w:r>
    </w:p>
    <w:p w:rsidR="002B7C72" w:rsidRPr="001225D4" w:rsidRDefault="002B7C72" w:rsidP="00BE1E8A">
      <w:pPr>
        <w:spacing w:line="233" w:lineRule="auto"/>
        <w:jc w:val="both"/>
        <w:rPr>
          <w:rFonts w:cs="Times New Roman"/>
          <w:sz w:val="20"/>
          <w:szCs w:val="20"/>
          <w:lang w:val="fr-FR"/>
        </w:rPr>
      </w:pPr>
    </w:p>
    <w:p w:rsidR="00890FEB" w:rsidRPr="00C50A5C" w:rsidRDefault="00D70052" w:rsidP="002B7C72">
      <w:pPr>
        <w:tabs>
          <w:tab w:val="left" w:pos="-1440"/>
          <w:tab w:val="left" w:pos="-720"/>
        </w:tabs>
        <w:jc w:val="both"/>
        <w:rPr>
          <w:sz w:val="20"/>
          <w:szCs w:val="20"/>
          <w:lang w:val="fr-CA"/>
        </w:rPr>
      </w:pPr>
      <w:r w:rsidRPr="00D70052">
        <w:rPr>
          <w:sz w:val="20"/>
          <w:szCs w:val="20"/>
          <w:lang w:val="fr-CA"/>
        </w:rPr>
        <w:pict>
          <v:rect id="_x0000_i1096"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14767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06203F" w:rsidRDefault="0006203F" w:rsidP="003B3977">
            <w:pPr>
              <w:rPr>
                <w:sz w:val="20"/>
                <w:szCs w:val="20"/>
                <w:lang w:val="fr-CA"/>
              </w:rPr>
            </w:pPr>
            <w:r w:rsidRPr="0006203F">
              <w:rPr>
                <w:sz w:val="20"/>
                <w:szCs w:val="20"/>
                <w:lang w:val="fr-CA"/>
              </w:rPr>
              <w:t>15</w:t>
            </w:r>
            <w:r w:rsidR="0010587F" w:rsidRPr="0006203F">
              <w:rPr>
                <w:sz w:val="20"/>
                <w:szCs w:val="20"/>
                <w:lang w:val="fr-CA"/>
              </w:rPr>
              <w:t>.0</w:t>
            </w:r>
            <w:r w:rsidRPr="0006203F">
              <w:rPr>
                <w:sz w:val="20"/>
                <w:szCs w:val="20"/>
                <w:lang w:val="fr-CA"/>
              </w:rPr>
              <w:t>6</w:t>
            </w:r>
            <w:r w:rsidR="0010587F" w:rsidRPr="0006203F">
              <w:rPr>
                <w:sz w:val="20"/>
                <w:szCs w:val="20"/>
                <w:lang w:val="fr-CA"/>
              </w:rPr>
              <w:t>.201</w:t>
            </w:r>
            <w:r w:rsidRPr="0006203F">
              <w:rPr>
                <w:sz w:val="20"/>
                <w:szCs w:val="20"/>
                <w:lang w:val="fr-CA"/>
              </w:rPr>
              <w:t>2</w:t>
            </w:r>
          </w:p>
          <w:p w:rsidR="0010587F" w:rsidRPr="0006203F" w:rsidRDefault="0010587F" w:rsidP="003B3977">
            <w:pPr>
              <w:rPr>
                <w:sz w:val="20"/>
                <w:szCs w:val="20"/>
                <w:lang w:val="fr-CA"/>
              </w:rPr>
            </w:pPr>
          </w:p>
          <w:p w:rsidR="0010587F" w:rsidRPr="0006203F" w:rsidRDefault="0006203F" w:rsidP="003B3977">
            <w:pPr>
              <w:rPr>
                <w:b/>
                <w:sz w:val="20"/>
                <w:szCs w:val="20"/>
                <w:lang w:val="fr-CA"/>
              </w:rPr>
            </w:pPr>
            <w:r w:rsidRPr="0006203F">
              <w:rPr>
                <w:b/>
                <w:sz w:val="20"/>
                <w:szCs w:val="20"/>
                <w:lang w:val="fr-CA"/>
              </w:rPr>
              <w:t>Y</w:t>
            </w:r>
            <w:r w:rsidR="0010587F" w:rsidRPr="0006203F">
              <w:rPr>
                <w:b/>
                <w:sz w:val="20"/>
                <w:szCs w:val="20"/>
                <w:lang w:val="fr-CA"/>
              </w:rPr>
              <w:t>a</w:t>
            </w:r>
            <w:r w:rsidRPr="0006203F">
              <w:rPr>
                <w:b/>
                <w:sz w:val="20"/>
                <w:szCs w:val="20"/>
                <w:lang w:val="fr-CA"/>
              </w:rPr>
              <w:t>nnick Pay</w:t>
            </w:r>
            <w:r w:rsidR="0010587F" w:rsidRPr="0006203F">
              <w:rPr>
                <w:b/>
                <w:sz w:val="20"/>
                <w:szCs w:val="20"/>
                <w:lang w:val="fr-CA"/>
              </w:rPr>
              <w:t>e</w:t>
            </w:r>
            <w:r w:rsidRPr="0006203F">
              <w:rPr>
                <w:b/>
                <w:sz w:val="20"/>
                <w:szCs w:val="20"/>
                <w:lang w:val="fr-CA"/>
              </w:rPr>
              <w:t>tt</w:t>
            </w:r>
            <w:r w:rsidR="0010587F" w:rsidRPr="0006203F">
              <w:rPr>
                <w:b/>
                <w:sz w:val="20"/>
                <w:szCs w:val="20"/>
                <w:lang w:val="fr-CA"/>
              </w:rPr>
              <w:t>e</w:t>
            </w:r>
            <w:r w:rsidRPr="0006203F">
              <w:rPr>
                <w:b/>
                <w:sz w:val="20"/>
                <w:szCs w:val="20"/>
                <w:lang w:val="fr-CA"/>
              </w:rPr>
              <w:t xml:space="preserve"> et autre</w:t>
            </w:r>
          </w:p>
          <w:p w:rsidR="0010587F" w:rsidRPr="0006203F" w:rsidRDefault="0010587F" w:rsidP="003B3977">
            <w:pPr>
              <w:rPr>
                <w:b/>
                <w:sz w:val="20"/>
                <w:szCs w:val="20"/>
                <w:lang w:val="fr-CA"/>
              </w:rPr>
            </w:pPr>
          </w:p>
          <w:p w:rsidR="0010587F" w:rsidRPr="00FC0B68" w:rsidRDefault="0010587F" w:rsidP="003B3977">
            <w:pPr>
              <w:rPr>
                <w:b/>
                <w:sz w:val="20"/>
                <w:szCs w:val="20"/>
                <w:lang w:val="fr-CA"/>
              </w:rPr>
            </w:pPr>
            <w:r w:rsidRPr="0006203F">
              <w:rPr>
                <w:b/>
                <w:sz w:val="20"/>
                <w:szCs w:val="20"/>
                <w:lang w:val="fr-CA"/>
              </w:rPr>
              <w:tab/>
            </w:r>
            <w:r w:rsidR="0006203F" w:rsidRPr="00FC0B68">
              <w:rPr>
                <w:b/>
                <w:sz w:val="20"/>
                <w:szCs w:val="20"/>
                <w:lang w:val="fr-CA"/>
              </w:rPr>
              <w:t>c</w:t>
            </w:r>
            <w:r w:rsidRPr="00FC0B68">
              <w:rPr>
                <w:b/>
                <w:sz w:val="20"/>
                <w:szCs w:val="20"/>
                <w:lang w:val="fr-CA"/>
              </w:rPr>
              <w:t>. (3</w:t>
            </w:r>
            <w:r w:rsidR="0006203F" w:rsidRPr="00FC0B68">
              <w:rPr>
                <w:b/>
                <w:sz w:val="20"/>
                <w:szCs w:val="20"/>
                <w:lang w:val="fr-CA"/>
              </w:rPr>
              <w:t>4662</w:t>
            </w:r>
            <w:r w:rsidRPr="00FC0B68">
              <w:rPr>
                <w:b/>
                <w:sz w:val="20"/>
                <w:szCs w:val="20"/>
                <w:lang w:val="fr-CA"/>
              </w:rPr>
              <w:t>)</w:t>
            </w:r>
          </w:p>
          <w:p w:rsidR="0010587F" w:rsidRPr="00FC0B68" w:rsidRDefault="0010587F" w:rsidP="003B3977">
            <w:pPr>
              <w:rPr>
                <w:b/>
                <w:sz w:val="20"/>
                <w:szCs w:val="20"/>
                <w:lang w:val="fr-CA"/>
              </w:rPr>
            </w:pPr>
          </w:p>
          <w:p w:rsidR="0010587F" w:rsidRPr="003B3977" w:rsidRDefault="0006203F" w:rsidP="003B3977">
            <w:pPr>
              <w:rPr>
                <w:b/>
                <w:sz w:val="20"/>
                <w:szCs w:val="20"/>
              </w:rPr>
            </w:pPr>
            <w:r>
              <w:rPr>
                <w:b/>
                <w:sz w:val="20"/>
                <w:szCs w:val="20"/>
              </w:rPr>
              <w:t>G</w:t>
            </w:r>
            <w:r w:rsidR="0010587F" w:rsidRPr="003B3977">
              <w:rPr>
                <w:b/>
                <w:sz w:val="20"/>
                <w:szCs w:val="20"/>
              </w:rPr>
              <w:t>u</w:t>
            </w:r>
            <w:r>
              <w:rPr>
                <w:b/>
                <w:sz w:val="20"/>
                <w:szCs w:val="20"/>
              </w:rPr>
              <w:t>ay i</w:t>
            </w:r>
            <w:r w:rsidR="0010587F" w:rsidRPr="003B3977">
              <w:rPr>
                <w:b/>
                <w:sz w:val="20"/>
                <w:szCs w:val="20"/>
              </w:rPr>
              <w:t>n</w:t>
            </w:r>
            <w:r>
              <w:rPr>
                <w:b/>
                <w:sz w:val="20"/>
                <w:szCs w:val="20"/>
              </w:rPr>
              <w:t>c.</w:t>
            </w:r>
            <w:r w:rsidR="0010587F" w:rsidRPr="003B3977">
              <w:rPr>
                <w:b/>
                <w:sz w:val="20"/>
                <w:szCs w:val="20"/>
              </w:rPr>
              <w:t xml:space="preserve"> (</w:t>
            </w:r>
            <w:r>
              <w:rPr>
                <w:b/>
                <w:sz w:val="20"/>
                <w:szCs w:val="20"/>
              </w:rPr>
              <w:t>Qc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w:t>
            </w:r>
            <w:r w:rsidR="0006203F">
              <w:rPr>
                <w:sz w:val="20"/>
                <w:szCs w:val="20"/>
              </w:rPr>
              <w:t>utori</w:t>
            </w:r>
            <w:r w:rsidRPr="003B3977">
              <w:rPr>
                <w:sz w:val="20"/>
                <w:szCs w:val="20"/>
              </w:rPr>
              <w:t>s</w:t>
            </w:r>
            <w:r w:rsidR="0006203F">
              <w:rPr>
                <w:sz w:val="20"/>
                <w:szCs w:val="20"/>
              </w:rPr>
              <w:t>a</w:t>
            </w:r>
            <w:r w:rsidRPr="003B3977">
              <w:rPr>
                <w:sz w:val="20"/>
                <w:szCs w:val="20"/>
              </w:rPr>
              <w:t>t</w:t>
            </w:r>
            <w:r w:rsidR="0006203F">
              <w:rPr>
                <w:sz w:val="20"/>
                <w:szCs w:val="20"/>
              </w:rPr>
              <w:t>ion</w:t>
            </w:r>
            <w:r w:rsidRPr="003B3977">
              <w:rPr>
                <w:sz w:val="20"/>
                <w:szCs w:val="20"/>
              </w:rPr>
              <w:t>)</w:t>
            </w:r>
          </w:p>
          <w:p w:rsidR="0010587F" w:rsidRPr="003B3977" w:rsidRDefault="0010587F" w:rsidP="003B3977">
            <w:pPr>
              <w:rPr>
                <w:sz w:val="20"/>
                <w:szCs w:val="20"/>
              </w:rPr>
            </w:pPr>
          </w:p>
          <w:p w:rsidR="0010587F" w:rsidRPr="0006203F" w:rsidRDefault="00D70052" w:rsidP="003B3977">
            <w:pPr>
              <w:rPr>
                <w:sz w:val="20"/>
                <w:szCs w:val="20"/>
              </w:rPr>
            </w:pPr>
            <w:r w:rsidRPr="00D70052">
              <w:rPr>
                <w:sz w:val="20"/>
                <w:szCs w:val="20"/>
                <w:lang w:val="fr-CA"/>
              </w:rPr>
              <w:pict>
                <v:rect id="_x0000_i109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14767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8B5DBF" w:rsidRDefault="002D36BA" w:rsidP="00AF1715">
      <w:pPr>
        <w:rPr>
          <w:b/>
          <w:sz w:val="20"/>
          <w:szCs w:val="20"/>
          <w:lang w:val="fr-CA"/>
        </w:rPr>
      </w:pPr>
      <w:r w:rsidRPr="008B5DBF">
        <w:rPr>
          <w:b/>
          <w:sz w:val="20"/>
          <w:szCs w:val="20"/>
          <w:lang w:val="fr-CA"/>
        </w:rPr>
        <w:t>JU</w:t>
      </w:r>
      <w:r w:rsidR="00AF1715" w:rsidRPr="008B5DBF">
        <w:rPr>
          <w:b/>
          <w:sz w:val="20"/>
          <w:szCs w:val="20"/>
          <w:lang w:val="fr-CA"/>
        </w:rPr>
        <w:t>N</w:t>
      </w:r>
      <w:r w:rsidRPr="008B5DBF">
        <w:rPr>
          <w:b/>
          <w:sz w:val="20"/>
          <w:szCs w:val="20"/>
          <w:lang w:val="fr-CA"/>
        </w:rPr>
        <w:t>E 28</w:t>
      </w:r>
      <w:r w:rsidR="00AF1715" w:rsidRPr="008B5DBF">
        <w:rPr>
          <w:b/>
          <w:sz w:val="20"/>
          <w:szCs w:val="20"/>
          <w:lang w:val="fr-CA"/>
        </w:rPr>
        <w:t>, 201</w:t>
      </w:r>
      <w:r w:rsidRPr="008B5DBF">
        <w:rPr>
          <w:b/>
          <w:sz w:val="20"/>
          <w:szCs w:val="20"/>
          <w:lang w:val="fr-CA"/>
        </w:rPr>
        <w:t>2</w:t>
      </w:r>
      <w:r w:rsidR="00AF1715" w:rsidRPr="008B5DBF">
        <w:rPr>
          <w:b/>
          <w:sz w:val="20"/>
          <w:szCs w:val="20"/>
          <w:lang w:val="fr-CA"/>
        </w:rPr>
        <w:t xml:space="preserve"> / LE </w:t>
      </w:r>
      <w:r w:rsidRPr="008B5DBF">
        <w:rPr>
          <w:b/>
          <w:sz w:val="20"/>
          <w:szCs w:val="20"/>
          <w:lang w:val="fr-CA"/>
        </w:rPr>
        <w:t>28 JUI</w:t>
      </w:r>
      <w:r w:rsidR="00AF1715" w:rsidRPr="008B5DBF">
        <w:rPr>
          <w:b/>
          <w:sz w:val="20"/>
          <w:szCs w:val="20"/>
          <w:lang w:val="fr-CA"/>
        </w:rPr>
        <w:t>N 201</w:t>
      </w:r>
      <w:r w:rsidRPr="008B5DBF">
        <w:rPr>
          <w:b/>
          <w:sz w:val="20"/>
          <w:szCs w:val="20"/>
          <w:lang w:val="fr-CA"/>
        </w:rPr>
        <w:t>2</w:t>
      </w:r>
    </w:p>
    <w:p w:rsidR="00AF1715" w:rsidRPr="008B5DBF" w:rsidRDefault="00AF1715" w:rsidP="00AF1715">
      <w:pPr>
        <w:rPr>
          <w:sz w:val="20"/>
          <w:szCs w:val="20"/>
          <w:lang w:val="fr-CA"/>
        </w:rPr>
      </w:pPr>
    </w:p>
    <w:p w:rsidR="007768DF" w:rsidRPr="00CA2B41" w:rsidRDefault="007768DF" w:rsidP="007768DF">
      <w:pPr>
        <w:ind w:left="1440" w:hanging="1440"/>
        <w:jc w:val="both"/>
        <w:rPr>
          <w:rStyle w:val="Hyperlink"/>
          <w:sz w:val="20"/>
          <w:lang w:val="fr-CA"/>
        </w:rPr>
      </w:pPr>
      <w:r w:rsidRPr="00CA2B41">
        <w:rPr>
          <w:b/>
          <w:sz w:val="20"/>
          <w:lang w:val="fr-CA"/>
        </w:rPr>
        <w:t>3</w:t>
      </w:r>
      <w:r>
        <w:rPr>
          <w:b/>
          <w:sz w:val="20"/>
          <w:lang w:val="fr-CA"/>
        </w:rPr>
        <w:t>4526</w:t>
      </w:r>
      <w:r w:rsidRPr="00CA2B41">
        <w:rPr>
          <w:b/>
          <w:sz w:val="20"/>
          <w:lang w:val="fr-CA"/>
        </w:rPr>
        <w:tab/>
      </w:r>
      <w:r w:rsidRPr="00F772E0">
        <w:rPr>
          <w:b/>
          <w:iCs/>
          <w:sz w:val="20"/>
          <w:u w:val="single"/>
          <w:lang w:val="fr-CA"/>
        </w:rPr>
        <w:t xml:space="preserve">Sa Majesté la Reine </w:t>
      </w:r>
      <w:r w:rsidRPr="00CA2B41">
        <w:rPr>
          <w:b/>
          <w:iCs/>
          <w:sz w:val="20"/>
          <w:u w:val="single"/>
          <w:lang w:val="fr-CA"/>
        </w:rPr>
        <w:t xml:space="preserve">c. </w:t>
      </w:r>
      <w:r w:rsidRPr="00F772E0">
        <w:rPr>
          <w:b/>
          <w:iCs/>
          <w:sz w:val="20"/>
          <w:u w:val="single"/>
          <w:lang w:val="fr-CA"/>
        </w:rPr>
        <w:t>Suganthini Mayuran</w:t>
      </w:r>
      <w:r w:rsidRPr="00CA2B41">
        <w:rPr>
          <w:b/>
          <w:iCs/>
          <w:sz w:val="20"/>
          <w:lang w:val="fr-CA"/>
        </w:rPr>
        <w:t xml:space="preserve"> </w:t>
      </w:r>
      <w:r w:rsidRPr="00CA2B41">
        <w:rPr>
          <w:sz w:val="20"/>
          <w:lang w:val="fr-CA"/>
        </w:rPr>
        <w:t>(</w:t>
      </w:r>
      <w:r>
        <w:rPr>
          <w:sz w:val="20"/>
          <w:lang w:val="fr-CA"/>
        </w:rPr>
        <w:t>Qc</w:t>
      </w:r>
      <w:r w:rsidRPr="00CA2B41">
        <w:rPr>
          <w:sz w:val="20"/>
          <w:lang w:val="fr-CA"/>
        </w:rPr>
        <w:t>)</w:t>
      </w:r>
    </w:p>
    <w:p w:rsidR="007768DF" w:rsidRPr="00026C73" w:rsidRDefault="007768DF" w:rsidP="007768DF">
      <w:pPr>
        <w:ind w:left="1440"/>
        <w:jc w:val="both"/>
        <w:rPr>
          <w:b/>
          <w:sz w:val="20"/>
          <w:lang w:val="fr-CA"/>
        </w:rPr>
      </w:pPr>
      <w:r w:rsidRPr="00026C73">
        <w:rPr>
          <w:b/>
          <w:sz w:val="20"/>
          <w:lang w:val="fr-CA"/>
        </w:rPr>
        <w:t>2012 SCC 3</w:t>
      </w:r>
      <w:r>
        <w:rPr>
          <w:b/>
          <w:sz w:val="20"/>
          <w:lang w:val="fr-CA"/>
        </w:rPr>
        <w:t>1</w:t>
      </w:r>
      <w:r w:rsidRPr="00026C73">
        <w:rPr>
          <w:b/>
          <w:sz w:val="20"/>
          <w:lang w:val="fr-CA"/>
        </w:rPr>
        <w:t xml:space="preserve"> / 2012 CSC 3</w:t>
      </w:r>
      <w:r>
        <w:rPr>
          <w:b/>
          <w:sz w:val="20"/>
          <w:lang w:val="fr-CA"/>
        </w:rPr>
        <w:t>1</w:t>
      </w:r>
    </w:p>
    <w:p w:rsidR="007768DF" w:rsidRPr="00026C73" w:rsidRDefault="007768DF" w:rsidP="007768DF">
      <w:pPr>
        <w:ind w:left="1440" w:hanging="1440"/>
        <w:jc w:val="both"/>
        <w:rPr>
          <w:b/>
          <w:sz w:val="20"/>
          <w:lang w:val="fr-CA"/>
        </w:rPr>
      </w:pPr>
    </w:p>
    <w:p w:rsidR="007768DF" w:rsidRPr="00026C73" w:rsidRDefault="007768DF" w:rsidP="007768DF">
      <w:pPr>
        <w:ind w:left="1440" w:hanging="1440"/>
        <w:jc w:val="both"/>
        <w:rPr>
          <w:sz w:val="20"/>
          <w:u w:val="single"/>
          <w:lang w:val="fr-CA"/>
        </w:rPr>
      </w:pPr>
      <w:r w:rsidRPr="00026C73">
        <w:rPr>
          <w:sz w:val="20"/>
          <w:lang w:val="fr-CA"/>
        </w:rPr>
        <w:t>Coram:</w:t>
      </w:r>
      <w:r>
        <w:rPr>
          <w:sz w:val="20"/>
          <w:lang w:val="fr-CA"/>
        </w:rPr>
        <w:tab/>
      </w:r>
      <w:r w:rsidRPr="00F772E0">
        <w:rPr>
          <w:sz w:val="20"/>
          <w:u w:val="single"/>
          <w:lang w:val="fr-CA"/>
        </w:rPr>
        <w:t xml:space="preserve">Les juges LeBel, Deschamps, Fish, Abella, Cromwell, Moldaver et Karakatsanis </w:t>
      </w:r>
    </w:p>
    <w:p w:rsidR="007768DF" w:rsidRPr="00026C73" w:rsidRDefault="007768DF" w:rsidP="007768D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7768DF" w:rsidRPr="00F772E0" w:rsidRDefault="007768DF" w:rsidP="007768DF">
      <w:pPr>
        <w:jc w:val="both"/>
        <w:rPr>
          <w:sz w:val="20"/>
          <w:lang w:val="fr-CA"/>
        </w:rPr>
      </w:pPr>
      <w:r w:rsidRPr="00F772E0">
        <w:rPr>
          <w:sz w:val="20"/>
          <w:lang w:val="fr-CA"/>
        </w:rPr>
        <w:t>L’appel interjeté contre l’arrêt de la Cour d’appel du Québec (Montréal), numéro 500-10-003804-075, 2011 QCCA 1823, en date du 4 octobre 2011, entendu le 19 avril 2012, est accueilli et la déclaration de culpabilité est rétablie.</w:t>
      </w:r>
    </w:p>
    <w:p w:rsidR="007768DF" w:rsidRPr="00F772E0" w:rsidRDefault="007768DF" w:rsidP="007768DF">
      <w:pPr>
        <w:jc w:val="both"/>
        <w:rPr>
          <w:sz w:val="20"/>
          <w:lang w:val="fr-CA"/>
        </w:rPr>
      </w:pPr>
    </w:p>
    <w:p w:rsidR="007768DF" w:rsidRPr="00F772E0" w:rsidRDefault="007768DF" w:rsidP="007768DF">
      <w:pPr>
        <w:jc w:val="both"/>
        <w:rPr>
          <w:sz w:val="20"/>
        </w:rPr>
      </w:pPr>
      <w:r w:rsidRPr="00F772E0">
        <w:rPr>
          <w:sz w:val="20"/>
        </w:rPr>
        <w:t>The appeal from the judgment of the Court of Appeal of Quebec (Montréal), Number 500-10-003804-075, 2011 QCCA 1823, dated October 4, 2011, heard on April 19, 2012, is allowed and the conviction is restored.</w:t>
      </w:r>
    </w:p>
    <w:p w:rsidR="002D36BA" w:rsidRDefault="002D36BA" w:rsidP="00AF1715">
      <w:pPr>
        <w:rPr>
          <w:sz w:val="20"/>
          <w:szCs w:val="20"/>
        </w:rPr>
      </w:pPr>
    </w:p>
    <w:p w:rsidR="00AF1715" w:rsidRPr="003B3977" w:rsidRDefault="00D70052" w:rsidP="00AF1715">
      <w:pPr>
        <w:spacing w:line="0" w:lineRule="atLeast"/>
        <w:rPr>
          <w:sz w:val="20"/>
          <w:szCs w:val="20"/>
        </w:rPr>
      </w:pPr>
      <w:r w:rsidRPr="00D70052">
        <w:rPr>
          <w:b/>
          <w:sz w:val="20"/>
          <w:szCs w:val="20"/>
        </w:rPr>
        <w:pict>
          <v:rect id="_x0000_i1102"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2D36BA" w:rsidP="00AF1715">
      <w:pPr>
        <w:rPr>
          <w:rFonts w:cs="Times New Roman"/>
          <w:b/>
          <w:sz w:val="20"/>
          <w:szCs w:val="20"/>
        </w:rPr>
      </w:pPr>
      <w:r>
        <w:rPr>
          <w:rFonts w:cs="Times New Roman"/>
          <w:b/>
          <w:sz w:val="20"/>
          <w:szCs w:val="20"/>
        </w:rPr>
        <w:t>JUN</w:t>
      </w:r>
      <w:r w:rsidR="00AF1715" w:rsidRPr="006C5F7A">
        <w:rPr>
          <w:rFonts w:cs="Times New Roman"/>
          <w:b/>
          <w:sz w:val="20"/>
          <w:szCs w:val="20"/>
        </w:rPr>
        <w:t xml:space="preserve">E </w:t>
      </w:r>
      <w:r>
        <w:rPr>
          <w:rFonts w:cs="Times New Roman"/>
          <w:b/>
          <w:sz w:val="20"/>
          <w:szCs w:val="20"/>
        </w:rPr>
        <w:t>29</w:t>
      </w:r>
      <w:r w:rsidR="00AF1715" w:rsidRPr="006C5F7A">
        <w:rPr>
          <w:rFonts w:cs="Times New Roman"/>
          <w:b/>
          <w:sz w:val="20"/>
          <w:szCs w:val="20"/>
        </w:rPr>
        <w:t>, 201</w:t>
      </w:r>
      <w:r>
        <w:rPr>
          <w:rFonts w:cs="Times New Roman"/>
          <w:b/>
          <w:sz w:val="20"/>
          <w:szCs w:val="20"/>
        </w:rPr>
        <w:t>2</w:t>
      </w:r>
      <w:r w:rsidR="00AF1715" w:rsidRPr="006C5F7A">
        <w:rPr>
          <w:rFonts w:cs="Times New Roman"/>
          <w:b/>
          <w:sz w:val="20"/>
          <w:szCs w:val="20"/>
        </w:rPr>
        <w:t xml:space="preserve"> / LE </w:t>
      </w:r>
      <w:r>
        <w:rPr>
          <w:rFonts w:cs="Times New Roman"/>
          <w:b/>
          <w:sz w:val="20"/>
          <w:szCs w:val="20"/>
        </w:rPr>
        <w:t>29 JUI</w:t>
      </w:r>
      <w:r w:rsidR="00AF1715" w:rsidRPr="006C5F7A">
        <w:rPr>
          <w:rFonts w:cs="Times New Roman"/>
          <w:b/>
          <w:sz w:val="20"/>
          <w:szCs w:val="20"/>
        </w:rPr>
        <w:t>N 201</w:t>
      </w:r>
      <w:r>
        <w:rPr>
          <w:rFonts w:cs="Times New Roman"/>
          <w:b/>
          <w:sz w:val="20"/>
          <w:szCs w:val="20"/>
        </w:rPr>
        <w:t>2</w:t>
      </w:r>
    </w:p>
    <w:p w:rsidR="00AF1715" w:rsidRDefault="00AF1715" w:rsidP="00AF1715">
      <w:pPr>
        <w:spacing w:line="0" w:lineRule="atLeast"/>
        <w:rPr>
          <w:rFonts w:cs="Times New Roman"/>
          <w:sz w:val="20"/>
          <w:szCs w:val="20"/>
        </w:rPr>
      </w:pPr>
    </w:p>
    <w:p w:rsidR="00B739E7" w:rsidRPr="007859DE" w:rsidRDefault="00B739E7" w:rsidP="00B739E7">
      <w:pPr>
        <w:ind w:left="1440" w:hanging="1440"/>
        <w:jc w:val="both"/>
        <w:rPr>
          <w:sz w:val="20"/>
        </w:rPr>
      </w:pPr>
      <w:r w:rsidRPr="007859DE">
        <w:rPr>
          <w:b/>
          <w:sz w:val="20"/>
        </w:rPr>
        <w:t>34100</w:t>
      </w:r>
      <w:r w:rsidRPr="007859DE">
        <w:rPr>
          <w:b/>
          <w:sz w:val="20"/>
        </w:rPr>
        <w:tab/>
      </w:r>
      <w:r w:rsidRPr="007859DE">
        <w:rPr>
          <w:b/>
          <w:sz w:val="20"/>
          <w:u w:val="single"/>
        </w:rPr>
        <w:t>Joan Clements, by her Litigation Guardian, Donna Jardine v. Joseph Clements – and – Attorney General of British Columbia</w:t>
      </w:r>
      <w:r w:rsidRPr="007859DE">
        <w:rPr>
          <w:b/>
          <w:sz w:val="20"/>
        </w:rPr>
        <w:t xml:space="preserve"> </w:t>
      </w:r>
      <w:r w:rsidRPr="007859DE">
        <w:rPr>
          <w:sz w:val="20"/>
        </w:rPr>
        <w:t xml:space="preserve">(B.C.) </w:t>
      </w:r>
    </w:p>
    <w:p w:rsidR="00B739E7" w:rsidRPr="007859DE" w:rsidRDefault="00B739E7" w:rsidP="00B739E7">
      <w:pPr>
        <w:ind w:left="1440"/>
        <w:jc w:val="both"/>
        <w:rPr>
          <w:b/>
          <w:sz w:val="20"/>
        </w:rPr>
      </w:pPr>
      <w:r w:rsidRPr="007859DE">
        <w:rPr>
          <w:b/>
          <w:sz w:val="20"/>
        </w:rPr>
        <w:t>2012 SCC 32 / 2012 CSC 32</w:t>
      </w:r>
    </w:p>
    <w:p w:rsidR="00B739E7" w:rsidRPr="007859DE" w:rsidRDefault="00B739E7" w:rsidP="00B739E7">
      <w:pPr>
        <w:ind w:left="1440" w:hanging="1440"/>
        <w:jc w:val="both"/>
        <w:rPr>
          <w:b/>
          <w:sz w:val="20"/>
        </w:rPr>
      </w:pPr>
    </w:p>
    <w:p w:rsidR="00B739E7" w:rsidRPr="007859DE" w:rsidRDefault="00B739E7" w:rsidP="00B739E7">
      <w:pPr>
        <w:ind w:left="1440" w:hanging="1440"/>
        <w:jc w:val="both"/>
        <w:rPr>
          <w:sz w:val="20"/>
          <w:u w:val="single"/>
        </w:rPr>
      </w:pPr>
      <w:r w:rsidRPr="007859DE">
        <w:rPr>
          <w:sz w:val="20"/>
        </w:rPr>
        <w:t>Coram:</w:t>
      </w:r>
      <w:r>
        <w:rPr>
          <w:sz w:val="20"/>
        </w:rPr>
        <w:tab/>
      </w:r>
      <w:r w:rsidRPr="007859DE">
        <w:rPr>
          <w:sz w:val="20"/>
          <w:u w:val="single"/>
        </w:rPr>
        <w:t>McLachlin C.J. and LeBel, Deschamps, Fish, Abella, Rothstein, Cromwell, Moldaver and Karakatsanis JJ.</w:t>
      </w:r>
    </w:p>
    <w:p w:rsidR="00B739E7" w:rsidRPr="007859DE" w:rsidRDefault="00B739E7" w:rsidP="00B739E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B739E7" w:rsidRPr="007859DE" w:rsidRDefault="00B739E7" w:rsidP="00B739E7">
      <w:pPr>
        <w:jc w:val="both"/>
        <w:rPr>
          <w:rFonts w:eastAsia="Calibri"/>
          <w:sz w:val="20"/>
          <w:lang w:val="fr-CA"/>
        </w:rPr>
      </w:pPr>
      <w:r w:rsidRPr="007859DE">
        <w:rPr>
          <w:rFonts w:eastAsia="Calibri"/>
          <w:sz w:val="20"/>
        </w:rPr>
        <w:t xml:space="preserve">The appeal from the judgment of the Court of Appeal for British Columbia (Vancouver), Number CA036882, 2010 BCCA 581, dated December 17, 2010, heard on February 17, 2012, is allowed and a new trial is ordered.  The appellant will have her costs in this Court.  The orders for costs below are set aside.  </w:t>
      </w:r>
      <w:r w:rsidRPr="007859DE">
        <w:rPr>
          <w:rFonts w:eastAsia="Calibri"/>
          <w:sz w:val="20"/>
          <w:lang w:val="fr-CA"/>
        </w:rPr>
        <w:t xml:space="preserve">LeBel and Rothstein JJ. </w:t>
      </w:r>
      <w:proofErr w:type="gramStart"/>
      <w:r w:rsidRPr="007859DE">
        <w:rPr>
          <w:rFonts w:eastAsia="Calibri"/>
          <w:sz w:val="20"/>
          <w:lang w:val="fr-CA"/>
        </w:rPr>
        <w:t>are</w:t>
      </w:r>
      <w:proofErr w:type="gramEnd"/>
      <w:r w:rsidRPr="007859DE">
        <w:rPr>
          <w:rFonts w:eastAsia="Calibri"/>
          <w:sz w:val="20"/>
          <w:lang w:val="fr-CA"/>
        </w:rPr>
        <w:t xml:space="preserve"> dissenting.</w:t>
      </w:r>
    </w:p>
    <w:p w:rsidR="00B739E7" w:rsidRPr="007859DE" w:rsidRDefault="00B739E7" w:rsidP="00B739E7">
      <w:pPr>
        <w:jc w:val="both"/>
        <w:rPr>
          <w:rFonts w:eastAsia="Calibri"/>
          <w:sz w:val="20"/>
          <w:lang w:val="fr-CA"/>
        </w:rPr>
      </w:pPr>
    </w:p>
    <w:p w:rsidR="00B739E7" w:rsidRPr="007859DE" w:rsidRDefault="00B739E7" w:rsidP="00B739E7">
      <w:pPr>
        <w:jc w:val="both"/>
        <w:rPr>
          <w:rFonts w:eastAsia="Calibri"/>
          <w:sz w:val="20"/>
          <w:lang w:val="fr-CA"/>
        </w:rPr>
      </w:pPr>
      <w:r w:rsidRPr="007859DE">
        <w:rPr>
          <w:rFonts w:eastAsia="Calibri"/>
          <w:sz w:val="20"/>
          <w:lang w:val="fr-CA"/>
        </w:rPr>
        <w:t xml:space="preserve">L’appel interjeté contre l’arrêt de la Cour d’appel de la Colombie-Britannique (Vancouver), numéro CA036882, 2010 BCCA 581, en date du 17 décembre 2010, entendu le 17 février 2012, est accueilli et la tenue d’un nouveau procès est ordonnée.  L’appelante </w:t>
      </w:r>
      <w:proofErr w:type="gramStart"/>
      <w:r w:rsidRPr="007859DE">
        <w:rPr>
          <w:rFonts w:eastAsia="Calibri"/>
          <w:sz w:val="20"/>
          <w:lang w:val="fr-CA"/>
        </w:rPr>
        <w:t>a</w:t>
      </w:r>
      <w:proofErr w:type="gramEnd"/>
      <w:r w:rsidRPr="007859DE">
        <w:rPr>
          <w:rFonts w:eastAsia="Calibri"/>
          <w:sz w:val="20"/>
          <w:lang w:val="fr-CA"/>
        </w:rPr>
        <w:t xml:space="preserve"> droit à ses dépens devant notre Cour.  Les ordonnances des juridictions inférieures relativement aux dépens sont annulées.  Les juges LeBel et Rothstein sont dissidents.</w:t>
      </w:r>
    </w:p>
    <w:p w:rsidR="002D36BA" w:rsidRDefault="002D36BA" w:rsidP="00AF1715">
      <w:pPr>
        <w:spacing w:line="0" w:lineRule="atLeast"/>
        <w:rPr>
          <w:rFonts w:cs="Times New Roman"/>
          <w:sz w:val="20"/>
          <w:szCs w:val="20"/>
        </w:rPr>
      </w:pPr>
    </w:p>
    <w:p w:rsidR="00AF1715" w:rsidRDefault="00D70052"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D70052">
        <w:rPr>
          <w:rFonts w:cs="Times New Roman"/>
          <w:b/>
          <w:sz w:val="20"/>
          <w:szCs w:val="20"/>
        </w:rPr>
        <w:pict>
          <v:rect id="_x0000_i1103" style="width:144.3pt;height:1pt" o:hrpct="300" o:hralign="center" o:hrstd="t" o:hrnoshade="t" o:hr="t" fillcolor="black [3213]" stroked="f"/>
        </w:pict>
      </w:r>
    </w:p>
    <w:p w:rsidR="007768DF" w:rsidRDefault="007768DF"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p>
    <w:p w:rsidR="007768DF" w:rsidRPr="006C5F7A" w:rsidRDefault="007768DF"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857918" w:rsidRPr="001A5361" w:rsidRDefault="00857918" w:rsidP="00857918">
      <w:pPr>
        <w:rPr>
          <w:rFonts w:eastAsia="Calibri" w:cs="Times New Roman"/>
          <w:sz w:val="20"/>
          <w:szCs w:val="20"/>
          <w:lang w:val="fr-CA"/>
        </w:rPr>
      </w:pPr>
      <w:r w:rsidRPr="001A5361">
        <w:rPr>
          <w:rFonts w:eastAsia="Calibri" w:cs="Times New Roman"/>
          <w:i/>
          <w:sz w:val="20"/>
          <w:szCs w:val="20"/>
          <w:lang w:val="fr-CA"/>
        </w:rPr>
        <w:t xml:space="preserve">Sa Majesté la Reine c. Suganthini Mayuran </w:t>
      </w:r>
      <w:r w:rsidRPr="001A5361">
        <w:rPr>
          <w:rFonts w:eastAsia="Calibri" w:cs="Times New Roman"/>
          <w:sz w:val="20"/>
          <w:szCs w:val="20"/>
          <w:lang w:val="fr-CA"/>
        </w:rPr>
        <w:t>(Qc) (34526)</w:t>
      </w:r>
    </w:p>
    <w:p w:rsidR="00FC0B68" w:rsidRPr="00FF78A8" w:rsidRDefault="00FC0B68" w:rsidP="00FC0B68">
      <w:pPr>
        <w:jc w:val="both"/>
        <w:rPr>
          <w:b/>
          <w:sz w:val="20"/>
          <w:szCs w:val="20"/>
        </w:rPr>
      </w:pPr>
      <w:r w:rsidRPr="00FF78A8">
        <w:rPr>
          <w:b/>
          <w:sz w:val="20"/>
          <w:szCs w:val="20"/>
        </w:rPr>
        <w:t xml:space="preserve">Indexed as:  R. </w:t>
      </w:r>
      <w:r w:rsidRPr="00FF78A8">
        <w:rPr>
          <w:b/>
          <w:i/>
          <w:sz w:val="20"/>
          <w:szCs w:val="20"/>
        </w:rPr>
        <w:t>v.</w:t>
      </w:r>
      <w:r w:rsidRPr="00FF78A8">
        <w:rPr>
          <w:b/>
          <w:sz w:val="20"/>
          <w:szCs w:val="20"/>
        </w:rPr>
        <w:t xml:space="preserve"> Mayuran</w:t>
      </w:r>
      <w:r>
        <w:rPr>
          <w:b/>
          <w:sz w:val="20"/>
          <w:szCs w:val="20"/>
        </w:rPr>
        <w:t xml:space="preserve"> / </w:t>
      </w:r>
      <w:proofErr w:type="gramStart"/>
      <w:r w:rsidR="00D30A85" w:rsidRPr="00272602">
        <w:rPr>
          <w:b/>
          <w:sz w:val="20"/>
          <w:szCs w:val="20"/>
        </w:rPr>
        <w:t>Répertorié :</w:t>
      </w:r>
      <w:proofErr w:type="gramEnd"/>
      <w:r w:rsidR="00D30A85" w:rsidRPr="00272602">
        <w:rPr>
          <w:b/>
          <w:sz w:val="20"/>
          <w:szCs w:val="20"/>
        </w:rPr>
        <w:t xml:space="preserve"> R. </w:t>
      </w:r>
      <w:r w:rsidR="00D30A85" w:rsidRPr="00272602">
        <w:rPr>
          <w:b/>
          <w:i/>
          <w:sz w:val="20"/>
          <w:szCs w:val="20"/>
        </w:rPr>
        <w:t>c.</w:t>
      </w:r>
      <w:r w:rsidR="00D30A85" w:rsidRPr="00272602">
        <w:rPr>
          <w:b/>
          <w:sz w:val="20"/>
          <w:szCs w:val="20"/>
        </w:rPr>
        <w:t xml:space="preserve"> Mayuran</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857918">
        <w:rPr>
          <w:sz w:val="20"/>
        </w:rPr>
        <w:t>2</w:t>
      </w:r>
      <w:proofErr w:type="gramEnd"/>
      <w:r w:rsidRPr="003B3977">
        <w:rPr>
          <w:sz w:val="20"/>
        </w:rPr>
        <w:t xml:space="preserve"> SCC </w:t>
      </w:r>
      <w:r w:rsidR="00857918">
        <w:rPr>
          <w:sz w:val="20"/>
        </w:rPr>
        <w:t>3</w:t>
      </w:r>
      <w:r w:rsidR="007F387B">
        <w:rPr>
          <w:sz w:val="20"/>
        </w:rPr>
        <w:t>1</w:t>
      </w:r>
      <w:r w:rsidRPr="003B3977">
        <w:rPr>
          <w:sz w:val="20"/>
        </w:rPr>
        <w:t xml:space="preserve"> / Référence neutre : 201</w:t>
      </w:r>
      <w:r w:rsidR="00857918">
        <w:rPr>
          <w:sz w:val="20"/>
        </w:rPr>
        <w:t>2</w:t>
      </w:r>
      <w:r w:rsidRPr="003B3977">
        <w:rPr>
          <w:sz w:val="20"/>
        </w:rPr>
        <w:t xml:space="preserve"> CSC </w:t>
      </w:r>
      <w:r w:rsidR="00857918">
        <w:rPr>
          <w:sz w:val="20"/>
        </w:rPr>
        <w:t>3</w:t>
      </w:r>
      <w:r w:rsidR="007F387B">
        <w:rPr>
          <w:sz w:val="20"/>
        </w:rPr>
        <w:t>1</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FC0B68">
        <w:rPr>
          <w:rFonts w:cs="Times New Roman"/>
          <w:sz w:val="20"/>
          <w:szCs w:val="20"/>
          <w:lang w:val="fr-CA"/>
        </w:rPr>
        <w:t>April</w:t>
      </w:r>
      <w:proofErr w:type="gramEnd"/>
      <w:r w:rsidR="00FC0B68">
        <w:rPr>
          <w:rFonts w:cs="Times New Roman"/>
          <w:sz w:val="20"/>
          <w:szCs w:val="20"/>
          <w:lang w:val="fr-CA"/>
        </w:rPr>
        <w:t xml:space="preserve"> 19</w:t>
      </w:r>
      <w:r w:rsidRPr="003B3977">
        <w:rPr>
          <w:rFonts w:cs="Times New Roman"/>
          <w:sz w:val="20"/>
          <w:szCs w:val="20"/>
          <w:lang w:val="fr-CA"/>
        </w:rPr>
        <w:t>, 201</w:t>
      </w:r>
      <w:r w:rsidR="00FC0B68">
        <w:rPr>
          <w:rFonts w:cs="Times New Roman"/>
          <w:sz w:val="20"/>
          <w:szCs w:val="20"/>
          <w:lang w:val="fr-CA"/>
        </w:rPr>
        <w:t>2</w:t>
      </w:r>
      <w:r w:rsidRPr="003B3977">
        <w:rPr>
          <w:rFonts w:cs="Times New Roman"/>
          <w:sz w:val="20"/>
          <w:szCs w:val="20"/>
          <w:lang w:val="fr-CA"/>
        </w:rPr>
        <w:t xml:space="preserve"> / Judgment:  </w:t>
      </w:r>
      <w:r w:rsidR="00857918">
        <w:rPr>
          <w:rFonts w:cs="Times New Roman"/>
          <w:sz w:val="20"/>
          <w:szCs w:val="20"/>
          <w:lang w:val="fr-CA"/>
        </w:rPr>
        <w:t>Jun</w:t>
      </w:r>
      <w:r w:rsidRPr="003B3977">
        <w:rPr>
          <w:rFonts w:cs="Times New Roman"/>
          <w:sz w:val="20"/>
          <w:szCs w:val="20"/>
          <w:lang w:val="fr-CA"/>
        </w:rPr>
        <w:t>e 2</w:t>
      </w:r>
      <w:r w:rsidR="00857918">
        <w:rPr>
          <w:rFonts w:cs="Times New Roman"/>
          <w:sz w:val="20"/>
          <w:szCs w:val="20"/>
          <w:lang w:val="fr-CA"/>
        </w:rPr>
        <w:t>9</w:t>
      </w:r>
      <w:r w:rsidRPr="003B3977">
        <w:rPr>
          <w:rFonts w:cs="Times New Roman"/>
          <w:sz w:val="20"/>
          <w:szCs w:val="20"/>
          <w:lang w:val="fr-CA"/>
        </w:rPr>
        <w:t>, 201</w:t>
      </w:r>
      <w:r w:rsidR="00857918">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FC0B68">
        <w:rPr>
          <w:rFonts w:cs="Times New Roman"/>
          <w:sz w:val="20"/>
          <w:szCs w:val="20"/>
          <w:lang w:val="fr-CA"/>
        </w:rPr>
        <w:t xml:space="preserve">19 avril </w:t>
      </w:r>
      <w:r w:rsidRPr="003B3977">
        <w:rPr>
          <w:rFonts w:cs="Times New Roman"/>
          <w:sz w:val="20"/>
          <w:szCs w:val="20"/>
          <w:lang w:val="fr-CA"/>
        </w:rPr>
        <w:t>201</w:t>
      </w:r>
      <w:r w:rsidR="00FC0B68">
        <w:rPr>
          <w:rFonts w:cs="Times New Roman"/>
          <w:sz w:val="20"/>
          <w:szCs w:val="20"/>
          <w:lang w:val="fr-CA"/>
        </w:rPr>
        <w:t>2</w:t>
      </w:r>
      <w:r w:rsidRPr="003B3977">
        <w:rPr>
          <w:rFonts w:cs="Times New Roman"/>
          <w:sz w:val="20"/>
          <w:szCs w:val="20"/>
          <w:lang w:val="fr-CA"/>
        </w:rPr>
        <w:t xml:space="preserve"> / Jugement : Le 2</w:t>
      </w:r>
      <w:r w:rsidR="00857918">
        <w:rPr>
          <w:rFonts w:cs="Times New Roman"/>
          <w:sz w:val="20"/>
          <w:szCs w:val="20"/>
          <w:lang w:val="fr-CA"/>
        </w:rPr>
        <w:t>9 juin</w:t>
      </w:r>
      <w:r w:rsidRPr="003B3977">
        <w:rPr>
          <w:rFonts w:cs="Times New Roman"/>
          <w:sz w:val="20"/>
          <w:szCs w:val="20"/>
          <w:lang w:val="fr-CA"/>
        </w:rPr>
        <w:t xml:space="preserve"> 201</w:t>
      </w:r>
      <w:r w:rsidR="00857918">
        <w:rPr>
          <w:rFonts w:cs="Times New Roman"/>
          <w:sz w:val="20"/>
          <w:szCs w:val="20"/>
          <w:lang w:val="fr-CA"/>
        </w:rPr>
        <w:t>2</w:t>
      </w:r>
    </w:p>
    <w:p w:rsidR="005C6840" w:rsidRPr="003B3977" w:rsidRDefault="00D70052" w:rsidP="005C6840">
      <w:pPr>
        <w:rPr>
          <w:rFonts w:cs="Times New Roman"/>
          <w:sz w:val="20"/>
          <w:szCs w:val="20"/>
          <w:lang w:val="fr-CA"/>
        </w:rPr>
      </w:pPr>
      <w:r w:rsidRPr="00D70052">
        <w:rPr>
          <w:rFonts w:cs="Times New Roman"/>
          <w:i/>
          <w:sz w:val="20"/>
          <w:szCs w:val="20"/>
        </w:rPr>
        <w:pict>
          <v:rect id="_x0000_i1106" style="width:480.95pt;height:1pt" o:hralign="center" o:hrstd="t" o:hrnoshade="t" o:hr="t" fillcolor="black [3213]" stroked="f"/>
        </w:pict>
      </w:r>
    </w:p>
    <w:p w:rsidR="005C6840" w:rsidRDefault="005C6840" w:rsidP="005C6840">
      <w:pPr>
        <w:rPr>
          <w:rFonts w:cs="Times New Roman"/>
          <w:sz w:val="20"/>
          <w:szCs w:val="20"/>
          <w:lang w:val="fr-CA"/>
        </w:rPr>
      </w:pPr>
    </w:p>
    <w:p w:rsidR="008B5DBF" w:rsidRPr="00D30A85" w:rsidRDefault="008B5DBF" w:rsidP="008B5DBF">
      <w:pPr>
        <w:jc w:val="both"/>
        <w:rPr>
          <w:sz w:val="20"/>
          <w:szCs w:val="20"/>
          <w:lang w:val="fr-CA"/>
        </w:rPr>
      </w:pPr>
      <w:r w:rsidRPr="00D30A85">
        <w:rPr>
          <w:sz w:val="20"/>
          <w:szCs w:val="20"/>
          <w:lang w:val="fr-CA"/>
        </w:rPr>
        <w:t>Présents : Les juges LeBel, Deschamps, Fish, Abella, Cromwell, Moldaver et Karakatsanis.</w:t>
      </w:r>
    </w:p>
    <w:p w:rsidR="008B5DBF" w:rsidRPr="00D30A85" w:rsidRDefault="008B5DBF" w:rsidP="008B5DBF">
      <w:pPr>
        <w:pStyle w:val="SCCLowerCourtNameLowercase"/>
        <w:tabs>
          <w:tab w:val="clear" w:pos="1168"/>
        </w:tabs>
        <w:spacing w:line="240" w:lineRule="auto"/>
        <w:rPr>
          <w:sz w:val="20"/>
          <w:lang w:val="fr-CA"/>
        </w:rPr>
      </w:pPr>
    </w:p>
    <w:p w:rsidR="008B5DBF" w:rsidRPr="00272602" w:rsidRDefault="008B5DBF" w:rsidP="008B5DBF">
      <w:pPr>
        <w:pStyle w:val="SCCNormalDoubleSpacing"/>
        <w:widowControl w:val="0"/>
        <w:spacing w:line="240" w:lineRule="auto"/>
        <w:rPr>
          <w:i/>
          <w:sz w:val="20"/>
          <w:lang w:val="fr-FR"/>
        </w:rPr>
      </w:pPr>
      <w:r w:rsidRPr="00D30A85">
        <w:rPr>
          <w:i/>
          <w:sz w:val="20"/>
          <w:lang w:val="fr-CA"/>
        </w:rPr>
        <w:tab/>
        <w:t>Droit criminel — Moyens de défense — Provocation — Déclaration de culpabilité prononcée à l’encontre de l’accusée pour meurtre au deuxième degré — Le moyen de défense de provocation aurait</w:t>
      </w:r>
      <w:r w:rsidRPr="00D30A85">
        <w:rPr>
          <w:i/>
          <w:sz w:val="20"/>
          <w:lang w:val="fr-CA"/>
        </w:rPr>
        <w:noBreakHyphen/>
        <w:t>il dû être soumis au jury? — L’élément objectif de la défense de provocation est</w:t>
      </w:r>
      <w:r w:rsidRPr="00D30A85">
        <w:rPr>
          <w:i/>
          <w:sz w:val="20"/>
          <w:lang w:val="fr-CA"/>
        </w:rPr>
        <w:noBreakHyphen/>
        <w:t>il établi de sorte que la défense est vraisemblable? — La juge du procès a</w:t>
      </w:r>
      <w:r w:rsidRPr="00D30A85">
        <w:rPr>
          <w:i/>
          <w:sz w:val="20"/>
          <w:lang w:val="fr-CA"/>
        </w:rPr>
        <w:noBreakHyphen/>
        <w:t>t</w:t>
      </w:r>
      <w:r w:rsidRPr="00D30A85">
        <w:rPr>
          <w:i/>
          <w:sz w:val="20"/>
          <w:lang w:val="fr-CA"/>
        </w:rPr>
        <w:noBreakHyphen/>
        <w:t xml:space="preserve">elle commis des erreurs en instruisant le jury? — </w:t>
      </w:r>
      <w:r w:rsidRPr="00272602">
        <w:rPr>
          <w:i/>
          <w:sz w:val="20"/>
          <w:lang w:val="fr-FR"/>
        </w:rPr>
        <w:t>Si oui, la disposition réparatrice s’applique</w:t>
      </w:r>
      <w:r w:rsidRPr="00272602">
        <w:rPr>
          <w:i/>
          <w:sz w:val="20"/>
          <w:lang w:val="fr-FR"/>
        </w:rPr>
        <w:noBreakHyphen/>
        <w:t>t</w:t>
      </w:r>
      <w:r w:rsidRPr="00272602">
        <w:rPr>
          <w:i/>
          <w:sz w:val="20"/>
          <w:lang w:val="fr-FR"/>
        </w:rPr>
        <w:noBreakHyphen/>
        <w:t xml:space="preserve">elle? </w:t>
      </w:r>
    </w:p>
    <w:p w:rsidR="008B5DBF" w:rsidRDefault="008B5DBF" w:rsidP="008B5DBF">
      <w:pPr>
        <w:pStyle w:val="SCCNormalDoubleSpacing"/>
        <w:widowControl w:val="0"/>
        <w:spacing w:line="240" w:lineRule="auto"/>
        <w:rPr>
          <w:sz w:val="20"/>
          <w:lang w:val="fr-FR"/>
        </w:rPr>
      </w:pPr>
    </w:p>
    <w:p w:rsidR="008B5DBF" w:rsidRPr="00272602" w:rsidRDefault="008B5DBF" w:rsidP="008B5DBF">
      <w:pPr>
        <w:pStyle w:val="SCCNormalDoubleSpacing"/>
        <w:widowControl w:val="0"/>
        <w:spacing w:line="240" w:lineRule="auto"/>
        <w:rPr>
          <w:sz w:val="20"/>
          <w:lang w:val="fr-FR"/>
        </w:rPr>
      </w:pPr>
      <w:r w:rsidRPr="00272602">
        <w:rPr>
          <w:sz w:val="20"/>
          <w:lang w:val="fr-FR"/>
        </w:rPr>
        <w:tab/>
        <w:t xml:space="preserve">L’accusée a été déclarée coupable du meurtre au deuxième degré de sa belle-sœur, poignardée à 45 reprises.  </w:t>
      </w:r>
      <w:r w:rsidRPr="00D30A85">
        <w:rPr>
          <w:sz w:val="20"/>
          <w:lang w:val="fr-CA"/>
        </w:rPr>
        <w:t>Deux de ses proches ont témoigné que l’accusée avait admis avoir tué la victime parce que celle</w:t>
      </w:r>
      <w:r w:rsidRPr="00D30A85">
        <w:rPr>
          <w:sz w:val="20"/>
          <w:lang w:val="fr-CA"/>
        </w:rPr>
        <w:noBreakHyphen/>
        <w:t xml:space="preserve">ci l’avait ridiculisée au sujet de son aptitude à apprendre et de son degré d’instruction.  </w:t>
      </w:r>
      <w:r w:rsidRPr="00272602">
        <w:rPr>
          <w:sz w:val="20"/>
          <w:lang w:val="fr-FR"/>
        </w:rPr>
        <w:t>L’accusée a nié avoir commis le meurtre et avoir admis en être l’auteur et a présenté une version des événements de la journée incompatible avec le témoignage des autres membres de la famille.  Le récit de la famille a été corroboré par un témoin indépendant, par des reçus et par des registres de téléphone cellulaire.  Des vêtements appartenant à l’accusée ont été trouvés dans un seau d’eau teintée de sang dans la salle de bain, son sang était mêlé à celui de la victime sur la lame d’un couteau qui aurait servi à commettre le meurtre, son ADN se trouvait sur le manche et, aux dires d’un expert, ses coupures à la main étaient compatibles avec une blessure causée par le geste de poignarder quelqu’un.  En appel, les juges majoritaires de la Cour d’appel du Québec ont annulé la déclaration de culpabilité et ordonné la tenue d’un nouveau procès.  À leur avis, la juge du procès aurait dû soumettre la défense de provocation au jury sur la base de l’aveu qu’aurait fait l’accusée d’avoir tué la victime parce que celle</w:t>
      </w:r>
      <w:r w:rsidRPr="00272602">
        <w:rPr>
          <w:sz w:val="20"/>
          <w:lang w:val="fr-FR"/>
        </w:rPr>
        <w:noBreakHyphen/>
        <w:t>ci l’avait ridiculisée.</w:t>
      </w:r>
      <w:r w:rsidRPr="00D30A85">
        <w:rPr>
          <w:sz w:val="20"/>
          <w:lang w:val="fr-CA"/>
        </w:rPr>
        <w:t xml:space="preserve">  Le juge dissident a estimé que les faits de l’affaire ne rendaient pas vraisemblable la défense de provocation.  </w:t>
      </w:r>
    </w:p>
    <w:p w:rsidR="008B5DBF" w:rsidRDefault="008B5DBF" w:rsidP="008B5DBF">
      <w:pPr>
        <w:pStyle w:val="SCCNormalDoubleSpacing"/>
        <w:widowControl w:val="0"/>
        <w:spacing w:line="240" w:lineRule="auto"/>
        <w:rPr>
          <w:sz w:val="20"/>
          <w:lang w:val="fr-FR"/>
        </w:rPr>
      </w:pPr>
    </w:p>
    <w:p w:rsidR="008B5DBF" w:rsidRPr="00D30A85" w:rsidRDefault="008B5DBF" w:rsidP="008B5DBF">
      <w:pPr>
        <w:pStyle w:val="SCCNormalDoubleSpacing"/>
        <w:widowControl w:val="0"/>
        <w:spacing w:line="240" w:lineRule="auto"/>
        <w:rPr>
          <w:sz w:val="20"/>
          <w:lang w:val="fr-CA"/>
        </w:rPr>
      </w:pPr>
      <w:r w:rsidRPr="00272602">
        <w:rPr>
          <w:sz w:val="20"/>
          <w:lang w:val="fr-FR"/>
        </w:rPr>
        <w:tab/>
      </w:r>
      <w:r w:rsidRPr="00D30A85">
        <w:rPr>
          <w:i/>
          <w:sz w:val="20"/>
          <w:lang w:val="fr-CA"/>
        </w:rPr>
        <w:t>Arrêt </w:t>
      </w:r>
      <w:r w:rsidRPr="00D30A85">
        <w:rPr>
          <w:sz w:val="20"/>
          <w:lang w:val="fr-CA"/>
        </w:rPr>
        <w:t>: Le pourvoi est accueilli.  La déclaration de culpabilité est rétablie.</w:t>
      </w:r>
    </w:p>
    <w:p w:rsidR="008B5DBF" w:rsidRDefault="008B5DBF" w:rsidP="008B5DBF">
      <w:pPr>
        <w:pStyle w:val="SCCNormalDoubleSpacing"/>
        <w:widowControl w:val="0"/>
        <w:spacing w:line="240" w:lineRule="auto"/>
        <w:rPr>
          <w:sz w:val="20"/>
          <w:lang w:val="fr-FR"/>
        </w:rPr>
      </w:pPr>
    </w:p>
    <w:p w:rsidR="008B5DBF" w:rsidRPr="00272602" w:rsidRDefault="008B5DBF" w:rsidP="008B5DBF">
      <w:pPr>
        <w:pStyle w:val="SCCNormalDoubleSpacing"/>
        <w:widowControl w:val="0"/>
        <w:spacing w:line="240" w:lineRule="auto"/>
        <w:rPr>
          <w:sz w:val="20"/>
          <w:lang w:val="fr-FR"/>
        </w:rPr>
      </w:pPr>
      <w:r w:rsidRPr="00272602">
        <w:rPr>
          <w:sz w:val="20"/>
          <w:lang w:val="fr-FR"/>
        </w:rPr>
        <w:tab/>
        <w:t>La défense de provocation exige une action injuste ou une insulte de telle nature qu’elle suffise à priver une personne ordinaire du pouvoir de se maîtriser et que l’accusée ait agi avant d’avoir eu le temps de reprendre son sang</w:t>
      </w:r>
      <w:r w:rsidRPr="00272602">
        <w:rPr>
          <w:sz w:val="20"/>
          <w:lang w:val="fr-FR"/>
        </w:rPr>
        <w:noBreakHyphen/>
        <w:t>froid.  Pour qu’il soit satisfait au critère objectif du moyen de défense, la preuve doit pouvoir soulever un doute raisonnable quant au fait qu’une personne ordinaire placée dans la même situation que l’accusée aurait été privée du pouvoir de se maîtriser en entendant les insultes à propos de son niveau d’instruction.  En se fondant sur le dossier de l’espèce, un jury ayant reçu des directives appropriées ne pouvait conclure qu’une personne ordinaire placée dans les mêmes circonstances que l’accusée serait privée du pouvoir de se maîtriser pour avoir été « réprimandée » à propos de son degré d’instruction, au point qu’elle en viendrait à poignarder la personne à 45 reprises dans un accès de rage.  Cela n’est pas vraisemblable.  La juge du procès n’avait donc aucune obligation de donner des directives au jury concernant la défense de provocation.</w:t>
      </w:r>
      <w:r w:rsidRPr="00D30A85">
        <w:rPr>
          <w:sz w:val="20"/>
          <w:lang w:val="fr-CA"/>
        </w:rPr>
        <w:t xml:space="preserve">  </w:t>
      </w:r>
    </w:p>
    <w:p w:rsidR="008B5DBF" w:rsidRDefault="008B5DBF" w:rsidP="008B5DBF">
      <w:pPr>
        <w:pStyle w:val="SCCNormalDoubleSpacing"/>
        <w:widowControl w:val="0"/>
        <w:spacing w:line="240" w:lineRule="auto"/>
        <w:rPr>
          <w:sz w:val="20"/>
          <w:lang w:val="fr-FR"/>
        </w:rPr>
      </w:pPr>
    </w:p>
    <w:p w:rsidR="008B5DBF" w:rsidRDefault="008B5DBF" w:rsidP="008B5DBF">
      <w:pPr>
        <w:pStyle w:val="SCCNormalDoubleSpacing"/>
        <w:widowControl w:val="0"/>
        <w:spacing w:line="240" w:lineRule="auto"/>
        <w:rPr>
          <w:sz w:val="20"/>
          <w:lang w:val="fr-FR"/>
        </w:rPr>
      </w:pPr>
      <w:r w:rsidRPr="00272602">
        <w:rPr>
          <w:sz w:val="20"/>
          <w:lang w:val="fr-FR"/>
        </w:rPr>
        <w:tab/>
        <w:t xml:space="preserve">La disposition réparatrice peut s’appliquer dans deux situations : lorsque l’erreur est inoffensive ou si mineure qu’elle n’a pu avoir aucune incidence sur le verdict; et lorsque, même si l’erreur n’est pas mineure, la preuve présentée contre l’accusé est à ce point </w:t>
      </w:r>
      <w:proofErr w:type="gramStart"/>
      <w:r w:rsidRPr="00272602">
        <w:rPr>
          <w:sz w:val="20"/>
          <w:lang w:val="fr-FR"/>
        </w:rPr>
        <w:t>accablante</w:t>
      </w:r>
      <w:proofErr w:type="gramEnd"/>
      <w:r w:rsidRPr="00272602">
        <w:rPr>
          <w:sz w:val="20"/>
          <w:lang w:val="fr-FR"/>
        </w:rPr>
        <w:t xml:space="preserve"> qu’il aurait été impossible de rendre un autre verdict</w:t>
      </w:r>
      <w:r w:rsidRPr="00D30A85">
        <w:rPr>
          <w:sz w:val="20"/>
          <w:lang w:val="fr-CA"/>
        </w:rPr>
        <w:t xml:space="preserve">.  En l’espèce, les instructions de la juge du procès au jury contenaient plusieurs erreurs, mais la plupart étaient mineures et ne pouvaient avoir eu d’incidence sur le verdict.  </w:t>
      </w:r>
      <w:r w:rsidRPr="00272602">
        <w:rPr>
          <w:sz w:val="20"/>
          <w:lang w:val="fr-FR"/>
        </w:rPr>
        <w:t>Si l’erreur commise par la juge du procès sur le poids à accorder à l’aveu fait par l’accusée n’était pas inoffensive, en revanche la cause contre l’accusée était accablante.</w:t>
      </w:r>
      <w:r w:rsidRPr="00D30A85">
        <w:rPr>
          <w:sz w:val="20"/>
          <w:lang w:val="fr-CA"/>
        </w:rPr>
        <w:t xml:space="preserve">  </w:t>
      </w:r>
      <w:r w:rsidRPr="00272602">
        <w:rPr>
          <w:sz w:val="20"/>
          <w:lang w:val="fr-FR"/>
        </w:rPr>
        <w:t>Par conséquent, la disposition réparatrice s’applique.</w:t>
      </w:r>
    </w:p>
    <w:p w:rsidR="008B5DBF" w:rsidRPr="00272602" w:rsidRDefault="008B5DBF" w:rsidP="008B5DBF">
      <w:pPr>
        <w:pStyle w:val="SCCNormalDoubleSpacing"/>
        <w:widowControl w:val="0"/>
        <w:spacing w:line="240" w:lineRule="auto"/>
        <w:rPr>
          <w:sz w:val="20"/>
          <w:lang w:val="fr-FR"/>
        </w:rPr>
      </w:pPr>
    </w:p>
    <w:p w:rsidR="008B5DBF" w:rsidRPr="00D30A85" w:rsidRDefault="008B5DBF" w:rsidP="008B5DBF">
      <w:pPr>
        <w:pStyle w:val="SCCNormalDoubleSpacing"/>
        <w:spacing w:line="240" w:lineRule="auto"/>
        <w:rPr>
          <w:sz w:val="20"/>
          <w:lang w:val="fr-CA"/>
        </w:rPr>
      </w:pPr>
      <w:r w:rsidRPr="00D30A85">
        <w:rPr>
          <w:sz w:val="20"/>
          <w:lang w:val="fr-CA"/>
        </w:rPr>
        <w:tab/>
        <w:t>POURVOI contre un arrêt de la Cour d’appel du Québec (les juges Beauregard, Rochon et Duval Hesler), 2011 QCCA 1823 (CanLII), [2011] J.Q. n</w:t>
      </w:r>
      <w:r w:rsidRPr="00D30A85">
        <w:rPr>
          <w:sz w:val="20"/>
          <w:vertAlign w:val="superscript"/>
          <w:lang w:val="fr-CA"/>
        </w:rPr>
        <w:t>o</w:t>
      </w:r>
      <w:r w:rsidRPr="00D30A85">
        <w:rPr>
          <w:sz w:val="20"/>
          <w:lang w:val="fr-CA"/>
        </w:rPr>
        <w:t xml:space="preserve"> 13938 (QL), 2011 CarswellQue 10626, qui a annulé la déclaration de culpabilité de meurtre au deuxième degré prononcée contre l’accusée et ordonné la tenue d’un nouveau procès.  Pourvoi accueilli.</w:t>
      </w:r>
    </w:p>
    <w:p w:rsidR="008B5DBF" w:rsidRPr="00D30A85" w:rsidRDefault="008B5DBF" w:rsidP="008B5DBF">
      <w:pPr>
        <w:pStyle w:val="SCCNormalDoubleSpacing"/>
        <w:spacing w:line="240" w:lineRule="auto"/>
        <w:rPr>
          <w:i/>
          <w:sz w:val="20"/>
          <w:lang w:val="fr-CA"/>
        </w:rPr>
      </w:pPr>
    </w:p>
    <w:p w:rsidR="008B5DBF" w:rsidRPr="00D30A85" w:rsidRDefault="008B5DBF" w:rsidP="008B5DBF">
      <w:pPr>
        <w:pStyle w:val="SCCNormalDoubleSpacing"/>
        <w:spacing w:line="240" w:lineRule="auto"/>
        <w:rPr>
          <w:sz w:val="20"/>
          <w:lang w:val="fr-CA"/>
        </w:rPr>
      </w:pPr>
      <w:r w:rsidRPr="00D30A85">
        <w:rPr>
          <w:i/>
          <w:sz w:val="20"/>
          <w:lang w:val="fr-CA"/>
        </w:rPr>
        <w:tab/>
        <w:t>Louis Bouthillier</w:t>
      </w:r>
      <w:r w:rsidRPr="00D30A85">
        <w:rPr>
          <w:sz w:val="20"/>
          <w:lang w:val="fr-CA"/>
        </w:rPr>
        <w:t xml:space="preserve"> et </w:t>
      </w:r>
      <w:r w:rsidRPr="00D30A85">
        <w:rPr>
          <w:i/>
          <w:sz w:val="20"/>
          <w:lang w:val="fr-CA"/>
        </w:rPr>
        <w:t>Alexandre Boucher</w:t>
      </w:r>
      <w:r w:rsidRPr="00D30A85">
        <w:rPr>
          <w:sz w:val="20"/>
          <w:lang w:val="fr-CA"/>
        </w:rPr>
        <w:t>, pour l’appelante.</w:t>
      </w:r>
    </w:p>
    <w:p w:rsidR="008B5DBF" w:rsidRPr="00D30A85" w:rsidRDefault="008B5DBF" w:rsidP="008B5DBF">
      <w:pPr>
        <w:pStyle w:val="SCCNormalDoubleSpacing"/>
        <w:spacing w:line="240" w:lineRule="auto"/>
        <w:rPr>
          <w:i/>
          <w:sz w:val="20"/>
          <w:lang w:val="fr-CA"/>
        </w:rPr>
      </w:pPr>
    </w:p>
    <w:p w:rsidR="008B5DBF" w:rsidRPr="00D30A85" w:rsidRDefault="008B5DBF" w:rsidP="008B5DBF">
      <w:pPr>
        <w:pStyle w:val="SCCNormalDoubleSpacing"/>
        <w:spacing w:line="240" w:lineRule="auto"/>
        <w:rPr>
          <w:sz w:val="20"/>
          <w:lang w:val="fr-CA"/>
        </w:rPr>
      </w:pPr>
      <w:r w:rsidRPr="00D30A85">
        <w:rPr>
          <w:i/>
          <w:sz w:val="20"/>
          <w:lang w:val="fr-CA"/>
        </w:rPr>
        <w:tab/>
        <w:t>Martin Latour</w:t>
      </w:r>
      <w:r w:rsidRPr="00D30A85">
        <w:rPr>
          <w:sz w:val="20"/>
          <w:lang w:val="fr-CA"/>
        </w:rPr>
        <w:t xml:space="preserve"> et </w:t>
      </w:r>
      <w:r w:rsidRPr="00D30A85">
        <w:rPr>
          <w:i/>
          <w:sz w:val="20"/>
          <w:lang w:val="fr-CA"/>
        </w:rPr>
        <w:t>Maude Pagé</w:t>
      </w:r>
      <w:r w:rsidRPr="00D30A85">
        <w:rPr>
          <w:i/>
          <w:sz w:val="20"/>
          <w:lang w:val="fr-CA"/>
        </w:rPr>
        <w:noBreakHyphen/>
        <w:t>Arpin</w:t>
      </w:r>
      <w:r w:rsidRPr="00D30A85">
        <w:rPr>
          <w:sz w:val="20"/>
          <w:lang w:val="fr-CA"/>
        </w:rPr>
        <w:t>, pour l’intimée.</w:t>
      </w:r>
    </w:p>
    <w:p w:rsidR="008B5DBF" w:rsidRPr="00D30A85" w:rsidRDefault="008B5DBF" w:rsidP="008B5DBF">
      <w:pPr>
        <w:pStyle w:val="SCCLawFirm"/>
        <w:spacing w:line="240" w:lineRule="auto"/>
        <w:rPr>
          <w:sz w:val="20"/>
          <w:lang w:val="fr-CA"/>
        </w:rPr>
      </w:pPr>
    </w:p>
    <w:p w:rsidR="008B5DBF" w:rsidRPr="00D30A85" w:rsidRDefault="008B5DBF" w:rsidP="008B5DBF">
      <w:pPr>
        <w:pStyle w:val="SCCLawFirm"/>
        <w:spacing w:line="240" w:lineRule="auto"/>
        <w:rPr>
          <w:sz w:val="20"/>
          <w:lang w:val="fr-CA"/>
        </w:rPr>
      </w:pPr>
      <w:r w:rsidRPr="00D30A85">
        <w:rPr>
          <w:sz w:val="20"/>
          <w:lang w:val="fr-CA"/>
        </w:rPr>
        <w:tab/>
        <w:t>Procureur de l’appelante : Poursuites criminelles et pénales du Québec, Montréal.</w:t>
      </w:r>
    </w:p>
    <w:p w:rsidR="008B5DBF" w:rsidRPr="00D30A85" w:rsidRDefault="008B5DBF" w:rsidP="008B5DBF">
      <w:pPr>
        <w:pStyle w:val="SCCLawFirm"/>
        <w:spacing w:line="240" w:lineRule="auto"/>
        <w:rPr>
          <w:sz w:val="20"/>
          <w:lang w:val="fr-CA"/>
        </w:rPr>
      </w:pPr>
    </w:p>
    <w:p w:rsidR="008B5DBF" w:rsidRPr="00D30A85" w:rsidRDefault="008B5DBF" w:rsidP="008B5DBF">
      <w:pPr>
        <w:pStyle w:val="SCCLawFirm"/>
        <w:spacing w:line="240" w:lineRule="auto"/>
        <w:rPr>
          <w:sz w:val="20"/>
          <w:lang w:val="fr-CA"/>
        </w:rPr>
      </w:pPr>
      <w:r w:rsidRPr="00D30A85">
        <w:rPr>
          <w:sz w:val="20"/>
          <w:lang w:val="fr-CA"/>
        </w:rPr>
        <w:tab/>
        <w:t>Procureurs de l’intimée : Labelle, Boudrault, Côté et Associés, Montréal.</w:t>
      </w:r>
    </w:p>
    <w:p w:rsidR="00DD0B49" w:rsidRPr="008B5DBF" w:rsidRDefault="00DD0B49" w:rsidP="00DD0B49">
      <w:pPr>
        <w:rPr>
          <w:rFonts w:cs="Times New Roman"/>
          <w:sz w:val="20"/>
          <w:szCs w:val="20"/>
        </w:rPr>
      </w:pPr>
      <w:r w:rsidRPr="008B5DBF">
        <w:rPr>
          <w:rFonts w:cs="Times New Roman"/>
          <w:sz w:val="20"/>
          <w:szCs w:val="20"/>
        </w:rPr>
        <w:t>________________________</w:t>
      </w:r>
    </w:p>
    <w:p w:rsidR="00DD0B49" w:rsidRPr="008B5DBF" w:rsidRDefault="00DD0B49" w:rsidP="00DD0B49">
      <w:pPr>
        <w:rPr>
          <w:rFonts w:cs="Times New Roman"/>
          <w:sz w:val="20"/>
          <w:szCs w:val="20"/>
        </w:rPr>
      </w:pPr>
    </w:p>
    <w:p w:rsidR="008B5DBF" w:rsidRPr="00FF78A8" w:rsidRDefault="008B5DBF" w:rsidP="008B5DBF">
      <w:pPr>
        <w:jc w:val="both"/>
        <w:rPr>
          <w:sz w:val="20"/>
          <w:szCs w:val="20"/>
        </w:rPr>
      </w:pPr>
      <w:r w:rsidRPr="00FF78A8">
        <w:rPr>
          <w:sz w:val="20"/>
          <w:szCs w:val="20"/>
        </w:rPr>
        <w:t>Present:  LeBel, Deschamps, Fish, Abella, Cromwell, Moldaver and Karakatsanis JJ.</w:t>
      </w:r>
    </w:p>
    <w:p w:rsidR="008B5DBF" w:rsidRDefault="008B5DBF" w:rsidP="008B5DBF">
      <w:pPr>
        <w:pStyle w:val="SCCLowerCourtNameLowercase"/>
        <w:spacing w:line="240" w:lineRule="auto"/>
        <w:rPr>
          <w:sz w:val="20"/>
        </w:rPr>
      </w:pPr>
    </w:p>
    <w:p w:rsidR="008B5DBF" w:rsidRPr="00FF78A8" w:rsidRDefault="008B5DBF" w:rsidP="008B5DBF">
      <w:pPr>
        <w:pStyle w:val="SCCNormalDoubleSpacing"/>
        <w:spacing w:line="240" w:lineRule="auto"/>
        <w:rPr>
          <w:i/>
          <w:sz w:val="20"/>
        </w:rPr>
      </w:pPr>
      <w:r w:rsidRPr="00FF78A8">
        <w:rPr>
          <w:i/>
          <w:sz w:val="20"/>
        </w:rPr>
        <w:tab/>
        <w:t>Criminal law — Defences — Provocation — Accused convicted of second degree murder — Whether defence of provocation should have been put to jury — Whether objective element of provocation had an air of reality — Whether trial judge committing errors in instructions to jury — If so, whether curative proviso applicable.</w:t>
      </w:r>
    </w:p>
    <w:p w:rsidR="008B5DBF" w:rsidRDefault="008B5DBF" w:rsidP="008B5DBF">
      <w:pPr>
        <w:pStyle w:val="SCCNormalDoubleSpacing"/>
        <w:spacing w:line="240" w:lineRule="auto"/>
        <w:rPr>
          <w:sz w:val="20"/>
        </w:rPr>
      </w:pPr>
    </w:p>
    <w:p w:rsidR="008B5DBF" w:rsidRPr="00FF78A8" w:rsidRDefault="008B5DBF" w:rsidP="008B5DBF">
      <w:pPr>
        <w:pStyle w:val="SCCNormalDoubleSpacing"/>
        <w:spacing w:line="240" w:lineRule="auto"/>
        <w:rPr>
          <w:sz w:val="20"/>
        </w:rPr>
      </w:pPr>
      <w:r w:rsidRPr="00FF78A8">
        <w:rPr>
          <w:sz w:val="20"/>
        </w:rPr>
        <w:tab/>
        <w:t>The accused was convicted of second degree murder in the death of her sister</w:t>
      </w:r>
      <w:r w:rsidRPr="00FF78A8">
        <w:rPr>
          <w:sz w:val="20"/>
        </w:rPr>
        <w:noBreakHyphen/>
        <w:t>in</w:t>
      </w:r>
      <w:r w:rsidRPr="00FF78A8">
        <w:rPr>
          <w:sz w:val="20"/>
        </w:rPr>
        <w:noBreakHyphen/>
        <w:t>law who had been stabbed 45 times.  Two members of the accused’s family testified that the accused confessed to killing the victim because the victim had ridiculed her about her learning ability and her level of education.  The accused denied having committed or having confessed to the murder, and offered an account of the day’s events that conflicted with the rest of the family’s testimony.  The family’s story was corroborated by an independent witness, by receipts and by cellular phone records.  The accused’s clothing was found in a bucket of bloody water in the bathroom, her blood was mixed with the blood of the victim on the blade of a knife said to be the murder weapon, her DNA was on the knife’s handle, and cuts she suffered were said to be consistent with an injury caused while stabbing someone.</w:t>
      </w:r>
      <w:r w:rsidR="00147672">
        <w:rPr>
          <w:sz w:val="20"/>
        </w:rPr>
        <w:t xml:space="preserve">  </w:t>
      </w:r>
      <w:r w:rsidRPr="00FF78A8">
        <w:rPr>
          <w:sz w:val="20"/>
        </w:rPr>
        <w:t>On appeal, a majority of the Quebec Court of Appeal set aside the conviction and ordered a new trial.  In its view, the trial judge ought to have put the defence of provocation to the jury based on the accused’s alleged confession to killing the victim because she had been ridiculed by her.  The dissenting judge found that there was no air of reality to the defence of provocation on the facts the case.</w:t>
      </w:r>
    </w:p>
    <w:p w:rsidR="008B5DBF" w:rsidRDefault="008B5DBF" w:rsidP="008B5DBF">
      <w:pPr>
        <w:pStyle w:val="SCCNormalDoubleSpacing"/>
        <w:spacing w:line="240" w:lineRule="auto"/>
        <w:rPr>
          <w:sz w:val="20"/>
        </w:rPr>
      </w:pPr>
    </w:p>
    <w:p w:rsidR="008B5DBF" w:rsidRPr="00FF78A8" w:rsidRDefault="008B5DBF" w:rsidP="008B5DBF">
      <w:pPr>
        <w:pStyle w:val="SCCNormalDoubleSpacing"/>
        <w:spacing w:line="240" w:lineRule="auto"/>
        <w:rPr>
          <w:sz w:val="20"/>
        </w:rPr>
      </w:pPr>
      <w:r w:rsidRPr="00FF78A8">
        <w:rPr>
          <w:sz w:val="20"/>
        </w:rPr>
        <w:tab/>
      </w:r>
      <w:r w:rsidRPr="00FF78A8">
        <w:rPr>
          <w:i/>
          <w:sz w:val="20"/>
        </w:rPr>
        <w:t>Held</w:t>
      </w:r>
      <w:r w:rsidRPr="00FF78A8">
        <w:rPr>
          <w:sz w:val="20"/>
        </w:rPr>
        <w:t>:  The appeal should be allowed.  The conviction is restored.</w:t>
      </w:r>
    </w:p>
    <w:p w:rsidR="008B5DBF" w:rsidRDefault="008B5DBF" w:rsidP="008B5DBF">
      <w:pPr>
        <w:pStyle w:val="SCCNormalDoubleSpacing"/>
        <w:spacing w:line="240" w:lineRule="auto"/>
        <w:rPr>
          <w:sz w:val="20"/>
        </w:rPr>
      </w:pPr>
    </w:p>
    <w:p w:rsidR="008B5DBF" w:rsidRPr="00FF78A8" w:rsidRDefault="008B5DBF" w:rsidP="008B5DBF">
      <w:pPr>
        <w:pStyle w:val="SCCNormalDoubleSpacing"/>
        <w:spacing w:line="240" w:lineRule="auto"/>
        <w:rPr>
          <w:sz w:val="20"/>
        </w:rPr>
      </w:pPr>
      <w:r w:rsidRPr="00FF78A8">
        <w:rPr>
          <w:sz w:val="20"/>
        </w:rPr>
        <w:tab/>
        <w:t>The defence of provocation requires that there be a wrongful act or insult of such a nature that it is sufficient to deprive an ordinary person of the power of self</w:t>
      </w:r>
      <w:r w:rsidRPr="00FF78A8">
        <w:rPr>
          <w:sz w:val="20"/>
        </w:rPr>
        <w:noBreakHyphen/>
        <w:t>control and that the accused act on that insult before there was time for her passion to cool.  In order to satisfy the objective element of the defence, the evidence must be capable of giving rise to a reasonable doubt that an ordinary person in the accused’s circumstances would be deprived of the power of self</w:t>
      </w:r>
      <w:r w:rsidRPr="00FF78A8">
        <w:rPr>
          <w:sz w:val="20"/>
        </w:rPr>
        <w:noBreakHyphen/>
        <w:t>control when hearing insults about his or her level of education.  Based on the record, a properly instructed jury could not conclude that an ordinary person in the accused’s circumstances would be deprived of self</w:t>
      </w:r>
      <w:r w:rsidRPr="00FF78A8">
        <w:rPr>
          <w:sz w:val="20"/>
        </w:rPr>
        <w:noBreakHyphen/>
        <w:t>control when “scolded” about her level of education to such a degree that she would stab the person 45 times in a responsive rage.  It has no air of reality.  As a result, there was no duty on the trial judge to instruct the jury on the defence of provocation.</w:t>
      </w:r>
    </w:p>
    <w:p w:rsidR="008B5DBF" w:rsidRDefault="008B5DBF" w:rsidP="008B5DBF">
      <w:pPr>
        <w:pStyle w:val="SCCNormalDoubleSpacing"/>
        <w:spacing w:line="240" w:lineRule="auto"/>
        <w:rPr>
          <w:sz w:val="20"/>
        </w:rPr>
      </w:pPr>
    </w:p>
    <w:p w:rsidR="008B5DBF" w:rsidRDefault="008B5DBF" w:rsidP="008B5DBF">
      <w:pPr>
        <w:pStyle w:val="SCCNormalDoubleSpacing"/>
        <w:spacing w:line="240" w:lineRule="auto"/>
        <w:rPr>
          <w:sz w:val="20"/>
        </w:rPr>
      </w:pPr>
      <w:r w:rsidRPr="00FF78A8">
        <w:rPr>
          <w:sz w:val="20"/>
        </w:rPr>
        <w:tab/>
        <w:t xml:space="preserve">The curative proviso can be applied in two situations: where the error is harmless or so minor that it could not have had any impact on the verdict; and where, even if the error is not minor, the evidence against the accused is so overwhelming that any other verdict would have been impossible to obtain.  The trial judge’s </w:t>
      </w:r>
      <w:proofErr w:type="gramStart"/>
      <w:r w:rsidRPr="00FF78A8">
        <w:rPr>
          <w:sz w:val="20"/>
        </w:rPr>
        <w:t>instruction to the jury in this case contained several errors, but most were</w:t>
      </w:r>
      <w:proofErr w:type="gramEnd"/>
      <w:r w:rsidRPr="00FF78A8">
        <w:rPr>
          <w:sz w:val="20"/>
        </w:rPr>
        <w:t xml:space="preserve"> minor and could not possibly have affected the verdict.  And while the trial judge’s error on the use of the accused’s confession was not harmless, the case against her was overwhelming.  As a result, the curative proviso applies.</w:t>
      </w:r>
    </w:p>
    <w:p w:rsidR="008B5DBF" w:rsidRPr="00FF78A8" w:rsidRDefault="008B5DBF" w:rsidP="008B5DBF">
      <w:pPr>
        <w:pStyle w:val="SCCNormalDoubleSpacing"/>
        <w:spacing w:line="240" w:lineRule="auto"/>
        <w:rPr>
          <w:sz w:val="20"/>
        </w:rPr>
      </w:pPr>
    </w:p>
    <w:p w:rsidR="008B5DBF" w:rsidRPr="00FF78A8" w:rsidRDefault="008B5DBF" w:rsidP="008B5DBF">
      <w:pPr>
        <w:pStyle w:val="SCCNormalDoubleSpacing"/>
        <w:spacing w:line="240" w:lineRule="auto"/>
        <w:rPr>
          <w:sz w:val="20"/>
        </w:rPr>
      </w:pPr>
      <w:r w:rsidRPr="00FF78A8">
        <w:rPr>
          <w:sz w:val="20"/>
          <w:lang w:val="en-US"/>
        </w:rPr>
        <w:tab/>
      </w:r>
      <w:r w:rsidRPr="00FF78A8">
        <w:rPr>
          <w:sz w:val="20"/>
        </w:rPr>
        <w:t>APPEAL from a judgment of the Quebec Court of Appeal (Beauregard, Rochon and Duval Hesler JJ.A.), 2011 QCCA 1823 (CanLII), [2011] J.Q. n</w:t>
      </w:r>
      <w:r w:rsidRPr="00FF78A8">
        <w:rPr>
          <w:sz w:val="20"/>
          <w:vertAlign w:val="superscript"/>
        </w:rPr>
        <w:t>o</w:t>
      </w:r>
      <w:r w:rsidRPr="00FF78A8">
        <w:rPr>
          <w:sz w:val="20"/>
        </w:rPr>
        <w:t xml:space="preserve"> 13938 (QL), 2011 CarswellQue 10626, setting aside the accused’s conviction for second degree murder and ordering a new trial.  Appeal allowed. </w:t>
      </w:r>
    </w:p>
    <w:p w:rsidR="008B5DBF" w:rsidRDefault="008B5DBF" w:rsidP="008B5DBF">
      <w:pPr>
        <w:pStyle w:val="SCCNormalDoubleSpacing"/>
        <w:spacing w:line="240" w:lineRule="auto"/>
        <w:rPr>
          <w:i/>
          <w:sz w:val="20"/>
        </w:rPr>
      </w:pPr>
    </w:p>
    <w:p w:rsidR="008B5DBF" w:rsidRPr="00FF78A8" w:rsidRDefault="008B5DBF" w:rsidP="008B5DBF">
      <w:pPr>
        <w:pStyle w:val="SCCNormalDoubleSpacing"/>
        <w:spacing w:line="240" w:lineRule="auto"/>
        <w:rPr>
          <w:sz w:val="20"/>
        </w:rPr>
      </w:pPr>
      <w:r w:rsidRPr="00FF78A8">
        <w:rPr>
          <w:i/>
          <w:sz w:val="20"/>
        </w:rPr>
        <w:tab/>
      </w:r>
      <w:proofErr w:type="gramStart"/>
      <w:r w:rsidRPr="00FF78A8">
        <w:rPr>
          <w:i/>
          <w:sz w:val="20"/>
        </w:rPr>
        <w:t>Louis Bouthillier</w:t>
      </w:r>
      <w:r w:rsidRPr="00FF78A8">
        <w:rPr>
          <w:sz w:val="20"/>
        </w:rPr>
        <w:t xml:space="preserve"> and </w:t>
      </w:r>
      <w:r w:rsidRPr="00FF78A8">
        <w:rPr>
          <w:i/>
          <w:sz w:val="20"/>
        </w:rPr>
        <w:t>Alexandre Boucher</w:t>
      </w:r>
      <w:r w:rsidRPr="00FF78A8">
        <w:rPr>
          <w:sz w:val="20"/>
        </w:rPr>
        <w:t>, for the appellant.</w:t>
      </w:r>
      <w:proofErr w:type="gramEnd"/>
    </w:p>
    <w:p w:rsidR="008B5DBF" w:rsidRDefault="008B5DBF" w:rsidP="008B5DBF">
      <w:pPr>
        <w:pStyle w:val="SCCNormalDoubleSpacing"/>
        <w:spacing w:line="240" w:lineRule="auto"/>
        <w:rPr>
          <w:i/>
          <w:sz w:val="20"/>
        </w:rPr>
      </w:pPr>
    </w:p>
    <w:p w:rsidR="008B5DBF" w:rsidRDefault="008B5DBF" w:rsidP="008B5DBF">
      <w:pPr>
        <w:pStyle w:val="SCCNormalDoubleSpacing"/>
        <w:spacing w:line="240" w:lineRule="auto"/>
        <w:rPr>
          <w:sz w:val="20"/>
        </w:rPr>
      </w:pPr>
      <w:r w:rsidRPr="00FF78A8">
        <w:rPr>
          <w:i/>
          <w:sz w:val="20"/>
        </w:rPr>
        <w:tab/>
      </w:r>
      <w:proofErr w:type="gramStart"/>
      <w:r w:rsidRPr="00FF78A8">
        <w:rPr>
          <w:i/>
          <w:sz w:val="20"/>
        </w:rPr>
        <w:t>Martin Latour</w:t>
      </w:r>
      <w:r w:rsidRPr="00FF78A8">
        <w:rPr>
          <w:sz w:val="20"/>
        </w:rPr>
        <w:t xml:space="preserve"> and </w:t>
      </w:r>
      <w:r w:rsidRPr="00FF78A8">
        <w:rPr>
          <w:i/>
          <w:sz w:val="20"/>
        </w:rPr>
        <w:t>Maude Pagé</w:t>
      </w:r>
      <w:r w:rsidRPr="00FF78A8">
        <w:rPr>
          <w:i/>
          <w:sz w:val="20"/>
        </w:rPr>
        <w:noBreakHyphen/>
        <w:t>Arpin</w:t>
      </w:r>
      <w:r w:rsidRPr="00FF78A8">
        <w:rPr>
          <w:sz w:val="20"/>
        </w:rPr>
        <w:t>, for the respondent.</w:t>
      </w:r>
      <w:proofErr w:type="gramEnd"/>
    </w:p>
    <w:p w:rsidR="008B5DBF" w:rsidRPr="00FF78A8" w:rsidRDefault="008B5DBF" w:rsidP="008B5DBF">
      <w:pPr>
        <w:pStyle w:val="SCCNormalDoubleSpacing"/>
        <w:spacing w:line="240" w:lineRule="auto"/>
        <w:rPr>
          <w:sz w:val="20"/>
        </w:rPr>
      </w:pPr>
    </w:p>
    <w:p w:rsidR="008B5DBF" w:rsidRPr="00FF78A8" w:rsidRDefault="008B5DBF" w:rsidP="008B5DBF">
      <w:pPr>
        <w:pStyle w:val="SCCLawFirm"/>
        <w:spacing w:line="240" w:lineRule="auto"/>
        <w:rPr>
          <w:sz w:val="20"/>
          <w:lang w:val="fr-CA"/>
        </w:rPr>
      </w:pPr>
      <w:r w:rsidRPr="00FF78A8">
        <w:rPr>
          <w:sz w:val="20"/>
        </w:rPr>
        <w:lastRenderedPageBreak/>
        <w:tab/>
      </w:r>
      <w:r w:rsidRPr="00FF78A8">
        <w:rPr>
          <w:sz w:val="20"/>
          <w:lang w:val="fr-CA"/>
        </w:rPr>
        <w:t>Solicitor for the appellant:</w:t>
      </w:r>
      <w:proofErr w:type="gramStart"/>
      <w:r w:rsidRPr="00FF78A8">
        <w:rPr>
          <w:sz w:val="20"/>
          <w:lang w:val="fr-CA"/>
        </w:rPr>
        <w:t>  Poursuites</w:t>
      </w:r>
      <w:proofErr w:type="gramEnd"/>
      <w:r w:rsidRPr="00FF78A8">
        <w:rPr>
          <w:sz w:val="20"/>
          <w:lang w:val="fr-CA"/>
        </w:rPr>
        <w:t xml:space="preserve"> criminelles et pénales du Québec, Montréal.</w:t>
      </w:r>
    </w:p>
    <w:p w:rsidR="008B5DBF" w:rsidRDefault="008B5DBF" w:rsidP="008B5DBF">
      <w:pPr>
        <w:pStyle w:val="SCCLawFirm"/>
        <w:spacing w:line="240" w:lineRule="auto"/>
        <w:rPr>
          <w:sz w:val="20"/>
          <w:lang w:val="fr-CA"/>
        </w:rPr>
      </w:pPr>
    </w:p>
    <w:p w:rsidR="008B5DBF" w:rsidRDefault="008B5DBF" w:rsidP="008B5DBF">
      <w:pPr>
        <w:pStyle w:val="SCCLawFirm"/>
        <w:spacing w:line="240" w:lineRule="auto"/>
        <w:rPr>
          <w:sz w:val="20"/>
          <w:lang w:val="fr-CA"/>
        </w:rPr>
      </w:pPr>
      <w:r w:rsidRPr="00FF78A8">
        <w:rPr>
          <w:sz w:val="20"/>
          <w:lang w:val="fr-CA"/>
        </w:rPr>
        <w:tab/>
        <w:t>Solicitors for the respondent:</w:t>
      </w:r>
      <w:proofErr w:type="gramStart"/>
      <w:r w:rsidRPr="00FF78A8">
        <w:rPr>
          <w:sz w:val="20"/>
          <w:lang w:val="fr-CA"/>
        </w:rPr>
        <w:t>  Labelle</w:t>
      </w:r>
      <w:proofErr w:type="gramEnd"/>
      <w:r w:rsidRPr="00FF78A8">
        <w:rPr>
          <w:sz w:val="20"/>
          <w:lang w:val="fr-CA"/>
        </w:rPr>
        <w:t>, Boudrault, Côté et Associés, Montréal.</w:t>
      </w:r>
    </w:p>
    <w:p w:rsidR="008B5DBF" w:rsidRPr="008B5DBF" w:rsidRDefault="008B5DBF" w:rsidP="008B5DBF">
      <w:pPr>
        <w:pStyle w:val="SCCLawFirm"/>
        <w:spacing w:line="240" w:lineRule="auto"/>
        <w:rPr>
          <w:sz w:val="20"/>
          <w:lang w:val="fr-CA"/>
        </w:rPr>
      </w:pPr>
    </w:p>
    <w:p w:rsidR="005C6840" w:rsidRDefault="00D70052" w:rsidP="005C6840">
      <w:pPr>
        <w:rPr>
          <w:lang w:val="fr-CA"/>
        </w:rPr>
      </w:pPr>
      <w:bookmarkStart w:id="7" w:name="OLE_LINK1"/>
      <w:bookmarkStart w:id="8" w:name="OLE_LINK2"/>
      <w:r w:rsidRPr="00D70052">
        <w:rPr>
          <w:rFonts w:cs="Times New Roman"/>
          <w:sz w:val="20"/>
          <w:szCs w:val="20"/>
          <w:lang w:val="fr-CA"/>
        </w:rPr>
        <w:pict>
          <v:rect id="_x0000_i1107" style="width:144.3pt;height:1pt" o:hrpct="300" o:hralign="center" o:hrstd="t" o:hrnoshade="t" o:hr="t" fillcolor="black [3213]" stroked="f"/>
        </w:pict>
      </w:r>
      <w:bookmarkEnd w:id="7"/>
      <w:bookmarkEnd w:id="8"/>
      <w:r w:rsidR="005C6840">
        <w:rPr>
          <w:lang w:val="fr-CA"/>
        </w:rPr>
        <w:br w:type="page"/>
      </w:r>
    </w:p>
    <w:p w:rsidR="00857918" w:rsidRPr="001A5361" w:rsidRDefault="00857918" w:rsidP="00857918">
      <w:pPr>
        <w:ind w:left="720" w:hanging="720"/>
        <w:rPr>
          <w:rFonts w:eastAsia="Calibri" w:cs="Times New Roman"/>
          <w:sz w:val="20"/>
          <w:szCs w:val="20"/>
        </w:rPr>
      </w:pPr>
      <w:r w:rsidRPr="001A5361">
        <w:rPr>
          <w:rFonts w:eastAsia="Calibri" w:cs="Times New Roman"/>
          <w:i/>
          <w:sz w:val="20"/>
          <w:szCs w:val="20"/>
        </w:rPr>
        <w:lastRenderedPageBreak/>
        <w:t xml:space="preserve">Joan Clements, by her Litigation Guardian, Donna Jardine v. Joseph Clements </w:t>
      </w:r>
      <w:r w:rsidRPr="001A5361">
        <w:rPr>
          <w:rFonts w:eastAsia="Calibri" w:cs="Times New Roman"/>
          <w:sz w:val="20"/>
          <w:szCs w:val="20"/>
        </w:rPr>
        <w:t>(B.C.) (34100)</w:t>
      </w:r>
    </w:p>
    <w:p w:rsidR="008B5DBF" w:rsidRPr="00F6018E" w:rsidRDefault="008B5DBF" w:rsidP="008B5DBF">
      <w:pPr>
        <w:jc w:val="both"/>
        <w:outlineLvl w:val="0"/>
        <w:rPr>
          <w:b/>
          <w:sz w:val="20"/>
          <w:szCs w:val="20"/>
        </w:rPr>
      </w:pPr>
      <w:r w:rsidRPr="00F6018E">
        <w:rPr>
          <w:b/>
          <w:sz w:val="20"/>
          <w:szCs w:val="20"/>
        </w:rPr>
        <w:t xml:space="preserve">Indexed as:  Clements </w:t>
      </w:r>
      <w:r w:rsidRPr="00F6018E">
        <w:rPr>
          <w:b/>
          <w:i/>
          <w:sz w:val="20"/>
          <w:szCs w:val="20"/>
        </w:rPr>
        <w:t>v.</w:t>
      </w:r>
      <w:r w:rsidRPr="00F6018E">
        <w:rPr>
          <w:b/>
          <w:sz w:val="20"/>
          <w:szCs w:val="20"/>
        </w:rPr>
        <w:t xml:space="preserve"> Clements</w:t>
      </w:r>
      <w:r>
        <w:rPr>
          <w:b/>
          <w:sz w:val="20"/>
          <w:szCs w:val="20"/>
        </w:rPr>
        <w:t xml:space="preserve"> / </w:t>
      </w:r>
      <w:proofErr w:type="gramStart"/>
      <w:r w:rsidRPr="00F27442">
        <w:rPr>
          <w:b/>
          <w:sz w:val="20"/>
          <w:szCs w:val="20"/>
        </w:rPr>
        <w:t>Répertorié :</w:t>
      </w:r>
      <w:proofErr w:type="gramEnd"/>
      <w:r w:rsidRPr="00F27442">
        <w:rPr>
          <w:b/>
          <w:sz w:val="20"/>
          <w:szCs w:val="20"/>
        </w:rPr>
        <w:t xml:space="preserve"> Clements </w:t>
      </w:r>
      <w:r w:rsidRPr="00F27442">
        <w:rPr>
          <w:b/>
          <w:i/>
          <w:sz w:val="20"/>
          <w:szCs w:val="20"/>
        </w:rPr>
        <w:t>c.</w:t>
      </w:r>
      <w:r w:rsidRPr="00F27442">
        <w:rPr>
          <w:b/>
          <w:sz w:val="20"/>
          <w:szCs w:val="20"/>
        </w:rPr>
        <w:t xml:space="preserve"> Clements</w:t>
      </w:r>
    </w:p>
    <w:p w:rsidR="005C6840" w:rsidRPr="00FC0B68" w:rsidRDefault="005C6840" w:rsidP="005C6840">
      <w:pPr>
        <w:pStyle w:val="SCCSystemYear"/>
        <w:jc w:val="both"/>
        <w:rPr>
          <w:sz w:val="20"/>
          <w:lang w:val="en-CA"/>
        </w:rPr>
      </w:pPr>
      <w:r w:rsidRPr="00FC0B68">
        <w:rPr>
          <w:sz w:val="20"/>
          <w:lang w:val="en-CA"/>
        </w:rPr>
        <w:t>Neutral citation:  201</w:t>
      </w:r>
      <w:r w:rsidR="00857918" w:rsidRPr="00FC0B68">
        <w:rPr>
          <w:sz w:val="20"/>
          <w:lang w:val="en-CA"/>
        </w:rPr>
        <w:t>2</w:t>
      </w:r>
      <w:r w:rsidRPr="00FC0B68">
        <w:rPr>
          <w:sz w:val="20"/>
          <w:lang w:val="en-CA"/>
        </w:rPr>
        <w:t xml:space="preserve"> SCC </w:t>
      </w:r>
      <w:r w:rsidR="00857918" w:rsidRPr="00FC0B68">
        <w:rPr>
          <w:sz w:val="20"/>
          <w:lang w:val="en-CA"/>
        </w:rPr>
        <w:t>3</w:t>
      </w:r>
      <w:r w:rsidR="007F387B" w:rsidRPr="00FC0B68">
        <w:rPr>
          <w:sz w:val="20"/>
          <w:lang w:val="en-CA"/>
        </w:rPr>
        <w:t>2</w:t>
      </w:r>
      <w:r w:rsidRPr="00FC0B68">
        <w:rPr>
          <w:sz w:val="20"/>
          <w:lang w:val="en-CA"/>
        </w:rPr>
        <w:t xml:space="preserve"> / Référence </w:t>
      </w:r>
      <w:proofErr w:type="gramStart"/>
      <w:r w:rsidRPr="00FC0B68">
        <w:rPr>
          <w:sz w:val="20"/>
          <w:lang w:val="en-CA"/>
        </w:rPr>
        <w:t>neutre :</w:t>
      </w:r>
      <w:proofErr w:type="gramEnd"/>
      <w:r w:rsidRPr="00FC0B68">
        <w:rPr>
          <w:sz w:val="20"/>
          <w:lang w:val="en-CA"/>
        </w:rPr>
        <w:t xml:space="preserve"> 201</w:t>
      </w:r>
      <w:r w:rsidR="00857918" w:rsidRPr="00FC0B68">
        <w:rPr>
          <w:sz w:val="20"/>
          <w:lang w:val="en-CA"/>
        </w:rPr>
        <w:t>2</w:t>
      </w:r>
      <w:r w:rsidRPr="00FC0B68">
        <w:rPr>
          <w:sz w:val="20"/>
          <w:lang w:val="en-CA"/>
        </w:rPr>
        <w:t xml:space="preserve"> CSC </w:t>
      </w:r>
      <w:r w:rsidR="00857918" w:rsidRPr="00FC0B68">
        <w:rPr>
          <w:sz w:val="20"/>
          <w:lang w:val="en-CA"/>
        </w:rPr>
        <w:t>3</w:t>
      </w:r>
      <w:r w:rsidR="007F387B" w:rsidRPr="00FC0B68">
        <w:rPr>
          <w:sz w:val="20"/>
          <w:lang w:val="en-CA"/>
        </w:rPr>
        <w:t>2</w:t>
      </w:r>
    </w:p>
    <w:p w:rsidR="005C6840" w:rsidRPr="00FC0B68" w:rsidRDefault="005C6840" w:rsidP="005C6840">
      <w:pPr>
        <w:rPr>
          <w:sz w:val="20"/>
          <w:szCs w:val="20"/>
        </w:rPr>
      </w:pPr>
      <w:r w:rsidRPr="00FC0B68">
        <w:rPr>
          <w:sz w:val="20"/>
          <w:szCs w:val="20"/>
        </w:rPr>
        <w:t xml:space="preserve">Hearing:  </w:t>
      </w:r>
      <w:r w:rsidR="008B5DBF">
        <w:rPr>
          <w:sz w:val="20"/>
          <w:szCs w:val="20"/>
        </w:rPr>
        <w:t>Februar</w:t>
      </w:r>
      <w:r w:rsidRPr="00FC0B68">
        <w:rPr>
          <w:sz w:val="20"/>
          <w:szCs w:val="20"/>
        </w:rPr>
        <w:t>y 1</w:t>
      </w:r>
      <w:r w:rsidR="008B5DBF">
        <w:rPr>
          <w:sz w:val="20"/>
          <w:szCs w:val="20"/>
        </w:rPr>
        <w:t>7</w:t>
      </w:r>
      <w:r w:rsidRPr="00FC0B68">
        <w:rPr>
          <w:sz w:val="20"/>
          <w:szCs w:val="20"/>
        </w:rPr>
        <w:t>, 201</w:t>
      </w:r>
      <w:r w:rsidR="008B5DBF">
        <w:rPr>
          <w:sz w:val="20"/>
          <w:szCs w:val="20"/>
        </w:rPr>
        <w:t>2</w:t>
      </w:r>
      <w:r w:rsidRPr="00FC0B68">
        <w:rPr>
          <w:sz w:val="20"/>
          <w:szCs w:val="20"/>
        </w:rPr>
        <w:t xml:space="preserve"> / Judgment:  </w:t>
      </w:r>
      <w:r w:rsidR="00857918" w:rsidRPr="00FC0B68">
        <w:rPr>
          <w:sz w:val="20"/>
          <w:szCs w:val="20"/>
        </w:rPr>
        <w:t xml:space="preserve">June </w:t>
      </w:r>
      <w:r w:rsidRPr="00FC0B68">
        <w:rPr>
          <w:sz w:val="20"/>
          <w:szCs w:val="20"/>
        </w:rPr>
        <w:t>2</w:t>
      </w:r>
      <w:r w:rsidR="00857918" w:rsidRPr="00FC0B68">
        <w:rPr>
          <w:sz w:val="20"/>
          <w:szCs w:val="20"/>
        </w:rPr>
        <w:t>9</w:t>
      </w:r>
      <w:r w:rsidRPr="00FC0B68">
        <w:rPr>
          <w:sz w:val="20"/>
          <w:szCs w:val="20"/>
        </w:rPr>
        <w:t>, 201</w:t>
      </w:r>
      <w:r w:rsidR="00857918" w:rsidRPr="00FC0B68">
        <w:rPr>
          <w:sz w:val="20"/>
          <w:szCs w:val="20"/>
        </w:rPr>
        <w:t>2</w:t>
      </w:r>
    </w:p>
    <w:p w:rsidR="005C6840" w:rsidRPr="003B3977" w:rsidRDefault="005C6840" w:rsidP="005C6840">
      <w:pPr>
        <w:rPr>
          <w:sz w:val="20"/>
          <w:szCs w:val="20"/>
          <w:lang w:val="fr-CA"/>
        </w:rPr>
      </w:pPr>
      <w:r w:rsidRPr="003B3977">
        <w:rPr>
          <w:sz w:val="20"/>
          <w:szCs w:val="20"/>
          <w:lang w:val="fr-CA"/>
        </w:rPr>
        <w:t>Audition : Le 1</w:t>
      </w:r>
      <w:r w:rsidR="008B5DBF">
        <w:rPr>
          <w:sz w:val="20"/>
          <w:szCs w:val="20"/>
          <w:lang w:val="fr-CA"/>
        </w:rPr>
        <w:t>7</w:t>
      </w:r>
      <w:r w:rsidRPr="003B3977">
        <w:rPr>
          <w:sz w:val="20"/>
          <w:szCs w:val="20"/>
          <w:lang w:val="fr-CA"/>
        </w:rPr>
        <w:t xml:space="preserve"> </w:t>
      </w:r>
      <w:r w:rsidR="008B5DBF">
        <w:rPr>
          <w:sz w:val="20"/>
          <w:szCs w:val="20"/>
          <w:lang w:val="fr-CA"/>
        </w:rPr>
        <w:t>févr</w:t>
      </w:r>
      <w:r w:rsidRPr="003B3977">
        <w:rPr>
          <w:sz w:val="20"/>
          <w:szCs w:val="20"/>
          <w:lang w:val="fr-CA"/>
        </w:rPr>
        <w:t>i</w:t>
      </w:r>
      <w:r w:rsidR="008B5DBF">
        <w:rPr>
          <w:sz w:val="20"/>
          <w:szCs w:val="20"/>
          <w:lang w:val="fr-CA"/>
        </w:rPr>
        <w:t>er</w:t>
      </w:r>
      <w:r w:rsidRPr="003B3977">
        <w:rPr>
          <w:sz w:val="20"/>
          <w:szCs w:val="20"/>
          <w:lang w:val="fr-CA"/>
        </w:rPr>
        <w:t xml:space="preserve"> 201</w:t>
      </w:r>
      <w:r w:rsidR="008B5DBF">
        <w:rPr>
          <w:sz w:val="20"/>
          <w:szCs w:val="20"/>
          <w:lang w:val="fr-CA"/>
        </w:rPr>
        <w:t>2</w:t>
      </w:r>
      <w:r w:rsidRPr="003B3977">
        <w:rPr>
          <w:sz w:val="20"/>
          <w:szCs w:val="20"/>
          <w:lang w:val="fr-CA"/>
        </w:rPr>
        <w:t xml:space="preserve"> / Jugement : Le 2</w:t>
      </w:r>
      <w:r w:rsidR="00857918">
        <w:rPr>
          <w:sz w:val="20"/>
          <w:szCs w:val="20"/>
          <w:lang w:val="fr-CA"/>
        </w:rPr>
        <w:t>9 juin</w:t>
      </w:r>
      <w:r w:rsidRPr="003B3977">
        <w:rPr>
          <w:sz w:val="20"/>
          <w:szCs w:val="20"/>
          <w:lang w:val="fr-CA"/>
        </w:rPr>
        <w:t xml:space="preserve"> 201</w:t>
      </w:r>
      <w:r w:rsidR="00857918">
        <w:rPr>
          <w:sz w:val="20"/>
          <w:szCs w:val="20"/>
          <w:lang w:val="fr-CA"/>
        </w:rPr>
        <w:t>2</w:t>
      </w:r>
    </w:p>
    <w:p w:rsidR="005C6840" w:rsidRPr="003B3977" w:rsidRDefault="00D70052" w:rsidP="005C6840">
      <w:pPr>
        <w:rPr>
          <w:sz w:val="20"/>
          <w:szCs w:val="20"/>
          <w:lang w:val="fr-CA"/>
        </w:rPr>
      </w:pPr>
      <w:r w:rsidRPr="00D70052">
        <w:rPr>
          <w:i/>
          <w:sz w:val="20"/>
          <w:szCs w:val="20"/>
        </w:rPr>
        <w:pict>
          <v:rect id="_x0000_i1108"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8B5DBF" w:rsidRPr="00F6018E" w:rsidRDefault="008B5DBF" w:rsidP="008B5DBF">
      <w:pPr>
        <w:jc w:val="both"/>
        <w:rPr>
          <w:sz w:val="20"/>
          <w:szCs w:val="20"/>
        </w:rPr>
      </w:pPr>
      <w:r w:rsidRPr="00F6018E">
        <w:rPr>
          <w:sz w:val="20"/>
          <w:szCs w:val="20"/>
        </w:rPr>
        <w:t>Present:  McLachlin C.J. and LeBel, Deschamps, Fish, Abella, Rothstein, Cromwell, Moldaver and Karakatsanis JJ.</w:t>
      </w:r>
    </w:p>
    <w:p w:rsidR="008B5DBF" w:rsidRDefault="008B5DBF" w:rsidP="008B5DBF">
      <w:pPr>
        <w:pStyle w:val="SCCLowerCourtNameLowercase"/>
        <w:spacing w:line="240" w:lineRule="auto"/>
        <w:outlineLvl w:val="0"/>
        <w:rPr>
          <w:sz w:val="20"/>
        </w:rPr>
      </w:pPr>
    </w:p>
    <w:p w:rsidR="008B5DBF" w:rsidRPr="00F6018E" w:rsidRDefault="008B5DBF" w:rsidP="008B5DBF">
      <w:pPr>
        <w:pStyle w:val="SCCNormalDoubleSpacing"/>
        <w:spacing w:line="240" w:lineRule="auto"/>
        <w:rPr>
          <w:sz w:val="20"/>
        </w:rPr>
      </w:pPr>
      <w:r w:rsidRPr="00F6018E">
        <w:rPr>
          <w:sz w:val="20"/>
        </w:rPr>
        <w:tab/>
      </w:r>
      <w:r w:rsidRPr="00F6018E">
        <w:rPr>
          <w:i/>
          <w:sz w:val="20"/>
        </w:rPr>
        <w:t>Torts — Negligence — Causation — Motor vehicle accident — Motorcycle passenger injured in crash — Passenger alleging driver’s negligence in operation of motorcycle caused injury — Whether trial judge erred in insisting on scientific reconstruction evidence to prove causation, and in applying “material contribution” test rather than “but for” test to determine causation.</w:t>
      </w:r>
    </w:p>
    <w:p w:rsidR="008B5DBF" w:rsidRDefault="008B5DBF" w:rsidP="008B5DBF">
      <w:pPr>
        <w:pStyle w:val="SCCNormalDoubleSpacing"/>
        <w:spacing w:line="240" w:lineRule="auto"/>
        <w:rPr>
          <w:sz w:val="20"/>
        </w:rPr>
      </w:pPr>
    </w:p>
    <w:p w:rsidR="008B5DBF" w:rsidRPr="00F6018E" w:rsidRDefault="008B5DBF" w:rsidP="008B5DBF">
      <w:pPr>
        <w:pStyle w:val="SCCNormalDoubleSpacing"/>
        <w:spacing w:line="240" w:lineRule="auto"/>
        <w:rPr>
          <w:sz w:val="20"/>
        </w:rPr>
      </w:pPr>
      <w:r w:rsidRPr="00F6018E">
        <w:rPr>
          <w:sz w:val="20"/>
        </w:rPr>
        <w:tab/>
        <w:t>C was driving his motorcycle in wet weather, with his wife riding behind on the passenger seat.  The bike was about 100 pounds overloaded.  Unbeknownst to C, a nail had punctured the rear tire.  Though in a 100 km/h zone, C accelerated to at least 120 km/h in order to pass a car; the nail fell out, the rear tire deflated, and the bike began to wobble.  C was unable to bring the bike under control and it crashed; his wife suffered a severe traumatic brain injury.  She then sued C, alleging that her injury was caused by his negligence in driving an overloaded bike too fast.  The trial judge found that C’s negligence in fact contributed to the injury.  However, he also found that C’s wife, through no fault of her own, was unable to prove “but for” causation, due to the limitations of scientific reconstruction evidence.  The trial judge applied a material contribution test instead and found C liable on this basis.  The Court of Appeal set aside the judgment and dismissed the action, on the basis that “but for” causation had not been proved and the material contribution test did not apply.</w:t>
      </w:r>
    </w:p>
    <w:p w:rsidR="008B5DBF" w:rsidRDefault="008B5DBF" w:rsidP="008B5DBF">
      <w:pPr>
        <w:pStyle w:val="SCCNormalDoubleSpacing"/>
        <w:spacing w:line="240" w:lineRule="auto"/>
        <w:rPr>
          <w:sz w:val="20"/>
        </w:rPr>
      </w:pPr>
    </w:p>
    <w:p w:rsidR="008B5DBF" w:rsidRPr="00F6018E" w:rsidRDefault="008B5DBF" w:rsidP="008B5DBF">
      <w:pPr>
        <w:pStyle w:val="SCCNormalDoubleSpacing"/>
        <w:spacing w:line="240" w:lineRule="auto"/>
        <w:rPr>
          <w:sz w:val="20"/>
        </w:rPr>
      </w:pPr>
      <w:r w:rsidRPr="00F6018E">
        <w:rPr>
          <w:sz w:val="20"/>
        </w:rPr>
        <w:tab/>
      </w:r>
      <w:r w:rsidRPr="00F6018E">
        <w:rPr>
          <w:i/>
          <w:sz w:val="20"/>
        </w:rPr>
        <w:t>Held</w:t>
      </w:r>
      <w:r w:rsidRPr="00F6018E">
        <w:rPr>
          <w:sz w:val="20"/>
        </w:rPr>
        <w:t xml:space="preserve"> (LeBel and Rothstein JJ. </w:t>
      </w:r>
      <w:proofErr w:type="gramStart"/>
      <w:r w:rsidRPr="00F6018E">
        <w:rPr>
          <w:sz w:val="20"/>
        </w:rPr>
        <w:t>dissenting)</w:t>
      </w:r>
      <w:proofErr w:type="gramEnd"/>
      <w:r w:rsidRPr="00F6018E">
        <w:rPr>
          <w:sz w:val="20"/>
        </w:rPr>
        <w:t>:  The appeal should be allowed, and a new trial ordered.</w:t>
      </w:r>
    </w:p>
    <w:p w:rsidR="008B5DBF" w:rsidRDefault="008B5DBF" w:rsidP="008200CD">
      <w:pPr>
        <w:pStyle w:val="SCCNormalDoubleSpacing"/>
        <w:spacing w:line="240" w:lineRule="auto"/>
        <w:rPr>
          <w:sz w:val="20"/>
        </w:rPr>
      </w:pPr>
    </w:p>
    <w:p w:rsidR="008B5DBF" w:rsidRPr="00F6018E" w:rsidRDefault="008B5DBF" w:rsidP="008200CD">
      <w:pPr>
        <w:pStyle w:val="SCCNormalDoubleSpacing"/>
        <w:spacing w:line="240" w:lineRule="auto"/>
        <w:rPr>
          <w:sz w:val="20"/>
        </w:rPr>
      </w:pPr>
      <w:r w:rsidRPr="00F6018E">
        <w:rPr>
          <w:sz w:val="20"/>
        </w:rPr>
        <w:tab/>
      </w:r>
      <w:r w:rsidRPr="00F6018E">
        <w:rPr>
          <w:i/>
          <w:sz w:val="20"/>
        </w:rPr>
        <w:t xml:space="preserve">Per </w:t>
      </w:r>
      <w:r w:rsidRPr="00F6018E">
        <w:rPr>
          <w:b/>
          <w:sz w:val="20"/>
        </w:rPr>
        <w:t>McLachlin C.J.</w:t>
      </w:r>
      <w:r w:rsidRPr="00F6018E">
        <w:rPr>
          <w:sz w:val="20"/>
        </w:rPr>
        <w:t xml:space="preserve"> and Deschamps, Fish, Abella, Cromwell, Moldaver and Karakatsanis JJ.:  On its own, proof by an injured plaintiff that a defendant was negligent does not make that defendant liable for the loss.  As a general rule, a plaintiff cannot succeed unless she shows as a matter of fact that she would not have suffered the loss “but for” the negligent act or acts of the defendant.  Exceptionally, however, a plaintiff may be able to recover on the basis of material contribution to risk of injury, without showing factual “but for” causation.  Elimination of proof of causation as an element of negligence is a radical step that goes against the fundamental principle that a defendant in an action in negligence is a wrongdoer only in respect of the damage which he actually causes to the plaintiff.  Therefore, recourse to a material contribution to risk approach is justified only where it is required by fairness and conforms to the principles that ground recovery in tort.  The cases that have dispensed with the usual requirement of “but for” causation in favour of a less onerous material contribution to risk approach are generally cases with a number of tortfeasors where, “but for” the negligent act of one or more of the defendants, the plaintiff would not have been injured.  It is only when it is applied separately to each defendant that the “but for” test breaks down because it cannot be shown which of several negligent defendants actually launched the event that led to the injury.  In these circumstances, permitting the plaintiff to succeed on a material contribution to risk basis meets the underlying goals of the law of negligence.  The plaintiff has shown that she is in a correlative relationship of doer and sufferer of the same harm with the group of defendants as a whole, if not necessarily with each individual defendant.</w:t>
      </w:r>
    </w:p>
    <w:p w:rsidR="008B5DBF" w:rsidRDefault="008B5DBF" w:rsidP="008200CD">
      <w:pPr>
        <w:pStyle w:val="SCCNormalDoubleSpacing"/>
        <w:spacing w:line="240" w:lineRule="auto"/>
        <w:rPr>
          <w:sz w:val="20"/>
        </w:rPr>
      </w:pPr>
    </w:p>
    <w:p w:rsidR="008B5DBF" w:rsidRPr="00F6018E" w:rsidRDefault="008B5DBF" w:rsidP="008200CD">
      <w:pPr>
        <w:pStyle w:val="SCCNormalDoubleSpacing"/>
        <w:spacing w:line="240" w:lineRule="auto"/>
        <w:rPr>
          <w:sz w:val="20"/>
        </w:rPr>
      </w:pPr>
      <w:r w:rsidRPr="00F6018E">
        <w:rPr>
          <w:sz w:val="20"/>
        </w:rPr>
        <w:tab/>
        <w:t>In this case, the trial judge committed two errors.  First, he insisted on scientific reconstruction evidence as a necessary condition of finding “but for” causation.  Scientific precision is not necessary to a conclusion that “but for” causation is established on a balance of probabilities.  Second, the trial judge erred in applying a material contribution to risk test.  The special conditions that permit resort to a material contribution approach were not present in this case.  This is a simple single</w:t>
      </w:r>
      <w:r w:rsidRPr="00F6018E">
        <w:rPr>
          <w:sz w:val="20"/>
        </w:rPr>
        <w:noBreakHyphen/>
        <w:t>defendant case:  the only issue was whether “but for” the defendant’s negligent conduct, the injury would have been sustained.  Although the trial judge used language tantamount to finding actual “but for” causation, we cannot be certain what he would have concluded had he not made these two errors.  The appropriate remedy in these circumstances is an order for a new trial.</w:t>
      </w:r>
    </w:p>
    <w:p w:rsidR="008B5DBF" w:rsidRDefault="008B5DBF" w:rsidP="008200CD">
      <w:pPr>
        <w:pStyle w:val="SCCNormalDoubleSpacing"/>
        <w:spacing w:line="240" w:lineRule="auto"/>
        <w:rPr>
          <w:i/>
          <w:sz w:val="20"/>
        </w:rPr>
      </w:pPr>
    </w:p>
    <w:p w:rsidR="008B5DBF" w:rsidRPr="00F6018E" w:rsidRDefault="008B5DBF" w:rsidP="008200CD">
      <w:pPr>
        <w:pStyle w:val="SCCNormalDoubleSpacing"/>
        <w:spacing w:line="240" w:lineRule="auto"/>
        <w:rPr>
          <w:sz w:val="20"/>
        </w:rPr>
      </w:pPr>
      <w:r w:rsidRPr="00F6018E">
        <w:rPr>
          <w:i/>
          <w:sz w:val="20"/>
        </w:rPr>
        <w:tab/>
      </w:r>
      <w:proofErr w:type="gramStart"/>
      <w:r w:rsidRPr="00F6018E">
        <w:rPr>
          <w:i/>
          <w:sz w:val="20"/>
        </w:rPr>
        <w:t>Per</w:t>
      </w:r>
      <w:r w:rsidRPr="00F6018E">
        <w:rPr>
          <w:sz w:val="20"/>
        </w:rPr>
        <w:t xml:space="preserve"> </w:t>
      </w:r>
      <w:r w:rsidRPr="00F6018E">
        <w:rPr>
          <w:b/>
          <w:sz w:val="20"/>
        </w:rPr>
        <w:t>LeBel</w:t>
      </w:r>
      <w:r w:rsidRPr="00F6018E">
        <w:rPr>
          <w:sz w:val="20"/>
        </w:rPr>
        <w:t xml:space="preserve"> and Rothstein JJ.</w:t>
      </w:r>
      <w:proofErr w:type="gramEnd"/>
      <w:r w:rsidRPr="00F6018E">
        <w:rPr>
          <w:sz w:val="20"/>
        </w:rPr>
        <w:t xml:space="preserve"> (</w:t>
      </w:r>
      <w:proofErr w:type="gramStart"/>
      <w:r w:rsidRPr="00F6018E">
        <w:rPr>
          <w:sz w:val="20"/>
        </w:rPr>
        <w:t>dissenting</w:t>
      </w:r>
      <w:proofErr w:type="gramEnd"/>
      <w:r w:rsidRPr="00F6018E">
        <w:rPr>
          <w:sz w:val="20"/>
        </w:rPr>
        <w:t xml:space="preserve">):  There is no basis in fact and law for ordering a new trial.  The key finding of fact made by the trial judge was that the plaintiff had not proven causation on the basis of the “but for” test.  </w:t>
      </w:r>
      <w:r w:rsidRPr="00F6018E">
        <w:rPr>
          <w:sz w:val="20"/>
        </w:rPr>
        <w:lastRenderedPageBreak/>
        <w:t>The trial judge’s finding that the material contribution test was satisfied cannot be reinterpreted as a finding that “but for” causation was established.</w:t>
      </w:r>
    </w:p>
    <w:p w:rsidR="008B5DBF" w:rsidRDefault="008B5DBF" w:rsidP="008B5DBF">
      <w:pPr>
        <w:pStyle w:val="SCCNormalDoubleSpacing"/>
        <w:spacing w:line="240" w:lineRule="auto"/>
        <w:rPr>
          <w:sz w:val="20"/>
        </w:rPr>
      </w:pPr>
    </w:p>
    <w:p w:rsidR="008B5DBF" w:rsidRDefault="008B5DBF" w:rsidP="008B5DBF">
      <w:pPr>
        <w:pStyle w:val="SCCNormalDoubleSpacing"/>
        <w:spacing w:line="240" w:lineRule="auto"/>
        <w:rPr>
          <w:sz w:val="20"/>
        </w:rPr>
      </w:pPr>
      <w:r w:rsidRPr="00F6018E">
        <w:rPr>
          <w:sz w:val="20"/>
        </w:rPr>
        <w:tab/>
        <w:t>On policy grounds, this Court and courts of appeal should be mindful of the need for finality and efficiency in the civil litigation process.  In this appeal, there is no basis in the trial judge’s judgment for inferring that the overloading of the motorcycle and excessive speed could have been the “cause” of the accident as that term is understood in the context of the “but for” test.  Nor is this a case in which it would be appropriate to send the matter back for a new trial.</w:t>
      </w:r>
    </w:p>
    <w:p w:rsidR="008B5DBF" w:rsidRDefault="008B5DBF" w:rsidP="008B5DBF">
      <w:pPr>
        <w:pStyle w:val="SCCNormalDoubleSpacing"/>
        <w:spacing w:line="240" w:lineRule="auto"/>
        <w:rPr>
          <w:sz w:val="20"/>
        </w:rPr>
      </w:pPr>
    </w:p>
    <w:p w:rsidR="008B5DBF" w:rsidRPr="00F6018E" w:rsidRDefault="008B5DBF" w:rsidP="008B5DBF">
      <w:pPr>
        <w:pStyle w:val="SCCNormalDoubleSpacing"/>
        <w:spacing w:line="240" w:lineRule="auto"/>
        <w:rPr>
          <w:sz w:val="20"/>
        </w:rPr>
      </w:pPr>
      <w:r w:rsidRPr="00F6018E">
        <w:rPr>
          <w:sz w:val="20"/>
        </w:rPr>
        <w:tab/>
        <w:t xml:space="preserve">APPEAL from a judgment of the British Columbia Court of Appeal (Frankel, Tysoe and Garson JJ.A.), 2010 BCCA 581, 12 B.C.L.R. (5th) 310, 79 C.C.L.T. (3d) 6, 4 M.V.R. (6th) 1, 327 D.L.R. (4th) 1, 298 B.C.A.C. 56, 505 W.A.C. 56, [2010] B.C.J. No. 2532 (QL), 2010 CarswellBC 3477, reversing a decision of </w:t>
      </w:r>
      <w:r w:rsidR="00D70052" w:rsidRPr="00F6018E">
        <w:rPr>
          <w:sz w:val="20"/>
        </w:rPr>
        <w:fldChar w:fldCharType="begin"/>
      </w:r>
      <w:r w:rsidRPr="00F6018E">
        <w:rPr>
          <w:sz w:val="20"/>
        </w:rPr>
        <w:instrText xml:space="preserve"> SEQ CHAPTER \h \r 1</w:instrText>
      </w:r>
      <w:r w:rsidR="00D70052" w:rsidRPr="00F6018E">
        <w:rPr>
          <w:sz w:val="20"/>
        </w:rPr>
        <w:fldChar w:fldCharType="end"/>
      </w:r>
      <w:r w:rsidRPr="00F6018E">
        <w:rPr>
          <w:sz w:val="20"/>
        </w:rPr>
        <w:t xml:space="preserve">Grauer J., 2009 BCSC 112 (CanLII), [2009] B.C.J. No. 166 (QL), 2009 CarswellBC 202.  Appeal allowed, LeBel and Rothstein JJ. </w:t>
      </w:r>
      <w:proofErr w:type="gramStart"/>
      <w:r w:rsidRPr="00F6018E">
        <w:rPr>
          <w:sz w:val="20"/>
        </w:rPr>
        <w:t>dissenting</w:t>
      </w:r>
      <w:proofErr w:type="gramEnd"/>
      <w:r w:rsidRPr="00F6018E">
        <w:rPr>
          <w:sz w:val="20"/>
        </w:rPr>
        <w:t>.</w:t>
      </w:r>
    </w:p>
    <w:p w:rsidR="008B5DBF" w:rsidRDefault="008B5DBF" w:rsidP="008B5DBF">
      <w:pPr>
        <w:pStyle w:val="SCCNormalDoubleSpacing"/>
        <w:spacing w:line="240" w:lineRule="auto"/>
        <w:outlineLvl w:val="0"/>
        <w:rPr>
          <w:i/>
          <w:sz w:val="20"/>
        </w:rPr>
      </w:pPr>
    </w:p>
    <w:p w:rsidR="008B5DBF" w:rsidRPr="00F6018E" w:rsidRDefault="008B5DBF" w:rsidP="008B5DBF">
      <w:pPr>
        <w:pStyle w:val="SCCNormalDoubleSpacing"/>
        <w:spacing w:line="240" w:lineRule="auto"/>
        <w:outlineLvl w:val="0"/>
        <w:rPr>
          <w:sz w:val="20"/>
        </w:rPr>
      </w:pPr>
      <w:r w:rsidRPr="00F6018E">
        <w:rPr>
          <w:i/>
          <w:sz w:val="20"/>
        </w:rPr>
        <w:tab/>
      </w:r>
      <w:proofErr w:type="gramStart"/>
      <w:r w:rsidRPr="00F6018E">
        <w:rPr>
          <w:i/>
          <w:sz w:val="20"/>
        </w:rPr>
        <w:t>Dick Byl</w:t>
      </w:r>
      <w:r w:rsidRPr="00F6018E">
        <w:rPr>
          <w:sz w:val="20"/>
        </w:rPr>
        <w:t xml:space="preserve"> and </w:t>
      </w:r>
      <w:r w:rsidRPr="00F6018E">
        <w:rPr>
          <w:i/>
          <w:sz w:val="20"/>
        </w:rPr>
        <w:t>Kimi Aimetz</w:t>
      </w:r>
      <w:r w:rsidRPr="00F6018E">
        <w:rPr>
          <w:sz w:val="20"/>
        </w:rPr>
        <w:t>, for the appellant.</w:t>
      </w:r>
      <w:proofErr w:type="gramEnd"/>
    </w:p>
    <w:p w:rsidR="008B5DBF" w:rsidRDefault="008B5DBF" w:rsidP="008B5DBF">
      <w:pPr>
        <w:pStyle w:val="SCCNormalDoubleSpacing"/>
        <w:spacing w:line="240" w:lineRule="auto"/>
        <w:rPr>
          <w:i/>
          <w:sz w:val="20"/>
        </w:rPr>
      </w:pPr>
    </w:p>
    <w:p w:rsidR="008B5DBF" w:rsidRPr="00F6018E" w:rsidRDefault="008B5DBF" w:rsidP="008B5DBF">
      <w:pPr>
        <w:pStyle w:val="SCCNormalDoubleSpacing"/>
        <w:spacing w:line="240" w:lineRule="auto"/>
        <w:rPr>
          <w:sz w:val="20"/>
        </w:rPr>
      </w:pPr>
      <w:r w:rsidRPr="00F6018E">
        <w:rPr>
          <w:i/>
          <w:sz w:val="20"/>
        </w:rPr>
        <w:tab/>
        <w:t>Robert A. Easton</w:t>
      </w:r>
      <w:r w:rsidRPr="00F6018E">
        <w:rPr>
          <w:sz w:val="20"/>
        </w:rPr>
        <w:t xml:space="preserve">, </w:t>
      </w:r>
      <w:r w:rsidRPr="00F6018E">
        <w:rPr>
          <w:i/>
          <w:sz w:val="20"/>
        </w:rPr>
        <w:t>Ryan W. Morasiewicz</w:t>
      </w:r>
      <w:r w:rsidRPr="00F6018E">
        <w:rPr>
          <w:sz w:val="20"/>
        </w:rPr>
        <w:t xml:space="preserve"> and </w:t>
      </w:r>
      <w:r w:rsidRPr="00F6018E">
        <w:rPr>
          <w:i/>
          <w:sz w:val="20"/>
        </w:rPr>
        <w:t>Greg A. Cavouras</w:t>
      </w:r>
      <w:r w:rsidRPr="00F6018E">
        <w:rPr>
          <w:sz w:val="20"/>
        </w:rPr>
        <w:t>, for the respondent.</w:t>
      </w:r>
    </w:p>
    <w:p w:rsidR="008B5DBF" w:rsidRDefault="008B5DBF" w:rsidP="008B5DBF">
      <w:pPr>
        <w:pStyle w:val="SCCNormalDoubleSpacing"/>
        <w:spacing w:line="240" w:lineRule="auto"/>
        <w:outlineLvl w:val="0"/>
        <w:rPr>
          <w:i/>
          <w:sz w:val="20"/>
        </w:rPr>
      </w:pPr>
    </w:p>
    <w:p w:rsidR="008B5DBF" w:rsidRPr="00F6018E" w:rsidRDefault="008B5DBF" w:rsidP="008B5DBF">
      <w:pPr>
        <w:pStyle w:val="SCCNormalDoubleSpacing"/>
        <w:spacing w:line="240" w:lineRule="auto"/>
        <w:outlineLvl w:val="0"/>
        <w:rPr>
          <w:sz w:val="20"/>
        </w:rPr>
      </w:pPr>
      <w:r w:rsidRPr="00F6018E">
        <w:rPr>
          <w:i/>
          <w:sz w:val="20"/>
        </w:rPr>
        <w:tab/>
      </w:r>
      <w:proofErr w:type="gramStart"/>
      <w:r w:rsidRPr="00F6018E">
        <w:rPr>
          <w:i/>
          <w:sz w:val="20"/>
        </w:rPr>
        <w:t>Jonathan Eades</w:t>
      </w:r>
      <w:r w:rsidRPr="00F6018E">
        <w:rPr>
          <w:sz w:val="20"/>
        </w:rPr>
        <w:t>, for the intervener.</w:t>
      </w:r>
      <w:proofErr w:type="gramEnd"/>
    </w:p>
    <w:p w:rsidR="008B5DBF" w:rsidRDefault="008B5DBF" w:rsidP="008B5DBF">
      <w:pPr>
        <w:pStyle w:val="SCCLawFirm"/>
        <w:spacing w:line="240" w:lineRule="auto"/>
        <w:outlineLvl w:val="0"/>
        <w:rPr>
          <w:sz w:val="20"/>
        </w:rPr>
      </w:pPr>
    </w:p>
    <w:p w:rsidR="008B5DBF" w:rsidRPr="00F6018E" w:rsidRDefault="008B5DBF" w:rsidP="008B5DBF">
      <w:pPr>
        <w:pStyle w:val="SCCLawFirm"/>
        <w:spacing w:line="240" w:lineRule="auto"/>
        <w:outlineLvl w:val="0"/>
        <w:rPr>
          <w:sz w:val="20"/>
        </w:rPr>
      </w:pPr>
      <w:r w:rsidRPr="00F6018E">
        <w:rPr>
          <w:sz w:val="20"/>
        </w:rPr>
        <w:tab/>
        <w:t>Solicitors for the appellant:  Dick Byl Law Corporation, Prince George.</w:t>
      </w:r>
    </w:p>
    <w:p w:rsidR="008B5DBF" w:rsidRDefault="008B5DBF" w:rsidP="008B5DBF">
      <w:pPr>
        <w:pStyle w:val="SCCLawFirm"/>
        <w:spacing w:line="240" w:lineRule="auto"/>
        <w:outlineLvl w:val="0"/>
        <w:rPr>
          <w:sz w:val="20"/>
        </w:rPr>
      </w:pPr>
    </w:p>
    <w:p w:rsidR="008B5DBF" w:rsidRPr="00F6018E" w:rsidRDefault="008B5DBF" w:rsidP="008B5DBF">
      <w:pPr>
        <w:pStyle w:val="SCCLawFirm"/>
        <w:spacing w:line="240" w:lineRule="auto"/>
        <w:outlineLvl w:val="0"/>
        <w:rPr>
          <w:sz w:val="20"/>
        </w:rPr>
      </w:pPr>
      <w:r w:rsidRPr="00F6018E">
        <w:rPr>
          <w:sz w:val="20"/>
        </w:rPr>
        <w:tab/>
        <w:t>Solicitors for the respondent:  Miller Thomson, Vancouver.</w:t>
      </w:r>
    </w:p>
    <w:p w:rsidR="008B5DBF" w:rsidRDefault="008B5DBF" w:rsidP="008B5DBF">
      <w:pPr>
        <w:pStyle w:val="SCCLawFirm"/>
        <w:spacing w:line="240" w:lineRule="auto"/>
        <w:rPr>
          <w:sz w:val="20"/>
        </w:rPr>
      </w:pPr>
    </w:p>
    <w:p w:rsidR="008B5DBF" w:rsidRDefault="008B5DBF" w:rsidP="008B5DBF">
      <w:pPr>
        <w:pStyle w:val="SCCLawFirm"/>
        <w:spacing w:line="240" w:lineRule="auto"/>
        <w:rPr>
          <w:sz w:val="20"/>
        </w:rPr>
      </w:pPr>
      <w:r w:rsidRPr="00F6018E">
        <w:rPr>
          <w:sz w:val="20"/>
        </w:rPr>
        <w:tab/>
        <w:t>Solicitor for the intervener:  Attorney General of British Columbia, Vancouver.</w:t>
      </w:r>
    </w:p>
    <w:p w:rsidR="003B3977" w:rsidRPr="008B5DBF" w:rsidRDefault="003B3977" w:rsidP="003B3977">
      <w:pPr>
        <w:rPr>
          <w:sz w:val="20"/>
          <w:szCs w:val="20"/>
          <w:lang w:val="fr-CA"/>
        </w:rPr>
      </w:pPr>
      <w:r w:rsidRPr="008B5DBF">
        <w:rPr>
          <w:sz w:val="20"/>
          <w:szCs w:val="20"/>
          <w:lang w:val="fr-CA"/>
        </w:rPr>
        <w:t>________________________</w:t>
      </w:r>
    </w:p>
    <w:p w:rsidR="003B3977" w:rsidRPr="008B5DBF" w:rsidRDefault="003B3977" w:rsidP="003B3977">
      <w:pPr>
        <w:rPr>
          <w:sz w:val="20"/>
          <w:szCs w:val="20"/>
          <w:lang w:val="fr-CA"/>
        </w:rPr>
      </w:pPr>
    </w:p>
    <w:p w:rsidR="008B5DBF" w:rsidRPr="008B5DBF" w:rsidRDefault="008B5DBF" w:rsidP="008B5DBF">
      <w:pPr>
        <w:jc w:val="both"/>
        <w:rPr>
          <w:sz w:val="20"/>
          <w:szCs w:val="20"/>
          <w:lang w:val="fr-CA"/>
        </w:rPr>
      </w:pPr>
      <w:r w:rsidRPr="008B5DBF">
        <w:rPr>
          <w:sz w:val="20"/>
          <w:szCs w:val="20"/>
          <w:lang w:val="fr-CA"/>
        </w:rPr>
        <w:t>Présents : La juge en chef McLachlin et les juges LeBel, Deschamps, Fish, Abella, Rothstein, Cromwell, Moldaver et Karakatsanis.</w:t>
      </w:r>
    </w:p>
    <w:p w:rsidR="008B5DBF" w:rsidRPr="008B5DBF" w:rsidRDefault="008B5DBF" w:rsidP="008B5DBF">
      <w:pPr>
        <w:pStyle w:val="SCCLowerCourtNameLowercase"/>
        <w:spacing w:line="240" w:lineRule="auto"/>
        <w:rPr>
          <w:sz w:val="20"/>
          <w:lang w:val="fr-CA"/>
        </w:rPr>
      </w:pPr>
    </w:p>
    <w:p w:rsidR="008B5DBF" w:rsidRPr="00F27442" w:rsidRDefault="008B5DBF" w:rsidP="008B5DBF">
      <w:pPr>
        <w:pStyle w:val="SCCNormalDoubleSpacing"/>
        <w:spacing w:line="240" w:lineRule="auto"/>
        <w:rPr>
          <w:sz w:val="20"/>
          <w:lang w:val="fr-FR"/>
        </w:rPr>
      </w:pPr>
      <w:r w:rsidRPr="00F27442">
        <w:rPr>
          <w:i/>
          <w:sz w:val="20"/>
          <w:lang w:val="fr-FR"/>
        </w:rPr>
        <w:tab/>
        <w:t>Responsabilité délictuelle — Négligence — Causalité — Accident automobile — Blessure subie par le passager d’une motocyclette lors d’un accident — Allégation du passager selon laquelle la négligence dont le conducteur aurait fait preuve en conduisant la motocyclette a causé le préjudice — Le juge de première instance a</w:t>
      </w:r>
      <w:r w:rsidRPr="00F27442">
        <w:rPr>
          <w:i/>
          <w:sz w:val="20"/>
          <w:lang w:val="fr-FR"/>
        </w:rPr>
        <w:noBreakHyphen/>
        <w:t>t</w:t>
      </w:r>
      <w:r w:rsidRPr="00F27442">
        <w:rPr>
          <w:i/>
          <w:sz w:val="20"/>
          <w:lang w:val="fr-FR"/>
        </w:rPr>
        <w:noBreakHyphen/>
        <w:t>il fait erreur en insistant sur la nécessité d’une preuve de reconstitution scientifique pour que le tribunal puisse conclure à l’existence d’un lien de causalité, et en appliquant le critère de la « contribution appréciable » plutôt que celui du « facteur déterminant » pour statuer sur la causalité?</w:t>
      </w:r>
    </w:p>
    <w:p w:rsidR="008B5DBF" w:rsidRDefault="008B5DBF" w:rsidP="008B5DBF">
      <w:pPr>
        <w:pStyle w:val="SCCNormalDoubleSpacing"/>
        <w:spacing w:line="240" w:lineRule="auto"/>
        <w:rPr>
          <w:sz w:val="20"/>
          <w:lang w:val="fr-FR"/>
        </w:rPr>
      </w:pPr>
    </w:p>
    <w:p w:rsidR="008B5DBF" w:rsidRPr="00F27442" w:rsidRDefault="008B5DBF" w:rsidP="008B5DBF">
      <w:pPr>
        <w:pStyle w:val="SCCNormalDoubleSpacing"/>
        <w:spacing w:line="240" w:lineRule="auto"/>
        <w:rPr>
          <w:sz w:val="20"/>
          <w:lang w:val="fr-FR"/>
        </w:rPr>
      </w:pPr>
      <w:r w:rsidRPr="00F27442">
        <w:rPr>
          <w:sz w:val="20"/>
          <w:lang w:val="fr-FR"/>
        </w:rPr>
        <w:tab/>
        <w:t>C conduisait sa moto alors qu’il pleuvait et que son épouse était assise à l’arrière, sur le siège du passager.  La moto avait une surcharge d’environ 100 livres.  À l’insu de C, un clou avait perforé le pneu arrière.  Bien que roulant dans une zone de 100 km/h, C a accéléré à une vitesse d’au moins 120 km/h afin de dépasser une voiture; le clou est tombé, le pneu arrière s’est dégonflé et la moto s’est mise à vaciller.  C a perdu la maîtrise de sa moto et celle</w:t>
      </w:r>
      <w:r w:rsidRPr="00F27442">
        <w:rPr>
          <w:sz w:val="20"/>
          <w:lang w:val="fr-FR"/>
        </w:rPr>
        <w:noBreakHyphen/>
        <w:t>ci s’est renversée; son épouse a subi un traumatisme cérébral grave.  Elle a ensuite poursuivi C, affirmant que son préjudice avait été causé par la négligence dont ce dernier avait fait preuve en conduisant trop rapidement une moto surchargée.  Le juge de première instance a décidé que la négligence de C avait effectivement contribué au préjudice.  Cependant, il a aussi décidé que, sans aucune faute de sa part, l’épouse de C était incapable d’établir la causalité fondée sur un « facteur déterminant », et ce, en raison des limites de la preuve de reconstitution scientifique.  Le juge de première instance a plutôt appliqué le critère de la contribution appréciable et a conclu à la responsabilité de C sur ce fondement.  La Cour d’appel a annulé le jugement et rejeté l’action, au motif que l’on n’avait pas établi la causalité suivant le critère du « facteur déterminant » et que le critère de la contribution appréciable ne s’appliquait pas.</w:t>
      </w:r>
    </w:p>
    <w:p w:rsidR="008B5DBF" w:rsidRDefault="008B5DBF" w:rsidP="008B5DBF">
      <w:pPr>
        <w:pStyle w:val="SCCNormalDoubleSpacing"/>
        <w:spacing w:line="240" w:lineRule="auto"/>
        <w:rPr>
          <w:sz w:val="20"/>
          <w:lang w:val="fr-FR"/>
        </w:rPr>
      </w:pPr>
    </w:p>
    <w:p w:rsidR="008B5DBF" w:rsidRPr="00F27442" w:rsidRDefault="008B5DBF" w:rsidP="008B5DBF">
      <w:pPr>
        <w:pStyle w:val="SCCNormalDoubleSpacing"/>
        <w:spacing w:line="240" w:lineRule="auto"/>
        <w:rPr>
          <w:sz w:val="20"/>
          <w:lang w:val="fr-FR"/>
        </w:rPr>
      </w:pPr>
      <w:r w:rsidRPr="00F27442">
        <w:rPr>
          <w:sz w:val="20"/>
          <w:lang w:val="fr-FR"/>
        </w:rPr>
        <w:tab/>
      </w:r>
      <w:r w:rsidRPr="00F27442">
        <w:rPr>
          <w:i/>
          <w:sz w:val="20"/>
          <w:lang w:val="fr-FR"/>
        </w:rPr>
        <w:t>Arrêt</w:t>
      </w:r>
      <w:r w:rsidRPr="00F27442">
        <w:rPr>
          <w:sz w:val="20"/>
          <w:lang w:val="fr-FR"/>
        </w:rPr>
        <w:t xml:space="preserve"> (les juges LeBel et Rothstein sont dissidents) : Le pourvoi est accueilli et un nouveau procès est ordonné.</w:t>
      </w:r>
    </w:p>
    <w:p w:rsidR="008B5DBF" w:rsidRDefault="008B5DBF" w:rsidP="008200CD">
      <w:pPr>
        <w:pStyle w:val="SCCNormalDoubleSpacing"/>
        <w:spacing w:line="240" w:lineRule="auto"/>
        <w:rPr>
          <w:sz w:val="20"/>
          <w:lang w:val="fr-FR"/>
        </w:rPr>
      </w:pPr>
    </w:p>
    <w:p w:rsidR="008B5DBF" w:rsidRPr="008B5DBF" w:rsidRDefault="008B5DBF" w:rsidP="008200CD">
      <w:pPr>
        <w:pStyle w:val="SCCNormalDoubleSpacing"/>
        <w:spacing w:line="240" w:lineRule="auto"/>
        <w:rPr>
          <w:sz w:val="20"/>
          <w:lang w:val="fr-CA"/>
        </w:rPr>
      </w:pPr>
      <w:r w:rsidRPr="00F27442">
        <w:rPr>
          <w:sz w:val="20"/>
          <w:lang w:val="fr-FR"/>
        </w:rPr>
        <w:tab/>
      </w:r>
      <w:r w:rsidRPr="00F27442">
        <w:rPr>
          <w:i/>
          <w:sz w:val="20"/>
          <w:lang w:val="fr-FR"/>
        </w:rPr>
        <w:t>La</w:t>
      </w:r>
      <w:r w:rsidRPr="00F27442">
        <w:rPr>
          <w:b/>
          <w:sz w:val="20"/>
          <w:lang w:val="fr-FR"/>
        </w:rPr>
        <w:t xml:space="preserve"> </w:t>
      </w:r>
      <w:r w:rsidRPr="00F27442">
        <w:rPr>
          <w:sz w:val="20"/>
          <w:lang w:val="fr-FR"/>
        </w:rPr>
        <w:t>juge en chef</w:t>
      </w:r>
      <w:r w:rsidRPr="00F27442">
        <w:rPr>
          <w:b/>
          <w:sz w:val="20"/>
          <w:lang w:val="fr-FR"/>
        </w:rPr>
        <w:t xml:space="preserve"> McLachlin </w:t>
      </w:r>
      <w:r w:rsidRPr="00F27442">
        <w:rPr>
          <w:sz w:val="20"/>
          <w:lang w:val="fr-FR"/>
        </w:rPr>
        <w:t xml:space="preserve">et les juges Deschamps, Fish, Abella, Cromwell, Moldaver et Karakatsanis : La preuve par un demandeur lésé que le défendeur a été négligent ne suffit pas à elle seule pour que dernier soit tenu responsable du préjudice.  En règle générale, le demandeur ne saurait avoir gain de cause à moins de prouver que, dans </w:t>
      </w:r>
      <w:r w:rsidRPr="00F27442">
        <w:rPr>
          <w:sz w:val="20"/>
          <w:lang w:val="fr-FR"/>
        </w:rPr>
        <w:lastRenderedPageBreak/>
        <w:t xml:space="preserve">les faits, il n’aurait pas subi de préjudice « n’eût été » l’acte ou les actes négligents du défendeur.  </w:t>
      </w:r>
      <w:r w:rsidRPr="008B5DBF">
        <w:rPr>
          <w:sz w:val="20"/>
          <w:lang w:val="fr-CA"/>
        </w:rPr>
        <w:t>Exceptionnellement toutefois, les tribunaux ont reconnu qu’un demandeur peut être en mesure de se faire indemniser sur la base de la « contribution appréciable au risque de préjudice », sans avoir à établir factuellement la causalité fondée sur un « facteur déterminant ».</w:t>
      </w:r>
      <w:r w:rsidRPr="00F27442">
        <w:rPr>
          <w:sz w:val="20"/>
          <w:lang w:val="fr-FR"/>
        </w:rPr>
        <w:t xml:space="preserve">  Éliminer l’obligation de prouver la causalité en tant qu’élément de la négligence constitue une mesure radicale, qui va à l’encontre du principe fondamental selon lequel le défendeur à une action en négligence est uniquement l’auteur du préjudice qu’il cause concrètement au demandeur.  Pour cette raison, le recours au critère de la contribution appréciable au risque ne se justifie que si l’équité l’exige et si les principes sur lesquels repose l’indemnisation en matière délictuelle sont respectés.  Les affaires dans lesquelles le critère ordinaire du « facteur déterminant » a été écarté au profit du critère moins exigeant de la contribution appréciable au risque sont généralement des affaires où l’on compte plusieurs auteurs de délit et où, « n’eut été » l’acte de négligence d’un ou de plusieurs des défendeurs, le demandeur n’aurait pas subi de préjudice.  Ce n’est que lorsque le critère du </w:t>
      </w:r>
      <w:r w:rsidRPr="008B5DBF">
        <w:rPr>
          <w:sz w:val="20"/>
          <w:lang w:val="fr-CA"/>
        </w:rPr>
        <w:t xml:space="preserve">« facteur déterminant » </w:t>
      </w:r>
      <w:r w:rsidRPr="00F27442">
        <w:rPr>
          <w:sz w:val="20"/>
          <w:lang w:val="fr-FR"/>
        </w:rPr>
        <w:t>est appliqué à chaque défendeur négligent séparément qu’il cesse d’être utile, car il s’avère impossible d’établir lequel d’entre eux est véritablement à l’origine de l’événement qui a entraîné le préjudice.  Dans ces circonstances, donner gain de cause au demandeur sur la base du critère de la contribution appréciable au risque permet de réaliser les objectifs qui sous</w:t>
      </w:r>
      <w:r w:rsidRPr="00F27442">
        <w:rPr>
          <w:sz w:val="20"/>
          <w:lang w:val="fr-FR"/>
        </w:rPr>
        <w:noBreakHyphen/>
        <w:t xml:space="preserve">tendent le droit de la négligence.  Le demandeur a su démontrer qu’il existe entre lui et le groupe de défendeurs — même si ce n’est pas nécessairement avec chacun d’eux individuellement — un rapport de réciprocité les unissant en tant que victime et auteurs d’un même préjudice. </w:t>
      </w:r>
    </w:p>
    <w:p w:rsidR="008B5DBF" w:rsidRPr="008B5DBF" w:rsidRDefault="008B5DBF" w:rsidP="008200CD">
      <w:pPr>
        <w:pStyle w:val="SCCNormalDoubleSpacing"/>
        <w:spacing w:line="240" w:lineRule="auto"/>
        <w:rPr>
          <w:sz w:val="20"/>
          <w:lang w:val="fr-CA"/>
        </w:rPr>
      </w:pPr>
    </w:p>
    <w:p w:rsidR="008B5DBF" w:rsidRPr="00F27442" w:rsidRDefault="008B5DBF" w:rsidP="008200CD">
      <w:pPr>
        <w:pStyle w:val="SCCNormalDoubleSpacing"/>
        <w:spacing w:line="240" w:lineRule="auto"/>
        <w:rPr>
          <w:sz w:val="20"/>
          <w:lang w:val="fr-FR"/>
        </w:rPr>
      </w:pPr>
      <w:r w:rsidRPr="008B5DBF">
        <w:rPr>
          <w:sz w:val="20"/>
          <w:lang w:val="fr-CA"/>
        </w:rPr>
        <w:tab/>
      </w:r>
      <w:r w:rsidRPr="00F27442">
        <w:rPr>
          <w:sz w:val="20"/>
          <w:lang w:val="fr-FR"/>
        </w:rPr>
        <w:t>En l’espèce, le juge de première instance a commis deux erreurs.  La première a été d’insister sur la nécessité d’une preuve de reconstitution scientifique pour que le tribunal puisse conclure à l’existence d’un lien de causalité fondé sur un facteur déterminant.  La précision scientifique n’est pas nécessaire pour permettre au tribunal de conclure qu’un lien de causalité fondé sur un « facteur déterminant » a été établi suivant la prépondérance des probabilités.  La deuxième erreur du juge de première instance a été d’appliquer le critère de la contribution appréciable au risque.  Les conditions spéciales permettant de recourir à ce critère n’étaient pas réunies en l’espèce.  Il s’agit d’une affaire ordinaire mettant en cause un seul défendeur : la seule question litigieuse consistait à se demander si, « n’eût été » la conduite négligente du défendeur, le préjudice aurait été subi.  Bien que le juge de première instance ait utilisé des termes assimilables à une véritable conclusion de causalité fondée sur un « facteur déterminant », on ne saurait dire avec certitude quelle aurait été la conclusion du juge de première instance s’il n’avait pas commis ces deux erreurs.  La réparation convenable dans les circonstances consiste à ordonner un nouveau procès.</w:t>
      </w:r>
    </w:p>
    <w:p w:rsidR="008B5DBF" w:rsidRDefault="008B5DBF" w:rsidP="008200CD">
      <w:pPr>
        <w:pStyle w:val="SCCNormalDoubleSpacing"/>
        <w:spacing w:line="240" w:lineRule="auto"/>
        <w:rPr>
          <w:i/>
          <w:sz w:val="20"/>
          <w:lang w:val="fr-FR"/>
        </w:rPr>
      </w:pPr>
    </w:p>
    <w:p w:rsidR="008B5DBF" w:rsidRPr="00F27442" w:rsidRDefault="008B5DBF" w:rsidP="008200CD">
      <w:pPr>
        <w:pStyle w:val="SCCNormalDoubleSpacing"/>
        <w:spacing w:line="240" w:lineRule="auto"/>
        <w:rPr>
          <w:sz w:val="20"/>
          <w:lang w:val="fr-FR"/>
        </w:rPr>
      </w:pPr>
      <w:r w:rsidRPr="00F27442">
        <w:rPr>
          <w:i/>
          <w:sz w:val="20"/>
          <w:lang w:val="fr-FR"/>
        </w:rPr>
        <w:tab/>
        <w:t xml:space="preserve">Les </w:t>
      </w:r>
      <w:r w:rsidRPr="00F27442">
        <w:rPr>
          <w:sz w:val="20"/>
          <w:lang w:val="fr-FR"/>
        </w:rPr>
        <w:t xml:space="preserve">juges </w:t>
      </w:r>
      <w:r w:rsidRPr="00F27442">
        <w:rPr>
          <w:b/>
          <w:sz w:val="20"/>
          <w:lang w:val="fr-FR"/>
        </w:rPr>
        <w:t>LeBel</w:t>
      </w:r>
      <w:r w:rsidRPr="00F27442">
        <w:rPr>
          <w:sz w:val="20"/>
          <w:lang w:val="fr-FR"/>
        </w:rPr>
        <w:t xml:space="preserve"> et Rothstein (dissidents) : Rien ne justifie, en fait ou en droit, la tenue d’un nouveau procès.  Selon la principale conclusion de fait du juge de première instance, la demanderesse n’a pas établi l’existence d’un lien de causalité suivant le critère du « facteur déterminant ».  On ne saurait considérer que la conclusion du juge de première instance selon laquelle il a été satisfait au critère de la contribution appréciable vaut également pour le critère de la causalité fondée sur un « facteur déterminant ».</w:t>
      </w:r>
    </w:p>
    <w:p w:rsidR="008B5DBF" w:rsidRDefault="008B5DBF" w:rsidP="008B5DBF">
      <w:pPr>
        <w:pStyle w:val="SCCNormalDoubleSpacing"/>
        <w:spacing w:line="240" w:lineRule="auto"/>
        <w:rPr>
          <w:sz w:val="20"/>
          <w:lang w:val="fr-FR"/>
        </w:rPr>
      </w:pPr>
    </w:p>
    <w:p w:rsidR="008B5DBF" w:rsidRDefault="008B5DBF" w:rsidP="008B5DBF">
      <w:pPr>
        <w:pStyle w:val="SCCNormalDoubleSpacing"/>
        <w:spacing w:line="240" w:lineRule="auto"/>
        <w:rPr>
          <w:sz w:val="20"/>
          <w:lang w:val="fr-FR"/>
        </w:rPr>
      </w:pPr>
      <w:r w:rsidRPr="00F27442">
        <w:rPr>
          <w:sz w:val="20"/>
          <w:lang w:val="fr-FR"/>
        </w:rPr>
        <w:tab/>
        <w:t>Pour des considérations de politique générale, notre Cour et les cours d’appel doivent demeurer soucieuses d’assurer le caractère définitif et efficace du processus judiciaire en matière civile.  En l’espèce, rien dans le jugement du juge du procès ne permet d’inférer que la surcharge et la vitesse excessive de la moto ont pu être la « cause » de l’accident au sens où s’entend ce terme dans le contexte du critère du « facteur déterminant ».  Nous ne sommes pas non plus en présence d’une affaire où il conviendrait d’ordonner la tenue d’un nouveau procès.</w:t>
      </w:r>
    </w:p>
    <w:p w:rsidR="008B5DBF" w:rsidRDefault="008B5DBF" w:rsidP="008B5DBF">
      <w:pPr>
        <w:pStyle w:val="SCCNormalDoubleSpacing"/>
        <w:spacing w:line="240" w:lineRule="auto"/>
        <w:rPr>
          <w:sz w:val="20"/>
          <w:lang w:val="fr-FR"/>
        </w:rPr>
      </w:pPr>
    </w:p>
    <w:p w:rsidR="008B5DBF" w:rsidRPr="008B5DBF" w:rsidRDefault="008B5DBF" w:rsidP="008B5DBF">
      <w:pPr>
        <w:pStyle w:val="SCCNormalDoubleSpacing"/>
        <w:spacing w:line="240" w:lineRule="auto"/>
        <w:rPr>
          <w:sz w:val="20"/>
          <w:lang w:val="fr-CA"/>
        </w:rPr>
      </w:pPr>
      <w:r w:rsidRPr="008B5DBF">
        <w:rPr>
          <w:sz w:val="20"/>
          <w:lang w:val="fr-CA"/>
        </w:rPr>
        <w:tab/>
        <w:t>POURVOI contre un arrêt de la Cour d’appel de la Colombie</w:t>
      </w:r>
      <w:r w:rsidRPr="008B5DBF">
        <w:rPr>
          <w:sz w:val="20"/>
          <w:lang w:val="fr-CA"/>
        </w:rPr>
        <w:noBreakHyphen/>
        <w:t xml:space="preserve">Britannique (les juges Frankel, Tysoe et Garson), 2010 BCCA 581, 12 B.C.L.R. (5th) 310, 79 C.C.L.T. (3d) 6, 4 M.V.R. (6th) 1, 327 D.L.R. (4th) 1, 298 B.C.A.C. 56, 505 W.A.C. 56, [2010] B.C.J. No. 2532 (QL), 2010 CarswellBC 3477, qui a infirmé une décision du juge </w:t>
      </w:r>
      <w:r w:rsidR="00D70052" w:rsidRPr="00F27442">
        <w:rPr>
          <w:sz w:val="20"/>
        </w:rPr>
        <w:fldChar w:fldCharType="begin"/>
      </w:r>
      <w:r w:rsidRPr="008B5DBF">
        <w:rPr>
          <w:sz w:val="20"/>
          <w:lang w:val="fr-CA"/>
        </w:rPr>
        <w:instrText xml:space="preserve"> SEQ CHAPTER \h \r 1</w:instrText>
      </w:r>
      <w:r w:rsidR="00D70052" w:rsidRPr="00F27442">
        <w:rPr>
          <w:sz w:val="20"/>
        </w:rPr>
        <w:fldChar w:fldCharType="end"/>
      </w:r>
      <w:r w:rsidRPr="008B5DBF">
        <w:rPr>
          <w:sz w:val="20"/>
          <w:lang w:val="fr-CA"/>
        </w:rPr>
        <w:t>Grauer, 2009 BCSC 112 (CanLII), [2009] B.C.J. No. 166 (QL), 2009 CarswellBC 202.  Pourvoi accueilli, les juges LeBel et Rothstein sont dissidents.</w:t>
      </w:r>
    </w:p>
    <w:p w:rsidR="008B5DBF" w:rsidRPr="008B5DBF" w:rsidRDefault="008B5DBF" w:rsidP="008B5DBF">
      <w:pPr>
        <w:pStyle w:val="SCCNormalDoubleSpacing"/>
        <w:spacing w:line="240" w:lineRule="auto"/>
        <w:rPr>
          <w:i/>
          <w:sz w:val="20"/>
          <w:lang w:val="fr-CA"/>
        </w:rPr>
      </w:pPr>
    </w:p>
    <w:p w:rsidR="008B5DBF" w:rsidRPr="008B5DBF" w:rsidRDefault="008B5DBF" w:rsidP="008B5DBF">
      <w:pPr>
        <w:pStyle w:val="SCCNormalDoubleSpacing"/>
        <w:spacing w:line="240" w:lineRule="auto"/>
        <w:rPr>
          <w:sz w:val="20"/>
          <w:lang w:val="fr-CA"/>
        </w:rPr>
      </w:pPr>
      <w:r w:rsidRPr="008B5DBF">
        <w:rPr>
          <w:i/>
          <w:sz w:val="20"/>
          <w:lang w:val="fr-CA"/>
        </w:rPr>
        <w:tab/>
        <w:t>Dick Byl</w:t>
      </w:r>
      <w:r w:rsidRPr="008B5DBF">
        <w:rPr>
          <w:sz w:val="20"/>
          <w:lang w:val="fr-CA"/>
        </w:rPr>
        <w:t xml:space="preserve"> et </w:t>
      </w:r>
      <w:r w:rsidRPr="008B5DBF">
        <w:rPr>
          <w:i/>
          <w:sz w:val="20"/>
          <w:lang w:val="fr-CA"/>
        </w:rPr>
        <w:t>Kimi Aimetz</w:t>
      </w:r>
      <w:r w:rsidRPr="008B5DBF">
        <w:rPr>
          <w:sz w:val="20"/>
          <w:lang w:val="fr-CA"/>
        </w:rPr>
        <w:t>, pour l’appelante.</w:t>
      </w:r>
    </w:p>
    <w:p w:rsidR="008B5DBF" w:rsidRPr="008B5DBF" w:rsidRDefault="008B5DBF" w:rsidP="008B5DBF">
      <w:pPr>
        <w:pStyle w:val="SCCNormalDoubleSpacing"/>
        <w:spacing w:line="240" w:lineRule="auto"/>
        <w:rPr>
          <w:i/>
          <w:sz w:val="20"/>
          <w:lang w:val="fr-CA"/>
        </w:rPr>
      </w:pPr>
    </w:p>
    <w:p w:rsidR="008B5DBF" w:rsidRPr="008B5DBF" w:rsidRDefault="008B5DBF" w:rsidP="008B5DBF">
      <w:pPr>
        <w:pStyle w:val="SCCNormalDoubleSpacing"/>
        <w:spacing w:line="240" w:lineRule="auto"/>
        <w:rPr>
          <w:sz w:val="20"/>
          <w:lang w:val="fr-CA"/>
        </w:rPr>
      </w:pPr>
      <w:r w:rsidRPr="008B5DBF">
        <w:rPr>
          <w:i/>
          <w:sz w:val="20"/>
          <w:lang w:val="fr-CA"/>
        </w:rPr>
        <w:tab/>
        <w:t>Robert A. Easton</w:t>
      </w:r>
      <w:r w:rsidRPr="008B5DBF">
        <w:rPr>
          <w:sz w:val="20"/>
          <w:lang w:val="fr-CA"/>
        </w:rPr>
        <w:t xml:space="preserve">, </w:t>
      </w:r>
      <w:r w:rsidRPr="008B5DBF">
        <w:rPr>
          <w:i/>
          <w:sz w:val="20"/>
          <w:lang w:val="fr-CA"/>
        </w:rPr>
        <w:t>Ryan W. Morasiewicz</w:t>
      </w:r>
      <w:r w:rsidRPr="008B5DBF">
        <w:rPr>
          <w:sz w:val="20"/>
          <w:lang w:val="fr-CA"/>
        </w:rPr>
        <w:t xml:space="preserve"> et </w:t>
      </w:r>
      <w:r w:rsidRPr="008B5DBF">
        <w:rPr>
          <w:i/>
          <w:sz w:val="20"/>
          <w:lang w:val="fr-CA"/>
        </w:rPr>
        <w:t>Greg A. Cavouras</w:t>
      </w:r>
      <w:r w:rsidRPr="008B5DBF">
        <w:rPr>
          <w:sz w:val="20"/>
          <w:lang w:val="fr-CA"/>
        </w:rPr>
        <w:t>, pour l’intimé.</w:t>
      </w:r>
    </w:p>
    <w:p w:rsidR="008B5DBF" w:rsidRPr="008B5DBF" w:rsidRDefault="008B5DBF" w:rsidP="008B5DBF">
      <w:pPr>
        <w:pStyle w:val="SCCNormalDoubleSpacing"/>
        <w:spacing w:line="240" w:lineRule="auto"/>
        <w:rPr>
          <w:i/>
          <w:sz w:val="20"/>
          <w:lang w:val="fr-CA"/>
        </w:rPr>
      </w:pPr>
    </w:p>
    <w:p w:rsidR="008B5DBF" w:rsidRPr="008B5DBF" w:rsidRDefault="008B5DBF" w:rsidP="008B5DBF">
      <w:pPr>
        <w:pStyle w:val="SCCNormalDoubleSpacing"/>
        <w:spacing w:line="240" w:lineRule="auto"/>
        <w:rPr>
          <w:sz w:val="20"/>
          <w:lang w:val="fr-CA"/>
        </w:rPr>
      </w:pPr>
      <w:r w:rsidRPr="008B5DBF">
        <w:rPr>
          <w:i/>
          <w:sz w:val="20"/>
          <w:lang w:val="fr-CA"/>
        </w:rPr>
        <w:tab/>
        <w:t>Jonathan Eades</w:t>
      </w:r>
      <w:r w:rsidRPr="008B5DBF">
        <w:rPr>
          <w:sz w:val="20"/>
          <w:lang w:val="fr-CA"/>
        </w:rPr>
        <w:t>, pour l’intervenant.</w:t>
      </w:r>
    </w:p>
    <w:p w:rsidR="008B5DBF" w:rsidRPr="008B5DBF" w:rsidRDefault="008B5DBF" w:rsidP="008B5DBF">
      <w:pPr>
        <w:pStyle w:val="SCCLawFirm"/>
        <w:spacing w:line="240" w:lineRule="auto"/>
        <w:rPr>
          <w:sz w:val="20"/>
          <w:lang w:val="fr-CA"/>
        </w:rPr>
      </w:pPr>
    </w:p>
    <w:p w:rsidR="008B5DBF" w:rsidRPr="008B5DBF" w:rsidRDefault="008B5DBF" w:rsidP="008B5DBF">
      <w:pPr>
        <w:pStyle w:val="SCCLawFirm"/>
        <w:spacing w:line="240" w:lineRule="auto"/>
        <w:rPr>
          <w:sz w:val="20"/>
          <w:lang w:val="fr-CA"/>
        </w:rPr>
      </w:pPr>
      <w:r w:rsidRPr="008B5DBF">
        <w:rPr>
          <w:sz w:val="20"/>
          <w:lang w:val="fr-CA"/>
        </w:rPr>
        <w:tab/>
        <w:t>Procureurs de l’appelante : Dick Byl Law Corporation, Prince George.</w:t>
      </w:r>
    </w:p>
    <w:p w:rsidR="008B5DBF" w:rsidRPr="008B5DBF" w:rsidRDefault="008B5DBF" w:rsidP="008B5DBF">
      <w:pPr>
        <w:pStyle w:val="SCCLawFirm"/>
        <w:spacing w:line="240" w:lineRule="auto"/>
        <w:rPr>
          <w:sz w:val="20"/>
          <w:lang w:val="fr-CA"/>
        </w:rPr>
      </w:pPr>
    </w:p>
    <w:p w:rsidR="008B5DBF" w:rsidRPr="008B5DBF" w:rsidRDefault="008B5DBF" w:rsidP="008B5DBF">
      <w:pPr>
        <w:pStyle w:val="SCCLawFirm"/>
        <w:spacing w:line="240" w:lineRule="auto"/>
        <w:rPr>
          <w:sz w:val="20"/>
          <w:lang w:val="fr-CA"/>
        </w:rPr>
      </w:pPr>
      <w:r w:rsidRPr="008B5DBF">
        <w:rPr>
          <w:sz w:val="20"/>
          <w:lang w:val="fr-CA"/>
        </w:rPr>
        <w:tab/>
        <w:t>Procureurs de l’intimé : Miller Thomson, Vancouver.</w:t>
      </w:r>
    </w:p>
    <w:p w:rsidR="008B5DBF" w:rsidRPr="008B5DBF" w:rsidRDefault="008B5DBF" w:rsidP="008B5DBF">
      <w:pPr>
        <w:pStyle w:val="SCCLawFirm"/>
        <w:spacing w:line="240" w:lineRule="auto"/>
        <w:rPr>
          <w:sz w:val="20"/>
          <w:lang w:val="fr-CA"/>
        </w:rPr>
      </w:pPr>
    </w:p>
    <w:p w:rsidR="008B5DBF" w:rsidRPr="008B5DBF" w:rsidRDefault="008B5DBF" w:rsidP="008B5DBF">
      <w:pPr>
        <w:pStyle w:val="SCCLawFirm"/>
        <w:spacing w:line="240" w:lineRule="auto"/>
        <w:rPr>
          <w:sz w:val="20"/>
          <w:lang w:val="fr-CA"/>
        </w:rPr>
      </w:pPr>
      <w:r w:rsidRPr="008B5DBF">
        <w:rPr>
          <w:sz w:val="20"/>
          <w:lang w:val="fr-CA"/>
        </w:rPr>
        <w:tab/>
        <w:t>Procureur de l’intervenant : Procureur général de la Colombie</w:t>
      </w:r>
      <w:r w:rsidRPr="008B5DBF">
        <w:rPr>
          <w:sz w:val="20"/>
          <w:lang w:val="fr-CA"/>
        </w:rPr>
        <w:noBreakHyphen/>
        <w:t>Britannique, Vancouver.</w:t>
      </w:r>
    </w:p>
    <w:p w:rsidR="00D30A85" w:rsidRPr="008B5DBF" w:rsidRDefault="00D30A85" w:rsidP="003B3977">
      <w:pPr>
        <w:rPr>
          <w:sz w:val="20"/>
          <w:szCs w:val="20"/>
          <w:lang w:val="fr-CA"/>
        </w:rPr>
      </w:pPr>
    </w:p>
    <w:p w:rsidR="00D30A85" w:rsidRPr="003F4721" w:rsidRDefault="00D70052" w:rsidP="003B3977">
      <w:pPr>
        <w:rPr>
          <w:sz w:val="20"/>
          <w:szCs w:val="20"/>
        </w:rPr>
      </w:pPr>
      <w:r w:rsidRPr="00D70052">
        <w:rPr>
          <w:rFonts w:cs="Times New Roman"/>
          <w:sz w:val="20"/>
          <w:szCs w:val="20"/>
          <w:lang w:val="fr-CA"/>
        </w:rPr>
        <w:pict>
          <v:rect id="_x0000_i1109"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4253E5">
            <w:pPr>
              <w:keepNext/>
              <w:keepLines/>
              <w:rPr>
                <w:b/>
                <w:szCs w:val="24"/>
              </w:rPr>
            </w:pPr>
            <w:r w:rsidRPr="00C50A5C">
              <w:rPr>
                <w:b/>
                <w:szCs w:val="24"/>
              </w:rPr>
              <w:lastRenderedPageBreak/>
              <w:t xml:space="preserve">AGENDA FOR </w:t>
            </w:r>
            <w:r w:rsidR="004253E5">
              <w:rPr>
                <w:b/>
                <w:szCs w:val="24"/>
              </w:rPr>
              <w:t>JULY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4253E5">
            <w:pPr>
              <w:keepNext/>
              <w:keepLines/>
              <w:rPr>
                <w:b/>
                <w:szCs w:val="24"/>
                <w:lang w:val="fr-CA"/>
              </w:rPr>
            </w:pPr>
            <w:r w:rsidRPr="00C50A5C">
              <w:rPr>
                <w:b/>
                <w:szCs w:val="24"/>
                <w:lang w:val="fr-CA"/>
              </w:rPr>
              <w:t xml:space="preserve">CALENDRIER DE </w:t>
            </w:r>
            <w:r w:rsidR="004253E5">
              <w:rPr>
                <w:b/>
                <w:szCs w:val="24"/>
                <w:lang w:val="fr-CA"/>
              </w:rPr>
              <w:t>JUILL</w:t>
            </w:r>
            <w:r w:rsidRPr="00C50A5C">
              <w:rPr>
                <w:b/>
                <w:szCs w:val="24"/>
                <w:lang w:val="fr-CA"/>
              </w:rPr>
              <w:t>ET</w:t>
            </w:r>
            <w:r w:rsidR="004253E5">
              <w:rPr>
                <w:b/>
                <w:szCs w:val="24"/>
                <w:lang w:val="fr-CA"/>
              </w:rPr>
              <w:t xml:space="preserve"> 2012</w:t>
            </w:r>
          </w:p>
        </w:tc>
      </w:tr>
    </w:tbl>
    <w:p w:rsidR="004B66B4" w:rsidRPr="00DD0B49" w:rsidRDefault="004B66B4" w:rsidP="004B66B4">
      <w:pPr>
        <w:rPr>
          <w:b/>
          <w:sz w:val="20"/>
          <w:szCs w:val="20"/>
        </w:rPr>
      </w:pPr>
    </w:p>
    <w:p w:rsidR="004B66B4" w:rsidRPr="00DD0B49" w:rsidRDefault="004B66B4" w:rsidP="004B66B4">
      <w:pPr>
        <w:rPr>
          <w:b/>
          <w:sz w:val="20"/>
          <w:szCs w:val="20"/>
        </w:rPr>
      </w:pPr>
      <w:proofErr w:type="gramStart"/>
      <w:r w:rsidRPr="00DD0B49">
        <w:rPr>
          <w:b/>
          <w:sz w:val="20"/>
          <w:szCs w:val="20"/>
        </w:rPr>
        <w:t xml:space="preserve">AGENDA for the week of </w:t>
      </w:r>
      <w:r w:rsidR="004253E5">
        <w:rPr>
          <w:b/>
          <w:sz w:val="20"/>
          <w:szCs w:val="20"/>
        </w:rPr>
        <w:t>July 9</w:t>
      </w:r>
      <w:r w:rsidRPr="00DD0B49">
        <w:rPr>
          <w:b/>
          <w:sz w:val="20"/>
          <w:szCs w:val="20"/>
        </w:rPr>
        <w:t>, 201</w:t>
      </w:r>
      <w:r w:rsidR="004253E5">
        <w:rPr>
          <w:b/>
          <w:sz w:val="20"/>
          <w:szCs w:val="20"/>
        </w:rPr>
        <w:t>2</w:t>
      </w:r>
      <w:r w:rsidRPr="00DD0B49">
        <w:rPr>
          <w:b/>
          <w:sz w:val="20"/>
          <w:szCs w:val="20"/>
        </w:rPr>
        <w:t>.</w:t>
      </w:r>
      <w:proofErr w:type="gramEnd"/>
    </w:p>
    <w:p w:rsidR="004B66B4" w:rsidRPr="00DD0B49" w:rsidRDefault="004B66B4" w:rsidP="004B66B4">
      <w:pPr>
        <w:rPr>
          <w:sz w:val="20"/>
          <w:szCs w:val="20"/>
          <w:lang w:val="fr-CA"/>
        </w:rPr>
      </w:pPr>
      <w:r w:rsidRPr="00DD0B49">
        <w:rPr>
          <w:b/>
          <w:sz w:val="20"/>
          <w:szCs w:val="20"/>
          <w:lang w:val="fr-CA"/>
        </w:rPr>
        <w:t xml:space="preserve">CALENDRIER de la semaine du </w:t>
      </w:r>
      <w:r w:rsidR="004253E5">
        <w:rPr>
          <w:b/>
          <w:sz w:val="20"/>
          <w:szCs w:val="20"/>
          <w:lang w:val="fr-CA"/>
        </w:rPr>
        <w:t xml:space="preserve">9 juillet </w:t>
      </w:r>
      <w:r w:rsidRPr="00DD0B49">
        <w:rPr>
          <w:b/>
          <w:sz w:val="20"/>
          <w:szCs w:val="20"/>
          <w:lang w:val="fr-CA"/>
        </w:rPr>
        <w:t>201</w:t>
      </w:r>
      <w:r w:rsidR="004253E5">
        <w:rPr>
          <w:b/>
          <w:sz w:val="20"/>
          <w:szCs w:val="20"/>
          <w:lang w:val="fr-CA"/>
        </w:rPr>
        <w:t>2</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4253E5">
        <w:rPr>
          <w:sz w:val="20"/>
          <w:szCs w:val="20"/>
        </w:rPr>
        <w:t>July 2</w:t>
      </w:r>
      <w:r w:rsidRPr="00DD0B49">
        <w:rPr>
          <w:sz w:val="20"/>
          <w:szCs w:val="20"/>
        </w:rPr>
        <w:t>,</w:t>
      </w:r>
      <w:r w:rsidR="004253E5">
        <w:rPr>
          <w:sz w:val="20"/>
          <w:szCs w:val="20"/>
        </w:rPr>
        <w:t xml:space="preserve"> 16, 23</w:t>
      </w:r>
      <w:r w:rsidRPr="00DD0B49">
        <w:rPr>
          <w:sz w:val="20"/>
          <w:szCs w:val="20"/>
        </w:rPr>
        <w:t xml:space="preserve"> and </w:t>
      </w:r>
      <w:r w:rsidR="004253E5">
        <w:rPr>
          <w:sz w:val="20"/>
          <w:szCs w:val="20"/>
        </w:rPr>
        <w:t>30</w:t>
      </w:r>
      <w:r w:rsidRPr="00DD0B49">
        <w:rPr>
          <w:sz w:val="20"/>
          <w:szCs w:val="20"/>
        </w:rPr>
        <w:t>, 201</w:t>
      </w:r>
      <w:r w:rsidR="004253E5">
        <w:rPr>
          <w:sz w:val="20"/>
          <w:szCs w:val="20"/>
        </w:rPr>
        <w:t>2</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4253E5">
        <w:rPr>
          <w:sz w:val="20"/>
          <w:szCs w:val="20"/>
          <w:lang w:val="fr-CA"/>
        </w:rPr>
        <w:t>2</w:t>
      </w:r>
      <w:r w:rsidRPr="00DD0B49">
        <w:rPr>
          <w:sz w:val="20"/>
          <w:szCs w:val="20"/>
          <w:lang w:val="fr-CA"/>
        </w:rPr>
        <w:t xml:space="preserve">, </w:t>
      </w:r>
      <w:r w:rsidR="004253E5">
        <w:rPr>
          <w:sz w:val="20"/>
          <w:szCs w:val="20"/>
          <w:lang w:val="fr-CA"/>
        </w:rPr>
        <w:t xml:space="preserve">16, </w:t>
      </w:r>
      <w:r w:rsidRPr="00DD0B49">
        <w:rPr>
          <w:sz w:val="20"/>
          <w:szCs w:val="20"/>
          <w:lang w:val="fr-CA"/>
        </w:rPr>
        <w:t>2</w:t>
      </w:r>
      <w:r w:rsidR="004253E5">
        <w:rPr>
          <w:sz w:val="20"/>
          <w:szCs w:val="20"/>
          <w:lang w:val="fr-CA"/>
        </w:rPr>
        <w:t>3</w:t>
      </w:r>
      <w:r w:rsidRPr="00DD0B49">
        <w:rPr>
          <w:sz w:val="20"/>
          <w:szCs w:val="20"/>
          <w:lang w:val="fr-CA"/>
        </w:rPr>
        <w:t xml:space="preserve"> et du </w:t>
      </w:r>
      <w:r w:rsidR="004253E5">
        <w:rPr>
          <w:sz w:val="20"/>
          <w:szCs w:val="20"/>
          <w:lang w:val="fr-CA"/>
        </w:rPr>
        <w:t>30 juillet</w:t>
      </w:r>
      <w:r w:rsidRPr="00DD0B49">
        <w:rPr>
          <w:sz w:val="20"/>
          <w:szCs w:val="20"/>
          <w:lang w:val="fr-CA"/>
        </w:rPr>
        <w:t xml:space="preserve"> 201</w:t>
      </w:r>
      <w:r w:rsidR="004253E5">
        <w:rPr>
          <w:sz w:val="20"/>
          <w:szCs w:val="20"/>
          <w:lang w:val="fr-CA"/>
        </w:rPr>
        <w:t>2</w:t>
      </w:r>
      <w:r w:rsidRPr="00DD0B49">
        <w:rPr>
          <w:sz w:val="20"/>
          <w:szCs w:val="20"/>
          <w:lang w:val="fr-CA"/>
        </w:rPr>
        <w:t>.</w:t>
      </w:r>
    </w:p>
    <w:p w:rsidR="004B66B4" w:rsidRPr="00DD0B49" w:rsidRDefault="00D70052" w:rsidP="004B66B4">
      <w:pPr>
        <w:rPr>
          <w:sz w:val="20"/>
          <w:szCs w:val="20"/>
        </w:rPr>
      </w:pPr>
      <w:r w:rsidRPr="00D70052">
        <w:rPr>
          <w:sz w:val="20"/>
          <w:szCs w:val="20"/>
        </w:rPr>
        <w:pict>
          <v:rect id="_x0000_i1112" style="width:480.95pt;height:1pt" o:hralign="center" o:hrstd="t" o:hrnoshade="t" o:hr="t" fillcolor="black [3213]" stroked="f"/>
        </w:pict>
      </w:r>
    </w:p>
    <w:p w:rsidR="004B66B4" w:rsidRPr="00DD0B49" w:rsidRDefault="004B66B4" w:rsidP="004B66B4">
      <w:pPr>
        <w:rPr>
          <w:sz w:val="20"/>
          <w:szCs w:val="20"/>
          <w:lang w:val="fr-CA"/>
        </w:rPr>
      </w:pPr>
    </w:p>
    <w:p w:rsidR="004B66B4" w:rsidRPr="00DD0B49" w:rsidRDefault="004B66B4" w:rsidP="00DD0B49">
      <w:pPr>
        <w:ind w:left="2160" w:hanging="2160"/>
        <w:jc w:val="both"/>
        <w:rPr>
          <w:sz w:val="20"/>
          <w:szCs w:val="20"/>
        </w:rPr>
      </w:pPr>
      <w:r w:rsidRPr="00DD0B49">
        <w:rPr>
          <w:sz w:val="20"/>
          <w:szCs w:val="20"/>
        </w:rPr>
        <w:t>DATE OF HEARING /</w:t>
      </w:r>
      <w:r w:rsidR="00DD0B49">
        <w:rPr>
          <w:sz w:val="20"/>
          <w:szCs w:val="20"/>
        </w:rPr>
        <w:tab/>
      </w:r>
      <w:r w:rsidRPr="00DD0B49">
        <w:rPr>
          <w:sz w:val="20"/>
          <w:szCs w:val="20"/>
        </w:rPr>
        <w:t>NAME AND CASE NUMBER /</w:t>
      </w:r>
    </w:p>
    <w:p w:rsidR="004B66B4" w:rsidRPr="00DD0B49" w:rsidRDefault="004B66B4" w:rsidP="00DD0B49">
      <w:pPr>
        <w:ind w:left="2160" w:hanging="2160"/>
        <w:jc w:val="both"/>
        <w:rPr>
          <w:sz w:val="20"/>
          <w:szCs w:val="20"/>
          <w:lang w:val="fr-CA"/>
        </w:rPr>
      </w:pPr>
      <w:r w:rsidRPr="00DD0B49">
        <w:rPr>
          <w:sz w:val="20"/>
          <w:szCs w:val="20"/>
          <w:lang w:val="fr-CA"/>
        </w:rPr>
        <w:t>DATE D’AUDITION</w:t>
      </w:r>
      <w:r w:rsidRPr="00DD0B49">
        <w:rPr>
          <w:sz w:val="20"/>
          <w:szCs w:val="20"/>
          <w:lang w:val="fr-CA"/>
        </w:rPr>
        <w:tab/>
        <w:t>NOM DE LA CAUSE ET NUMÉRO</w:t>
      </w:r>
    </w:p>
    <w:p w:rsidR="004B66B4" w:rsidRPr="00DD0B49" w:rsidRDefault="004B66B4" w:rsidP="00DD0B49">
      <w:pPr>
        <w:ind w:left="2160" w:hanging="2160"/>
        <w:jc w:val="both"/>
        <w:rPr>
          <w:sz w:val="20"/>
          <w:szCs w:val="20"/>
          <w:lang w:val="fr-CA"/>
        </w:rPr>
      </w:pPr>
    </w:p>
    <w:p w:rsidR="004B66B4" w:rsidRPr="004253E5" w:rsidRDefault="004B66B4" w:rsidP="00DD0B49">
      <w:pPr>
        <w:ind w:left="2160" w:hanging="2160"/>
        <w:jc w:val="both"/>
        <w:rPr>
          <w:sz w:val="20"/>
          <w:szCs w:val="20"/>
        </w:rPr>
      </w:pPr>
      <w:r w:rsidRPr="00962844">
        <w:rPr>
          <w:sz w:val="20"/>
          <w:szCs w:val="20"/>
        </w:rPr>
        <w:t>201</w:t>
      </w:r>
      <w:r w:rsidR="004253E5" w:rsidRPr="00962844">
        <w:rPr>
          <w:sz w:val="20"/>
          <w:szCs w:val="20"/>
        </w:rPr>
        <w:t>2</w:t>
      </w:r>
      <w:r w:rsidRPr="00962844">
        <w:rPr>
          <w:sz w:val="20"/>
          <w:szCs w:val="20"/>
        </w:rPr>
        <w:t>-</w:t>
      </w:r>
      <w:r w:rsidR="004253E5" w:rsidRPr="00962844">
        <w:rPr>
          <w:sz w:val="20"/>
          <w:szCs w:val="20"/>
        </w:rPr>
        <w:t>07</w:t>
      </w:r>
      <w:r w:rsidRPr="00962844">
        <w:rPr>
          <w:sz w:val="20"/>
          <w:szCs w:val="20"/>
        </w:rPr>
        <w:t>-</w:t>
      </w:r>
      <w:r w:rsidR="004253E5" w:rsidRPr="00962844">
        <w:rPr>
          <w:sz w:val="20"/>
          <w:szCs w:val="20"/>
        </w:rPr>
        <w:t>10</w:t>
      </w:r>
      <w:r w:rsidRPr="00962844">
        <w:rPr>
          <w:sz w:val="20"/>
          <w:szCs w:val="20"/>
        </w:rPr>
        <w:tab/>
      </w:r>
      <w:r w:rsidR="00962844">
        <w:rPr>
          <w:i/>
          <w:sz w:val="20"/>
          <w:szCs w:val="20"/>
        </w:rPr>
        <w:t xml:space="preserve">Ted Opitz </w:t>
      </w:r>
      <w:r w:rsidR="00962844" w:rsidRPr="00DD0B49">
        <w:rPr>
          <w:i/>
          <w:sz w:val="20"/>
          <w:szCs w:val="20"/>
        </w:rPr>
        <w:t>et</w:t>
      </w:r>
      <w:r w:rsidR="00962844">
        <w:rPr>
          <w:i/>
          <w:sz w:val="20"/>
          <w:szCs w:val="20"/>
        </w:rPr>
        <w:t xml:space="preserve"> al. v. </w:t>
      </w:r>
      <w:r w:rsidR="004253E5" w:rsidRPr="00962844">
        <w:rPr>
          <w:i/>
          <w:sz w:val="20"/>
          <w:szCs w:val="20"/>
        </w:rPr>
        <w:t>B</w:t>
      </w:r>
      <w:r w:rsidRPr="00962844">
        <w:rPr>
          <w:i/>
          <w:sz w:val="20"/>
          <w:szCs w:val="20"/>
        </w:rPr>
        <w:t>o</w:t>
      </w:r>
      <w:r w:rsidR="004253E5" w:rsidRPr="00962844">
        <w:rPr>
          <w:i/>
          <w:sz w:val="20"/>
          <w:szCs w:val="20"/>
        </w:rPr>
        <w:t>rys Wrzesnewskyj</w:t>
      </w:r>
      <w:r w:rsidRPr="00962844">
        <w:rPr>
          <w:i/>
          <w:sz w:val="20"/>
          <w:szCs w:val="20"/>
        </w:rPr>
        <w:t xml:space="preserve"> </w:t>
      </w:r>
      <w:r w:rsidR="00962844" w:rsidRPr="00962844">
        <w:rPr>
          <w:i/>
          <w:sz w:val="20"/>
          <w:szCs w:val="20"/>
        </w:rPr>
        <w:t>et al.</w:t>
      </w:r>
      <w:r w:rsidRPr="00962844">
        <w:rPr>
          <w:i/>
          <w:sz w:val="20"/>
          <w:szCs w:val="20"/>
        </w:rPr>
        <w:t xml:space="preserve"> </w:t>
      </w:r>
      <w:r w:rsidRPr="00962844">
        <w:rPr>
          <w:sz w:val="20"/>
          <w:szCs w:val="20"/>
        </w:rPr>
        <w:t xml:space="preserve">(Ont.) </w:t>
      </w:r>
      <w:r w:rsidRPr="004253E5">
        <w:rPr>
          <w:sz w:val="20"/>
          <w:szCs w:val="20"/>
        </w:rPr>
        <w:t>(Ci</w:t>
      </w:r>
      <w:r w:rsidR="004253E5">
        <w:rPr>
          <w:sz w:val="20"/>
          <w:szCs w:val="20"/>
        </w:rPr>
        <w:t>v</w:t>
      </w:r>
      <w:r w:rsidRPr="004253E5">
        <w:rPr>
          <w:sz w:val="20"/>
          <w:szCs w:val="20"/>
        </w:rPr>
        <w:t>il) (</w:t>
      </w:r>
      <w:r w:rsidR="004253E5">
        <w:rPr>
          <w:sz w:val="20"/>
          <w:szCs w:val="20"/>
        </w:rPr>
        <w:t>As of Right</w:t>
      </w:r>
      <w:r w:rsidRPr="004253E5">
        <w:rPr>
          <w:sz w:val="20"/>
          <w:szCs w:val="20"/>
        </w:rPr>
        <w:t>) (3</w:t>
      </w:r>
      <w:r w:rsidR="004253E5">
        <w:rPr>
          <w:sz w:val="20"/>
          <w:szCs w:val="20"/>
        </w:rPr>
        <w:t>4845</w:t>
      </w:r>
      <w:r w:rsidRPr="004253E5">
        <w:rPr>
          <w:sz w:val="20"/>
          <w:szCs w:val="20"/>
        </w:rPr>
        <w:t>)</w:t>
      </w:r>
    </w:p>
    <w:p w:rsidR="004B66B4" w:rsidRPr="00DD0B49" w:rsidRDefault="004B66B4" w:rsidP="004B66B4">
      <w:pPr>
        <w:ind w:left="1890" w:hanging="1890"/>
        <w:jc w:val="both"/>
        <w:rPr>
          <w:sz w:val="20"/>
          <w:szCs w:val="20"/>
        </w:rPr>
      </w:pPr>
    </w:p>
    <w:p w:rsidR="004B66B4" w:rsidRPr="00DD0B49" w:rsidRDefault="00D70052" w:rsidP="002868D0">
      <w:pPr>
        <w:jc w:val="both"/>
        <w:rPr>
          <w:sz w:val="20"/>
          <w:szCs w:val="20"/>
        </w:rPr>
      </w:pPr>
      <w:r w:rsidRPr="00D70052">
        <w:rPr>
          <w:sz w:val="20"/>
          <w:szCs w:val="20"/>
          <w:lang w:val="fr-CA"/>
        </w:rPr>
        <w:pict>
          <v:rect id="_x0000_i1113" style="width:2in;height:1pt" o:hrpct="0" o:hralign="center" o:hrstd="t" o:hrnoshade="t" o:hr="t" fillcolor="black [3213]" stroked="f"/>
        </w:pict>
      </w:r>
    </w:p>
    <w:p w:rsidR="004B66B4" w:rsidRDefault="004B66B4" w:rsidP="004B66B4">
      <w:pPr>
        <w:tabs>
          <w:tab w:val="left" w:pos="1980"/>
        </w:tabs>
        <w:jc w:val="both"/>
        <w:rPr>
          <w:sz w:val="20"/>
          <w:szCs w:val="20"/>
        </w:rPr>
      </w:pPr>
    </w:p>
    <w:p w:rsidR="00B72EB6" w:rsidRPr="00DD0B49" w:rsidRDefault="00B72EB6"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5F263E">
      <w:pPr>
        <w:tabs>
          <w:tab w:val="left" w:pos="-1440"/>
          <w:tab w:val="left" w:pos="-720"/>
        </w:tabs>
        <w:ind w:left="720" w:hanging="720"/>
        <w:jc w:val="both"/>
        <w:rPr>
          <w:sz w:val="20"/>
          <w:szCs w:val="20"/>
        </w:rPr>
      </w:pPr>
    </w:p>
    <w:bookmarkStart w:id="9" w:name="1"/>
    <w:bookmarkEnd w:id="9"/>
    <w:p w:rsidR="00B9220A" w:rsidRPr="003E14BC" w:rsidRDefault="00D70052" w:rsidP="00B9220A">
      <w:pPr>
        <w:widowControl w:val="0"/>
        <w:ind w:left="720" w:hanging="720"/>
        <w:jc w:val="both"/>
        <w:rPr>
          <w:b/>
          <w:i/>
          <w:sz w:val="20"/>
          <w:szCs w:val="20"/>
        </w:rPr>
      </w:pPr>
      <w:r w:rsidRPr="003E14BC">
        <w:rPr>
          <w:b/>
          <w:sz w:val="20"/>
          <w:szCs w:val="20"/>
        </w:rPr>
        <w:fldChar w:fldCharType="begin"/>
      </w:r>
      <w:r w:rsidR="00B9220A" w:rsidRPr="003E14BC">
        <w:rPr>
          <w:b/>
          <w:sz w:val="20"/>
          <w:szCs w:val="20"/>
        </w:rPr>
        <w:instrText xml:space="preserve"> SEQ CHAPTER \h \r 1</w:instrText>
      </w:r>
      <w:r w:rsidRPr="003E14BC">
        <w:rPr>
          <w:b/>
          <w:sz w:val="20"/>
          <w:szCs w:val="20"/>
        </w:rPr>
        <w:fldChar w:fldCharType="end"/>
      </w:r>
      <w:r w:rsidR="00B9220A" w:rsidRPr="003E14BC">
        <w:rPr>
          <w:b/>
          <w:sz w:val="20"/>
          <w:szCs w:val="20"/>
        </w:rPr>
        <w:t>34845</w:t>
      </w:r>
      <w:r w:rsidR="00B9220A" w:rsidRPr="003E14BC">
        <w:rPr>
          <w:sz w:val="20"/>
          <w:szCs w:val="20"/>
        </w:rPr>
        <w:tab/>
      </w:r>
      <w:r w:rsidR="00B9220A" w:rsidRPr="003E14BC">
        <w:rPr>
          <w:b/>
          <w:i/>
          <w:sz w:val="20"/>
          <w:szCs w:val="20"/>
        </w:rPr>
        <w:t xml:space="preserve">Ted Opitz v. Borys Wrzesnewskyj, Attorney General of Canada, Marc Mayrand (The Chief Electoral Officer), Allan Sperling (Returning Officer, Etobicoke Centre), Ana Maria Rivero, Sarah Thompson and Katarina Zoricic </w:t>
      </w:r>
      <w:r w:rsidR="00B9220A" w:rsidRPr="003E14BC">
        <w:rPr>
          <w:b/>
          <w:i/>
          <w:sz w:val="20"/>
          <w:szCs w:val="20"/>
        </w:rPr>
        <w:noBreakHyphen/>
        <w:t xml:space="preserve"> and between </w:t>
      </w:r>
      <w:r w:rsidR="00B9220A" w:rsidRPr="003E14BC">
        <w:rPr>
          <w:b/>
          <w:i/>
          <w:sz w:val="20"/>
          <w:szCs w:val="20"/>
        </w:rPr>
        <w:noBreakHyphen/>
        <w:t xml:space="preserve"> Borys Wrzesnewskyj v. Ted Opitz, Attorney General of Canada, Marc Mayrand (The Chief Electoral Officer) and Allan Sperling (Returning Officer, Etobicoke Centre)</w:t>
      </w:r>
    </w:p>
    <w:p w:rsidR="00B9220A" w:rsidRPr="003E14BC" w:rsidRDefault="00B9220A" w:rsidP="00B9220A">
      <w:pPr>
        <w:widowControl w:val="0"/>
        <w:jc w:val="both"/>
        <w:rPr>
          <w:sz w:val="20"/>
          <w:szCs w:val="20"/>
        </w:rPr>
      </w:pPr>
    </w:p>
    <w:p w:rsidR="00B9220A" w:rsidRPr="003E14BC" w:rsidRDefault="00B9220A" w:rsidP="00B9220A">
      <w:pPr>
        <w:widowControl w:val="0"/>
        <w:jc w:val="both"/>
        <w:rPr>
          <w:sz w:val="20"/>
          <w:szCs w:val="20"/>
        </w:rPr>
      </w:pPr>
      <w:r w:rsidRPr="003E14BC">
        <w:rPr>
          <w:sz w:val="20"/>
          <w:szCs w:val="20"/>
        </w:rPr>
        <w:t xml:space="preserve">Elections </w:t>
      </w:r>
      <w:r w:rsidRPr="003E14BC">
        <w:rPr>
          <w:sz w:val="20"/>
          <w:szCs w:val="20"/>
        </w:rPr>
        <w:noBreakHyphen/>
        <w:t xml:space="preserve"> Application to contest election </w:t>
      </w:r>
      <w:r w:rsidRPr="003E14BC">
        <w:rPr>
          <w:sz w:val="20"/>
          <w:szCs w:val="20"/>
        </w:rPr>
        <w:noBreakHyphen/>
        <w:t xml:space="preserve"> Irregularities affecting result of election </w:t>
      </w:r>
      <w:r w:rsidRPr="003E14BC">
        <w:rPr>
          <w:sz w:val="20"/>
          <w:szCs w:val="20"/>
        </w:rPr>
        <w:noBreakHyphen/>
        <w:t xml:space="preserve"> </w:t>
      </w:r>
      <w:r w:rsidRPr="003E14BC">
        <w:rPr>
          <w:i/>
          <w:sz w:val="20"/>
          <w:szCs w:val="20"/>
        </w:rPr>
        <w:t>Canada Elections Act</w:t>
      </w:r>
      <w:r w:rsidRPr="003E14BC">
        <w:rPr>
          <w:sz w:val="20"/>
          <w:szCs w:val="20"/>
        </w:rPr>
        <w:t>, S.C. 2000, c. 9, s. 524(1</w:t>
      </w:r>
      <w:proofErr w:type="gramStart"/>
      <w:r w:rsidRPr="003E14BC">
        <w:rPr>
          <w:sz w:val="20"/>
          <w:szCs w:val="20"/>
        </w:rPr>
        <w:t>)(</w:t>
      </w:r>
      <w:proofErr w:type="gramEnd"/>
      <w:r w:rsidRPr="003E14BC">
        <w:rPr>
          <w:i/>
          <w:sz w:val="20"/>
          <w:szCs w:val="20"/>
        </w:rPr>
        <w:t>b</w:t>
      </w:r>
      <w:r w:rsidRPr="003E14BC">
        <w:rPr>
          <w:sz w:val="20"/>
          <w:szCs w:val="20"/>
        </w:rPr>
        <w:t>).</w:t>
      </w:r>
    </w:p>
    <w:p w:rsidR="00B9220A" w:rsidRPr="003E14BC" w:rsidRDefault="00B9220A" w:rsidP="00B9220A">
      <w:pPr>
        <w:widowControl w:val="0"/>
        <w:jc w:val="both"/>
        <w:rPr>
          <w:sz w:val="20"/>
          <w:szCs w:val="20"/>
        </w:rPr>
      </w:pPr>
    </w:p>
    <w:p w:rsidR="00B9220A" w:rsidRPr="003E14BC" w:rsidRDefault="00B9220A" w:rsidP="00B9220A">
      <w:pPr>
        <w:widowControl w:val="0"/>
        <w:jc w:val="both"/>
        <w:rPr>
          <w:sz w:val="20"/>
          <w:szCs w:val="20"/>
        </w:rPr>
      </w:pPr>
      <w:r w:rsidRPr="003E14BC">
        <w:rPr>
          <w:sz w:val="20"/>
          <w:szCs w:val="20"/>
        </w:rPr>
        <w:t>Ted Opitz and Borys Wrzesnewskyj were candidates for the electoral district of Etobicoke Centre in the 41</w:t>
      </w:r>
      <w:r w:rsidRPr="003E14BC">
        <w:rPr>
          <w:sz w:val="20"/>
          <w:szCs w:val="20"/>
          <w:vertAlign w:val="superscript"/>
        </w:rPr>
        <w:t>st</w:t>
      </w:r>
      <w:r w:rsidRPr="003E14BC">
        <w:rPr>
          <w:sz w:val="20"/>
          <w:szCs w:val="20"/>
        </w:rPr>
        <w:t xml:space="preserve"> Canadian General Election which took place on May 2, 2011.  The election resulted in a narrow win for Mr. Opitz, with a plurality of only 26 votes.  Mr. Wrzesnewskyj contested the election pursuant to s. 524(1</w:t>
      </w:r>
      <w:proofErr w:type="gramStart"/>
      <w:r w:rsidRPr="003E14BC">
        <w:rPr>
          <w:sz w:val="20"/>
          <w:szCs w:val="20"/>
        </w:rPr>
        <w:t>)(</w:t>
      </w:r>
      <w:proofErr w:type="gramEnd"/>
      <w:r w:rsidRPr="003E14BC">
        <w:rPr>
          <w:i/>
          <w:sz w:val="20"/>
          <w:szCs w:val="20"/>
        </w:rPr>
        <w:t>b</w:t>
      </w:r>
      <w:r w:rsidRPr="003E14BC">
        <w:rPr>
          <w:sz w:val="20"/>
          <w:szCs w:val="20"/>
        </w:rPr>
        <w:t xml:space="preserve">) of the </w:t>
      </w:r>
      <w:r w:rsidRPr="003E14BC">
        <w:rPr>
          <w:i/>
          <w:sz w:val="20"/>
          <w:szCs w:val="20"/>
        </w:rPr>
        <w:t>Canada Elections Act</w:t>
      </w:r>
      <w:r w:rsidRPr="003E14BC">
        <w:rPr>
          <w:sz w:val="20"/>
          <w:szCs w:val="20"/>
        </w:rPr>
        <w:t xml:space="preserve">, which allows a candidate in an electoral district to contest an election on the grounds that there were irregularities that affected the result of the election.  There was no suggestion of any wrongdoing on the part of either candidate.  Rather, the issues related to the conduct of the election at certain polls in the district.  The Ontario Superior Court of Justice set aside a total of 79 votes on account of failure of registration and failure of vouching, and declared the election null and void. </w:t>
      </w:r>
    </w:p>
    <w:p w:rsidR="00B9220A" w:rsidRPr="003E14BC" w:rsidRDefault="00B9220A" w:rsidP="00B9220A">
      <w:pPr>
        <w:widowControl w:val="0"/>
        <w:jc w:val="both"/>
        <w:rPr>
          <w:sz w:val="20"/>
          <w:szCs w:val="20"/>
        </w:rPr>
      </w:pPr>
    </w:p>
    <w:p w:rsidR="00B9220A" w:rsidRPr="003E14BC" w:rsidRDefault="00B9220A" w:rsidP="00B9220A">
      <w:pPr>
        <w:widowControl w:val="0"/>
        <w:jc w:val="both"/>
        <w:rPr>
          <w:sz w:val="20"/>
          <w:szCs w:val="20"/>
        </w:rPr>
      </w:pPr>
    </w:p>
    <w:p w:rsidR="00B9220A" w:rsidRPr="003E14BC" w:rsidRDefault="00B9220A" w:rsidP="00B9220A">
      <w:pPr>
        <w:widowControl w:val="0"/>
        <w:ind w:left="2880" w:hanging="2880"/>
        <w:jc w:val="both"/>
        <w:rPr>
          <w:sz w:val="20"/>
          <w:szCs w:val="20"/>
        </w:rPr>
      </w:pPr>
      <w:r w:rsidRPr="003E14BC">
        <w:rPr>
          <w:sz w:val="20"/>
          <w:szCs w:val="20"/>
        </w:rPr>
        <w:t>Origin of the case:</w:t>
      </w:r>
      <w:r w:rsidRPr="003E14BC">
        <w:rPr>
          <w:sz w:val="20"/>
          <w:szCs w:val="20"/>
        </w:rPr>
        <w:tab/>
        <w:t>Ontario</w:t>
      </w:r>
    </w:p>
    <w:p w:rsidR="00B9220A" w:rsidRPr="003E14BC" w:rsidRDefault="00B9220A" w:rsidP="00B9220A">
      <w:pPr>
        <w:widowControl w:val="0"/>
        <w:ind w:left="2880" w:hanging="2880"/>
        <w:jc w:val="both"/>
        <w:rPr>
          <w:sz w:val="20"/>
          <w:szCs w:val="20"/>
        </w:rPr>
      </w:pPr>
    </w:p>
    <w:p w:rsidR="00B9220A" w:rsidRPr="003E14BC" w:rsidRDefault="00B9220A" w:rsidP="00B9220A">
      <w:pPr>
        <w:widowControl w:val="0"/>
        <w:ind w:left="2880" w:hanging="2880"/>
        <w:jc w:val="both"/>
        <w:rPr>
          <w:sz w:val="20"/>
          <w:szCs w:val="20"/>
        </w:rPr>
      </w:pPr>
      <w:r w:rsidRPr="003E14BC">
        <w:rPr>
          <w:sz w:val="20"/>
          <w:szCs w:val="20"/>
        </w:rPr>
        <w:t>File No.:</w:t>
      </w:r>
      <w:r w:rsidRPr="003E14BC">
        <w:rPr>
          <w:sz w:val="20"/>
          <w:szCs w:val="20"/>
        </w:rPr>
        <w:tab/>
        <w:t>34845</w:t>
      </w:r>
    </w:p>
    <w:p w:rsidR="00B9220A" w:rsidRPr="003E14BC" w:rsidRDefault="00B9220A" w:rsidP="00B9220A">
      <w:pPr>
        <w:widowControl w:val="0"/>
        <w:ind w:left="2880" w:hanging="2880"/>
        <w:jc w:val="both"/>
        <w:rPr>
          <w:sz w:val="20"/>
          <w:szCs w:val="20"/>
        </w:rPr>
      </w:pPr>
    </w:p>
    <w:p w:rsidR="00E87717" w:rsidRDefault="00B9220A" w:rsidP="00B9220A">
      <w:pPr>
        <w:widowControl w:val="0"/>
        <w:ind w:left="2880" w:hanging="2880"/>
        <w:jc w:val="both"/>
        <w:rPr>
          <w:sz w:val="20"/>
          <w:szCs w:val="20"/>
        </w:rPr>
      </w:pPr>
      <w:r w:rsidRPr="003E14BC">
        <w:rPr>
          <w:sz w:val="20"/>
          <w:szCs w:val="20"/>
        </w:rPr>
        <w:t>Judgment of the Ontario</w:t>
      </w:r>
    </w:p>
    <w:p w:rsidR="00B9220A" w:rsidRPr="003E14BC" w:rsidRDefault="00B9220A" w:rsidP="00B9220A">
      <w:pPr>
        <w:widowControl w:val="0"/>
        <w:ind w:left="2880" w:hanging="2880"/>
        <w:jc w:val="both"/>
        <w:rPr>
          <w:sz w:val="20"/>
          <w:szCs w:val="20"/>
        </w:rPr>
      </w:pPr>
      <w:r w:rsidRPr="003E14BC">
        <w:rPr>
          <w:sz w:val="20"/>
          <w:szCs w:val="20"/>
        </w:rPr>
        <w:t>Superior Court of Justice:</w:t>
      </w:r>
      <w:r>
        <w:rPr>
          <w:sz w:val="20"/>
          <w:szCs w:val="20"/>
        </w:rPr>
        <w:tab/>
      </w:r>
      <w:r w:rsidRPr="003E14BC">
        <w:rPr>
          <w:sz w:val="20"/>
          <w:szCs w:val="20"/>
        </w:rPr>
        <w:t>May 18, 2012</w:t>
      </w:r>
    </w:p>
    <w:p w:rsidR="00B9220A" w:rsidRPr="003E14BC" w:rsidRDefault="00B9220A" w:rsidP="00B9220A">
      <w:pPr>
        <w:widowControl w:val="0"/>
        <w:ind w:left="2880" w:hanging="2880"/>
        <w:jc w:val="both"/>
        <w:rPr>
          <w:sz w:val="20"/>
          <w:szCs w:val="20"/>
        </w:rPr>
      </w:pPr>
    </w:p>
    <w:p w:rsidR="00B9220A" w:rsidRPr="003E14BC" w:rsidRDefault="00B9220A" w:rsidP="00B9220A">
      <w:pPr>
        <w:widowControl w:val="0"/>
        <w:ind w:left="2880" w:hanging="2880"/>
        <w:jc w:val="both"/>
        <w:rPr>
          <w:sz w:val="20"/>
          <w:szCs w:val="20"/>
        </w:rPr>
      </w:pPr>
      <w:r w:rsidRPr="003E14BC">
        <w:rPr>
          <w:sz w:val="20"/>
          <w:szCs w:val="20"/>
        </w:rPr>
        <w:t>Counsel:</w:t>
      </w:r>
      <w:r w:rsidRPr="003E14BC">
        <w:rPr>
          <w:sz w:val="20"/>
          <w:szCs w:val="20"/>
        </w:rPr>
        <w:tab/>
        <w:t>W. Thomas Barlow and Nicholas Shkordoff for the</w:t>
      </w:r>
      <w:r w:rsidR="00E87717">
        <w:rPr>
          <w:sz w:val="20"/>
          <w:szCs w:val="20"/>
        </w:rPr>
        <w:t xml:space="preserve"> </w:t>
      </w:r>
      <w:r w:rsidRPr="003E14BC">
        <w:rPr>
          <w:sz w:val="20"/>
          <w:szCs w:val="20"/>
        </w:rPr>
        <w:t>appellant/cross</w:t>
      </w:r>
      <w:r w:rsidR="00E87717">
        <w:rPr>
          <w:sz w:val="20"/>
          <w:szCs w:val="20"/>
        </w:rPr>
        <w:t>-</w:t>
      </w:r>
      <w:r w:rsidRPr="003E14BC">
        <w:rPr>
          <w:sz w:val="20"/>
          <w:szCs w:val="20"/>
        </w:rPr>
        <w:t>respondent</w:t>
      </w:r>
    </w:p>
    <w:p w:rsidR="00B9220A" w:rsidRPr="003E14BC" w:rsidRDefault="00B9220A" w:rsidP="00B9220A">
      <w:pPr>
        <w:widowControl w:val="0"/>
        <w:ind w:left="2880" w:hanging="2880"/>
        <w:jc w:val="both"/>
        <w:rPr>
          <w:sz w:val="20"/>
          <w:szCs w:val="20"/>
        </w:rPr>
      </w:pPr>
      <w:r w:rsidRPr="003E14BC">
        <w:rPr>
          <w:sz w:val="20"/>
          <w:szCs w:val="20"/>
        </w:rPr>
        <w:tab/>
        <w:t>Gavin Tighe and Stephen Thiele for the respondent/cross</w:t>
      </w:r>
      <w:r w:rsidR="00E87717">
        <w:rPr>
          <w:sz w:val="20"/>
          <w:szCs w:val="20"/>
        </w:rPr>
        <w:t>-</w:t>
      </w:r>
      <w:r w:rsidRPr="003E14BC">
        <w:rPr>
          <w:sz w:val="20"/>
          <w:szCs w:val="20"/>
        </w:rPr>
        <w:t>appellant</w:t>
      </w:r>
    </w:p>
    <w:p w:rsidR="00B9220A" w:rsidRPr="003E14BC" w:rsidRDefault="00B9220A" w:rsidP="00B9220A">
      <w:pPr>
        <w:widowControl w:val="0"/>
        <w:ind w:left="2880" w:hanging="2880"/>
        <w:jc w:val="both"/>
        <w:rPr>
          <w:sz w:val="20"/>
          <w:szCs w:val="20"/>
        </w:rPr>
      </w:pPr>
      <w:r w:rsidRPr="003E14BC">
        <w:rPr>
          <w:sz w:val="20"/>
          <w:szCs w:val="20"/>
        </w:rPr>
        <w:tab/>
        <w:t>Peter Hajecek for the respondent Attorney General of Canada</w:t>
      </w:r>
    </w:p>
    <w:p w:rsidR="00B9220A" w:rsidRPr="003E14BC" w:rsidRDefault="00B9220A" w:rsidP="00B9220A">
      <w:pPr>
        <w:widowControl w:val="0"/>
        <w:ind w:left="2880" w:hanging="2880"/>
        <w:jc w:val="both"/>
        <w:rPr>
          <w:sz w:val="20"/>
          <w:szCs w:val="20"/>
        </w:rPr>
      </w:pPr>
      <w:r w:rsidRPr="003E14BC">
        <w:rPr>
          <w:sz w:val="20"/>
          <w:szCs w:val="20"/>
        </w:rPr>
        <w:tab/>
        <w:t xml:space="preserve">David Di Paolo for the respondents Mayrand and Allan Sperling </w:t>
      </w:r>
    </w:p>
    <w:p w:rsidR="00B9220A" w:rsidRPr="00B9220A" w:rsidRDefault="00B9220A" w:rsidP="005F263E">
      <w:pPr>
        <w:tabs>
          <w:tab w:val="left" w:pos="-1440"/>
          <w:tab w:val="left" w:pos="-720"/>
        </w:tabs>
        <w:ind w:left="720" w:hanging="720"/>
        <w:jc w:val="both"/>
        <w:rPr>
          <w:sz w:val="20"/>
          <w:szCs w:val="20"/>
        </w:rPr>
      </w:pPr>
    </w:p>
    <w:p w:rsidR="000B3C9A" w:rsidRPr="00DD0B49" w:rsidRDefault="00D70052" w:rsidP="000B3C9A">
      <w:pPr>
        <w:tabs>
          <w:tab w:val="left" w:pos="-1440"/>
          <w:tab w:val="left" w:pos="-720"/>
        </w:tabs>
        <w:ind w:left="720" w:hanging="720"/>
        <w:jc w:val="both"/>
        <w:rPr>
          <w:sz w:val="20"/>
          <w:szCs w:val="20"/>
        </w:rPr>
      </w:pPr>
      <w:r w:rsidRPr="00D70052">
        <w:rPr>
          <w:sz w:val="20"/>
          <w:szCs w:val="20"/>
          <w:lang w:val="fr-CA"/>
        </w:rPr>
        <w:pict>
          <v:rect id="_x0000_i1116" style="width:2in;height:1pt" o:hrpct="0" o:hralign="center" o:hrstd="t" o:hrnoshade="t" o:hr="t" fillcolor="black [3213]" stroked="f"/>
        </w:pict>
      </w:r>
    </w:p>
    <w:p w:rsidR="000B3C9A" w:rsidRPr="00DD0B49" w:rsidRDefault="000B3C9A" w:rsidP="000B3C9A">
      <w:pPr>
        <w:tabs>
          <w:tab w:val="left" w:pos="-1440"/>
          <w:tab w:val="left" w:pos="-720"/>
        </w:tabs>
        <w:ind w:left="720" w:hanging="720"/>
        <w:jc w:val="both"/>
        <w:rPr>
          <w:sz w:val="20"/>
          <w:szCs w:val="20"/>
          <w:lang w:val="fr-CA"/>
        </w:rPr>
      </w:pPr>
    </w:p>
    <w:p w:rsidR="000B3C9A" w:rsidRDefault="000B3C9A" w:rsidP="000B3C9A">
      <w:pPr>
        <w:tabs>
          <w:tab w:val="left" w:pos="-1440"/>
          <w:tab w:val="left" w:pos="-720"/>
        </w:tabs>
        <w:ind w:left="720" w:hanging="720"/>
        <w:jc w:val="both"/>
        <w:rPr>
          <w:lang w:val="fr-CA"/>
        </w:rPr>
      </w:pPr>
      <w:r>
        <w:rPr>
          <w:lang w:val="fr-CA"/>
        </w:rPr>
        <w:br w:type="page"/>
      </w:r>
    </w:p>
    <w:p w:rsidR="00B9220A" w:rsidRPr="00114902" w:rsidRDefault="00D70052" w:rsidP="00B9220A">
      <w:pPr>
        <w:widowControl w:val="0"/>
        <w:ind w:left="720" w:hanging="720"/>
        <w:jc w:val="both"/>
        <w:rPr>
          <w:b/>
          <w:i/>
          <w:sz w:val="20"/>
          <w:szCs w:val="20"/>
          <w:lang w:val="fr-CA"/>
        </w:rPr>
      </w:pPr>
      <w:r w:rsidRPr="00114902">
        <w:rPr>
          <w:b/>
          <w:sz w:val="20"/>
          <w:szCs w:val="20"/>
          <w:lang w:val="fr-CA"/>
        </w:rPr>
        <w:lastRenderedPageBreak/>
        <w:fldChar w:fldCharType="begin"/>
      </w:r>
      <w:r w:rsidR="00B9220A" w:rsidRPr="00114902">
        <w:rPr>
          <w:b/>
          <w:sz w:val="20"/>
          <w:szCs w:val="20"/>
          <w:lang w:val="fr-CA"/>
        </w:rPr>
        <w:instrText xml:space="preserve"> SEQ CHAPTER \h \r 1</w:instrText>
      </w:r>
      <w:r w:rsidRPr="00114902">
        <w:rPr>
          <w:b/>
          <w:sz w:val="20"/>
          <w:szCs w:val="20"/>
          <w:lang w:val="fr-CA"/>
        </w:rPr>
        <w:fldChar w:fldCharType="end"/>
      </w:r>
      <w:r w:rsidR="00B9220A" w:rsidRPr="00114902">
        <w:rPr>
          <w:b/>
          <w:sz w:val="20"/>
          <w:szCs w:val="20"/>
          <w:lang w:val="fr-CA"/>
        </w:rPr>
        <w:t>34845</w:t>
      </w:r>
      <w:r w:rsidR="00B9220A" w:rsidRPr="00114902">
        <w:rPr>
          <w:sz w:val="20"/>
          <w:szCs w:val="20"/>
          <w:lang w:val="fr-CA"/>
        </w:rPr>
        <w:tab/>
      </w:r>
      <w:bookmarkStart w:id="10" w:name="3"/>
      <w:bookmarkEnd w:id="10"/>
      <w:r w:rsidR="00B9220A" w:rsidRPr="00114902">
        <w:rPr>
          <w:b/>
          <w:i/>
          <w:sz w:val="20"/>
          <w:szCs w:val="20"/>
          <w:lang w:val="fr-CA"/>
        </w:rPr>
        <w:t xml:space="preserve">Ted Opitz c. Borys Wrzesnewskyj, procureur général du Canada, Marc Mayrand (le directeur général des élections), Allan Sperling (directeur de scrutin, Etobicoke Centre), Ana Maria Rivero, Sarah Thompson et Katarina Zoricic </w:t>
      </w:r>
      <w:r w:rsidR="00B9220A" w:rsidRPr="00114902">
        <w:rPr>
          <w:b/>
          <w:i/>
          <w:sz w:val="20"/>
          <w:szCs w:val="20"/>
          <w:lang w:val="fr-CA"/>
        </w:rPr>
        <w:noBreakHyphen/>
        <w:t xml:space="preserve"> et entre </w:t>
      </w:r>
      <w:r w:rsidR="00B9220A" w:rsidRPr="00114902">
        <w:rPr>
          <w:b/>
          <w:i/>
          <w:sz w:val="20"/>
          <w:szCs w:val="20"/>
          <w:lang w:val="fr-CA"/>
        </w:rPr>
        <w:noBreakHyphen/>
        <w:t xml:space="preserve"> Borys Wrzesnewskyj c. Ted Opitz, procureur général du Canada, Marc Mayrand (le directeur général des élections), Allan Sperling (directeur de scrutin, Etobicoke Centre)</w:t>
      </w:r>
    </w:p>
    <w:p w:rsidR="00B9220A" w:rsidRPr="00114902" w:rsidRDefault="00B9220A" w:rsidP="00B9220A">
      <w:pPr>
        <w:widowControl w:val="0"/>
        <w:jc w:val="both"/>
        <w:rPr>
          <w:sz w:val="20"/>
          <w:szCs w:val="20"/>
          <w:lang w:val="fr-CA"/>
        </w:rPr>
      </w:pPr>
    </w:p>
    <w:p w:rsidR="00B9220A" w:rsidRPr="00114902" w:rsidRDefault="00B9220A" w:rsidP="00B9220A">
      <w:pPr>
        <w:widowControl w:val="0"/>
        <w:jc w:val="both"/>
        <w:rPr>
          <w:sz w:val="20"/>
          <w:szCs w:val="20"/>
          <w:lang w:val="fr-CA"/>
        </w:rPr>
      </w:pPr>
      <w:r w:rsidRPr="00114902">
        <w:rPr>
          <w:sz w:val="20"/>
          <w:szCs w:val="20"/>
          <w:lang w:val="fr-CA"/>
        </w:rPr>
        <w:t xml:space="preserve">Élections </w:t>
      </w:r>
      <w:r w:rsidRPr="00114902">
        <w:rPr>
          <w:sz w:val="20"/>
          <w:szCs w:val="20"/>
          <w:lang w:val="fr-CA"/>
        </w:rPr>
        <w:noBreakHyphen/>
        <w:t xml:space="preserve"> Requête en contestation d’élections </w:t>
      </w:r>
      <w:r w:rsidRPr="00114902">
        <w:rPr>
          <w:sz w:val="20"/>
          <w:szCs w:val="20"/>
          <w:lang w:val="fr-CA"/>
        </w:rPr>
        <w:noBreakHyphen/>
        <w:t xml:space="preserve"> Irrégularités ayant influé sur le résultat de l’élection </w:t>
      </w:r>
      <w:r w:rsidRPr="00114902">
        <w:rPr>
          <w:sz w:val="20"/>
          <w:szCs w:val="20"/>
          <w:lang w:val="fr-CA"/>
        </w:rPr>
        <w:noBreakHyphen/>
      </w:r>
      <w:r w:rsidRPr="00114902">
        <w:rPr>
          <w:i/>
          <w:sz w:val="20"/>
          <w:szCs w:val="20"/>
          <w:lang w:val="fr-CA"/>
        </w:rPr>
        <w:t xml:space="preserve"> Loi électorale du Canada</w:t>
      </w:r>
      <w:r w:rsidRPr="00114902">
        <w:rPr>
          <w:sz w:val="20"/>
          <w:szCs w:val="20"/>
          <w:lang w:val="fr-CA"/>
        </w:rPr>
        <w:t>, L.C. 2000, ch. 9, al. 524(1)</w:t>
      </w:r>
      <w:r w:rsidRPr="00114902">
        <w:rPr>
          <w:i/>
          <w:sz w:val="20"/>
          <w:szCs w:val="20"/>
          <w:lang w:val="fr-CA"/>
        </w:rPr>
        <w:t>b</w:t>
      </w:r>
      <w:r w:rsidRPr="00114902">
        <w:rPr>
          <w:sz w:val="20"/>
          <w:szCs w:val="20"/>
          <w:lang w:val="fr-CA"/>
        </w:rPr>
        <w:t>).</w:t>
      </w:r>
    </w:p>
    <w:p w:rsidR="00B9220A" w:rsidRPr="00114902" w:rsidRDefault="00B9220A" w:rsidP="00B9220A">
      <w:pPr>
        <w:widowControl w:val="0"/>
        <w:jc w:val="both"/>
        <w:rPr>
          <w:sz w:val="20"/>
          <w:szCs w:val="20"/>
          <w:lang w:val="fr-CA"/>
        </w:rPr>
      </w:pPr>
    </w:p>
    <w:p w:rsidR="00B9220A" w:rsidRPr="00114902" w:rsidRDefault="00B9220A" w:rsidP="00B9220A">
      <w:pPr>
        <w:widowControl w:val="0"/>
        <w:jc w:val="both"/>
        <w:rPr>
          <w:sz w:val="20"/>
          <w:szCs w:val="20"/>
          <w:lang w:val="fr-CA"/>
        </w:rPr>
      </w:pPr>
      <w:r w:rsidRPr="00114902">
        <w:rPr>
          <w:sz w:val="20"/>
          <w:szCs w:val="20"/>
          <w:lang w:val="fr-CA"/>
        </w:rPr>
        <w:t>Ted Opitz et Borys Wrzesnewskyj étaient candidats dans la circonscription d’Etobicoke Centre dans la 41</w:t>
      </w:r>
      <w:r w:rsidRPr="00114902">
        <w:rPr>
          <w:sz w:val="20"/>
          <w:szCs w:val="20"/>
          <w:vertAlign w:val="superscript"/>
          <w:lang w:val="fr-CA"/>
        </w:rPr>
        <w:t>e</w:t>
      </w:r>
      <w:r w:rsidRPr="00114902">
        <w:rPr>
          <w:sz w:val="20"/>
          <w:szCs w:val="20"/>
          <w:lang w:val="fr-CA"/>
        </w:rPr>
        <w:t xml:space="preserve"> élection générale canadienne, tenue le 2 mai 2011.  Monsieur Opitz a remporté l’élection par une faible majorité de seulement 26 voix.  Monsieur Wrzesnewskyj a contesté l’élection en vertu de l’al. 524(1)</w:t>
      </w:r>
      <w:r w:rsidRPr="00114902">
        <w:rPr>
          <w:i/>
          <w:sz w:val="20"/>
          <w:szCs w:val="20"/>
          <w:lang w:val="fr-CA"/>
        </w:rPr>
        <w:t>b</w:t>
      </w:r>
      <w:r w:rsidRPr="00114902">
        <w:rPr>
          <w:sz w:val="20"/>
          <w:szCs w:val="20"/>
          <w:lang w:val="fr-CA"/>
        </w:rPr>
        <w:t>) de la</w:t>
      </w:r>
      <w:r w:rsidRPr="00114902">
        <w:rPr>
          <w:i/>
          <w:sz w:val="20"/>
          <w:szCs w:val="20"/>
          <w:lang w:val="fr-CA"/>
        </w:rPr>
        <w:t xml:space="preserve"> Loi électorale du Canada</w:t>
      </w:r>
      <w:r w:rsidRPr="00114902">
        <w:rPr>
          <w:sz w:val="20"/>
          <w:szCs w:val="20"/>
          <w:lang w:val="fr-CA"/>
        </w:rPr>
        <w:t xml:space="preserve">, qui permet à un candidat dans une circonscription de contester une élection parce qu’il y aurait eu des irrégularités ayant influé sur le résultat de l’élection.  Il n’y a eu aucune allégation d’actes répréhensibles de la part de l’un ou de l’autre des candidats.  Les questions en litige se rapportaient plutôt au déroulement de l’élection dans certains bureaux de scrutin dans le district.  La Cour supérieure de justice a annulé un total de 79 votes parce que les électeurs en question n’avaient pas été inscrits ou parce que l’on n’avait pas répondu d’eux et a déclaré la nullité de l’élection. </w:t>
      </w:r>
    </w:p>
    <w:p w:rsidR="00B9220A" w:rsidRDefault="00B9220A" w:rsidP="00B9220A">
      <w:pPr>
        <w:widowControl w:val="0"/>
        <w:jc w:val="both"/>
        <w:rPr>
          <w:sz w:val="20"/>
          <w:szCs w:val="20"/>
          <w:lang w:val="fr-CA"/>
        </w:rPr>
      </w:pPr>
    </w:p>
    <w:p w:rsidR="00B9220A" w:rsidRPr="00114902" w:rsidRDefault="00B9220A" w:rsidP="00B9220A">
      <w:pPr>
        <w:widowControl w:val="0"/>
        <w:jc w:val="both"/>
        <w:rPr>
          <w:sz w:val="20"/>
          <w:szCs w:val="20"/>
          <w:lang w:val="fr-CA"/>
        </w:rPr>
      </w:pPr>
    </w:p>
    <w:p w:rsidR="00B9220A" w:rsidRPr="00114902" w:rsidRDefault="00B9220A" w:rsidP="00B9220A">
      <w:pPr>
        <w:widowControl w:val="0"/>
        <w:ind w:left="2880" w:hanging="2880"/>
        <w:jc w:val="both"/>
        <w:rPr>
          <w:sz w:val="20"/>
          <w:szCs w:val="20"/>
          <w:lang w:val="fr-CA"/>
        </w:rPr>
      </w:pPr>
      <w:r w:rsidRPr="00114902">
        <w:rPr>
          <w:sz w:val="20"/>
          <w:szCs w:val="20"/>
          <w:lang w:val="fr-CA"/>
        </w:rPr>
        <w:t>Origine :</w:t>
      </w:r>
      <w:r w:rsidRPr="00114902">
        <w:rPr>
          <w:sz w:val="20"/>
          <w:szCs w:val="20"/>
          <w:lang w:val="fr-CA"/>
        </w:rPr>
        <w:tab/>
      </w:r>
      <w:bookmarkStart w:id="11" w:name="4"/>
      <w:bookmarkEnd w:id="11"/>
      <w:r w:rsidRPr="00114902">
        <w:rPr>
          <w:sz w:val="20"/>
          <w:szCs w:val="20"/>
          <w:lang w:val="fr-CA"/>
        </w:rPr>
        <w:t>Ontario</w:t>
      </w:r>
    </w:p>
    <w:p w:rsidR="00B9220A" w:rsidRPr="00114902" w:rsidRDefault="00B9220A" w:rsidP="00B9220A">
      <w:pPr>
        <w:widowControl w:val="0"/>
        <w:ind w:left="2880" w:hanging="2880"/>
        <w:jc w:val="both"/>
        <w:rPr>
          <w:sz w:val="20"/>
          <w:szCs w:val="20"/>
          <w:lang w:val="fr-CA"/>
        </w:rPr>
      </w:pPr>
    </w:p>
    <w:p w:rsidR="00B9220A" w:rsidRPr="00114902" w:rsidRDefault="00B9220A" w:rsidP="00B9220A">
      <w:pPr>
        <w:widowControl w:val="0"/>
        <w:ind w:left="2880" w:hanging="2880"/>
        <w:jc w:val="both"/>
        <w:rPr>
          <w:sz w:val="20"/>
          <w:szCs w:val="20"/>
          <w:lang w:val="fr-CA"/>
        </w:rPr>
      </w:pPr>
      <w:r w:rsidRPr="00114902">
        <w:rPr>
          <w:sz w:val="20"/>
          <w:szCs w:val="20"/>
          <w:lang w:val="fr-CA"/>
        </w:rPr>
        <w:t>N</w:t>
      </w:r>
      <w:r w:rsidRPr="00114902">
        <w:rPr>
          <w:sz w:val="20"/>
          <w:szCs w:val="20"/>
          <w:vertAlign w:val="superscript"/>
          <w:lang w:val="fr-CA"/>
        </w:rPr>
        <w:t>o</w:t>
      </w:r>
      <w:r w:rsidRPr="00114902">
        <w:rPr>
          <w:sz w:val="20"/>
          <w:szCs w:val="20"/>
          <w:lang w:val="fr-CA"/>
        </w:rPr>
        <w:t xml:space="preserve"> du greffe :</w:t>
      </w:r>
      <w:r w:rsidRPr="00114902">
        <w:rPr>
          <w:sz w:val="20"/>
          <w:szCs w:val="20"/>
          <w:lang w:val="fr-CA"/>
        </w:rPr>
        <w:tab/>
      </w:r>
      <w:bookmarkStart w:id="12" w:name="2"/>
      <w:bookmarkEnd w:id="12"/>
      <w:r w:rsidRPr="00114902">
        <w:rPr>
          <w:sz w:val="20"/>
          <w:szCs w:val="20"/>
          <w:lang w:val="fr-CA"/>
        </w:rPr>
        <w:t>34845</w:t>
      </w:r>
    </w:p>
    <w:p w:rsidR="00B9220A" w:rsidRPr="00114902" w:rsidRDefault="00B9220A" w:rsidP="00B9220A">
      <w:pPr>
        <w:widowControl w:val="0"/>
        <w:ind w:left="2880" w:hanging="2880"/>
        <w:jc w:val="both"/>
        <w:rPr>
          <w:sz w:val="20"/>
          <w:szCs w:val="20"/>
          <w:lang w:val="fr-CA"/>
        </w:rPr>
      </w:pPr>
    </w:p>
    <w:p w:rsidR="00E70BCB" w:rsidRDefault="00B9220A" w:rsidP="00B9220A">
      <w:pPr>
        <w:widowControl w:val="0"/>
        <w:ind w:left="2880" w:hanging="2880"/>
        <w:jc w:val="both"/>
        <w:rPr>
          <w:sz w:val="20"/>
          <w:szCs w:val="20"/>
          <w:lang w:val="fr-CA"/>
        </w:rPr>
      </w:pPr>
      <w:r w:rsidRPr="00114902">
        <w:rPr>
          <w:sz w:val="20"/>
          <w:szCs w:val="20"/>
          <w:lang w:val="fr-CA"/>
        </w:rPr>
        <w:t>Jugement de la Cour supérieure</w:t>
      </w:r>
    </w:p>
    <w:p w:rsidR="00B9220A" w:rsidRPr="00114902" w:rsidRDefault="00B9220A" w:rsidP="00B9220A">
      <w:pPr>
        <w:widowControl w:val="0"/>
        <w:ind w:left="2880" w:hanging="2880"/>
        <w:jc w:val="both"/>
        <w:rPr>
          <w:sz w:val="20"/>
          <w:szCs w:val="20"/>
          <w:lang w:val="fr-CA"/>
        </w:rPr>
      </w:pPr>
      <w:proofErr w:type="gramStart"/>
      <w:r w:rsidRPr="00114902">
        <w:rPr>
          <w:sz w:val="20"/>
          <w:szCs w:val="20"/>
          <w:lang w:val="fr-CA"/>
        </w:rPr>
        <w:t>de</w:t>
      </w:r>
      <w:proofErr w:type="gramEnd"/>
      <w:r w:rsidRPr="00114902">
        <w:rPr>
          <w:sz w:val="20"/>
          <w:szCs w:val="20"/>
          <w:lang w:val="fr-CA"/>
        </w:rPr>
        <w:t xml:space="preserve"> justice de l’Ontario :</w:t>
      </w:r>
      <w:r w:rsidRPr="00114902">
        <w:rPr>
          <w:sz w:val="20"/>
          <w:szCs w:val="20"/>
          <w:lang w:val="fr-CA"/>
        </w:rPr>
        <w:tab/>
      </w:r>
      <w:bookmarkStart w:id="13" w:name="5"/>
      <w:bookmarkEnd w:id="13"/>
      <w:r w:rsidR="00B0663A">
        <w:rPr>
          <w:sz w:val="20"/>
          <w:szCs w:val="20"/>
          <w:lang w:val="fr-CA"/>
        </w:rPr>
        <w:t>L</w:t>
      </w:r>
      <w:r w:rsidRPr="00114902">
        <w:rPr>
          <w:sz w:val="20"/>
          <w:szCs w:val="20"/>
          <w:lang w:val="fr-CA"/>
        </w:rPr>
        <w:t>e 18 mai 2012</w:t>
      </w:r>
    </w:p>
    <w:p w:rsidR="00B9220A" w:rsidRPr="00114902" w:rsidRDefault="00B9220A" w:rsidP="00B9220A">
      <w:pPr>
        <w:widowControl w:val="0"/>
        <w:ind w:left="2880" w:hanging="2880"/>
        <w:jc w:val="both"/>
        <w:rPr>
          <w:sz w:val="20"/>
          <w:szCs w:val="20"/>
          <w:lang w:val="fr-CA"/>
        </w:rPr>
      </w:pPr>
    </w:p>
    <w:p w:rsidR="00B9220A" w:rsidRPr="00114902" w:rsidRDefault="00B9220A" w:rsidP="00B9220A">
      <w:pPr>
        <w:widowControl w:val="0"/>
        <w:ind w:left="2880" w:hanging="2880"/>
        <w:jc w:val="both"/>
        <w:rPr>
          <w:sz w:val="20"/>
          <w:szCs w:val="20"/>
          <w:lang w:val="fr-CA"/>
        </w:rPr>
      </w:pPr>
      <w:r w:rsidRPr="00114902">
        <w:rPr>
          <w:sz w:val="20"/>
          <w:szCs w:val="20"/>
          <w:lang w:val="fr-CA"/>
        </w:rPr>
        <w:t>Avocats :</w:t>
      </w:r>
      <w:r w:rsidRPr="00114902">
        <w:rPr>
          <w:sz w:val="20"/>
          <w:szCs w:val="20"/>
          <w:lang w:val="fr-CA"/>
        </w:rPr>
        <w:tab/>
      </w:r>
      <w:bookmarkStart w:id="14" w:name="6"/>
      <w:bookmarkEnd w:id="14"/>
      <w:r w:rsidRPr="00114902">
        <w:rPr>
          <w:sz w:val="20"/>
          <w:szCs w:val="20"/>
          <w:lang w:val="fr-CA"/>
        </w:rPr>
        <w:t>W. Thomas Barlow et Nicholas Shkordoff pour l’appelant/intimé au pourvoi incident</w:t>
      </w:r>
    </w:p>
    <w:p w:rsidR="00B9220A" w:rsidRPr="00114902" w:rsidRDefault="00B9220A" w:rsidP="00B9220A">
      <w:pPr>
        <w:widowControl w:val="0"/>
        <w:ind w:left="2880" w:hanging="2880"/>
        <w:jc w:val="both"/>
        <w:rPr>
          <w:sz w:val="20"/>
          <w:szCs w:val="20"/>
          <w:lang w:val="fr-CA"/>
        </w:rPr>
      </w:pPr>
      <w:r w:rsidRPr="00114902">
        <w:rPr>
          <w:sz w:val="20"/>
          <w:szCs w:val="20"/>
          <w:lang w:val="fr-CA"/>
        </w:rPr>
        <w:tab/>
      </w:r>
      <w:bookmarkStart w:id="15" w:name="7"/>
      <w:bookmarkEnd w:id="15"/>
      <w:r w:rsidRPr="00114902">
        <w:rPr>
          <w:sz w:val="20"/>
          <w:szCs w:val="20"/>
          <w:lang w:val="fr-CA"/>
        </w:rPr>
        <w:t>Gavin Tighe et Stephen Thiele pour l’intimé/appelant au pourvoi incident</w:t>
      </w:r>
    </w:p>
    <w:p w:rsidR="00B9220A" w:rsidRPr="00114902" w:rsidRDefault="00B9220A" w:rsidP="00B9220A">
      <w:pPr>
        <w:widowControl w:val="0"/>
        <w:ind w:left="2880" w:hanging="2880"/>
        <w:jc w:val="both"/>
        <w:rPr>
          <w:sz w:val="20"/>
          <w:szCs w:val="20"/>
          <w:lang w:val="fr-CA"/>
        </w:rPr>
      </w:pPr>
      <w:r w:rsidRPr="00114902">
        <w:rPr>
          <w:sz w:val="20"/>
          <w:szCs w:val="20"/>
          <w:lang w:val="fr-CA"/>
        </w:rPr>
        <w:tab/>
        <w:t xml:space="preserve">Peter Hajecek pour le procureur général du Canada, intimé </w:t>
      </w:r>
    </w:p>
    <w:p w:rsidR="00B9220A" w:rsidRPr="00114902" w:rsidRDefault="00B9220A" w:rsidP="00B9220A">
      <w:pPr>
        <w:widowControl w:val="0"/>
        <w:ind w:left="2880" w:hanging="2880"/>
        <w:jc w:val="both"/>
        <w:rPr>
          <w:sz w:val="20"/>
          <w:szCs w:val="20"/>
          <w:lang w:val="fr-CA"/>
        </w:rPr>
      </w:pPr>
      <w:r w:rsidRPr="00114902">
        <w:rPr>
          <w:sz w:val="20"/>
          <w:szCs w:val="20"/>
          <w:lang w:val="fr-CA"/>
        </w:rPr>
        <w:tab/>
        <w:t>David Di Paolo pour Mayrand et Allan Sperling, intimés</w:t>
      </w:r>
    </w:p>
    <w:p w:rsidR="00B9220A" w:rsidRPr="00B9220A" w:rsidRDefault="00B9220A" w:rsidP="000B3C9A">
      <w:pPr>
        <w:tabs>
          <w:tab w:val="left" w:pos="-1440"/>
          <w:tab w:val="left" w:pos="-720"/>
        </w:tabs>
        <w:jc w:val="both"/>
        <w:rPr>
          <w:sz w:val="20"/>
          <w:szCs w:val="20"/>
          <w:lang w:val="fr-CA"/>
        </w:rPr>
      </w:pPr>
    </w:p>
    <w:p w:rsidR="000B3C9A" w:rsidRDefault="00D70052" w:rsidP="000B3C9A">
      <w:pPr>
        <w:tabs>
          <w:tab w:val="left" w:pos="-1440"/>
          <w:tab w:val="left" w:pos="-720"/>
        </w:tabs>
        <w:jc w:val="both"/>
        <w:rPr>
          <w:sz w:val="20"/>
          <w:szCs w:val="20"/>
          <w:lang w:val="fr-CA"/>
        </w:rPr>
      </w:pPr>
      <w:r w:rsidRPr="00D70052">
        <w:rPr>
          <w:sz w:val="20"/>
          <w:szCs w:val="20"/>
          <w:lang w:val="fr-CA"/>
        </w:rPr>
        <w:pict>
          <v:rect id="_x0000_i1117" style="width:2in;height:1pt" o:hrpct="0" o:hralign="center" o:hrstd="t" o:hrnoshade="t" o:hr="t" fillcolor="black [3213]" stroked="f"/>
        </w:pict>
      </w:r>
    </w:p>
    <w:p w:rsidR="00B9220A" w:rsidRDefault="00B9220A" w:rsidP="000B3C9A">
      <w:pPr>
        <w:tabs>
          <w:tab w:val="left" w:pos="-1440"/>
          <w:tab w:val="left" w:pos="-720"/>
        </w:tabs>
        <w:jc w:val="both"/>
        <w:rPr>
          <w:sz w:val="20"/>
          <w:szCs w:val="20"/>
          <w:lang w:val="fr-CA"/>
        </w:rPr>
      </w:pPr>
    </w:p>
    <w:p w:rsidR="00B9220A" w:rsidRPr="00DD0B49" w:rsidRDefault="00B9220A"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p w:rsidR="00E903A1" w:rsidRPr="002E0C7E" w:rsidRDefault="00D70052"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BF" w:rsidRDefault="008B5DBF" w:rsidP="00A87207">
      <w:r>
        <w:separator/>
      </w:r>
    </w:p>
  </w:endnote>
  <w:endnote w:type="continuationSeparator" w:id="0">
    <w:p w:rsidR="008B5DBF" w:rsidRDefault="008B5DB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pPr>
      <w:pStyle w:val="Footer"/>
      <w:rPr>
        <w:lang w:val="fr-CA"/>
      </w:rPr>
    </w:pPr>
    <w:r w:rsidRPr="00D70052">
      <w:rPr>
        <w:lang w:val="fr-CA"/>
      </w:rPr>
      <w:pict>
        <v:rect id="_x0000_i1089" style="width:480.95pt;height:1pt" o:hralign="center" o:hrstd="t" o:hrnoshade="t" o:hr="t" fillcolor="black [3213]" stroked="f"/>
      </w:pict>
    </w:r>
  </w:p>
  <w:p w:rsidR="008B5DBF" w:rsidRDefault="008B5DBF" w:rsidP="00245129">
    <w:pPr>
      <w:tabs>
        <w:tab w:val="center" w:pos="4680"/>
      </w:tabs>
    </w:pPr>
    <w:r>
      <w:tab/>
    </w:r>
    <w:r w:rsidRPr="0009648D">
      <w:t xml:space="preserve">- </w:t>
    </w:r>
    <w:fldSimple w:instr=" PAGE   \* MERGEFORMAT ">
      <w:r w:rsidR="00D61692">
        <w:rPr>
          <w:noProof/>
        </w:rPr>
        <w:t>975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5DBF" w:rsidRDefault="008B5DBF">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755F22">
    <w:pPr>
      <w:tabs>
        <w:tab w:val="left" w:pos="-1440"/>
        <w:tab w:val="left" w:pos="-720"/>
      </w:tabs>
    </w:pPr>
    <w:r>
      <w:pict>
        <v:rect id="_x0000_i1097" style="width:480.95pt;height:1pt" o:hralign="center" o:hrstd="t" o:hrnoshade="t" o:hr="t" fillcolor="black [3213]" stroked="f"/>
      </w:pict>
    </w:r>
  </w:p>
  <w:p w:rsidR="008B5DBF" w:rsidRDefault="008B5DBF" w:rsidP="00EB2B90">
    <w:pPr>
      <w:tabs>
        <w:tab w:val="center" w:pos="4680"/>
      </w:tabs>
    </w:pPr>
    <w:r>
      <w:tab/>
      <w:t xml:space="preserve">- </w:t>
    </w:r>
    <w:fldSimple w:instr=" PAGE   \* MERGEFORMAT ">
      <w:r w:rsidR="00D61692">
        <w:rPr>
          <w:noProof/>
        </w:rPr>
        <w:t>1023</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EB2B90">
    <w:pPr>
      <w:tabs>
        <w:tab w:val="center" w:pos="4680"/>
      </w:tabs>
    </w:pPr>
    <w:r>
      <w:pict>
        <v:rect id="_x0000_i1098" style="width:480.95pt;height:1pt" o:hralign="center" o:hrstd="t" o:hrnoshade="t" o:hr="t" fillcolor="black [3213]" stroked="f"/>
      </w:pict>
    </w:r>
  </w:p>
  <w:p w:rsidR="008B5DBF" w:rsidRPr="0031432F" w:rsidRDefault="008B5DBF" w:rsidP="00EB2B90">
    <w:pPr>
      <w:tabs>
        <w:tab w:val="center" w:pos="4680"/>
      </w:tabs>
    </w:pPr>
    <w:r>
      <w:tab/>
      <w:t xml:space="preserve">- </w:t>
    </w:r>
    <w:fldSimple w:instr=" PAGE   \* MERGEFORMAT ">
      <w:r w:rsidR="00D61692">
        <w:rPr>
          <w:noProof/>
        </w:rPr>
        <w:t>1018</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5DBF" w:rsidRDefault="008B5DBF">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70052">
      <w:rPr>
        <w:lang w:val="fr-CA"/>
      </w:rPr>
      <w:pict>
        <v:rect id="_x0000_i1100" style="width:480.95pt;height:1pt" o:hralign="center" o:hrstd="t" o:hrnoshade="t" o:hr="t" fillcolor="black [3213]" stroked="f"/>
      </w:pict>
    </w:r>
  </w:p>
  <w:p w:rsidR="008B5DBF" w:rsidRDefault="008B5DBF"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pPr>
      <w:pStyle w:val="Footer"/>
      <w:rPr>
        <w:lang w:val="fr-CA"/>
      </w:rPr>
    </w:pPr>
    <w:r w:rsidRPr="00D70052">
      <w:rPr>
        <w:lang w:val="fr-CA"/>
      </w:rPr>
      <w:pict>
        <v:rect id="_x0000_i1101" style="width:480.95pt;height:1pt" o:hralign="center" o:hrstd="t" o:hrnoshade="t" o:hr="t" fillcolor="black [3213]" stroked="f"/>
      </w:pict>
    </w:r>
  </w:p>
  <w:p w:rsidR="008B5DBF" w:rsidRDefault="008B5DBF" w:rsidP="00EB2B90">
    <w:pPr>
      <w:tabs>
        <w:tab w:val="center" w:pos="4680"/>
      </w:tabs>
    </w:pPr>
    <w:r>
      <w:tab/>
      <w:t xml:space="preserve">- </w:t>
    </w:r>
    <w:fldSimple w:instr=" PAGE   \* MERGEFORMAT ">
      <w:r w:rsidR="00D61692">
        <w:rPr>
          <w:noProof/>
        </w:rPr>
        <w:t>1024</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5DBF" w:rsidRDefault="008B5DB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732DB7">
    <w:r>
      <w:pict>
        <v:rect id="_x0000_i1104" style="width:480.95pt;height:1pt" o:hralign="center" o:hrstd="t" o:hrnoshade="t" o:hr="t" fillcolor="black" stroked="f"/>
      </w:pict>
    </w:r>
  </w:p>
  <w:p w:rsidR="008B5DBF" w:rsidRDefault="008B5DBF">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pPr>
      <w:pStyle w:val="Footer"/>
    </w:pPr>
    <w:r>
      <w:pict>
        <v:rect id="_x0000_i1105" style="width:480.95pt;height:1pt" o:hralign="center" o:hrstd="t" o:hrnoshade="t" o:hr="t" fillcolor="black [3213]" stroked="f"/>
      </w:pict>
    </w:r>
  </w:p>
  <w:p w:rsidR="008B5DBF" w:rsidRPr="003C2C0F" w:rsidRDefault="008B5DBF" w:rsidP="00697C62">
    <w:pPr>
      <w:tabs>
        <w:tab w:val="center" w:pos="4680"/>
      </w:tabs>
    </w:pPr>
    <w:r>
      <w:tab/>
      <w:t xml:space="preserve">- </w:t>
    </w:r>
    <w:fldSimple w:instr=" PAGE   \* MERGEFORMAT ">
      <w:r w:rsidR="00D61692">
        <w:rPr>
          <w:noProof/>
        </w:rPr>
        <w:t>1025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5DBF" w:rsidRDefault="008B5DBF">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5DBF" w:rsidRDefault="00D7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0" style="width:480.95pt;height:1pt" o:hralign="center" o:hrstd="t" o:hrnoshade="t" o:hr="t" fillcolor="black [3213]" stroked="f"/>
      </w:pict>
    </w:r>
  </w:p>
  <w:p w:rsidR="008B5DBF" w:rsidRDefault="008B5DBF" w:rsidP="00782AE4">
    <w:pPr>
      <w:tabs>
        <w:tab w:val="center" w:pos="4680"/>
      </w:tabs>
    </w:pPr>
    <w:r>
      <w:tab/>
      <w:t xml:space="preserve">- </w:t>
    </w:r>
    <w:r w:rsidR="00D70052" w:rsidRPr="001775C1">
      <w:rPr>
        <w:szCs w:val="24"/>
      </w:rPr>
      <w:fldChar w:fldCharType="begin"/>
    </w:r>
    <w:r w:rsidRPr="001775C1">
      <w:rPr>
        <w:szCs w:val="24"/>
      </w:rPr>
      <w:instrText xml:space="preserve"> PAGE   \* MERGEFORMAT </w:instrText>
    </w:r>
    <w:r w:rsidR="00D70052" w:rsidRPr="001775C1">
      <w:rPr>
        <w:szCs w:val="24"/>
      </w:rPr>
      <w:fldChar w:fldCharType="separate"/>
    </w:r>
    <w:r w:rsidR="00D61692">
      <w:rPr>
        <w:noProof/>
        <w:szCs w:val="24"/>
      </w:rPr>
      <w:t>1032</w:t>
    </w:r>
    <w:r w:rsidR="00D70052"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782AE4">
    <w:pPr>
      <w:tabs>
        <w:tab w:val="center" w:pos="4680"/>
      </w:tabs>
    </w:pPr>
    <w:r>
      <w:pict>
        <v:rect id="_x0000_i1111" style="width:480.95pt;height:1pt" o:hralign="center" o:hrstd="t" o:hrnoshade="t" o:hr="t" fillcolor="black [3213]" stroked="f"/>
      </w:pict>
    </w:r>
  </w:p>
  <w:p w:rsidR="008B5DBF" w:rsidRDefault="008B5DBF" w:rsidP="00782AE4">
    <w:pPr>
      <w:tabs>
        <w:tab w:val="center" w:pos="4680"/>
      </w:tabs>
    </w:pPr>
    <w:r>
      <w:tab/>
      <w:t xml:space="preserve">- </w:t>
    </w:r>
    <w:r w:rsidR="00D70052" w:rsidRPr="001775C1">
      <w:rPr>
        <w:szCs w:val="24"/>
      </w:rPr>
      <w:fldChar w:fldCharType="begin"/>
    </w:r>
    <w:r w:rsidRPr="001775C1">
      <w:rPr>
        <w:szCs w:val="24"/>
      </w:rPr>
      <w:instrText xml:space="preserve"> PAGE   \* MERGEFORMAT </w:instrText>
    </w:r>
    <w:r w:rsidR="00D70052" w:rsidRPr="001775C1">
      <w:rPr>
        <w:szCs w:val="24"/>
      </w:rPr>
      <w:fldChar w:fldCharType="separate"/>
    </w:r>
    <w:r w:rsidR="00D61692">
      <w:rPr>
        <w:noProof/>
        <w:szCs w:val="24"/>
      </w:rPr>
      <w:t>1026</w:t>
    </w:r>
    <w:r w:rsidR="00D70052"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8B5DBF" w:rsidRDefault="008B5DB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8B5DBF" w:rsidRDefault="008B5DBF">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22323B">
    <w:r>
      <w:pict>
        <v:rect id="_x0000_i1114" style="width:480.95pt;height:1pt" o:hralign="center" o:hrstd="t" o:hrnoshade="t" o:hr="t" fillcolor="black [3213]" stroked="f"/>
      </w:pict>
    </w:r>
  </w:p>
  <w:p w:rsidR="008B5DBF" w:rsidRDefault="008B5DBF">
    <w:pPr>
      <w:tabs>
        <w:tab w:val="center" w:pos="4740"/>
      </w:tabs>
      <w:spacing w:line="0" w:lineRule="atLeast"/>
    </w:pPr>
    <w:r>
      <w:tab/>
      <w:t xml:space="preserve">- </w:t>
    </w:r>
    <w:fldSimple w:instr=" PAGE   \* MERGEFORMAT ">
      <w:r>
        <w:rPr>
          <w:noProof/>
        </w:rPr>
        <w:t>535</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22323B">
    <w:r>
      <w:pict>
        <v:rect id="_x0000_i1115" style="width:480.95pt;height:1pt" o:hralign="center" o:hrstd="t" o:hrnoshade="t" o:hr="t" fillcolor="black [3213]" stroked="f"/>
      </w:pict>
    </w:r>
  </w:p>
  <w:p w:rsidR="008B5DBF" w:rsidRDefault="008B5DBF" w:rsidP="0022323B">
    <w:pPr>
      <w:tabs>
        <w:tab w:val="center" w:pos="4740"/>
      </w:tabs>
      <w:spacing w:line="0" w:lineRule="atLeast"/>
    </w:pPr>
    <w:r>
      <w:tab/>
      <w:t xml:space="preserve">- </w:t>
    </w:r>
    <w:fldSimple w:instr=" PAGE   \* MERGEFORMAT ">
      <w:r w:rsidR="00D61692">
        <w:rPr>
          <w:noProof/>
        </w:rPr>
        <w:t>1033</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22323B">
    <w:r>
      <w:pict>
        <v:rect id="_x0000_i1118" style="width:480.95pt;height:1pt" o:hralign="center" o:hrstd="t" o:hrnoshade="t" o:hr="t" fillcolor="black [3213]" stroked="f"/>
      </w:pict>
    </w:r>
  </w:p>
  <w:p w:rsidR="008B5DBF" w:rsidRDefault="008B5DBF">
    <w:pPr>
      <w:tabs>
        <w:tab w:val="center" w:pos="4740"/>
      </w:tabs>
      <w:spacing w:line="0" w:lineRule="atLeast"/>
    </w:pPr>
    <w:r>
      <w:tab/>
      <w:t xml:space="preserve">- </w:t>
    </w:r>
    <w:fldSimple w:instr=" PAGE   \* MERGEFORMAT ">
      <w:r w:rsidR="00D61692">
        <w:rPr>
          <w:noProof/>
        </w:rPr>
        <w:t>1035</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22323B">
    <w:r>
      <w:pict>
        <v:rect id="_x0000_i1119" style="width:480.95pt;height:1pt" o:hralign="center" o:hrstd="t" o:hrnoshade="t" o:hr="t" fillcolor="black [3213]" stroked="f"/>
      </w:pict>
    </w:r>
  </w:p>
  <w:p w:rsidR="008B5DBF" w:rsidRDefault="008B5DBF" w:rsidP="0022323B">
    <w:pPr>
      <w:tabs>
        <w:tab w:val="center" w:pos="4740"/>
      </w:tabs>
      <w:spacing w:line="0" w:lineRule="atLeast"/>
    </w:pPr>
    <w:r>
      <w:tab/>
      <w:t xml:space="preserve">- </w:t>
    </w:r>
    <w:fldSimple w:instr=" PAGE   \* MERGEFORMAT ">
      <w:r w:rsidR="00D61692">
        <w:rPr>
          <w:noProof/>
        </w:rPr>
        <w:t>1034</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Pr="00924065" w:rsidRDefault="008B5DBF"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A87207">
    <w:pPr>
      <w:pStyle w:val="Footer"/>
    </w:pPr>
    <w:r>
      <w:pict>
        <v:rect id="_x0000_i1036" style="width:480.95pt;height:1pt" o:hralign="center" o:hrstd="t" o:hrnoshade="t" o:hr="t" fillcolor="black [3213]" stroked="f"/>
      </w:pict>
    </w:r>
  </w:p>
  <w:p w:rsidR="008B5DBF" w:rsidRPr="00B7374B" w:rsidRDefault="008B5DBF" w:rsidP="00B7374B">
    <w:pPr>
      <w:tabs>
        <w:tab w:val="center" w:pos="4680"/>
      </w:tabs>
      <w:rPr>
        <w:szCs w:val="24"/>
      </w:rPr>
    </w:pPr>
    <w:r w:rsidRPr="00954D22">
      <w:rPr>
        <w:szCs w:val="24"/>
      </w:rPr>
      <w:tab/>
      <w:t xml:space="preserve">- </w:t>
    </w:r>
    <w:r w:rsidR="00D70052" w:rsidRPr="00954D22">
      <w:rPr>
        <w:szCs w:val="24"/>
      </w:rPr>
      <w:fldChar w:fldCharType="begin"/>
    </w:r>
    <w:r w:rsidRPr="00954D22">
      <w:rPr>
        <w:szCs w:val="24"/>
      </w:rPr>
      <w:instrText xml:space="preserve"> PAGE   \* MERGEFORMAT </w:instrText>
    </w:r>
    <w:r w:rsidR="00D70052" w:rsidRPr="00954D22">
      <w:rPr>
        <w:szCs w:val="24"/>
      </w:rPr>
      <w:fldChar w:fldCharType="separate"/>
    </w:r>
    <w:r w:rsidR="00D61692">
      <w:rPr>
        <w:noProof/>
        <w:szCs w:val="24"/>
      </w:rPr>
      <w:t>972</w:t>
    </w:r>
    <w:r w:rsidR="00D70052"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755F22">
    <w:pPr>
      <w:tabs>
        <w:tab w:val="left" w:pos="-1440"/>
        <w:tab w:val="left" w:pos="-720"/>
      </w:tabs>
    </w:pPr>
    <w:r>
      <w:pict>
        <v:rect id="_x0000_i1037" style="width:480.95pt;height:1pt" o:hralign="center" o:hrstd="t" o:hrnoshade="t" o:hr="t" fillcolor="black [3213]" stroked="f"/>
      </w:pict>
    </w:r>
  </w:p>
  <w:p w:rsidR="008B5DBF" w:rsidRPr="00954D22" w:rsidRDefault="008B5DBF" w:rsidP="00B7374B">
    <w:pPr>
      <w:tabs>
        <w:tab w:val="center" w:pos="4680"/>
      </w:tabs>
      <w:rPr>
        <w:szCs w:val="24"/>
      </w:rPr>
    </w:pPr>
    <w:r w:rsidRPr="00954D22">
      <w:rPr>
        <w:szCs w:val="24"/>
      </w:rPr>
      <w:tab/>
      <w:t xml:space="preserve">- </w:t>
    </w:r>
    <w:r w:rsidR="00D70052">
      <w:rPr>
        <w:szCs w:val="24"/>
      </w:rPr>
      <w:fldChar w:fldCharType="begin"/>
    </w:r>
    <w:r>
      <w:rPr>
        <w:szCs w:val="24"/>
      </w:rPr>
      <w:instrText xml:space="preserve"> PAGE   \* MERGEFORMAT </w:instrText>
    </w:r>
    <w:r w:rsidR="00D70052">
      <w:rPr>
        <w:szCs w:val="24"/>
      </w:rPr>
      <w:fldChar w:fldCharType="separate"/>
    </w:r>
    <w:r w:rsidR="00D61692">
      <w:rPr>
        <w:noProof/>
        <w:szCs w:val="24"/>
      </w:rPr>
      <w:t>971</w:t>
    </w:r>
    <w:r w:rsidR="00D70052">
      <w:rPr>
        <w:szCs w:val="24"/>
      </w:rPr>
      <w:fldChar w:fldCharType="end"/>
    </w:r>
    <w:r w:rsidRPr="00954D22">
      <w:rPr>
        <w:szCs w:val="24"/>
      </w:rPr>
      <w:t xml:space="preserve"> -</w:t>
    </w:r>
  </w:p>
  <w:p w:rsidR="008B5DBF" w:rsidRDefault="008B5DB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A87207">
    <w:pPr>
      <w:pStyle w:val="Footer"/>
    </w:pPr>
    <w:r>
      <w:pict>
        <v:rect id="_x0000_i1040" style="width:480.95pt;height:1pt" o:hralign="center" o:hrstd="t" o:hrnoshade="t" o:hr="t" fillcolor="black [3213]" stroked="f"/>
      </w:pict>
    </w:r>
  </w:p>
  <w:p w:rsidR="008B5DBF" w:rsidRPr="00B7374B" w:rsidRDefault="008B5DBF" w:rsidP="00B7374B">
    <w:pPr>
      <w:tabs>
        <w:tab w:val="center" w:pos="4680"/>
      </w:tabs>
      <w:rPr>
        <w:szCs w:val="24"/>
      </w:rPr>
    </w:pPr>
    <w:r w:rsidRPr="00954D22">
      <w:rPr>
        <w:szCs w:val="24"/>
      </w:rPr>
      <w:tab/>
      <w:t xml:space="preserve">- </w:t>
    </w:r>
    <w:r w:rsidR="00D70052" w:rsidRPr="00954D22">
      <w:rPr>
        <w:szCs w:val="24"/>
      </w:rPr>
      <w:fldChar w:fldCharType="begin"/>
    </w:r>
    <w:r w:rsidRPr="00954D22">
      <w:rPr>
        <w:szCs w:val="24"/>
      </w:rPr>
      <w:instrText xml:space="preserve"> PAGE   \* MERGEFORMAT </w:instrText>
    </w:r>
    <w:r w:rsidR="00D70052" w:rsidRPr="00954D22">
      <w:rPr>
        <w:szCs w:val="24"/>
      </w:rPr>
      <w:fldChar w:fldCharType="separate"/>
    </w:r>
    <w:r w:rsidR="00D61692">
      <w:rPr>
        <w:noProof/>
        <w:szCs w:val="24"/>
      </w:rPr>
      <w:t>974</w:t>
    </w:r>
    <w:r w:rsidR="00D70052"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8B5DBF" w:rsidRPr="00954D22" w:rsidRDefault="008B5DBF" w:rsidP="00B7374B">
    <w:pPr>
      <w:tabs>
        <w:tab w:val="center" w:pos="4680"/>
      </w:tabs>
      <w:rPr>
        <w:szCs w:val="24"/>
      </w:rPr>
    </w:pPr>
    <w:r w:rsidRPr="00954D22">
      <w:rPr>
        <w:szCs w:val="24"/>
      </w:rPr>
      <w:tab/>
      <w:t xml:space="preserve">- </w:t>
    </w:r>
    <w:r w:rsidR="00D70052" w:rsidRPr="00954D22">
      <w:rPr>
        <w:szCs w:val="24"/>
      </w:rPr>
      <w:fldChar w:fldCharType="begin"/>
    </w:r>
    <w:r w:rsidRPr="00954D22">
      <w:rPr>
        <w:szCs w:val="24"/>
      </w:rPr>
      <w:instrText xml:space="preserve"> PAGE   \* MERGEFORMAT </w:instrText>
    </w:r>
    <w:r w:rsidR="00D70052" w:rsidRPr="00954D22">
      <w:rPr>
        <w:szCs w:val="24"/>
      </w:rPr>
      <w:fldChar w:fldCharType="separate"/>
    </w:r>
    <w:r w:rsidR="00D61692">
      <w:rPr>
        <w:noProof/>
        <w:szCs w:val="24"/>
      </w:rPr>
      <w:t>973</w:t>
    </w:r>
    <w:r w:rsidR="00D70052"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5DBF" w:rsidRDefault="008B5DBF">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D7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70052">
      <w:rPr>
        <w:lang w:val="fr-CA"/>
      </w:rPr>
      <w:pict>
        <v:rect id="_x0000_i1088" style="width:480.95pt;height:1pt" o:hralign="center" o:hrstd="t" o:hrnoshade="t" o:hr="t" fillcolor="black [3213]" stroked="f"/>
      </w:pict>
    </w:r>
  </w:p>
  <w:p w:rsidR="008B5DBF" w:rsidRPr="0009648D" w:rsidRDefault="008B5DBF" w:rsidP="00ED7E83">
    <w:pPr>
      <w:tabs>
        <w:tab w:val="center" w:pos="4680"/>
      </w:tabs>
    </w:pPr>
    <w:r>
      <w:tab/>
    </w:r>
    <w:r w:rsidRPr="0009648D">
      <w:t xml:space="preserve">- </w:t>
    </w:r>
    <w:fldSimple w:instr=" PAGE   \* MERGEFORMAT ">
      <w:r w:rsidR="00D61692">
        <w:rPr>
          <w:noProof/>
        </w:rPr>
        <w:t>1017</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BF" w:rsidRDefault="008B5DBF" w:rsidP="00A87207">
      <w:r>
        <w:separator/>
      </w:r>
    </w:p>
  </w:footnote>
  <w:footnote w:type="continuationSeparator" w:id="0">
    <w:p w:rsidR="008B5DBF" w:rsidRDefault="008B5DB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B5DBF">
      <w:tc>
        <w:tcPr>
          <w:tcW w:w="423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B5DBF"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5DBF"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B5DBF">
      <w:trPr>
        <w:gridAfter w:val="2"/>
        <w:wAfter w:w="5250" w:type="dxa"/>
      </w:trPr>
      <w:tc>
        <w:tcPr>
          <w:tcW w:w="4230" w:type="dxa"/>
          <w:tcMar>
            <w:left w:w="0" w:type="dxa"/>
            <w:right w:w="0" w:type="dxa"/>
          </w:tcMar>
        </w:tcPr>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B5DBF" w:rsidRPr="00755F22" w:rsidTr="00245129">
      <w:tc>
        <w:tcPr>
          <w:tcW w:w="4230" w:type="dxa"/>
          <w:tcMar>
            <w:left w:w="0" w:type="dxa"/>
            <w:right w:w="0" w:type="dxa"/>
          </w:tcMar>
        </w:tcPr>
        <w:p w:rsidR="008B5DBF" w:rsidRPr="00755F22" w:rsidRDefault="008B5DBF" w:rsidP="00831CA9">
          <w:pPr>
            <w:keepNext/>
            <w:keepLines/>
            <w:rPr>
              <w:sz w:val="20"/>
              <w:szCs w:val="20"/>
            </w:rPr>
          </w:pPr>
          <w:r w:rsidRPr="00755F22">
            <w:rPr>
              <w:sz w:val="20"/>
              <w:szCs w:val="20"/>
            </w:rPr>
            <w:t>MOTIONS</w:t>
          </w:r>
        </w:p>
      </w:tc>
      <w:tc>
        <w:tcPr>
          <w:tcW w:w="1170" w:type="dxa"/>
          <w:tcMar>
            <w:left w:w="0" w:type="dxa"/>
            <w:right w:w="0" w:type="dxa"/>
          </w:tcMar>
        </w:tcPr>
        <w:p w:rsidR="008B5DBF" w:rsidRPr="00755F22" w:rsidRDefault="008B5DBF" w:rsidP="00831CA9">
          <w:pPr>
            <w:keepLines/>
            <w:jc w:val="center"/>
            <w:rPr>
              <w:sz w:val="20"/>
              <w:szCs w:val="20"/>
            </w:rPr>
          </w:pPr>
        </w:p>
        <w:p w:rsidR="008B5DBF" w:rsidRPr="00755F22" w:rsidRDefault="008B5DBF" w:rsidP="00831CA9">
          <w:pPr>
            <w:keepLines/>
            <w:tabs>
              <w:tab w:val="left" w:pos="-1440"/>
              <w:tab w:val="left" w:pos="-720"/>
            </w:tabs>
            <w:jc w:val="center"/>
            <w:rPr>
              <w:sz w:val="20"/>
              <w:szCs w:val="20"/>
            </w:rPr>
          </w:pPr>
        </w:p>
      </w:tc>
      <w:tc>
        <w:tcPr>
          <w:tcW w:w="4080" w:type="dxa"/>
          <w:tcMar>
            <w:left w:w="0" w:type="dxa"/>
            <w:right w:w="0" w:type="dxa"/>
          </w:tcMar>
        </w:tcPr>
        <w:p w:rsidR="008B5DBF" w:rsidRPr="00BA6468" w:rsidRDefault="008B5DBF" w:rsidP="00BA6468">
          <w:pPr>
            <w:keepLines/>
            <w:rPr>
              <w:sz w:val="20"/>
              <w:szCs w:val="20"/>
              <w:lang w:val="fr-CA"/>
            </w:rPr>
          </w:pPr>
          <w:r w:rsidRPr="00BA6468">
            <w:rPr>
              <w:sz w:val="20"/>
              <w:szCs w:val="20"/>
              <w:lang w:val="fr-CA"/>
            </w:rPr>
            <w:t>REQUÊTES</w:t>
          </w:r>
        </w:p>
      </w:tc>
    </w:tr>
  </w:tbl>
  <w:p w:rsidR="008B5DBF" w:rsidRDefault="008B5DBF"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B5DBF" w:rsidRPr="00147672">
      <w:tc>
        <w:tcPr>
          <w:tcW w:w="420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5DBF" w:rsidRPr="00B01A03"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B5DBF" w:rsidRPr="00B01A03"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B5DBF" w:rsidRPr="00B01A03"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8B5DBF" w:rsidRPr="00147672" w:rsidTr="00245129">
      <w:tc>
        <w:tcPr>
          <w:tcW w:w="4200" w:type="dxa"/>
          <w:tcMar>
            <w:left w:w="0" w:type="dxa"/>
            <w:right w:w="0" w:type="dxa"/>
          </w:tcMar>
        </w:tcPr>
        <w:p w:rsidR="008B5DBF" w:rsidRPr="00F40249" w:rsidRDefault="008B5DB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B5DBF" w:rsidRDefault="008B5DBF" w:rsidP="00102926">
          <w:pPr>
            <w:keepNext/>
            <w:keepLines/>
            <w:tabs>
              <w:tab w:val="left" w:pos="-1440"/>
              <w:tab w:val="left" w:pos="-720"/>
            </w:tabs>
            <w:jc w:val="center"/>
            <w:rPr>
              <w:sz w:val="20"/>
              <w:szCs w:val="20"/>
            </w:rPr>
          </w:pPr>
        </w:p>
        <w:p w:rsidR="008B5DBF" w:rsidRDefault="008B5DBF" w:rsidP="00102926">
          <w:pPr>
            <w:keepNext/>
            <w:keepLines/>
            <w:tabs>
              <w:tab w:val="left" w:pos="-1440"/>
              <w:tab w:val="left" w:pos="-720"/>
            </w:tabs>
            <w:jc w:val="center"/>
            <w:rPr>
              <w:sz w:val="20"/>
              <w:szCs w:val="20"/>
            </w:rPr>
          </w:pPr>
        </w:p>
        <w:p w:rsidR="008B5DBF" w:rsidRPr="00F40249" w:rsidRDefault="008B5DBF" w:rsidP="00102926">
          <w:pPr>
            <w:keepNext/>
            <w:keepLines/>
            <w:tabs>
              <w:tab w:val="left" w:pos="-1440"/>
              <w:tab w:val="left" w:pos="-720"/>
            </w:tabs>
            <w:jc w:val="center"/>
            <w:rPr>
              <w:sz w:val="20"/>
              <w:szCs w:val="20"/>
            </w:rPr>
          </w:pPr>
        </w:p>
      </w:tc>
      <w:tc>
        <w:tcPr>
          <w:tcW w:w="4230" w:type="dxa"/>
          <w:tcMar>
            <w:left w:w="0" w:type="dxa"/>
            <w:right w:w="0" w:type="dxa"/>
          </w:tcMar>
        </w:tcPr>
        <w:p w:rsidR="008B5DBF" w:rsidRPr="00F40249" w:rsidRDefault="008B5DB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B5DBF" w:rsidRPr="00B01A03" w:rsidRDefault="008B5DB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B5DBF" w:rsidRPr="00147672">
      <w:tc>
        <w:tcPr>
          <w:tcW w:w="420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B5DBF" w:rsidRPr="003C2C0F"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B5DBF" w:rsidRPr="003C2C0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B5DBF" w:rsidRPr="003C2C0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B5DBF" w:rsidRPr="00147672" w:rsidTr="00245129">
      <w:tc>
        <w:tcPr>
          <w:tcW w:w="4200" w:type="dxa"/>
          <w:tcMar>
            <w:left w:w="0" w:type="dxa"/>
            <w:right w:w="0" w:type="dxa"/>
          </w:tcMar>
        </w:tcPr>
        <w:p w:rsidR="008B5DBF" w:rsidRPr="00FF6EEC" w:rsidRDefault="008B5DBF" w:rsidP="00FF6EEC">
          <w:pPr>
            <w:rPr>
              <w:sz w:val="20"/>
              <w:szCs w:val="20"/>
            </w:rPr>
          </w:pPr>
          <w:r w:rsidRPr="00FF6EEC">
            <w:rPr>
              <w:sz w:val="20"/>
              <w:szCs w:val="20"/>
            </w:rPr>
            <w:t>PRONOUNCEMENTS OF APPEALS RESERVED</w:t>
          </w:r>
        </w:p>
      </w:tc>
      <w:tc>
        <w:tcPr>
          <w:tcW w:w="1200" w:type="dxa"/>
          <w:tcMar>
            <w:left w:w="0" w:type="dxa"/>
            <w:right w:w="0" w:type="dxa"/>
          </w:tcMar>
        </w:tcPr>
        <w:p w:rsidR="008B5DBF" w:rsidRPr="00FF6EEC" w:rsidRDefault="008B5DBF" w:rsidP="00FF6EEC">
          <w:pPr>
            <w:jc w:val="center"/>
            <w:rPr>
              <w:sz w:val="20"/>
              <w:szCs w:val="20"/>
            </w:rPr>
          </w:pPr>
        </w:p>
        <w:p w:rsidR="008B5DBF" w:rsidRPr="00FF6EEC" w:rsidRDefault="008B5DBF" w:rsidP="00FF6EEC">
          <w:pPr>
            <w:jc w:val="center"/>
            <w:rPr>
              <w:sz w:val="20"/>
              <w:szCs w:val="20"/>
            </w:rPr>
          </w:pPr>
        </w:p>
        <w:p w:rsidR="008B5DBF" w:rsidRPr="00FF6EEC" w:rsidRDefault="008B5DBF" w:rsidP="00FF6EEC">
          <w:pPr>
            <w:jc w:val="center"/>
            <w:rPr>
              <w:sz w:val="20"/>
              <w:szCs w:val="20"/>
            </w:rPr>
          </w:pPr>
        </w:p>
      </w:tc>
      <w:tc>
        <w:tcPr>
          <w:tcW w:w="4080" w:type="dxa"/>
          <w:tcMar>
            <w:left w:w="0" w:type="dxa"/>
            <w:right w:w="0" w:type="dxa"/>
          </w:tcMar>
        </w:tcPr>
        <w:p w:rsidR="008B5DBF" w:rsidRPr="00FF6EEC" w:rsidRDefault="008B5DBF" w:rsidP="00FF6EEC">
          <w:pPr>
            <w:rPr>
              <w:sz w:val="20"/>
              <w:szCs w:val="20"/>
              <w:lang w:val="fr-CA"/>
            </w:rPr>
          </w:pPr>
          <w:r w:rsidRPr="00FF6EEC">
            <w:rPr>
              <w:sz w:val="20"/>
              <w:szCs w:val="20"/>
              <w:lang w:val="fr-CA"/>
            </w:rPr>
            <w:t>JUGEMENTS RENDUS SUR LES APPELS EN DÉLIBÉRÉ</w:t>
          </w:r>
        </w:p>
      </w:tc>
    </w:tr>
  </w:tbl>
  <w:p w:rsidR="008B5DBF" w:rsidRPr="003C2C0F" w:rsidRDefault="008B5DB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B5DBF">
      <w:tc>
        <w:tcPr>
          <w:tcW w:w="423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B5DBF"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B5DBF" w:rsidRPr="00782AE4" w:rsidTr="00245129">
      <w:tc>
        <w:tcPr>
          <w:tcW w:w="4230" w:type="dxa"/>
          <w:tcMar>
            <w:left w:w="0" w:type="dxa"/>
            <w:right w:w="0" w:type="dxa"/>
          </w:tcMar>
        </w:tcPr>
        <w:p w:rsidR="008B5DBF" w:rsidRPr="00782AE4" w:rsidRDefault="008B5DBF" w:rsidP="00102926">
          <w:pPr>
            <w:keepNext/>
            <w:keepLines/>
            <w:tabs>
              <w:tab w:val="left" w:pos="-1440"/>
              <w:tab w:val="left" w:pos="-720"/>
            </w:tabs>
            <w:rPr>
              <w:sz w:val="20"/>
              <w:szCs w:val="20"/>
            </w:rPr>
          </w:pPr>
          <w:r w:rsidRPr="00782AE4">
            <w:rPr>
              <w:sz w:val="20"/>
              <w:szCs w:val="20"/>
            </w:rPr>
            <w:t xml:space="preserve">HEADNOTES OF RECENT </w:t>
          </w:r>
        </w:p>
        <w:p w:rsidR="008B5DBF" w:rsidRPr="00782AE4"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B5DBF" w:rsidRDefault="008B5DBF" w:rsidP="00102926">
          <w:pPr>
            <w:keepNext/>
            <w:keepLines/>
            <w:tabs>
              <w:tab w:val="left" w:pos="-1440"/>
              <w:tab w:val="left" w:pos="-720"/>
            </w:tabs>
            <w:jc w:val="center"/>
            <w:rPr>
              <w:sz w:val="20"/>
              <w:szCs w:val="20"/>
            </w:rPr>
          </w:pPr>
        </w:p>
        <w:p w:rsidR="008B5DBF" w:rsidRDefault="008B5DBF" w:rsidP="00102926">
          <w:pPr>
            <w:keepNext/>
            <w:keepLines/>
            <w:tabs>
              <w:tab w:val="left" w:pos="-1440"/>
              <w:tab w:val="left" w:pos="-720"/>
            </w:tabs>
            <w:jc w:val="center"/>
            <w:rPr>
              <w:sz w:val="20"/>
              <w:szCs w:val="20"/>
            </w:rPr>
          </w:pPr>
        </w:p>
        <w:p w:rsidR="008B5DBF" w:rsidRPr="00782AE4" w:rsidRDefault="008B5DBF" w:rsidP="00102926">
          <w:pPr>
            <w:keepNext/>
            <w:keepLines/>
            <w:tabs>
              <w:tab w:val="left" w:pos="-1440"/>
              <w:tab w:val="left" w:pos="-720"/>
            </w:tabs>
            <w:jc w:val="center"/>
            <w:rPr>
              <w:sz w:val="20"/>
              <w:szCs w:val="20"/>
            </w:rPr>
          </w:pPr>
        </w:p>
      </w:tc>
      <w:tc>
        <w:tcPr>
          <w:tcW w:w="4080" w:type="dxa"/>
          <w:tcMar>
            <w:left w:w="0" w:type="dxa"/>
            <w:right w:w="0" w:type="dxa"/>
          </w:tcMar>
        </w:tcPr>
        <w:p w:rsidR="008B5DBF" w:rsidRPr="00102926"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B5DBF" w:rsidRPr="00782AE4" w:rsidRDefault="008B5DBF" w:rsidP="00102926">
          <w:pPr>
            <w:keepLines/>
            <w:tabs>
              <w:tab w:val="left" w:pos="-1440"/>
              <w:tab w:val="left" w:pos="-720"/>
            </w:tabs>
            <w:rPr>
              <w:sz w:val="20"/>
              <w:szCs w:val="20"/>
            </w:rPr>
          </w:pPr>
          <w:r w:rsidRPr="00102926">
            <w:rPr>
              <w:sz w:val="20"/>
              <w:szCs w:val="20"/>
              <w:lang w:val="fr-CA"/>
            </w:rPr>
            <w:t>RÉCENTS</w:t>
          </w:r>
        </w:p>
      </w:tc>
    </w:tr>
  </w:tbl>
  <w:p w:rsidR="008B5DBF" w:rsidRDefault="008B5DB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B5DBF">
      <w:tc>
        <w:tcPr>
          <w:tcW w:w="4200" w:type="dxa"/>
          <w:tcMar>
            <w:left w:w="0" w:type="dxa"/>
            <w:right w:w="0" w:type="dxa"/>
          </w:tcMar>
        </w:tcPr>
        <w:p w:rsidR="008B5DBF" w:rsidRDefault="008B5DB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8B5DBF" w:rsidRDefault="008B5DB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8B5DBF" w:rsidRDefault="008B5DB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8B5DBF" w:rsidRDefault="008B5DBF">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8B5DBF" w:rsidRDefault="008B5DB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8B5DBF" w:rsidRDefault="008B5DB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B5DBF" w:rsidRPr="00C50A5C" w:rsidTr="00245129">
      <w:tc>
        <w:tcPr>
          <w:tcW w:w="4200" w:type="dxa"/>
          <w:tcMar>
            <w:left w:w="0" w:type="dxa"/>
            <w:right w:w="0" w:type="dxa"/>
          </w:tcMar>
        </w:tcPr>
        <w:p w:rsidR="008B5DBF" w:rsidRPr="00C50A5C" w:rsidRDefault="008B5DB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8B5DBF" w:rsidRPr="00C50A5C" w:rsidRDefault="008B5DB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8B5DBF" w:rsidRPr="00C50A5C" w:rsidRDefault="008B5DB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8B5DBF" w:rsidRPr="00C50A5C" w:rsidRDefault="008B5DBF"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8B5DBF" w:rsidRDefault="008B5DBF"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B5DBF" w:rsidRPr="005F263E" w:rsidTr="00245129">
      <w:tc>
        <w:tcPr>
          <w:tcW w:w="4200" w:type="dxa"/>
          <w:tcMar>
            <w:left w:w="0" w:type="dxa"/>
            <w:right w:w="0" w:type="dxa"/>
          </w:tcMar>
        </w:tcPr>
        <w:p w:rsidR="008B5DBF" w:rsidRPr="005F263E" w:rsidRDefault="008B5DBF"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8B5DBF" w:rsidRPr="005F263E" w:rsidRDefault="008B5DBF" w:rsidP="00245129">
          <w:pPr>
            <w:keepNext/>
            <w:keepLines/>
            <w:tabs>
              <w:tab w:val="left" w:pos="-1440"/>
              <w:tab w:val="left" w:pos="-720"/>
            </w:tabs>
            <w:jc w:val="center"/>
            <w:rPr>
              <w:sz w:val="20"/>
              <w:szCs w:val="20"/>
            </w:rPr>
          </w:pPr>
        </w:p>
        <w:p w:rsidR="008B5DBF" w:rsidRPr="005F263E" w:rsidRDefault="008B5DBF" w:rsidP="00245129">
          <w:pPr>
            <w:keepNext/>
            <w:keepLines/>
            <w:tabs>
              <w:tab w:val="left" w:pos="-1440"/>
              <w:tab w:val="left" w:pos="-720"/>
            </w:tabs>
            <w:jc w:val="center"/>
            <w:rPr>
              <w:sz w:val="20"/>
              <w:szCs w:val="20"/>
            </w:rPr>
          </w:pPr>
        </w:p>
      </w:tc>
      <w:tc>
        <w:tcPr>
          <w:tcW w:w="4080" w:type="dxa"/>
          <w:tcMar>
            <w:left w:w="0" w:type="dxa"/>
            <w:right w:w="0" w:type="dxa"/>
          </w:tcMar>
        </w:tcPr>
        <w:p w:rsidR="008B5DBF" w:rsidRPr="005F263E" w:rsidRDefault="008B5DBF" w:rsidP="00245129">
          <w:pPr>
            <w:keepLines/>
            <w:tabs>
              <w:tab w:val="left" w:pos="-1440"/>
              <w:tab w:val="left" w:pos="-720"/>
            </w:tabs>
            <w:rPr>
              <w:sz w:val="20"/>
              <w:szCs w:val="20"/>
            </w:rPr>
          </w:pPr>
          <w:r w:rsidRPr="005F263E">
            <w:rPr>
              <w:sz w:val="20"/>
              <w:szCs w:val="20"/>
            </w:rPr>
            <w:t>RÉSUMÉS DES AFFAIRES</w:t>
          </w:r>
        </w:p>
      </w:tc>
    </w:tr>
  </w:tbl>
  <w:p w:rsidR="008B5DBF" w:rsidRDefault="008B5DBF"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8B5DBF" w:rsidRPr="0044776A" w:rsidTr="00245129">
      <w:tc>
        <w:tcPr>
          <w:tcW w:w="4290" w:type="dxa"/>
          <w:tcMar>
            <w:left w:w="0" w:type="dxa"/>
            <w:right w:w="0" w:type="dxa"/>
          </w:tcMar>
        </w:tcPr>
        <w:p w:rsidR="008B5DBF" w:rsidRPr="0044776A" w:rsidRDefault="008B5DB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B5DBF" w:rsidRPr="0044776A" w:rsidRDefault="008B5DBF" w:rsidP="002E2327">
          <w:pPr>
            <w:keepNext/>
            <w:keepLines/>
            <w:tabs>
              <w:tab w:val="left" w:pos="-1440"/>
              <w:tab w:val="left" w:pos="-720"/>
            </w:tabs>
            <w:jc w:val="center"/>
            <w:rPr>
              <w:sz w:val="20"/>
              <w:szCs w:val="20"/>
            </w:rPr>
          </w:pPr>
        </w:p>
        <w:p w:rsidR="008B5DBF" w:rsidRPr="0044776A" w:rsidRDefault="008B5DBF" w:rsidP="002E2327">
          <w:pPr>
            <w:keepNext/>
            <w:keepLines/>
            <w:tabs>
              <w:tab w:val="left" w:pos="-1440"/>
              <w:tab w:val="left" w:pos="-720"/>
            </w:tabs>
            <w:jc w:val="center"/>
            <w:rPr>
              <w:sz w:val="20"/>
              <w:szCs w:val="20"/>
            </w:rPr>
          </w:pPr>
        </w:p>
        <w:p w:rsidR="008B5DBF" w:rsidRPr="0044776A" w:rsidRDefault="008B5DBF" w:rsidP="002E2327">
          <w:pPr>
            <w:keepNext/>
            <w:keepLines/>
            <w:tabs>
              <w:tab w:val="left" w:pos="-1440"/>
              <w:tab w:val="left" w:pos="-720"/>
            </w:tabs>
            <w:jc w:val="center"/>
            <w:rPr>
              <w:sz w:val="20"/>
              <w:szCs w:val="20"/>
            </w:rPr>
          </w:pPr>
        </w:p>
      </w:tc>
      <w:tc>
        <w:tcPr>
          <w:tcW w:w="4320" w:type="dxa"/>
          <w:tcMar>
            <w:left w:w="0" w:type="dxa"/>
            <w:right w:w="0" w:type="dxa"/>
          </w:tcMar>
        </w:tcPr>
        <w:p w:rsidR="008B5DBF" w:rsidRPr="0044776A" w:rsidRDefault="008B5DBF" w:rsidP="002E2327">
          <w:pPr>
            <w:keepLines/>
            <w:rPr>
              <w:sz w:val="20"/>
              <w:szCs w:val="20"/>
              <w:lang w:val="fr-CA"/>
            </w:rPr>
          </w:pPr>
          <w:r w:rsidRPr="0044776A">
            <w:rPr>
              <w:sz w:val="20"/>
              <w:szCs w:val="20"/>
              <w:lang w:val="fr-CA"/>
            </w:rPr>
            <w:t>DEMANDES D'AUTORISATION D'APPEL DÉPOSÉES</w:t>
          </w:r>
        </w:p>
      </w:tc>
    </w:tr>
  </w:tbl>
  <w:p w:rsidR="008B5DBF" w:rsidRDefault="008B5DB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B5DBF" w:rsidRPr="00147672" w:rsidTr="00245129">
      <w:tc>
        <w:tcPr>
          <w:tcW w:w="4200" w:type="dxa"/>
          <w:tcMar>
            <w:left w:w="0" w:type="dxa"/>
            <w:right w:w="0" w:type="dxa"/>
          </w:tcMar>
        </w:tcPr>
        <w:p w:rsidR="008B5DBF" w:rsidRPr="0044776A" w:rsidRDefault="008B5DBF" w:rsidP="0044776A">
          <w:pPr>
            <w:keepNext/>
            <w:keepLines/>
            <w:widowControl w:val="0"/>
            <w:rPr>
              <w:sz w:val="20"/>
              <w:szCs w:val="20"/>
            </w:rPr>
          </w:pPr>
          <w:r>
            <w:rPr>
              <w:sz w:val="20"/>
              <w:szCs w:val="20"/>
            </w:rPr>
            <w:t>APPLICATIONS FOR LEAVE</w:t>
          </w:r>
        </w:p>
        <w:p w:rsidR="008B5DBF" w:rsidRPr="0044776A" w:rsidRDefault="008B5DB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B5DBF" w:rsidRPr="0044776A" w:rsidRDefault="008B5DBF" w:rsidP="0044776A">
          <w:pPr>
            <w:keepNext/>
            <w:keepLines/>
            <w:widowControl w:val="0"/>
            <w:jc w:val="center"/>
            <w:rPr>
              <w:sz w:val="20"/>
              <w:szCs w:val="20"/>
            </w:rPr>
          </w:pPr>
        </w:p>
        <w:p w:rsidR="008B5DBF" w:rsidRPr="0044776A" w:rsidRDefault="008B5DBF" w:rsidP="0044776A">
          <w:pPr>
            <w:keepNext/>
            <w:keepLines/>
            <w:widowControl w:val="0"/>
            <w:jc w:val="center"/>
            <w:rPr>
              <w:sz w:val="20"/>
              <w:szCs w:val="20"/>
            </w:rPr>
          </w:pPr>
        </w:p>
        <w:p w:rsidR="008B5DBF" w:rsidRPr="0044776A" w:rsidRDefault="008B5DBF" w:rsidP="0044776A">
          <w:pPr>
            <w:keepNext/>
            <w:keepLines/>
            <w:widowControl w:val="0"/>
            <w:jc w:val="center"/>
            <w:rPr>
              <w:sz w:val="20"/>
              <w:szCs w:val="20"/>
            </w:rPr>
          </w:pPr>
        </w:p>
      </w:tc>
      <w:tc>
        <w:tcPr>
          <w:tcW w:w="4080" w:type="dxa"/>
          <w:tcMar>
            <w:left w:w="0" w:type="dxa"/>
            <w:right w:w="0" w:type="dxa"/>
          </w:tcMar>
        </w:tcPr>
        <w:p w:rsidR="008B5DBF" w:rsidRPr="0044776A" w:rsidRDefault="008B5DBF" w:rsidP="0044776A">
          <w:pPr>
            <w:keepLines/>
            <w:widowControl w:val="0"/>
            <w:rPr>
              <w:sz w:val="20"/>
              <w:szCs w:val="20"/>
              <w:lang w:val="fr-CA"/>
            </w:rPr>
          </w:pPr>
          <w:r w:rsidRPr="0044776A">
            <w:rPr>
              <w:sz w:val="20"/>
              <w:szCs w:val="20"/>
              <w:lang w:val="fr-CA"/>
            </w:rPr>
            <w:t>DEMANDES SOUMISES À LA COUR DEPUIS LA DERNIÈRE PARUTION</w:t>
          </w:r>
        </w:p>
        <w:p w:rsidR="008B5DBF" w:rsidRPr="0044776A" w:rsidRDefault="008B5DBF" w:rsidP="0044776A">
          <w:pPr>
            <w:widowControl w:val="0"/>
            <w:rPr>
              <w:sz w:val="20"/>
              <w:szCs w:val="20"/>
              <w:lang w:val="fr-CA"/>
            </w:rPr>
          </w:pPr>
        </w:p>
      </w:tc>
    </w:tr>
  </w:tbl>
  <w:p w:rsidR="008B5DBF" w:rsidRPr="002E2327" w:rsidRDefault="008B5DBF">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B5DBF" w:rsidRPr="00147672">
      <w:tc>
        <w:tcPr>
          <w:tcW w:w="420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B5DBF"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5DBF" w:rsidRPr="00FF6BA5"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B5DBF" w:rsidRPr="00FF6BA5"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B5DBF" w:rsidRPr="00FF6BA5"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B5DBF" w:rsidRPr="00FF6BA5"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B5DBF" w:rsidRPr="00147672" w:rsidTr="00245129">
      <w:tc>
        <w:tcPr>
          <w:tcW w:w="4200" w:type="dxa"/>
          <w:tcMar>
            <w:left w:w="0" w:type="dxa"/>
            <w:right w:w="0" w:type="dxa"/>
          </w:tcMar>
        </w:tcPr>
        <w:p w:rsidR="008B5DBF" w:rsidRPr="00755F22"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B5DBF" w:rsidRPr="00755F22"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B5DBF" w:rsidRPr="00755F22" w:rsidRDefault="008B5DB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B5DBF" w:rsidRPr="00755F22" w:rsidRDefault="008B5DB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B5DBF" w:rsidRPr="00755F22" w:rsidRDefault="008B5DB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B5DBF" w:rsidRPr="00755F22"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B5DBF" w:rsidRPr="00FF6BA5" w:rsidRDefault="008B5DBF"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F88"/>
    <w:multiLevelType w:val="hybridMultilevel"/>
    <w:tmpl w:val="90AC9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C37BE5"/>
    <w:multiLevelType w:val="hybridMultilevel"/>
    <w:tmpl w:val="71F431B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29554D2"/>
    <w:multiLevelType w:val="hybridMultilevel"/>
    <w:tmpl w:val="7F38F3E8"/>
    <w:lvl w:ilvl="0" w:tplc="4AFE75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336AAB"/>
    <w:multiLevelType w:val="hybridMultilevel"/>
    <w:tmpl w:val="A2F87EB8"/>
    <w:lvl w:ilvl="0" w:tplc="F0CC6740">
      <w:start w:val="1"/>
      <w:numFmt w:val="decimal"/>
      <w:lvlText w:val="%1."/>
      <w:lvlJc w:val="left"/>
      <w:pPr>
        <w:ind w:left="25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nsid w:val="48A7696A"/>
    <w:multiLevelType w:val="hybridMultilevel"/>
    <w:tmpl w:val="BD32B836"/>
    <w:lvl w:ilvl="0" w:tplc="10090017">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6">
    <w:nsid w:val="5E95475F"/>
    <w:multiLevelType w:val="hybridMultilevel"/>
    <w:tmpl w:val="9E9AF8EE"/>
    <w:lvl w:ilvl="0" w:tplc="48B4ADC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30F7AF2"/>
    <w:multiLevelType w:val="hybridMultilevel"/>
    <w:tmpl w:val="DAD83C10"/>
    <w:lvl w:ilvl="0" w:tplc="9A88D15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43027"/>
  </w:hdrShapeDefaults>
  <w:footnotePr>
    <w:footnote w:id="-1"/>
    <w:footnote w:id="0"/>
  </w:footnotePr>
  <w:endnotePr>
    <w:endnote w:id="-1"/>
    <w:endnote w:id="0"/>
  </w:endnotePr>
  <w:compat/>
  <w:rsids>
    <w:rsidRoot w:val="006429C9"/>
    <w:rsid w:val="0003223B"/>
    <w:rsid w:val="000327B2"/>
    <w:rsid w:val="00035EEA"/>
    <w:rsid w:val="0003600D"/>
    <w:rsid w:val="000425E0"/>
    <w:rsid w:val="0006203F"/>
    <w:rsid w:val="00096BD6"/>
    <w:rsid w:val="00096BD9"/>
    <w:rsid w:val="000B1096"/>
    <w:rsid w:val="000B3C9A"/>
    <w:rsid w:val="000B40A2"/>
    <w:rsid w:val="000B4624"/>
    <w:rsid w:val="000C0ACD"/>
    <w:rsid w:val="000D4438"/>
    <w:rsid w:val="00102926"/>
    <w:rsid w:val="001050F7"/>
    <w:rsid w:val="0010587F"/>
    <w:rsid w:val="00111C6B"/>
    <w:rsid w:val="0012102B"/>
    <w:rsid w:val="00133166"/>
    <w:rsid w:val="0013369E"/>
    <w:rsid w:val="001358EA"/>
    <w:rsid w:val="00144413"/>
    <w:rsid w:val="00147672"/>
    <w:rsid w:val="00164E6D"/>
    <w:rsid w:val="001A369C"/>
    <w:rsid w:val="001B157C"/>
    <w:rsid w:val="001B5C23"/>
    <w:rsid w:val="001D0D5F"/>
    <w:rsid w:val="001D6B8C"/>
    <w:rsid w:val="001E6CC4"/>
    <w:rsid w:val="001F1F83"/>
    <w:rsid w:val="00201713"/>
    <w:rsid w:val="002021A9"/>
    <w:rsid w:val="002139A7"/>
    <w:rsid w:val="00215F7C"/>
    <w:rsid w:val="0022323B"/>
    <w:rsid w:val="0023286C"/>
    <w:rsid w:val="002410B8"/>
    <w:rsid w:val="00242AEE"/>
    <w:rsid w:val="00245129"/>
    <w:rsid w:val="00245879"/>
    <w:rsid w:val="00246753"/>
    <w:rsid w:val="00267FD5"/>
    <w:rsid w:val="002868D0"/>
    <w:rsid w:val="002A0CC0"/>
    <w:rsid w:val="002A27D1"/>
    <w:rsid w:val="002A4AFA"/>
    <w:rsid w:val="002B516C"/>
    <w:rsid w:val="002B7C72"/>
    <w:rsid w:val="002D36BA"/>
    <w:rsid w:val="002D72EB"/>
    <w:rsid w:val="002E2327"/>
    <w:rsid w:val="002E3583"/>
    <w:rsid w:val="002E5576"/>
    <w:rsid w:val="00321D26"/>
    <w:rsid w:val="00322D1E"/>
    <w:rsid w:val="00330597"/>
    <w:rsid w:val="00331B52"/>
    <w:rsid w:val="003359D3"/>
    <w:rsid w:val="003423FA"/>
    <w:rsid w:val="00355967"/>
    <w:rsid w:val="00382C47"/>
    <w:rsid w:val="00384384"/>
    <w:rsid w:val="003866AE"/>
    <w:rsid w:val="0038764E"/>
    <w:rsid w:val="003A4DF6"/>
    <w:rsid w:val="003A7F74"/>
    <w:rsid w:val="003B3977"/>
    <w:rsid w:val="003D6907"/>
    <w:rsid w:val="003E71CC"/>
    <w:rsid w:val="00414424"/>
    <w:rsid w:val="00416238"/>
    <w:rsid w:val="00423627"/>
    <w:rsid w:val="004253E5"/>
    <w:rsid w:val="0043105F"/>
    <w:rsid w:val="0043272D"/>
    <w:rsid w:val="00432989"/>
    <w:rsid w:val="0043450D"/>
    <w:rsid w:val="00440E24"/>
    <w:rsid w:val="0044776A"/>
    <w:rsid w:val="00453880"/>
    <w:rsid w:val="00460AFC"/>
    <w:rsid w:val="0047471F"/>
    <w:rsid w:val="00493E3D"/>
    <w:rsid w:val="004A002B"/>
    <w:rsid w:val="004A766B"/>
    <w:rsid w:val="004A7847"/>
    <w:rsid w:val="004B195E"/>
    <w:rsid w:val="004B3A11"/>
    <w:rsid w:val="004B590F"/>
    <w:rsid w:val="004B66B4"/>
    <w:rsid w:val="004B7F60"/>
    <w:rsid w:val="004C1AAC"/>
    <w:rsid w:val="004C1E42"/>
    <w:rsid w:val="004F090E"/>
    <w:rsid w:val="00505819"/>
    <w:rsid w:val="00527CC7"/>
    <w:rsid w:val="00560D50"/>
    <w:rsid w:val="00571CA4"/>
    <w:rsid w:val="00582136"/>
    <w:rsid w:val="005C6840"/>
    <w:rsid w:val="005E5169"/>
    <w:rsid w:val="005F263E"/>
    <w:rsid w:val="00600252"/>
    <w:rsid w:val="00603D4E"/>
    <w:rsid w:val="00612A40"/>
    <w:rsid w:val="006412B3"/>
    <w:rsid w:val="006429C9"/>
    <w:rsid w:val="006472CB"/>
    <w:rsid w:val="0065182F"/>
    <w:rsid w:val="006644A1"/>
    <w:rsid w:val="00675479"/>
    <w:rsid w:val="00675FD6"/>
    <w:rsid w:val="00696BF9"/>
    <w:rsid w:val="00697C62"/>
    <w:rsid w:val="006A329B"/>
    <w:rsid w:val="006A7EB8"/>
    <w:rsid w:val="006B6926"/>
    <w:rsid w:val="006C3F47"/>
    <w:rsid w:val="006C5F7A"/>
    <w:rsid w:val="006D692D"/>
    <w:rsid w:val="006E06AF"/>
    <w:rsid w:val="006F350F"/>
    <w:rsid w:val="007107CA"/>
    <w:rsid w:val="0071182B"/>
    <w:rsid w:val="00712E9F"/>
    <w:rsid w:val="00732907"/>
    <w:rsid w:val="00732DB7"/>
    <w:rsid w:val="00735F22"/>
    <w:rsid w:val="0074238B"/>
    <w:rsid w:val="00745EF7"/>
    <w:rsid w:val="00755F22"/>
    <w:rsid w:val="00766E4A"/>
    <w:rsid w:val="00773D05"/>
    <w:rsid w:val="007768DF"/>
    <w:rsid w:val="007820CE"/>
    <w:rsid w:val="00782AE4"/>
    <w:rsid w:val="00786F4F"/>
    <w:rsid w:val="0079724F"/>
    <w:rsid w:val="007A3220"/>
    <w:rsid w:val="007A3EAE"/>
    <w:rsid w:val="007C04FC"/>
    <w:rsid w:val="007C6BCC"/>
    <w:rsid w:val="007D3E0F"/>
    <w:rsid w:val="007D551F"/>
    <w:rsid w:val="007E04C7"/>
    <w:rsid w:val="007F2C41"/>
    <w:rsid w:val="007F387B"/>
    <w:rsid w:val="00802863"/>
    <w:rsid w:val="00813D54"/>
    <w:rsid w:val="00815B3C"/>
    <w:rsid w:val="008200CD"/>
    <w:rsid w:val="008261EA"/>
    <w:rsid w:val="0082783A"/>
    <w:rsid w:val="00831CA9"/>
    <w:rsid w:val="00850E1F"/>
    <w:rsid w:val="0085476B"/>
    <w:rsid w:val="00857918"/>
    <w:rsid w:val="00881914"/>
    <w:rsid w:val="008831EB"/>
    <w:rsid w:val="00890FEB"/>
    <w:rsid w:val="008B5DBF"/>
    <w:rsid w:val="008D292F"/>
    <w:rsid w:val="008E03DC"/>
    <w:rsid w:val="009239E6"/>
    <w:rsid w:val="00924065"/>
    <w:rsid w:val="00930D68"/>
    <w:rsid w:val="00932DB4"/>
    <w:rsid w:val="00941A4B"/>
    <w:rsid w:val="00946242"/>
    <w:rsid w:val="0095096B"/>
    <w:rsid w:val="00962844"/>
    <w:rsid w:val="00970CD3"/>
    <w:rsid w:val="009723FA"/>
    <w:rsid w:val="00982EB3"/>
    <w:rsid w:val="00984546"/>
    <w:rsid w:val="00984B41"/>
    <w:rsid w:val="00990FFF"/>
    <w:rsid w:val="00996510"/>
    <w:rsid w:val="009A57C7"/>
    <w:rsid w:val="009B21E4"/>
    <w:rsid w:val="009C0773"/>
    <w:rsid w:val="009D1F15"/>
    <w:rsid w:val="009D555E"/>
    <w:rsid w:val="009E523F"/>
    <w:rsid w:val="009F3024"/>
    <w:rsid w:val="00A0355E"/>
    <w:rsid w:val="00A1317F"/>
    <w:rsid w:val="00A375D1"/>
    <w:rsid w:val="00A51D10"/>
    <w:rsid w:val="00A52A83"/>
    <w:rsid w:val="00A6552C"/>
    <w:rsid w:val="00A87207"/>
    <w:rsid w:val="00A935AA"/>
    <w:rsid w:val="00AB2201"/>
    <w:rsid w:val="00AD3259"/>
    <w:rsid w:val="00AF1715"/>
    <w:rsid w:val="00AF3904"/>
    <w:rsid w:val="00B010C0"/>
    <w:rsid w:val="00B0663A"/>
    <w:rsid w:val="00B246A2"/>
    <w:rsid w:val="00B27643"/>
    <w:rsid w:val="00B30033"/>
    <w:rsid w:val="00B4740D"/>
    <w:rsid w:val="00B50EA3"/>
    <w:rsid w:val="00B61629"/>
    <w:rsid w:val="00B72EB6"/>
    <w:rsid w:val="00B7374B"/>
    <w:rsid w:val="00B739E7"/>
    <w:rsid w:val="00B85D1A"/>
    <w:rsid w:val="00B90DC0"/>
    <w:rsid w:val="00B9220A"/>
    <w:rsid w:val="00BA116A"/>
    <w:rsid w:val="00BA5582"/>
    <w:rsid w:val="00BA628A"/>
    <w:rsid w:val="00BA6468"/>
    <w:rsid w:val="00BD06DA"/>
    <w:rsid w:val="00BD4217"/>
    <w:rsid w:val="00BE1E8A"/>
    <w:rsid w:val="00BE37CC"/>
    <w:rsid w:val="00BF25F3"/>
    <w:rsid w:val="00C1697B"/>
    <w:rsid w:val="00C21CB5"/>
    <w:rsid w:val="00C24D29"/>
    <w:rsid w:val="00C50A5C"/>
    <w:rsid w:val="00C50FDF"/>
    <w:rsid w:val="00C63381"/>
    <w:rsid w:val="00C6513D"/>
    <w:rsid w:val="00C65FFF"/>
    <w:rsid w:val="00C73D06"/>
    <w:rsid w:val="00C73E1B"/>
    <w:rsid w:val="00C759B4"/>
    <w:rsid w:val="00C77713"/>
    <w:rsid w:val="00C9352C"/>
    <w:rsid w:val="00CA2439"/>
    <w:rsid w:val="00CB43D5"/>
    <w:rsid w:val="00CB50CF"/>
    <w:rsid w:val="00CB6F62"/>
    <w:rsid w:val="00CB7B5A"/>
    <w:rsid w:val="00CC3F2E"/>
    <w:rsid w:val="00CC4D84"/>
    <w:rsid w:val="00CD5225"/>
    <w:rsid w:val="00CE198A"/>
    <w:rsid w:val="00CE2EB7"/>
    <w:rsid w:val="00D0639D"/>
    <w:rsid w:val="00D30A85"/>
    <w:rsid w:val="00D311A8"/>
    <w:rsid w:val="00D61692"/>
    <w:rsid w:val="00D64901"/>
    <w:rsid w:val="00D70052"/>
    <w:rsid w:val="00D76BDF"/>
    <w:rsid w:val="00D862C1"/>
    <w:rsid w:val="00D93B50"/>
    <w:rsid w:val="00D94670"/>
    <w:rsid w:val="00DA0595"/>
    <w:rsid w:val="00DA46F6"/>
    <w:rsid w:val="00DC376B"/>
    <w:rsid w:val="00DD0B49"/>
    <w:rsid w:val="00E06DFA"/>
    <w:rsid w:val="00E20A0A"/>
    <w:rsid w:val="00E21B4E"/>
    <w:rsid w:val="00E236CE"/>
    <w:rsid w:val="00E356C7"/>
    <w:rsid w:val="00E4444D"/>
    <w:rsid w:val="00E45FE4"/>
    <w:rsid w:val="00E64FA7"/>
    <w:rsid w:val="00E70BCB"/>
    <w:rsid w:val="00E770CB"/>
    <w:rsid w:val="00E8461D"/>
    <w:rsid w:val="00E87717"/>
    <w:rsid w:val="00E903A1"/>
    <w:rsid w:val="00E940EB"/>
    <w:rsid w:val="00EB2B90"/>
    <w:rsid w:val="00EB4358"/>
    <w:rsid w:val="00ED65F8"/>
    <w:rsid w:val="00ED7E83"/>
    <w:rsid w:val="00EF4B63"/>
    <w:rsid w:val="00F0068D"/>
    <w:rsid w:val="00F05156"/>
    <w:rsid w:val="00F0576D"/>
    <w:rsid w:val="00F14E6D"/>
    <w:rsid w:val="00F15EA8"/>
    <w:rsid w:val="00F16C8D"/>
    <w:rsid w:val="00F26C61"/>
    <w:rsid w:val="00F33CCE"/>
    <w:rsid w:val="00F40249"/>
    <w:rsid w:val="00F526C8"/>
    <w:rsid w:val="00F67E88"/>
    <w:rsid w:val="00F852FC"/>
    <w:rsid w:val="00F9272D"/>
    <w:rsid w:val="00F9518C"/>
    <w:rsid w:val="00F96FE7"/>
    <w:rsid w:val="00FA316E"/>
    <w:rsid w:val="00FA59EF"/>
    <w:rsid w:val="00FB19A2"/>
    <w:rsid w:val="00FC0B68"/>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C24D29"/>
    <w:pPr>
      <w:jc w:val="center"/>
    </w:pPr>
    <w:rPr>
      <w:rFonts w:eastAsia="Calibri" w:cs="Times New Roman"/>
      <w:lang w:val="fr-CA"/>
    </w:rPr>
  </w:style>
  <w:style w:type="character" w:customStyle="1" w:styleId="SCCLsocPartyChar">
    <w:name w:val="SCC.Lsoc.Party Char"/>
    <w:basedOn w:val="DefaultParagraphFont"/>
    <w:link w:val="SCCLsocParty"/>
    <w:rsid w:val="00C24D29"/>
    <w:rPr>
      <w:rFonts w:eastAsia="Calibri" w:cs="Times New Roman"/>
      <w:lang w:val="fr-CA"/>
    </w:rPr>
  </w:style>
  <w:style w:type="paragraph" w:customStyle="1" w:styleId="SCCLowerCourtNameLowercase">
    <w:name w:val="SCC.LowerCourtNameLowercase"/>
    <w:basedOn w:val="SCCNormalDoubleSpacing"/>
    <w:next w:val="SCCNormalDoubleSpacing"/>
    <w:rsid w:val="00FC0B68"/>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25840</Words>
  <Characters>147290</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2012-06-29T19:22:00Z</dcterms:created>
  <dcterms:modified xsi:type="dcterms:W3CDTF">2012-07-03T19:30:00Z</dcterms:modified>
</cp:coreProperties>
</file>