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3581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3581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3581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3581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35818" w:rsidTr="002E5576">
        <w:tc>
          <w:tcPr>
            <w:tcW w:w="4518" w:type="dxa"/>
          </w:tcPr>
          <w:p w:rsidR="00BF25F3" w:rsidRPr="002E2327" w:rsidRDefault="00B62B1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62B1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35818" w:rsidTr="002E5576">
        <w:tc>
          <w:tcPr>
            <w:tcW w:w="4518" w:type="dxa"/>
          </w:tcPr>
          <w:p w:rsidR="009F3024" w:rsidRPr="00D5299C" w:rsidRDefault="009F3024" w:rsidP="009F3024">
            <w:pPr>
              <w:tabs>
                <w:tab w:val="left" w:pos="6075"/>
              </w:tabs>
              <w:rPr>
                <w:rFonts w:cs="Times New Roman"/>
                <w:szCs w:val="24"/>
                <w:lang w:val="fr-CA"/>
              </w:rPr>
            </w:pPr>
          </w:p>
          <w:p w:rsidR="009F3024" w:rsidRPr="00D5299C" w:rsidRDefault="009F3024" w:rsidP="009F3024">
            <w:pPr>
              <w:tabs>
                <w:tab w:val="left" w:pos="6075"/>
              </w:tabs>
              <w:rPr>
                <w:rFonts w:cs="Times New Roman"/>
                <w:szCs w:val="24"/>
                <w:lang w:val="fr-CA"/>
              </w:rPr>
            </w:pPr>
          </w:p>
        </w:tc>
        <w:tc>
          <w:tcPr>
            <w:tcW w:w="630" w:type="dxa"/>
          </w:tcPr>
          <w:p w:rsidR="009F3024" w:rsidRPr="00D5299C"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83581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CD29AC">
        <w:rPr>
          <w:lang w:val="fr-CA"/>
        </w:rPr>
        <w:t>l</w:t>
      </w:r>
      <w:r>
        <w:rPr>
          <w:lang w:val="fr-CA"/>
        </w:rPr>
        <w:t>y</w:t>
      </w:r>
      <w:r w:rsidR="00440E24" w:rsidRPr="00675479">
        <w:rPr>
          <w:lang w:val="fr-CA"/>
        </w:rPr>
        <w:t xml:space="preserve"> </w:t>
      </w:r>
      <w:r w:rsidR="00CD29AC">
        <w:rPr>
          <w:lang w:val="fr-CA"/>
        </w:rPr>
        <w:t>27</w:t>
      </w:r>
      <w:r w:rsidR="00440E24" w:rsidRPr="00675479">
        <w:rPr>
          <w:lang w:val="fr-CA"/>
        </w:rPr>
        <w:t>, 201</w:t>
      </w:r>
      <w:r>
        <w:rPr>
          <w:lang w:val="fr-CA"/>
        </w:rPr>
        <w:t>2</w:t>
      </w:r>
      <w:r w:rsidR="00F0068D" w:rsidRPr="00675479">
        <w:rPr>
          <w:lang w:val="fr-CA"/>
        </w:rPr>
        <w:tab/>
        <w:t>1</w:t>
      </w:r>
      <w:r w:rsidR="00CD29AC">
        <w:rPr>
          <w:lang w:val="fr-CA"/>
        </w:rPr>
        <w:t>150</w:t>
      </w:r>
      <w:r w:rsidR="00F0068D" w:rsidRPr="00675479">
        <w:rPr>
          <w:lang w:val="fr-CA"/>
        </w:rPr>
        <w:t xml:space="preserve"> - </w:t>
      </w:r>
      <w:r w:rsidR="00CA1EAC">
        <w:rPr>
          <w:lang w:val="fr-CA"/>
        </w:rPr>
        <w:t>1172</w:t>
      </w:r>
      <w:r w:rsidR="00440E24" w:rsidRPr="00675479">
        <w:rPr>
          <w:lang w:val="fr-CA"/>
        </w:rPr>
        <w:tab/>
      </w:r>
      <w:r w:rsidR="00440E24" w:rsidRPr="002E2327">
        <w:rPr>
          <w:lang w:val="fr-CA"/>
        </w:rPr>
        <w:t>Le</w:t>
      </w:r>
      <w:r>
        <w:rPr>
          <w:lang w:val="fr-CA"/>
        </w:rPr>
        <w:t xml:space="preserve"> </w:t>
      </w:r>
      <w:r w:rsidR="00CD29AC">
        <w:rPr>
          <w:lang w:val="fr-CA"/>
        </w:rPr>
        <w:t>27</w:t>
      </w:r>
      <w:r>
        <w:rPr>
          <w:lang w:val="fr-CA"/>
        </w:rPr>
        <w:t xml:space="preserve"> j</w:t>
      </w:r>
      <w:r w:rsidR="00CD29AC">
        <w:rPr>
          <w:lang w:val="fr-CA"/>
        </w:rPr>
        <w:t>u</w:t>
      </w:r>
      <w:r w:rsidR="00440E24" w:rsidRPr="002E2327">
        <w:rPr>
          <w:lang w:val="fr-CA"/>
        </w:rPr>
        <w:t>i</w:t>
      </w:r>
      <w:r w:rsidR="00CD29AC">
        <w:rPr>
          <w:lang w:val="fr-CA"/>
        </w:rPr>
        <w:t>ll</w:t>
      </w:r>
      <w:r>
        <w:rPr>
          <w:lang w:val="fr-CA"/>
        </w:rPr>
        <w:t>e</w:t>
      </w:r>
      <w:r w:rsidR="00CD29AC">
        <w:rPr>
          <w:lang w:val="fr-CA"/>
        </w:rPr>
        <w:t>t</w:t>
      </w:r>
      <w:r w:rsidR="00440E24" w:rsidRPr="002E2327">
        <w:rPr>
          <w:lang w:val="fr-CA"/>
        </w:rPr>
        <w:t xml:space="preserve"> 201</w:t>
      </w:r>
      <w:r>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835818"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intervention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A87207" w:rsidRPr="002E2327" w:rsidRDefault="00A87207" w:rsidP="00466849">
            <w:pPr>
              <w:tabs>
                <w:tab w:val="right" w:pos="9360"/>
              </w:tabs>
              <w:rPr>
                <w:rFonts w:cs="Times New Roman"/>
                <w:sz w:val="20"/>
                <w:szCs w:val="20"/>
              </w:rPr>
            </w:pPr>
          </w:p>
        </w:tc>
        <w:tc>
          <w:tcPr>
            <w:tcW w:w="1980" w:type="dxa"/>
          </w:tcPr>
          <w:p w:rsidR="0095096B" w:rsidRPr="002E2327" w:rsidRDefault="002244A0" w:rsidP="0095096B">
            <w:pPr>
              <w:jc w:val="center"/>
              <w:rPr>
                <w:rFonts w:cs="Times New Roman"/>
                <w:sz w:val="20"/>
                <w:szCs w:val="20"/>
              </w:rPr>
            </w:pPr>
            <w:r>
              <w:rPr>
                <w:rFonts w:cs="Times New Roman"/>
                <w:sz w:val="20"/>
                <w:szCs w:val="20"/>
              </w:rPr>
              <w:t xml:space="preserve">1150 </w:t>
            </w:r>
            <w:r w:rsidR="00B62B14" w:rsidRPr="002E2327">
              <w:rPr>
                <w:rFonts w:cs="Times New Roman"/>
                <w:sz w:val="20"/>
                <w:szCs w:val="20"/>
              </w:rPr>
              <w:fldChar w:fldCharType="begin"/>
            </w:r>
            <w:r w:rsidR="0095096B" w:rsidRPr="002E2327">
              <w:rPr>
                <w:rFonts w:cs="Times New Roman"/>
                <w:sz w:val="20"/>
                <w:szCs w:val="20"/>
              </w:rPr>
              <w:instrText xml:space="preserve"> SEQ CHAPTER \h \r 1</w:instrText>
            </w:r>
            <w:r w:rsidR="00B62B14" w:rsidRPr="002E2327">
              <w:rPr>
                <w:rFonts w:cs="Times New Roman"/>
                <w:sz w:val="20"/>
                <w:szCs w:val="20"/>
              </w:rPr>
              <w:fldChar w:fldCharType="end"/>
            </w:r>
            <w:r w:rsidR="0095096B" w:rsidRPr="002E2327">
              <w:rPr>
                <w:rFonts w:cs="Times New Roman"/>
                <w:sz w:val="20"/>
                <w:szCs w:val="20"/>
              </w:rPr>
              <w:t>-</w:t>
            </w:r>
            <w:r w:rsidR="0076608A">
              <w:rPr>
                <w:rFonts w:cs="Times New Roman"/>
                <w:sz w:val="20"/>
                <w:szCs w:val="20"/>
              </w:rPr>
              <w:t xml:space="preserve"> 1151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6608A" w:rsidP="0095096B">
            <w:pPr>
              <w:jc w:val="center"/>
              <w:rPr>
                <w:rFonts w:cs="Times New Roman"/>
                <w:sz w:val="20"/>
                <w:szCs w:val="20"/>
              </w:rPr>
            </w:pPr>
            <w:r>
              <w:rPr>
                <w:rFonts w:cs="Times New Roman"/>
                <w:sz w:val="20"/>
                <w:szCs w:val="20"/>
              </w:rPr>
              <w:t xml:space="preserve">1152 </w:t>
            </w:r>
            <w:r w:rsidR="0095096B" w:rsidRPr="002E2327">
              <w:rPr>
                <w:rFonts w:cs="Times New Roman"/>
                <w:sz w:val="20"/>
                <w:szCs w:val="20"/>
              </w:rPr>
              <w:t>-</w:t>
            </w:r>
            <w:r w:rsidR="00FD6996">
              <w:rPr>
                <w:rFonts w:cs="Times New Roman"/>
                <w:sz w:val="20"/>
                <w:szCs w:val="20"/>
              </w:rPr>
              <w:t xml:space="preserve"> 1153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E697B" w:rsidP="0095096B">
            <w:pPr>
              <w:jc w:val="center"/>
              <w:rPr>
                <w:rFonts w:cs="Times New Roman"/>
                <w:sz w:val="20"/>
                <w:szCs w:val="20"/>
              </w:rPr>
            </w:pPr>
            <w:r>
              <w:rPr>
                <w:rFonts w:cs="Times New Roman"/>
                <w:sz w:val="20"/>
                <w:szCs w:val="20"/>
              </w:rPr>
              <w:t xml:space="preserve">1154 </w:t>
            </w:r>
            <w:r w:rsidR="0095096B" w:rsidRPr="002E2327">
              <w:rPr>
                <w:rFonts w:cs="Times New Roman"/>
                <w:sz w:val="20"/>
                <w:szCs w:val="20"/>
              </w:rPr>
              <w:t>-</w:t>
            </w:r>
            <w:r>
              <w:rPr>
                <w:rFonts w:cs="Times New Roman"/>
                <w:sz w:val="20"/>
                <w:szCs w:val="20"/>
              </w:rPr>
              <w:t xml:space="preserve"> 1159</w:t>
            </w:r>
          </w:p>
          <w:p w:rsidR="0095096B" w:rsidRPr="002E2327" w:rsidRDefault="0095096B" w:rsidP="0095096B">
            <w:pPr>
              <w:jc w:val="center"/>
              <w:rPr>
                <w:rFonts w:cs="Times New Roman"/>
                <w:sz w:val="20"/>
                <w:szCs w:val="20"/>
              </w:rPr>
            </w:pPr>
          </w:p>
          <w:p w:rsidR="00CE697B" w:rsidRDefault="00CE697B" w:rsidP="0095096B">
            <w:pPr>
              <w:jc w:val="center"/>
              <w:rPr>
                <w:rFonts w:cs="Times New Roman"/>
                <w:sz w:val="20"/>
                <w:szCs w:val="20"/>
              </w:rPr>
            </w:pPr>
          </w:p>
          <w:p w:rsidR="0095096B" w:rsidRPr="002E2327" w:rsidRDefault="00CE697B" w:rsidP="0095096B">
            <w:pPr>
              <w:jc w:val="center"/>
              <w:rPr>
                <w:rFonts w:cs="Times New Roman"/>
                <w:sz w:val="20"/>
                <w:szCs w:val="20"/>
              </w:rPr>
            </w:pPr>
            <w:r>
              <w:rPr>
                <w:rFonts w:cs="Times New Roman"/>
                <w:sz w:val="20"/>
                <w:szCs w:val="20"/>
              </w:rPr>
              <w:t xml:space="preserve">1160 </w:t>
            </w:r>
            <w:r w:rsidR="0095096B" w:rsidRPr="002E2327">
              <w:rPr>
                <w:rFonts w:cs="Times New Roman"/>
                <w:sz w:val="20"/>
                <w:szCs w:val="20"/>
              </w:rPr>
              <w:t>-</w:t>
            </w:r>
            <w:r>
              <w:rPr>
                <w:rFonts w:cs="Times New Roman"/>
                <w:sz w:val="20"/>
                <w:szCs w:val="20"/>
              </w:rPr>
              <w:t xml:space="preserve"> 1162</w:t>
            </w:r>
          </w:p>
          <w:p w:rsidR="0095096B" w:rsidRPr="002E2327" w:rsidRDefault="0095096B" w:rsidP="0095096B">
            <w:pPr>
              <w:jc w:val="center"/>
              <w:rPr>
                <w:rFonts w:cs="Times New Roman"/>
                <w:sz w:val="20"/>
                <w:szCs w:val="20"/>
              </w:rPr>
            </w:pPr>
          </w:p>
          <w:p w:rsidR="0095096B" w:rsidRPr="002E2327" w:rsidRDefault="00466849" w:rsidP="0095096B">
            <w:pPr>
              <w:jc w:val="center"/>
              <w:rPr>
                <w:rFonts w:cs="Times New Roman"/>
                <w:sz w:val="20"/>
                <w:szCs w:val="20"/>
              </w:rPr>
            </w:pPr>
            <w:r>
              <w:rPr>
                <w:rFonts w:cs="Times New Roman"/>
                <w:sz w:val="20"/>
                <w:szCs w:val="20"/>
              </w:rPr>
              <w:t>1163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66849" w:rsidP="0095096B">
            <w:pPr>
              <w:jc w:val="center"/>
              <w:rPr>
                <w:rFonts w:cs="Times New Roman"/>
                <w:sz w:val="20"/>
                <w:szCs w:val="20"/>
              </w:rPr>
            </w:pPr>
            <w:r>
              <w:rPr>
                <w:rFonts w:cs="Times New Roman"/>
                <w:sz w:val="20"/>
                <w:szCs w:val="20"/>
              </w:rPr>
              <w:t>1164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66849" w:rsidP="0095096B">
            <w:pPr>
              <w:jc w:val="center"/>
              <w:rPr>
                <w:rFonts w:cs="Times New Roman"/>
                <w:sz w:val="20"/>
                <w:szCs w:val="20"/>
              </w:rPr>
            </w:pPr>
            <w:r>
              <w:rPr>
                <w:rFonts w:cs="Times New Roman"/>
                <w:sz w:val="20"/>
                <w:szCs w:val="20"/>
              </w:rPr>
              <w:t xml:space="preserve">1165 </w:t>
            </w:r>
            <w:r w:rsidR="0095096B" w:rsidRPr="002E2327">
              <w:rPr>
                <w:rFonts w:cs="Times New Roman"/>
                <w:sz w:val="20"/>
                <w:szCs w:val="20"/>
              </w:rPr>
              <w:t>-</w:t>
            </w:r>
            <w:r w:rsidR="007054F8">
              <w:rPr>
                <w:rFonts w:cs="Times New Roman"/>
                <w:sz w:val="20"/>
                <w:szCs w:val="20"/>
              </w:rPr>
              <w:t xml:space="preserve"> 1171</w:t>
            </w:r>
          </w:p>
          <w:p w:rsidR="0095096B" w:rsidRPr="002E2327" w:rsidRDefault="0095096B" w:rsidP="0095096B">
            <w:pPr>
              <w:jc w:val="center"/>
              <w:rPr>
                <w:rFonts w:cs="Times New Roman"/>
                <w:sz w:val="20"/>
                <w:szCs w:val="20"/>
              </w:rPr>
            </w:pPr>
          </w:p>
          <w:p w:rsidR="0095096B" w:rsidRPr="002E2327" w:rsidRDefault="007054F8" w:rsidP="0095096B">
            <w:pPr>
              <w:jc w:val="center"/>
              <w:rPr>
                <w:rFonts w:cs="Times New Roman"/>
                <w:sz w:val="20"/>
                <w:szCs w:val="20"/>
              </w:rPr>
            </w:pPr>
            <w:r>
              <w:rPr>
                <w:rFonts w:cs="Times New Roman"/>
                <w:sz w:val="20"/>
                <w:szCs w:val="20"/>
              </w:rPr>
              <w:t>1172</w:t>
            </w:r>
          </w:p>
          <w:p w:rsidR="00A87207" w:rsidRPr="002E2327" w:rsidRDefault="00A87207" w:rsidP="00466849">
            <w:pPr>
              <w:jc w:val="center"/>
              <w:rPr>
                <w:rFonts w:cs="Times New Roman"/>
                <w:sz w:val="20"/>
                <w:szCs w:val="20"/>
              </w:rPr>
            </w:pPr>
          </w:p>
        </w:tc>
        <w:tc>
          <w:tcPr>
            <w:tcW w:w="3888" w:type="dxa"/>
          </w:tcPr>
          <w:p w:rsidR="0095096B" w:rsidRPr="002E2327" w:rsidRDefault="00B62B1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d'intervention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A87207" w:rsidRPr="002E2327" w:rsidRDefault="00A87207" w:rsidP="00466849">
            <w:pPr>
              <w:tabs>
                <w:tab w:val="right" w:pos="9360"/>
              </w:tabs>
              <w:rPr>
                <w:rFonts w:cs="Times New Roman"/>
                <w:sz w:val="20"/>
                <w:szCs w:val="20"/>
                <w:lang w:val="fr-CA"/>
              </w:rPr>
            </w:pPr>
          </w:p>
        </w:tc>
      </w:tr>
    </w:tbl>
    <w:p w:rsidR="0095096B" w:rsidRPr="00EE3FD6" w:rsidRDefault="0095096B" w:rsidP="0095096B">
      <w:pPr>
        <w:tabs>
          <w:tab w:val="right" w:pos="9360"/>
        </w:tabs>
        <w:rPr>
          <w:lang w:val="fr-CA"/>
        </w:rPr>
      </w:pPr>
    </w:p>
    <w:p w:rsidR="0076608A" w:rsidRPr="00EE3FD6" w:rsidRDefault="0076608A" w:rsidP="0095096B">
      <w:pPr>
        <w:tabs>
          <w:tab w:val="right" w:pos="9360"/>
        </w:tabs>
        <w:rPr>
          <w:lang w:val="fr-CA"/>
        </w:rPr>
      </w:pPr>
    </w:p>
    <w:p w:rsidR="00466849" w:rsidRPr="00EE3FD6" w:rsidRDefault="00466849" w:rsidP="0095096B">
      <w:pPr>
        <w:tabs>
          <w:tab w:val="right" w:pos="9360"/>
        </w:tabs>
        <w:rPr>
          <w:lang w:val="fr-CA"/>
        </w:rPr>
      </w:pPr>
    </w:p>
    <w:p w:rsidR="00466849" w:rsidRPr="00EE3FD6" w:rsidRDefault="00466849" w:rsidP="0095096B">
      <w:pPr>
        <w:tabs>
          <w:tab w:val="right" w:pos="9360"/>
        </w:tabs>
        <w:rPr>
          <w:lang w:val="fr-CA"/>
        </w:rPr>
      </w:pPr>
    </w:p>
    <w:p w:rsidR="00466849" w:rsidRPr="00EE3FD6" w:rsidRDefault="00466849" w:rsidP="0095096B">
      <w:pPr>
        <w:tabs>
          <w:tab w:val="right" w:pos="9360"/>
        </w:tabs>
        <w:rPr>
          <w:lang w:val="fr-CA"/>
        </w:rPr>
      </w:pPr>
    </w:p>
    <w:p w:rsidR="00466849" w:rsidRPr="00EE3FD6" w:rsidRDefault="00466849" w:rsidP="0095096B">
      <w:pPr>
        <w:tabs>
          <w:tab w:val="right" w:pos="9360"/>
        </w:tabs>
        <w:rPr>
          <w:lang w:val="fr-CA"/>
        </w:rPr>
      </w:pPr>
    </w:p>
    <w:tbl>
      <w:tblPr>
        <w:tblStyle w:val="TableGrid"/>
        <w:tblW w:w="0" w:type="auto"/>
        <w:tblLook w:val="04A0"/>
      </w:tblPr>
      <w:tblGrid>
        <w:gridCol w:w="9576"/>
      </w:tblGrid>
      <w:tr w:rsidR="0079724F" w:rsidRPr="0083581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p w:rsidR="00D5299C" w:rsidRPr="00C50A5C" w:rsidRDefault="00D5299C" w:rsidP="00D5299C">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D5299C" w:rsidRPr="00FE5B4D" w:rsidTr="002244A0">
        <w:tc>
          <w:tcPr>
            <w:tcW w:w="4320" w:type="dxa"/>
            <w:shd w:val="clear" w:color="auto" w:fill="auto"/>
          </w:tcPr>
          <w:p w:rsidR="00D5299C" w:rsidRPr="00A935AA" w:rsidRDefault="00FE5B4D" w:rsidP="002244A0">
            <w:pPr>
              <w:rPr>
                <w:b/>
                <w:sz w:val="20"/>
                <w:szCs w:val="20"/>
              </w:rPr>
            </w:pPr>
            <w:r>
              <w:rPr>
                <w:b/>
                <w:sz w:val="20"/>
                <w:szCs w:val="20"/>
              </w:rPr>
              <w:t>Nicole Lacroix et al.</w:t>
            </w:r>
          </w:p>
          <w:p w:rsidR="00D5299C" w:rsidRPr="00A935AA" w:rsidRDefault="00D5299C" w:rsidP="002244A0">
            <w:pPr>
              <w:tabs>
                <w:tab w:val="left" w:pos="-1440"/>
                <w:tab w:val="left" w:pos="-720"/>
              </w:tabs>
              <w:rPr>
                <w:sz w:val="20"/>
                <w:szCs w:val="20"/>
              </w:rPr>
            </w:pPr>
            <w:r w:rsidRPr="00A935AA">
              <w:rPr>
                <w:sz w:val="20"/>
                <w:szCs w:val="20"/>
              </w:rPr>
              <w:tab/>
            </w:r>
            <w:r w:rsidR="00FE5B4D">
              <w:rPr>
                <w:sz w:val="20"/>
                <w:szCs w:val="20"/>
              </w:rPr>
              <w:t>William J. Sammon</w:t>
            </w:r>
          </w:p>
          <w:p w:rsidR="00D5299C" w:rsidRPr="00A935AA" w:rsidRDefault="00D5299C" w:rsidP="002244A0">
            <w:pPr>
              <w:tabs>
                <w:tab w:val="left" w:pos="-1440"/>
                <w:tab w:val="left" w:pos="-720"/>
              </w:tabs>
              <w:rPr>
                <w:sz w:val="20"/>
                <w:szCs w:val="20"/>
              </w:rPr>
            </w:pPr>
            <w:r w:rsidRPr="00A935AA">
              <w:rPr>
                <w:sz w:val="20"/>
                <w:szCs w:val="20"/>
              </w:rPr>
              <w:tab/>
            </w:r>
            <w:r w:rsidR="00FE5B4D">
              <w:rPr>
                <w:sz w:val="20"/>
                <w:szCs w:val="20"/>
              </w:rPr>
              <w:t>Barnes, Sammon LLP</w:t>
            </w:r>
          </w:p>
          <w:p w:rsidR="00D5299C" w:rsidRPr="00A935AA" w:rsidRDefault="00D5299C" w:rsidP="002244A0">
            <w:pPr>
              <w:tabs>
                <w:tab w:val="left" w:pos="-1440"/>
                <w:tab w:val="left" w:pos="-720"/>
              </w:tabs>
              <w:rPr>
                <w:sz w:val="20"/>
                <w:szCs w:val="20"/>
              </w:rPr>
            </w:pPr>
          </w:p>
          <w:p w:rsidR="00D5299C" w:rsidRPr="00A935AA" w:rsidRDefault="00D5299C" w:rsidP="002244A0">
            <w:pPr>
              <w:tabs>
                <w:tab w:val="left" w:pos="-1440"/>
                <w:tab w:val="left" w:pos="-720"/>
              </w:tabs>
              <w:rPr>
                <w:sz w:val="20"/>
                <w:szCs w:val="20"/>
              </w:rPr>
            </w:pPr>
            <w:r w:rsidRPr="00A935AA">
              <w:rPr>
                <w:sz w:val="20"/>
                <w:szCs w:val="20"/>
              </w:rPr>
              <w:tab/>
              <w:t>v. (3</w:t>
            </w:r>
            <w:r>
              <w:rPr>
                <w:sz w:val="20"/>
                <w:szCs w:val="20"/>
              </w:rPr>
              <w:t>4</w:t>
            </w:r>
            <w:r w:rsidR="00FE5B4D">
              <w:rPr>
                <w:sz w:val="20"/>
                <w:szCs w:val="20"/>
              </w:rPr>
              <w:t>827</w:t>
            </w:r>
            <w:r w:rsidRPr="00A935AA">
              <w:rPr>
                <w:sz w:val="20"/>
                <w:szCs w:val="20"/>
              </w:rPr>
              <w:t>)</w:t>
            </w:r>
          </w:p>
          <w:p w:rsidR="00D5299C" w:rsidRPr="00A935AA" w:rsidRDefault="00D5299C" w:rsidP="002244A0">
            <w:pPr>
              <w:tabs>
                <w:tab w:val="left" w:pos="-1440"/>
                <w:tab w:val="left" w:pos="-720"/>
              </w:tabs>
              <w:rPr>
                <w:sz w:val="20"/>
                <w:szCs w:val="20"/>
              </w:rPr>
            </w:pPr>
          </w:p>
          <w:p w:rsidR="00D5299C" w:rsidRPr="00A935AA" w:rsidRDefault="00FE5B4D" w:rsidP="002244A0">
            <w:pPr>
              <w:tabs>
                <w:tab w:val="left" w:pos="-1440"/>
                <w:tab w:val="left" w:pos="-720"/>
              </w:tabs>
              <w:rPr>
                <w:b/>
                <w:sz w:val="20"/>
                <w:szCs w:val="20"/>
              </w:rPr>
            </w:pPr>
            <w:r>
              <w:rPr>
                <w:b/>
                <w:sz w:val="20"/>
                <w:szCs w:val="20"/>
              </w:rPr>
              <w:t xml:space="preserve">Canada Mortgage and Housing Corporation et al. </w:t>
            </w:r>
            <w:r w:rsidR="00D5299C">
              <w:rPr>
                <w:b/>
                <w:sz w:val="20"/>
                <w:szCs w:val="20"/>
              </w:rPr>
              <w:t>(</w:t>
            </w:r>
            <w:r>
              <w:rPr>
                <w:b/>
                <w:sz w:val="20"/>
                <w:szCs w:val="20"/>
              </w:rPr>
              <w:t>Ont</w:t>
            </w:r>
            <w:r w:rsidR="00D5299C" w:rsidRPr="00A935AA">
              <w:rPr>
                <w:b/>
                <w:sz w:val="20"/>
                <w:szCs w:val="20"/>
              </w:rPr>
              <w:t>.)</w:t>
            </w:r>
          </w:p>
          <w:p w:rsidR="00D5299C" w:rsidRPr="00A935AA" w:rsidRDefault="00D5299C" w:rsidP="002244A0">
            <w:pPr>
              <w:tabs>
                <w:tab w:val="left" w:pos="-1440"/>
                <w:tab w:val="left" w:pos="-720"/>
              </w:tabs>
              <w:rPr>
                <w:sz w:val="20"/>
                <w:szCs w:val="20"/>
              </w:rPr>
            </w:pPr>
            <w:r w:rsidRPr="00A935AA">
              <w:rPr>
                <w:sz w:val="20"/>
                <w:szCs w:val="20"/>
              </w:rPr>
              <w:tab/>
            </w:r>
            <w:r w:rsidR="00FE5B4D">
              <w:rPr>
                <w:sz w:val="20"/>
                <w:szCs w:val="20"/>
              </w:rPr>
              <w:t>J. Brett Ledger</w:t>
            </w:r>
          </w:p>
          <w:p w:rsidR="00D5299C" w:rsidRPr="00A935AA" w:rsidRDefault="00D5299C" w:rsidP="002244A0">
            <w:pPr>
              <w:tabs>
                <w:tab w:val="left" w:pos="-1440"/>
                <w:tab w:val="left" w:pos="-720"/>
              </w:tabs>
              <w:rPr>
                <w:sz w:val="20"/>
                <w:szCs w:val="20"/>
              </w:rPr>
            </w:pPr>
            <w:r w:rsidRPr="00A935AA">
              <w:rPr>
                <w:sz w:val="20"/>
                <w:szCs w:val="20"/>
              </w:rPr>
              <w:tab/>
            </w:r>
            <w:r w:rsidR="00FE5B4D">
              <w:rPr>
                <w:sz w:val="20"/>
                <w:szCs w:val="20"/>
              </w:rPr>
              <w:t>Osler, Hoskin &amp; Harcourt LLP</w:t>
            </w:r>
          </w:p>
          <w:p w:rsidR="00D5299C" w:rsidRPr="00A935AA" w:rsidRDefault="00D5299C" w:rsidP="002244A0">
            <w:pPr>
              <w:tabs>
                <w:tab w:val="left" w:pos="-1440"/>
                <w:tab w:val="left" w:pos="-720"/>
              </w:tabs>
              <w:rPr>
                <w:sz w:val="20"/>
                <w:szCs w:val="20"/>
              </w:rPr>
            </w:pPr>
          </w:p>
          <w:p w:rsidR="00D5299C" w:rsidRPr="00A935AA" w:rsidRDefault="00D5299C" w:rsidP="002244A0">
            <w:pPr>
              <w:rPr>
                <w:sz w:val="20"/>
                <w:szCs w:val="20"/>
              </w:rPr>
            </w:pPr>
            <w:r w:rsidRPr="00A935AA">
              <w:rPr>
                <w:sz w:val="20"/>
                <w:szCs w:val="20"/>
              </w:rPr>
              <w:t xml:space="preserve">FILING DATE: </w:t>
            </w:r>
            <w:r w:rsidR="00FE5B4D">
              <w:rPr>
                <w:sz w:val="20"/>
                <w:szCs w:val="20"/>
              </w:rPr>
              <w:t>15</w:t>
            </w:r>
            <w:r w:rsidRPr="00A935AA">
              <w:rPr>
                <w:sz w:val="20"/>
                <w:szCs w:val="20"/>
              </w:rPr>
              <w:t>.0</w:t>
            </w:r>
            <w:r w:rsidR="002A53D2">
              <w:rPr>
                <w:sz w:val="20"/>
                <w:szCs w:val="20"/>
              </w:rPr>
              <w:t>5</w:t>
            </w:r>
            <w:r w:rsidRPr="00A935AA">
              <w:rPr>
                <w:sz w:val="20"/>
                <w:szCs w:val="20"/>
              </w:rPr>
              <w:t>.201</w:t>
            </w:r>
            <w:r>
              <w:rPr>
                <w:sz w:val="20"/>
                <w:szCs w:val="20"/>
              </w:rPr>
              <w:t>2</w:t>
            </w:r>
          </w:p>
          <w:p w:rsidR="00835818" w:rsidRPr="00A935AA" w:rsidRDefault="00835818" w:rsidP="002244A0">
            <w:pPr>
              <w:rPr>
                <w:sz w:val="20"/>
                <w:szCs w:val="20"/>
              </w:rPr>
            </w:pPr>
          </w:p>
        </w:tc>
        <w:tc>
          <w:tcPr>
            <w:tcW w:w="1181" w:type="dxa"/>
            <w:shd w:val="clear" w:color="auto" w:fill="auto"/>
          </w:tcPr>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Default="00D5299C" w:rsidP="002244A0">
            <w:pPr>
              <w:jc w:val="center"/>
              <w:rPr>
                <w:sz w:val="20"/>
                <w:szCs w:val="20"/>
              </w:rPr>
            </w:pPr>
          </w:p>
          <w:p w:rsidR="00D5299C" w:rsidRPr="00A935AA" w:rsidRDefault="00D5299C" w:rsidP="002244A0">
            <w:pPr>
              <w:jc w:val="center"/>
              <w:rPr>
                <w:sz w:val="20"/>
                <w:szCs w:val="20"/>
              </w:rPr>
            </w:pPr>
          </w:p>
        </w:tc>
        <w:tc>
          <w:tcPr>
            <w:tcW w:w="4320" w:type="dxa"/>
            <w:shd w:val="clear" w:color="auto" w:fill="auto"/>
          </w:tcPr>
          <w:p w:rsidR="00D5299C" w:rsidRPr="00FE5B4D" w:rsidRDefault="00FE5B4D" w:rsidP="002244A0">
            <w:pPr>
              <w:keepNext/>
              <w:keepLines/>
              <w:tabs>
                <w:tab w:val="left" w:pos="-1440"/>
                <w:tab w:val="left" w:pos="-720"/>
              </w:tabs>
              <w:rPr>
                <w:b/>
                <w:sz w:val="20"/>
                <w:szCs w:val="20"/>
                <w:lang w:val="fr-CA"/>
              </w:rPr>
            </w:pPr>
            <w:r w:rsidRPr="00FE5B4D">
              <w:rPr>
                <w:b/>
                <w:sz w:val="20"/>
                <w:szCs w:val="20"/>
                <w:lang w:val="fr-CA"/>
              </w:rPr>
              <w:t xml:space="preserve">R.L. </w:t>
            </w:r>
          </w:p>
          <w:p w:rsidR="00D5299C" w:rsidRPr="00FE5B4D" w:rsidRDefault="00D5299C" w:rsidP="002244A0">
            <w:pPr>
              <w:keepNext/>
              <w:keepLines/>
              <w:tabs>
                <w:tab w:val="left" w:pos="-1440"/>
                <w:tab w:val="left" w:pos="-720"/>
              </w:tabs>
              <w:rPr>
                <w:sz w:val="20"/>
                <w:szCs w:val="20"/>
                <w:lang w:val="fr-CA"/>
              </w:rPr>
            </w:pPr>
            <w:r w:rsidRPr="00FE5B4D">
              <w:rPr>
                <w:sz w:val="20"/>
                <w:szCs w:val="20"/>
                <w:lang w:val="fr-CA"/>
              </w:rPr>
              <w:tab/>
            </w:r>
            <w:r w:rsidR="00FE5B4D" w:rsidRPr="00FE5B4D">
              <w:rPr>
                <w:sz w:val="20"/>
                <w:szCs w:val="20"/>
                <w:lang w:val="fr-CA"/>
              </w:rPr>
              <w:t>Lida Sara Nouraie</w:t>
            </w:r>
          </w:p>
          <w:p w:rsidR="00D5299C" w:rsidRPr="00FE5B4D" w:rsidRDefault="00D5299C" w:rsidP="002244A0">
            <w:pPr>
              <w:keepNext/>
              <w:keepLines/>
              <w:tabs>
                <w:tab w:val="left" w:pos="-1440"/>
                <w:tab w:val="left" w:pos="-720"/>
              </w:tabs>
              <w:rPr>
                <w:sz w:val="20"/>
                <w:szCs w:val="20"/>
                <w:lang w:val="fr-CA"/>
              </w:rPr>
            </w:pPr>
            <w:r w:rsidRPr="00FE5B4D">
              <w:rPr>
                <w:sz w:val="20"/>
                <w:szCs w:val="20"/>
                <w:lang w:val="fr-CA"/>
              </w:rPr>
              <w:tab/>
            </w:r>
            <w:r w:rsidR="00FE5B4D" w:rsidRPr="00FE5B4D">
              <w:rPr>
                <w:sz w:val="20"/>
                <w:szCs w:val="20"/>
                <w:lang w:val="fr-CA"/>
              </w:rPr>
              <w:t>Desrosiers, Joncas, Massicotte</w:t>
            </w:r>
          </w:p>
          <w:p w:rsidR="00D5299C" w:rsidRPr="00FE5B4D" w:rsidRDefault="00D5299C" w:rsidP="002244A0">
            <w:pPr>
              <w:keepNext/>
              <w:keepLines/>
              <w:tabs>
                <w:tab w:val="left" w:pos="-1440"/>
                <w:tab w:val="left" w:pos="-720"/>
              </w:tabs>
              <w:rPr>
                <w:sz w:val="20"/>
                <w:szCs w:val="20"/>
                <w:lang w:val="fr-CA"/>
              </w:rPr>
            </w:pPr>
          </w:p>
          <w:p w:rsidR="00D5299C" w:rsidRPr="00FE5B4D" w:rsidRDefault="00D5299C" w:rsidP="002244A0">
            <w:pPr>
              <w:keepNext/>
              <w:keepLines/>
              <w:tabs>
                <w:tab w:val="left" w:pos="-1440"/>
                <w:tab w:val="left" w:pos="-720"/>
              </w:tabs>
              <w:rPr>
                <w:sz w:val="20"/>
                <w:szCs w:val="20"/>
                <w:lang w:val="fr-CA"/>
              </w:rPr>
            </w:pPr>
            <w:r w:rsidRPr="00FE5B4D">
              <w:rPr>
                <w:sz w:val="20"/>
                <w:szCs w:val="20"/>
                <w:lang w:val="fr-CA"/>
              </w:rPr>
              <w:tab/>
            </w:r>
            <w:r w:rsidR="00FE5B4D">
              <w:rPr>
                <w:sz w:val="20"/>
                <w:szCs w:val="20"/>
                <w:lang w:val="fr-CA"/>
              </w:rPr>
              <w:t>c</w:t>
            </w:r>
            <w:r w:rsidRPr="00FE5B4D">
              <w:rPr>
                <w:sz w:val="20"/>
                <w:szCs w:val="20"/>
                <w:lang w:val="fr-CA"/>
              </w:rPr>
              <w:t>. (34</w:t>
            </w:r>
            <w:r w:rsidR="00FE5B4D" w:rsidRPr="00FE5B4D">
              <w:rPr>
                <w:sz w:val="20"/>
                <w:szCs w:val="20"/>
                <w:lang w:val="fr-CA"/>
              </w:rPr>
              <w:t>871</w:t>
            </w:r>
            <w:r w:rsidRPr="00FE5B4D">
              <w:rPr>
                <w:sz w:val="20"/>
                <w:szCs w:val="20"/>
                <w:lang w:val="fr-CA"/>
              </w:rPr>
              <w:t>)</w:t>
            </w:r>
          </w:p>
          <w:p w:rsidR="00D5299C" w:rsidRPr="00FE5B4D" w:rsidRDefault="00D5299C" w:rsidP="002244A0">
            <w:pPr>
              <w:keepNext/>
              <w:keepLines/>
              <w:tabs>
                <w:tab w:val="left" w:pos="-1440"/>
                <w:tab w:val="left" w:pos="-720"/>
              </w:tabs>
              <w:rPr>
                <w:sz w:val="20"/>
                <w:szCs w:val="20"/>
                <w:lang w:val="fr-CA"/>
              </w:rPr>
            </w:pPr>
          </w:p>
          <w:p w:rsidR="00D5299C" w:rsidRPr="00FE5B4D" w:rsidRDefault="00FE5B4D" w:rsidP="002244A0">
            <w:pPr>
              <w:keepNext/>
              <w:keepLines/>
              <w:tabs>
                <w:tab w:val="left" w:pos="-1440"/>
                <w:tab w:val="left" w:pos="-720"/>
              </w:tabs>
              <w:rPr>
                <w:b/>
                <w:sz w:val="20"/>
                <w:szCs w:val="20"/>
                <w:lang w:val="fr-CA"/>
              </w:rPr>
            </w:pPr>
            <w:r w:rsidRPr="00FE5B4D">
              <w:rPr>
                <w:b/>
                <w:sz w:val="20"/>
                <w:szCs w:val="20"/>
                <w:lang w:val="fr-CA"/>
              </w:rPr>
              <w:t xml:space="preserve">Sa Majesté la Reine </w:t>
            </w:r>
            <w:r w:rsidR="00D5299C" w:rsidRPr="00FE5B4D">
              <w:rPr>
                <w:b/>
                <w:sz w:val="20"/>
                <w:szCs w:val="20"/>
                <w:lang w:val="fr-CA"/>
              </w:rPr>
              <w:t>(</w:t>
            </w:r>
            <w:r w:rsidRPr="00FE5B4D">
              <w:rPr>
                <w:b/>
                <w:sz w:val="20"/>
                <w:szCs w:val="20"/>
                <w:lang w:val="fr-CA"/>
              </w:rPr>
              <w:t>Qc</w:t>
            </w:r>
            <w:r w:rsidR="00D5299C" w:rsidRPr="00FE5B4D">
              <w:rPr>
                <w:b/>
                <w:sz w:val="20"/>
                <w:szCs w:val="20"/>
                <w:lang w:val="fr-CA"/>
              </w:rPr>
              <w:t>)</w:t>
            </w:r>
          </w:p>
          <w:p w:rsidR="00D5299C" w:rsidRPr="00FE5B4D" w:rsidRDefault="00D5299C" w:rsidP="002244A0">
            <w:pPr>
              <w:keepNext/>
              <w:keepLines/>
              <w:tabs>
                <w:tab w:val="left" w:pos="-1440"/>
                <w:tab w:val="left" w:pos="-720"/>
              </w:tabs>
              <w:rPr>
                <w:sz w:val="20"/>
                <w:szCs w:val="20"/>
                <w:lang w:val="fr-CA"/>
              </w:rPr>
            </w:pPr>
            <w:r w:rsidRPr="00FE5B4D">
              <w:rPr>
                <w:sz w:val="20"/>
                <w:szCs w:val="20"/>
                <w:lang w:val="fr-CA"/>
              </w:rPr>
              <w:tab/>
            </w:r>
            <w:r w:rsidR="00FE5B4D">
              <w:rPr>
                <w:sz w:val="20"/>
                <w:szCs w:val="20"/>
                <w:lang w:val="fr-CA"/>
              </w:rPr>
              <w:t>Geneviève Dagenais</w:t>
            </w:r>
          </w:p>
          <w:p w:rsidR="00D5299C" w:rsidRPr="00FE5B4D" w:rsidRDefault="00D5299C" w:rsidP="002244A0">
            <w:pPr>
              <w:keepNext/>
              <w:keepLines/>
              <w:tabs>
                <w:tab w:val="left" w:pos="-1440"/>
                <w:tab w:val="left" w:pos="-720"/>
              </w:tabs>
              <w:rPr>
                <w:sz w:val="20"/>
                <w:szCs w:val="20"/>
                <w:lang w:val="fr-CA"/>
              </w:rPr>
            </w:pPr>
            <w:r w:rsidRPr="00FE5B4D">
              <w:rPr>
                <w:sz w:val="20"/>
                <w:szCs w:val="20"/>
                <w:lang w:val="fr-CA"/>
              </w:rPr>
              <w:tab/>
            </w:r>
            <w:r w:rsidR="00FE5B4D" w:rsidRPr="00FE5B4D">
              <w:rPr>
                <w:sz w:val="20"/>
                <w:szCs w:val="20"/>
                <w:lang w:val="fr-CA"/>
              </w:rPr>
              <w:t xml:space="preserve">Directeur des poursuites criminelles et </w:t>
            </w:r>
            <w:r w:rsidR="00FE5B4D" w:rsidRPr="00FE5B4D">
              <w:rPr>
                <w:sz w:val="20"/>
                <w:szCs w:val="20"/>
                <w:lang w:val="fr-CA"/>
              </w:rPr>
              <w:tab/>
              <w:t>pénales du Québec</w:t>
            </w:r>
          </w:p>
          <w:p w:rsidR="00D5299C" w:rsidRPr="00FE5B4D" w:rsidRDefault="00D5299C" w:rsidP="002244A0">
            <w:pPr>
              <w:keepNext/>
              <w:keepLines/>
              <w:tabs>
                <w:tab w:val="left" w:pos="-1440"/>
                <w:tab w:val="left" w:pos="-720"/>
              </w:tabs>
              <w:rPr>
                <w:sz w:val="20"/>
                <w:szCs w:val="20"/>
                <w:lang w:val="fr-CA"/>
              </w:rPr>
            </w:pPr>
          </w:p>
          <w:p w:rsidR="00D5299C" w:rsidRPr="00FE5B4D" w:rsidRDefault="00D5299C" w:rsidP="00FE5B4D">
            <w:pPr>
              <w:rPr>
                <w:sz w:val="20"/>
                <w:szCs w:val="20"/>
                <w:lang w:val="fr-CA"/>
              </w:rPr>
            </w:pPr>
            <w:r w:rsidRPr="00FE5B4D">
              <w:rPr>
                <w:sz w:val="20"/>
                <w:szCs w:val="20"/>
                <w:lang w:val="fr-CA"/>
              </w:rPr>
              <w:t>DATE</w:t>
            </w:r>
            <w:r w:rsidR="00FE5B4D">
              <w:rPr>
                <w:sz w:val="20"/>
                <w:szCs w:val="20"/>
                <w:lang w:val="fr-CA"/>
              </w:rPr>
              <w:t xml:space="preserve"> DE PRODUCTION </w:t>
            </w:r>
            <w:r w:rsidRPr="00FE5B4D">
              <w:rPr>
                <w:sz w:val="20"/>
                <w:szCs w:val="20"/>
                <w:lang w:val="fr-CA"/>
              </w:rPr>
              <w:t xml:space="preserve">: </w:t>
            </w:r>
            <w:r w:rsidR="00FE5B4D">
              <w:rPr>
                <w:sz w:val="20"/>
                <w:szCs w:val="20"/>
                <w:lang w:val="fr-CA"/>
              </w:rPr>
              <w:t>05</w:t>
            </w:r>
            <w:r w:rsidRPr="00FE5B4D">
              <w:rPr>
                <w:sz w:val="20"/>
                <w:szCs w:val="20"/>
                <w:lang w:val="fr-CA"/>
              </w:rPr>
              <w:t>.06.2012</w:t>
            </w:r>
            <w:r w:rsidR="00B62B14" w:rsidRPr="00B62B14">
              <w:rPr>
                <w:sz w:val="20"/>
                <w:szCs w:val="20"/>
                <w:lang w:val="fr-CA"/>
              </w:rPr>
              <w:pict>
                <v:rect id="_x0000_i1025" style="width:108pt;height:1pt" o:hrpct="0" o:hralign="center" o:hrstd="t" o:hrnoshade="t" o:hr="t" fillcolor="black [3213]" stroked="f"/>
              </w:pict>
            </w:r>
          </w:p>
        </w:tc>
      </w:tr>
      <w:tr w:rsidR="00D5299C" w:rsidRPr="00FE5B4D" w:rsidTr="002244A0">
        <w:tc>
          <w:tcPr>
            <w:tcW w:w="4320" w:type="dxa"/>
            <w:shd w:val="clear" w:color="auto" w:fill="auto"/>
          </w:tcPr>
          <w:p w:rsidR="00FE5B4D" w:rsidRDefault="00835818" w:rsidP="002244A0">
            <w:pPr>
              <w:tabs>
                <w:tab w:val="left" w:pos="-1440"/>
                <w:tab w:val="left" w:pos="-720"/>
              </w:tabs>
              <w:rPr>
                <w:sz w:val="20"/>
                <w:szCs w:val="20"/>
              </w:rPr>
            </w:pPr>
            <w:r w:rsidRPr="00B87177">
              <w:rPr>
                <w:sz w:val="20"/>
                <w:szCs w:val="20"/>
              </w:rPr>
              <w:t>and between</w:t>
            </w:r>
          </w:p>
          <w:p w:rsidR="00835818" w:rsidRPr="00B87177" w:rsidRDefault="00835818" w:rsidP="002244A0">
            <w:pPr>
              <w:tabs>
                <w:tab w:val="left" w:pos="-1440"/>
                <w:tab w:val="left" w:pos="-720"/>
              </w:tabs>
              <w:rPr>
                <w:sz w:val="20"/>
                <w:szCs w:val="20"/>
              </w:rPr>
            </w:pPr>
          </w:p>
          <w:p w:rsidR="00FE5B4D" w:rsidRPr="00B87177" w:rsidRDefault="00FE5B4D" w:rsidP="002244A0">
            <w:pPr>
              <w:tabs>
                <w:tab w:val="left" w:pos="-1440"/>
                <w:tab w:val="left" w:pos="-720"/>
              </w:tabs>
              <w:rPr>
                <w:b/>
                <w:sz w:val="20"/>
                <w:szCs w:val="20"/>
              </w:rPr>
            </w:pPr>
            <w:r w:rsidRPr="00B87177">
              <w:rPr>
                <w:b/>
                <w:sz w:val="20"/>
                <w:szCs w:val="20"/>
              </w:rPr>
              <w:t>Frank McCann et al.</w:t>
            </w:r>
          </w:p>
          <w:p w:rsidR="00D5299C" w:rsidRPr="00B87177" w:rsidRDefault="00D5299C" w:rsidP="002244A0">
            <w:pPr>
              <w:tabs>
                <w:tab w:val="left" w:pos="-1440"/>
                <w:tab w:val="left" w:pos="-720"/>
              </w:tabs>
              <w:rPr>
                <w:sz w:val="20"/>
                <w:szCs w:val="20"/>
              </w:rPr>
            </w:pPr>
            <w:r w:rsidRPr="00B87177">
              <w:rPr>
                <w:sz w:val="20"/>
                <w:szCs w:val="20"/>
              </w:rPr>
              <w:tab/>
            </w:r>
            <w:r w:rsidR="00FE5B4D" w:rsidRPr="00B87177">
              <w:rPr>
                <w:sz w:val="20"/>
                <w:szCs w:val="20"/>
              </w:rPr>
              <w:t>Paull N. Leamen</w:t>
            </w:r>
          </w:p>
          <w:p w:rsidR="00D5299C" w:rsidRPr="00B87177" w:rsidRDefault="00D5299C" w:rsidP="002244A0">
            <w:pPr>
              <w:tabs>
                <w:tab w:val="left" w:pos="-1440"/>
                <w:tab w:val="left" w:pos="-720"/>
              </w:tabs>
              <w:rPr>
                <w:sz w:val="20"/>
                <w:szCs w:val="20"/>
              </w:rPr>
            </w:pPr>
            <w:r w:rsidRPr="00B87177">
              <w:rPr>
                <w:sz w:val="20"/>
                <w:szCs w:val="20"/>
              </w:rPr>
              <w:tab/>
            </w:r>
            <w:r w:rsidR="00FE5B4D" w:rsidRPr="00B87177">
              <w:rPr>
                <w:sz w:val="20"/>
                <w:szCs w:val="20"/>
              </w:rPr>
              <w:t>Soloway, Wright LLP</w:t>
            </w:r>
          </w:p>
          <w:p w:rsidR="00D5299C" w:rsidRPr="00B87177" w:rsidRDefault="00D5299C" w:rsidP="002244A0">
            <w:pPr>
              <w:tabs>
                <w:tab w:val="left" w:pos="-1440"/>
                <w:tab w:val="left" w:pos="-720"/>
              </w:tabs>
              <w:rPr>
                <w:sz w:val="20"/>
                <w:szCs w:val="20"/>
              </w:rPr>
            </w:pPr>
          </w:p>
          <w:p w:rsidR="00D5299C" w:rsidRPr="00B87177" w:rsidRDefault="00D5299C" w:rsidP="002244A0">
            <w:pPr>
              <w:tabs>
                <w:tab w:val="left" w:pos="-1440"/>
                <w:tab w:val="left" w:pos="-720"/>
              </w:tabs>
              <w:rPr>
                <w:sz w:val="20"/>
                <w:szCs w:val="20"/>
              </w:rPr>
            </w:pPr>
            <w:r w:rsidRPr="00B87177">
              <w:rPr>
                <w:sz w:val="20"/>
                <w:szCs w:val="20"/>
              </w:rPr>
              <w:tab/>
              <w:t>v. (34</w:t>
            </w:r>
            <w:r w:rsidR="00FE5B4D" w:rsidRPr="00B87177">
              <w:rPr>
                <w:sz w:val="20"/>
                <w:szCs w:val="20"/>
              </w:rPr>
              <w:t>827</w:t>
            </w:r>
            <w:r w:rsidRPr="00B87177">
              <w:rPr>
                <w:sz w:val="20"/>
                <w:szCs w:val="20"/>
              </w:rPr>
              <w:t>)</w:t>
            </w:r>
          </w:p>
          <w:p w:rsidR="00D5299C" w:rsidRPr="00B87177" w:rsidRDefault="00D5299C" w:rsidP="002244A0">
            <w:pPr>
              <w:tabs>
                <w:tab w:val="left" w:pos="-1440"/>
                <w:tab w:val="left" w:pos="-720"/>
              </w:tabs>
              <w:rPr>
                <w:sz w:val="20"/>
                <w:szCs w:val="20"/>
              </w:rPr>
            </w:pPr>
          </w:p>
          <w:p w:rsidR="00D5299C" w:rsidRPr="00A935AA" w:rsidRDefault="00FE5B4D" w:rsidP="002244A0">
            <w:pPr>
              <w:tabs>
                <w:tab w:val="left" w:pos="-1440"/>
                <w:tab w:val="left" w:pos="-720"/>
              </w:tabs>
              <w:rPr>
                <w:b/>
                <w:sz w:val="20"/>
                <w:szCs w:val="20"/>
              </w:rPr>
            </w:pPr>
            <w:r w:rsidRPr="00B87177">
              <w:rPr>
                <w:b/>
                <w:sz w:val="20"/>
                <w:szCs w:val="20"/>
              </w:rPr>
              <w:t xml:space="preserve">Canada Mortgage and Housing Corporation </w:t>
            </w:r>
            <w:r>
              <w:rPr>
                <w:b/>
                <w:sz w:val="20"/>
                <w:szCs w:val="20"/>
              </w:rPr>
              <w:t xml:space="preserve">et al. </w:t>
            </w:r>
            <w:r w:rsidR="00D5299C">
              <w:rPr>
                <w:b/>
                <w:sz w:val="20"/>
                <w:szCs w:val="20"/>
              </w:rPr>
              <w:t>(</w:t>
            </w:r>
            <w:r>
              <w:rPr>
                <w:b/>
                <w:sz w:val="20"/>
                <w:szCs w:val="20"/>
              </w:rPr>
              <w:t>Ont</w:t>
            </w:r>
            <w:r w:rsidR="00D5299C" w:rsidRPr="00A935AA">
              <w:rPr>
                <w:b/>
                <w:sz w:val="20"/>
                <w:szCs w:val="20"/>
              </w:rPr>
              <w:t>.)</w:t>
            </w:r>
          </w:p>
          <w:p w:rsidR="00835818" w:rsidRPr="00A935AA" w:rsidRDefault="00D5299C" w:rsidP="00835818">
            <w:pPr>
              <w:tabs>
                <w:tab w:val="left" w:pos="-1440"/>
                <w:tab w:val="left" w:pos="-720"/>
              </w:tabs>
              <w:rPr>
                <w:sz w:val="20"/>
                <w:szCs w:val="20"/>
              </w:rPr>
            </w:pPr>
            <w:r w:rsidRPr="00A935AA">
              <w:rPr>
                <w:sz w:val="20"/>
                <w:szCs w:val="20"/>
              </w:rPr>
              <w:tab/>
            </w:r>
            <w:r w:rsidR="00835818">
              <w:rPr>
                <w:sz w:val="20"/>
                <w:szCs w:val="20"/>
              </w:rPr>
              <w:t>J. Brett Ledger</w:t>
            </w:r>
          </w:p>
          <w:p w:rsidR="00D5299C" w:rsidRPr="00A935AA" w:rsidRDefault="00835818" w:rsidP="00835818">
            <w:pPr>
              <w:tabs>
                <w:tab w:val="left" w:pos="-1440"/>
                <w:tab w:val="left" w:pos="-720"/>
              </w:tabs>
              <w:rPr>
                <w:sz w:val="20"/>
                <w:szCs w:val="20"/>
              </w:rPr>
            </w:pPr>
            <w:r w:rsidRPr="00A935AA">
              <w:rPr>
                <w:sz w:val="20"/>
                <w:szCs w:val="20"/>
              </w:rPr>
              <w:tab/>
            </w:r>
            <w:r>
              <w:rPr>
                <w:sz w:val="20"/>
                <w:szCs w:val="20"/>
              </w:rPr>
              <w:t>Osler, Hoskin &amp; Harcourt LLP</w:t>
            </w:r>
          </w:p>
          <w:p w:rsidR="00D5299C" w:rsidRPr="00A935AA" w:rsidRDefault="00D5299C" w:rsidP="002244A0">
            <w:pPr>
              <w:tabs>
                <w:tab w:val="left" w:pos="-1440"/>
                <w:tab w:val="left" w:pos="-720"/>
              </w:tabs>
              <w:rPr>
                <w:sz w:val="20"/>
                <w:szCs w:val="20"/>
              </w:rPr>
            </w:pPr>
          </w:p>
          <w:p w:rsidR="00D5299C" w:rsidRPr="00A935AA" w:rsidRDefault="00D5299C" w:rsidP="002244A0">
            <w:pPr>
              <w:rPr>
                <w:sz w:val="20"/>
                <w:szCs w:val="20"/>
              </w:rPr>
            </w:pPr>
            <w:r w:rsidRPr="00A935AA">
              <w:rPr>
                <w:sz w:val="20"/>
                <w:szCs w:val="20"/>
              </w:rPr>
              <w:t xml:space="preserve">FILING DATE: </w:t>
            </w:r>
            <w:r w:rsidR="00FE5B4D">
              <w:rPr>
                <w:sz w:val="20"/>
                <w:szCs w:val="20"/>
              </w:rPr>
              <w:t>14</w:t>
            </w:r>
            <w:r w:rsidRPr="00A935AA">
              <w:rPr>
                <w:sz w:val="20"/>
                <w:szCs w:val="20"/>
              </w:rPr>
              <w:t>.0</w:t>
            </w:r>
            <w:r>
              <w:rPr>
                <w:sz w:val="20"/>
                <w:szCs w:val="20"/>
              </w:rPr>
              <w:t>6</w:t>
            </w:r>
            <w:r w:rsidRPr="00A935AA">
              <w:rPr>
                <w:sz w:val="20"/>
                <w:szCs w:val="20"/>
              </w:rPr>
              <w:t>.201</w:t>
            </w:r>
            <w:r>
              <w:rPr>
                <w:sz w:val="20"/>
                <w:szCs w:val="20"/>
              </w:rPr>
              <w:t>2</w:t>
            </w:r>
          </w:p>
          <w:p w:rsidR="00D5299C" w:rsidRPr="00A935AA" w:rsidRDefault="00B62B14" w:rsidP="002244A0">
            <w:pPr>
              <w:rPr>
                <w:sz w:val="20"/>
                <w:szCs w:val="20"/>
              </w:rPr>
            </w:pPr>
            <w:r w:rsidRPr="00B62B14">
              <w:rPr>
                <w:sz w:val="20"/>
                <w:szCs w:val="20"/>
                <w:lang w:val="fr-CA"/>
              </w:rPr>
              <w:pict>
                <v:rect id="_x0000_i1026" style="width:108pt;height:1pt" o:hrpct="0" o:hralign="center" o:hrstd="t" o:hrnoshade="t" o:hr="t" fillcolor="black [3213]" stroked="f"/>
              </w:pict>
            </w:r>
          </w:p>
        </w:tc>
        <w:tc>
          <w:tcPr>
            <w:tcW w:w="1181" w:type="dxa"/>
            <w:shd w:val="clear" w:color="auto" w:fill="auto"/>
          </w:tcPr>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Default="00D5299C" w:rsidP="002244A0">
            <w:pPr>
              <w:jc w:val="center"/>
              <w:rPr>
                <w:sz w:val="20"/>
                <w:szCs w:val="20"/>
              </w:rPr>
            </w:pPr>
          </w:p>
          <w:p w:rsidR="00FE5B4D" w:rsidRDefault="00FE5B4D" w:rsidP="002244A0">
            <w:pPr>
              <w:jc w:val="center"/>
              <w:rPr>
                <w:sz w:val="20"/>
                <w:szCs w:val="20"/>
              </w:rPr>
            </w:pPr>
          </w:p>
          <w:p w:rsidR="00FE5B4D" w:rsidRDefault="00FE5B4D" w:rsidP="002244A0">
            <w:pPr>
              <w:jc w:val="center"/>
              <w:rPr>
                <w:sz w:val="20"/>
                <w:szCs w:val="20"/>
              </w:rPr>
            </w:pPr>
          </w:p>
          <w:p w:rsidR="00D5299C" w:rsidRPr="00A935AA" w:rsidRDefault="00D5299C" w:rsidP="002244A0">
            <w:pPr>
              <w:jc w:val="center"/>
              <w:rPr>
                <w:sz w:val="20"/>
                <w:szCs w:val="20"/>
              </w:rPr>
            </w:pPr>
          </w:p>
        </w:tc>
        <w:tc>
          <w:tcPr>
            <w:tcW w:w="4320" w:type="dxa"/>
            <w:shd w:val="clear" w:color="auto" w:fill="auto"/>
          </w:tcPr>
          <w:p w:rsidR="00835818" w:rsidRDefault="00835818" w:rsidP="00FE5B4D">
            <w:pPr>
              <w:rPr>
                <w:b/>
                <w:sz w:val="20"/>
                <w:szCs w:val="20"/>
              </w:rPr>
            </w:pPr>
          </w:p>
          <w:p w:rsidR="00FE5B4D" w:rsidRDefault="002A53D2" w:rsidP="00FE5B4D">
            <w:pPr>
              <w:rPr>
                <w:b/>
                <w:sz w:val="20"/>
                <w:szCs w:val="20"/>
              </w:rPr>
            </w:pPr>
            <w:r>
              <w:rPr>
                <w:b/>
                <w:sz w:val="20"/>
                <w:szCs w:val="20"/>
              </w:rPr>
              <w:t>Information and Privacy Commissioner</w:t>
            </w:r>
          </w:p>
          <w:p w:rsidR="002A53D2" w:rsidRDefault="002A53D2" w:rsidP="002A53D2">
            <w:pPr>
              <w:rPr>
                <w:sz w:val="20"/>
                <w:szCs w:val="20"/>
              </w:rPr>
            </w:pPr>
            <w:r>
              <w:rPr>
                <w:sz w:val="20"/>
                <w:szCs w:val="20"/>
              </w:rPr>
              <w:tab/>
              <w:t>Glenn Solomon</w:t>
            </w:r>
          </w:p>
          <w:p w:rsidR="002F706E" w:rsidRPr="00A935AA" w:rsidRDefault="002F706E" w:rsidP="002F706E">
            <w:pPr>
              <w:keepNext/>
              <w:keepLines/>
              <w:tabs>
                <w:tab w:val="left" w:pos="-1440"/>
                <w:tab w:val="left" w:pos="-720"/>
              </w:tabs>
              <w:rPr>
                <w:sz w:val="20"/>
                <w:szCs w:val="20"/>
              </w:rPr>
            </w:pPr>
            <w:r w:rsidRPr="00A935AA">
              <w:rPr>
                <w:sz w:val="20"/>
                <w:szCs w:val="20"/>
              </w:rPr>
              <w:tab/>
            </w:r>
            <w:r>
              <w:rPr>
                <w:sz w:val="20"/>
                <w:szCs w:val="20"/>
              </w:rPr>
              <w:t xml:space="preserve">Jensen Shawa Solomon Duguid Hawkes </w:t>
            </w:r>
            <w:r>
              <w:rPr>
                <w:sz w:val="20"/>
                <w:szCs w:val="20"/>
              </w:rPr>
              <w:tab/>
              <w:t>LLP</w:t>
            </w:r>
          </w:p>
          <w:p w:rsidR="002F706E" w:rsidRPr="00A935AA" w:rsidRDefault="002F706E" w:rsidP="002F706E">
            <w:pPr>
              <w:keepNext/>
              <w:keepLines/>
              <w:tabs>
                <w:tab w:val="left" w:pos="-1440"/>
                <w:tab w:val="left" w:pos="-720"/>
              </w:tabs>
              <w:rPr>
                <w:sz w:val="20"/>
                <w:szCs w:val="20"/>
              </w:rPr>
            </w:pPr>
          </w:p>
          <w:p w:rsidR="002F706E" w:rsidRPr="00FE5B4D" w:rsidRDefault="002F706E" w:rsidP="002F706E">
            <w:pPr>
              <w:keepNext/>
              <w:keepLines/>
              <w:tabs>
                <w:tab w:val="left" w:pos="-1440"/>
                <w:tab w:val="left" w:pos="-720"/>
              </w:tabs>
              <w:rPr>
                <w:sz w:val="20"/>
                <w:szCs w:val="20"/>
              </w:rPr>
            </w:pPr>
            <w:r w:rsidRPr="00A935AA">
              <w:rPr>
                <w:sz w:val="20"/>
                <w:szCs w:val="20"/>
              </w:rPr>
              <w:tab/>
            </w:r>
            <w:r w:rsidRPr="00FE5B4D">
              <w:rPr>
                <w:sz w:val="20"/>
                <w:szCs w:val="20"/>
              </w:rPr>
              <w:t>v. (34</w:t>
            </w:r>
            <w:r>
              <w:rPr>
                <w:sz w:val="20"/>
                <w:szCs w:val="20"/>
              </w:rPr>
              <w:t>890</w:t>
            </w:r>
            <w:r w:rsidRPr="00FE5B4D">
              <w:rPr>
                <w:sz w:val="20"/>
                <w:szCs w:val="20"/>
              </w:rPr>
              <w:t>)</w:t>
            </w:r>
          </w:p>
          <w:p w:rsidR="002F706E" w:rsidRPr="00FE5B4D" w:rsidRDefault="002F706E" w:rsidP="002F706E">
            <w:pPr>
              <w:keepNext/>
              <w:keepLines/>
              <w:tabs>
                <w:tab w:val="left" w:pos="-1440"/>
                <w:tab w:val="left" w:pos="-720"/>
              </w:tabs>
              <w:rPr>
                <w:sz w:val="20"/>
                <w:szCs w:val="20"/>
              </w:rPr>
            </w:pPr>
          </w:p>
          <w:p w:rsidR="002F706E" w:rsidRPr="00FE5B4D" w:rsidRDefault="002F706E" w:rsidP="002F706E">
            <w:pPr>
              <w:keepNext/>
              <w:keepLines/>
              <w:tabs>
                <w:tab w:val="left" w:pos="-1440"/>
                <w:tab w:val="left" w:pos="-720"/>
              </w:tabs>
              <w:rPr>
                <w:b/>
                <w:sz w:val="20"/>
                <w:szCs w:val="20"/>
              </w:rPr>
            </w:pPr>
            <w:r>
              <w:rPr>
                <w:b/>
                <w:sz w:val="20"/>
                <w:szCs w:val="20"/>
              </w:rPr>
              <w:t>United Food and Commercial Workers, Local 40</w:t>
            </w:r>
            <w:r w:rsidR="00B94151">
              <w:rPr>
                <w:b/>
                <w:sz w:val="20"/>
                <w:szCs w:val="20"/>
              </w:rPr>
              <w:t>1</w:t>
            </w:r>
            <w:r>
              <w:rPr>
                <w:b/>
                <w:sz w:val="20"/>
                <w:szCs w:val="20"/>
              </w:rPr>
              <w:t xml:space="preserve"> </w:t>
            </w:r>
            <w:r w:rsidRPr="00FE5B4D">
              <w:rPr>
                <w:b/>
                <w:sz w:val="20"/>
                <w:szCs w:val="20"/>
              </w:rPr>
              <w:t>(</w:t>
            </w:r>
            <w:r>
              <w:rPr>
                <w:b/>
                <w:sz w:val="20"/>
                <w:szCs w:val="20"/>
              </w:rPr>
              <w:t>Al</w:t>
            </w:r>
            <w:r w:rsidRPr="00FE5B4D">
              <w:rPr>
                <w:b/>
                <w:sz w:val="20"/>
                <w:szCs w:val="20"/>
              </w:rPr>
              <w:t>t</w:t>
            </w:r>
            <w:r>
              <w:rPr>
                <w:b/>
                <w:sz w:val="20"/>
                <w:szCs w:val="20"/>
              </w:rPr>
              <w:t>a</w:t>
            </w:r>
            <w:r w:rsidRPr="00FE5B4D">
              <w:rPr>
                <w:b/>
                <w:sz w:val="20"/>
                <w:szCs w:val="20"/>
              </w:rPr>
              <w:t>.)</w:t>
            </w:r>
          </w:p>
          <w:p w:rsidR="002F706E" w:rsidRPr="00FE5B4D" w:rsidRDefault="002F706E" w:rsidP="002F706E">
            <w:pPr>
              <w:keepNext/>
              <w:keepLines/>
              <w:tabs>
                <w:tab w:val="left" w:pos="-1440"/>
                <w:tab w:val="left" w:pos="-720"/>
              </w:tabs>
              <w:rPr>
                <w:sz w:val="20"/>
                <w:szCs w:val="20"/>
              </w:rPr>
            </w:pPr>
            <w:r w:rsidRPr="00FE5B4D">
              <w:rPr>
                <w:sz w:val="20"/>
                <w:szCs w:val="20"/>
              </w:rPr>
              <w:tab/>
            </w:r>
            <w:r>
              <w:rPr>
                <w:sz w:val="20"/>
                <w:szCs w:val="20"/>
              </w:rPr>
              <w:t>Gwen J. Gray, Q.C.</w:t>
            </w:r>
          </w:p>
          <w:p w:rsidR="002F706E" w:rsidRPr="00FE5B4D" w:rsidRDefault="002F706E" w:rsidP="002F706E">
            <w:pPr>
              <w:keepNext/>
              <w:keepLines/>
              <w:tabs>
                <w:tab w:val="left" w:pos="-1440"/>
                <w:tab w:val="left" w:pos="-720"/>
              </w:tabs>
              <w:rPr>
                <w:sz w:val="20"/>
                <w:szCs w:val="20"/>
              </w:rPr>
            </w:pPr>
            <w:r w:rsidRPr="00FE5B4D">
              <w:rPr>
                <w:sz w:val="20"/>
                <w:szCs w:val="20"/>
              </w:rPr>
              <w:tab/>
            </w:r>
            <w:r>
              <w:rPr>
                <w:sz w:val="20"/>
                <w:szCs w:val="20"/>
              </w:rPr>
              <w:t>Chivers Carpenter</w:t>
            </w:r>
          </w:p>
          <w:p w:rsidR="002F706E" w:rsidRDefault="002F706E" w:rsidP="002F706E">
            <w:pPr>
              <w:keepNext/>
              <w:keepLines/>
              <w:tabs>
                <w:tab w:val="left" w:pos="-1440"/>
                <w:tab w:val="left" w:pos="-720"/>
              </w:tabs>
              <w:rPr>
                <w:sz w:val="20"/>
                <w:szCs w:val="20"/>
              </w:rPr>
            </w:pPr>
          </w:p>
          <w:p w:rsidR="002F706E" w:rsidRDefault="002F706E" w:rsidP="002F706E">
            <w:pPr>
              <w:keepNext/>
              <w:keepLines/>
              <w:tabs>
                <w:tab w:val="left" w:pos="-1440"/>
                <w:tab w:val="left" w:pos="-720"/>
              </w:tabs>
              <w:rPr>
                <w:sz w:val="20"/>
                <w:szCs w:val="20"/>
              </w:rPr>
            </w:pPr>
            <w:r w:rsidRPr="00FE5B4D">
              <w:rPr>
                <w:sz w:val="20"/>
                <w:szCs w:val="20"/>
              </w:rPr>
              <w:t>FILING DATE</w:t>
            </w:r>
            <w:r w:rsidRPr="00835818">
              <w:rPr>
                <w:sz w:val="20"/>
                <w:szCs w:val="20"/>
              </w:rPr>
              <w:t>: 28.06.2012</w:t>
            </w:r>
          </w:p>
          <w:p w:rsidR="002F706E" w:rsidRPr="002F706E" w:rsidRDefault="002F706E" w:rsidP="002F706E">
            <w:pPr>
              <w:keepNext/>
              <w:keepLines/>
              <w:tabs>
                <w:tab w:val="left" w:pos="-1440"/>
                <w:tab w:val="left" w:pos="-720"/>
              </w:tabs>
              <w:rPr>
                <w:b/>
                <w:sz w:val="20"/>
                <w:szCs w:val="20"/>
              </w:rPr>
            </w:pPr>
          </w:p>
        </w:tc>
      </w:tr>
      <w:tr w:rsidR="00D5299C" w:rsidRPr="00FE5B4D" w:rsidTr="002244A0">
        <w:tc>
          <w:tcPr>
            <w:tcW w:w="4320" w:type="dxa"/>
            <w:shd w:val="clear" w:color="auto" w:fill="auto"/>
          </w:tcPr>
          <w:p w:rsidR="00835818" w:rsidRDefault="00835818" w:rsidP="002244A0">
            <w:pPr>
              <w:rPr>
                <w:b/>
                <w:sz w:val="20"/>
                <w:szCs w:val="20"/>
              </w:rPr>
            </w:pPr>
          </w:p>
          <w:p w:rsidR="002A53D2" w:rsidRPr="00FE5B4D" w:rsidRDefault="002A53D2" w:rsidP="002244A0">
            <w:pPr>
              <w:rPr>
                <w:b/>
                <w:sz w:val="20"/>
                <w:szCs w:val="20"/>
              </w:rPr>
            </w:pPr>
            <w:r>
              <w:rPr>
                <w:b/>
                <w:sz w:val="20"/>
                <w:szCs w:val="20"/>
              </w:rPr>
              <w:t>Teva Canada Limited</w:t>
            </w:r>
          </w:p>
          <w:p w:rsidR="002A53D2" w:rsidRPr="00A935AA" w:rsidRDefault="00D5299C" w:rsidP="002A53D2">
            <w:pPr>
              <w:keepNext/>
              <w:keepLines/>
              <w:tabs>
                <w:tab w:val="left" w:pos="-1440"/>
                <w:tab w:val="left" w:pos="-720"/>
              </w:tabs>
              <w:rPr>
                <w:sz w:val="20"/>
                <w:szCs w:val="20"/>
              </w:rPr>
            </w:pPr>
            <w:r w:rsidRPr="00FE5B4D">
              <w:rPr>
                <w:sz w:val="20"/>
                <w:szCs w:val="20"/>
              </w:rPr>
              <w:tab/>
            </w:r>
            <w:r w:rsidR="002A53D2">
              <w:rPr>
                <w:sz w:val="20"/>
                <w:szCs w:val="20"/>
              </w:rPr>
              <w:t>Jonathan Stainsby</w:t>
            </w:r>
          </w:p>
          <w:p w:rsidR="002A53D2" w:rsidRPr="00A935AA" w:rsidRDefault="002A53D2" w:rsidP="002A53D2">
            <w:pPr>
              <w:keepNext/>
              <w:keepLines/>
              <w:tabs>
                <w:tab w:val="left" w:pos="-1440"/>
                <w:tab w:val="left" w:pos="-720"/>
              </w:tabs>
              <w:rPr>
                <w:sz w:val="20"/>
                <w:szCs w:val="20"/>
              </w:rPr>
            </w:pPr>
            <w:r w:rsidRPr="00A935AA">
              <w:rPr>
                <w:sz w:val="20"/>
                <w:szCs w:val="20"/>
              </w:rPr>
              <w:tab/>
            </w:r>
            <w:r>
              <w:rPr>
                <w:sz w:val="20"/>
                <w:szCs w:val="20"/>
              </w:rPr>
              <w:t>Heenan Blaikie LLP</w:t>
            </w:r>
          </w:p>
          <w:p w:rsidR="002A53D2" w:rsidRPr="00A935AA" w:rsidRDefault="002A53D2" w:rsidP="002A53D2">
            <w:pPr>
              <w:keepNext/>
              <w:keepLines/>
              <w:tabs>
                <w:tab w:val="left" w:pos="-1440"/>
                <w:tab w:val="left" w:pos="-720"/>
              </w:tabs>
              <w:rPr>
                <w:sz w:val="20"/>
                <w:szCs w:val="20"/>
              </w:rPr>
            </w:pPr>
          </w:p>
          <w:p w:rsidR="002A53D2" w:rsidRPr="00FE5B4D" w:rsidRDefault="002A53D2" w:rsidP="002A53D2">
            <w:pPr>
              <w:keepNext/>
              <w:keepLines/>
              <w:tabs>
                <w:tab w:val="left" w:pos="-1440"/>
                <w:tab w:val="left" w:pos="-720"/>
              </w:tabs>
              <w:rPr>
                <w:sz w:val="20"/>
                <w:szCs w:val="20"/>
              </w:rPr>
            </w:pPr>
            <w:r w:rsidRPr="00A935AA">
              <w:rPr>
                <w:sz w:val="20"/>
                <w:szCs w:val="20"/>
              </w:rPr>
              <w:tab/>
            </w:r>
            <w:r w:rsidRPr="00FE5B4D">
              <w:rPr>
                <w:sz w:val="20"/>
                <w:szCs w:val="20"/>
              </w:rPr>
              <w:t>v. (34</w:t>
            </w:r>
            <w:r>
              <w:rPr>
                <w:sz w:val="20"/>
                <w:szCs w:val="20"/>
              </w:rPr>
              <w:t>873</w:t>
            </w:r>
            <w:r w:rsidRPr="00FE5B4D">
              <w:rPr>
                <w:sz w:val="20"/>
                <w:szCs w:val="20"/>
              </w:rPr>
              <w:t>)</w:t>
            </w:r>
          </w:p>
          <w:p w:rsidR="002A53D2" w:rsidRPr="00FE5B4D" w:rsidRDefault="002A53D2" w:rsidP="002A53D2">
            <w:pPr>
              <w:keepNext/>
              <w:keepLines/>
              <w:tabs>
                <w:tab w:val="left" w:pos="-1440"/>
                <w:tab w:val="left" w:pos="-720"/>
              </w:tabs>
              <w:rPr>
                <w:sz w:val="20"/>
                <w:szCs w:val="20"/>
              </w:rPr>
            </w:pPr>
          </w:p>
          <w:p w:rsidR="002A53D2" w:rsidRPr="002A53D2" w:rsidRDefault="002A53D2" w:rsidP="002A53D2">
            <w:pPr>
              <w:keepNext/>
              <w:keepLines/>
              <w:tabs>
                <w:tab w:val="left" w:pos="-1440"/>
                <w:tab w:val="left" w:pos="-720"/>
              </w:tabs>
              <w:rPr>
                <w:b/>
                <w:sz w:val="20"/>
                <w:szCs w:val="20"/>
              </w:rPr>
            </w:pPr>
            <w:r w:rsidRPr="002A53D2">
              <w:rPr>
                <w:b/>
                <w:sz w:val="20"/>
                <w:szCs w:val="20"/>
              </w:rPr>
              <w:t>Nycomed Canada Inc. et al. (F.C.)</w:t>
            </w:r>
          </w:p>
          <w:p w:rsidR="002A53D2" w:rsidRPr="00FE5B4D" w:rsidRDefault="002A53D2" w:rsidP="002A53D2">
            <w:pPr>
              <w:keepNext/>
              <w:keepLines/>
              <w:tabs>
                <w:tab w:val="left" w:pos="-1440"/>
                <w:tab w:val="left" w:pos="-720"/>
              </w:tabs>
              <w:rPr>
                <w:sz w:val="20"/>
                <w:szCs w:val="20"/>
              </w:rPr>
            </w:pPr>
            <w:r w:rsidRPr="002A53D2">
              <w:rPr>
                <w:sz w:val="20"/>
                <w:szCs w:val="20"/>
              </w:rPr>
              <w:tab/>
            </w:r>
            <w:r>
              <w:rPr>
                <w:sz w:val="20"/>
                <w:szCs w:val="20"/>
              </w:rPr>
              <w:t>Neil Belmore</w:t>
            </w:r>
          </w:p>
          <w:p w:rsidR="002A53D2" w:rsidRPr="00FE5B4D" w:rsidRDefault="002A53D2" w:rsidP="002A53D2">
            <w:pPr>
              <w:keepNext/>
              <w:keepLines/>
              <w:tabs>
                <w:tab w:val="left" w:pos="-1440"/>
                <w:tab w:val="left" w:pos="-720"/>
              </w:tabs>
              <w:rPr>
                <w:sz w:val="20"/>
                <w:szCs w:val="20"/>
              </w:rPr>
            </w:pPr>
            <w:r w:rsidRPr="00FE5B4D">
              <w:rPr>
                <w:sz w:val="20"/>
                <w:szCs w:val="20"/>
              </w:rPr>
              <w:tab/>
            </w:r>
            <w:r>
              <w:rPr>
                <w:sz w:val="20"/>
                <w:szCs w:val="20"/>
              </w:rPr>
              <w:t>Belmore Neidrauer LLP</w:t>
            </w:r>
          </w:p>
          <w:p w:rsidR="00D5299C" w:rsidRPr="00A935AA" w:rsidRDefault="00D5299C" w:rsidP="002244A0">
            <w:pPr>
              <w:tabs>
                <w:tab w:val="left" w:pos="-1440"/>
                <w:tab w:val="left" w:pos="-720"/>
              </w:tabs>
              <w:rPr>
                <w:sz w:val="20"/>
                <w:szCs w:val="20"/>
              </w:rPr>
            </w:pPr>
          </w:p>
          <w:p w:rsidR="00D5299C" w:rsidRPr="00A935AA" w:rsidRDefault="00D5299C" w:rsidP="002244A0">
            <w:pPr>
              <w:rPr>
                <w:sz w:val="20"/>
                <w:szCs w:val="20"/>
              </w:rPr>
            </w:pPr>
            <w:r w:rsidRPr="00A935AA">
              <w:rPr>
                <w:sz w:val="20"/>
                <w:szCs w:val="20"/>
              </w:rPr>
              <w:t xml:space="preserve">FILING DATE: </w:t>
            </w:r>
            <w:r w:rsidR="002F706E">
              <w:rPr>
                <w:sz w:val="20"/>
                <w:szCs w:val="20"/>
              </w:rPr>
              <w:t>15</w:t>
            </w:r>
            <w:r w:rsidRPr="00A935AA">
              <w:rPr>
                <w:sz w:val="20"/>
                <w:szCs w:val="20"/>
              </w:rPr>
              <w:t>.0</w:t>
            </w:r>
            <w:r>
              <w:rPr>
                <w:sz w:val="20"/>
                <w:szCs w:val="20"/>
              </w:rPr>
              <w:t>6</w:t>
            </w:r>
            <w:r w:rsidRPr="00A935AA">
              <w:rPr>
                <w:sz w:val="20"/>
                <w:szCs w:val="20"/>
              </w:rPr>
              <w:t>.201</w:t>
            </w:r>
            <w:r>
              <w:rPr>
                <w:sz w:val="20"/>
                <w:szCs w:val="20"/>
              </w:rPr>
              <w:t>2</w:t>
            </w:r>
          </w:p>
          <w:p w:rsidR="00D5299C" w:rsidRPr="00A935AA" w:rsidRDefault="00B62B14" w:rsidP="002244A0">
            <w:pPr>
              <w:rPr>
                <w:sz w:val="20"/>
                <w:szCs w:val="20"/>
              </w:rPr>
            </w:pPr>
            <w:r w:rsidRPr="00B62B14">
              <w:rPr>
                <w:sz w:val="20"/>
                <w:szCs w:val="20"/>
                <w:lang w:val="fr-CA"/>
              </w:rPr>
              <w:pict>
                <v:rect id="_x0000_i1027" style="width:108pt;height:1pt" o:hrpct="0" o:hralign="center" o:hrstd="t" o:hrnoshade="t" o:hr="t" fillcolor="black [3213]" stroked="f"/>
              </w:pict>
            </w:r>
          </w:p>
        </w:tc>
        <w:tc>
          <w:tcPr>
            <w:tcW w:w="1181" w:type="dxa"/>
            <w:shd w:val="clear" w:color="auto" w:fill="auto"/>
          </w:tcPr>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Default="00D5299C" w:rsidP="002244A0">
            <w:pPr>
              <w:jc w:val="center"/>
              <w:rPr>
                <w:sz w:val="20"/>
                <w:szCs w:val="20"/>
              </w:rPr>
            </w:pPr>
          </w:p>
          <w:p w:rsidR="00D5299C" w:rsidRDefault="00D5299C" w:rsidP="002244A0">
            <w:pPr>
              <w:jc w:val="center"/>
              <w:rPr>
                <w:sz w:val="20"/>
                <w:szCs w:val="20"/>
              </w:rPr>
            </w:pPr>
          </w:p>
          <w:p w:rsidR="002F706E" w:rsidRDefault="002F706E" w:rsidP="002244A0">
            <w:pPr>
              <w:jc w:val="center"/>
              <w:rPr>
                <w:sz w:val="20"/>
                <w:szCs w:val="20"/>
              </w:rPr>
            </w:pPr>
          </w:p>
          <w:p w:rsidR="00D5299C" w:rsidRPr="00A935AA" w:rsidRDefault="00D5299C" w:rsidP="002244A0">
            <w:pPr>
              <w:jc w:val="center"/>
              <w:rPr>
                <w:sz w:val="20"/>
                <w:szCs w:val="20"/>
              </w:rPr>
            </w:pPr>
          </w:p>
        </w:tc>
        <w:tc>
          <w:tcPr>
            <w:tcW w:w="4320" w:type="dxa"/>
            <w:shd w:val="clear" w:color="auto" w:fill="auto"/>
          </w:tcPr>
          <w:p w:rsidR="00835818" w:rsidRDefault="00835818" w:rsidP="002244A0">
            <w:pPr>
              <w:keepNext/>
              <w:keepLines/>
              <w:tabs>
                <w:tab w:val="left" w:pos="-1440"/>
                <w:tab w:val="left" w:pos="-720"/>
              </w:tabs>
              <w:rPr>
                <w:sz w:val="20"/>
                <w:szCs w:val="20"/>
              </w:rPr>
            </w:pPr>
            <w:r>
              <w:rPr>
                <w:sz w:val="20"/>
                <w:szCs w:val="20"/>
              </w:rPr>
              <w:t>and between</w:t>
            </w:r>
          </w:p>
          <w:p w:rsidR="00835818" w:rsidRDefault="00835818" w:rsidP="002244A0">
            <w:pPr>
              <w:keepNext/>
              <w:keepLines/>
              <w:tabs>
                <w:tab w:val="left" w:pos="-1440"/>
                <w:tab w:val="left" w:pos="-720"/>
              </w:tabs>
              <w:rPr>
                <w:b/>
                <w:sz w:val="20"/>
                <w:szCs w:val="20"/>
              </w:rPr>
            </w:pPr>
          </w:p>
          <w:p w:rsidR="002F706E" w:rsidRDefault="002F706E" w:rsidP="002244A0">
            <w:pPr>
              <w:keepNext/>
              <w:keepLines/>
              <w:tabs>
                <w:tab w:val="left" w:pos="-1440"/>
                <w:tab w:val="left" w:pos="-720"/>
              </w:tabs>
              <w:rPr>
                <w:sz w:val="20"/>
                <w:szCs w:val="20"/>
              </w:rPr>
            </w:pPr>
            <w:r>
              <w:rPr>
                <w:b/>
                <w:sz w:val="20"/>
                <w:szCs w:val="20"/>
              </w:rPr>
              <w:t>Attorney General of Alberta</w:t>
            </w:r>
          </w:p>
          <w:p w:rsidR="002F706E" w:rsidRDefault="00D5299C" w:rsidP="002244A0">
            <w:pPr>
              <w:keepNext/>
              <w:keepLines/>
              <w:tabs>
                <w:tab w:val="left" w:pos="-1440"/>
                <w:tab w:val="left" w:pos="-720"/>
              </w:tabs>
              <w:rPr>
                <w:sz w:val="20"/>
                <w:szCs w:val="20"/>
              </w:rPr>
            </w:pPr>
            <w:r w:rsidRPr="00A935AA">
              <w:rPr>
                <w:sz w:val="20"/>
                <w:szCs w:val="20"/>
              </w:rPr>
              <w:tab/>
            </w:r>
            <w:r w:rsidR="002F706E">
              <w:rPr>
                <w:sz w:val="20"/>
                <w:szCs w:val="20"/>
              </w:rPr>
              <w:t>Roderick Wiltshire</w:t>
            </w:r>
          </w:p>
          <w:p w:rsidR="00D5299C" w:rsidRPr="00A935AA" w:rsidRDefault="002A53D2" w:rsidP="002244A0">
            <w:pPr>
              <w:keepNext/>
              <w:keepLines/>
              <w:tabs>
                <w:tab w:val="left" w:pos="-1440"/>
                <w:tab w:val="left" w:pos="-720"/>
              </w:tabs>
              <w:rPr>
                <w:sz w:val="20"/>
                <w:szCs w:val="20"/>
              </w:rPr>
            </w:pPr>
            <w:r>
              <w:rPr>
                <w:sz w:val="20"/>
                <w:szCs w:val="20"/>
              </w:rPr>
              <w:tab/>
            </w:r>
            <w:r w:rsidR="002F706E">
              <w:rPr>
                <w:sz w:val="20"/>
                <w:szCs w:val="20"/>
              </w:rPr>
              <w:t>A.G. of Alberta</w:t>
            </w:r>
          </w:p>
          <w:p w:rsidR="00D5299C" w:rsidRPr="00A935AA" w:rsidRDefault="00D5299C" w:rsidP="002244A0">
            <w:pPr>
              <w:keepNext/>
              <w:keepLines/>
              <w:tabs>
                <w:tab w:val="left" w:pos="-1440"/>
                <w:tab w:val="left" w:pos="-720"/>
              </w:tabs>
              <w:rPr>
                <w:sz w:val="20"/>
                <w:szCs w:val="20"/>
              </w:rPr>
            </w:pPr>
          </w:p>
          <w:p w:rsidR="00D5299C" w:rsidRPr="00FE5B4D" w:rsidRDefault="00D5299C" w:rsidP="002244A0">
            <w:pPr>
              <w:keepNext/>
              <w:keepLines/>
              <w:tabs>
                <w:tab w:val="left" w:pos="-1440"/>
                <w:tab w:val="left" w:pos="-720"/>
              </w:tabs>
              <w:rPr>
                <w:sz w:val="20"/>
                <w:szCs w:val="20"/>
              </w:rPr>
            </w:pPr>
            <w:r w:rsidRPr="00A935AA">
              <w:rPr>
                <w:sz w:val="20"/>
                <w:szCs w:val="20"/>
              </w:rPr>
              <w:tab/>
            </w:r>
            <w:r w:rsidRPr="00FE5B4D">
              <w:rPr>
                <w:sz w:val="20"/>
                <w:szCs w:val="20"/>
              </w:rPr>
              <w:t>v. (34</w:t>
            </w:r>
            <w:r w:rsidR="002A53D2">
              <w:rPr>
                <w:sz w:val="20"/>
                <w:szCs w:val="20"/>
              </w:rPr>
              <w:t>890</w:t>
            </w:r>
            <w:r w:rsidRPr="00FE5B4D">
              <w:rPr>
                <w:sz w:val="20"/>
                <w:szCs w:val="20"/>
              </w:rPr>
              <w:t>)</w:t>
            </w:r>
          </w:p>
          <w:p w:rsidR="00D5299C" w:rsidRPr="00FE5B4D" w:rsidRDefault="00D5299C" w:rsidP="002244A0">
            <w:pPr>
              <w:keepNext/>
              <w:keepLines/>
              <w:tabs>
                <w:tab w:val="left" w:pos="-1440"/>
                <w:tab w:val="left" w:pos="-720"/>
              </w:tabs>
              <w:rPr>
                <w:sz w:val="20"/>
                <w:szCs w:val="20"/>
              </w:rPr>
            </w:pPr>
          </w:p>
          <w:p w:rsidR="00D5299C" w:rsidRPr="00FE5B4D" w:rsidRDefault="002A53D2" w:rsidP="002244A0">
            <w:pPr>
              <w:keepNext/>
              <w:keepLines/>
              <w:tabs>
                <w:tab w:val="left" w:pos="-1440"/>
                <w:tab w:val="left" w:pos="-720"/>
              </w:tabs>
              <w:rPr>
                <w:b/>
                <w:sz w:val="20"/>
                <w:szCs w:val="20"/>
              </w:rPr>
            </w:pPr>
            <w:r>
              <w:rPr>
                <w:b/>
                <w:sz w:val="20"/>
                <w:szCs w:val="20"/>
              </w:rPr>
              <w:t>United Food and Commercial Workers, Local 40</w:t>
            </w:r>
            <w:r w:rsidR="00430CF3">
              <w:rPr>
                <w:b/>
                <w:sz w:val="20"/>
                <w:szCs w:val="20"/>
              </w:rPr>
              <w:t>1</w:t>
            </w:r>
            <w:r>
              <w:rPr>
                <w:b/>
                <w:sz w:val="20"/>
                <w:szCs w:val="20"/>
              </w:rPr>
              <w:t xml:space="preserve"> </w:t>
            </w:r>
            <w:r w:rsidR="00D5299C" w:rsidRPr="00FE5B4D">
              <w:rPr>
                <w:b/>
                <w:sz w:val="20"/>
                <w:szCs w:val="20"/>
              </w:rPr>
              <w:t>(</w:t>
            </w:r>
            <w:r>
              <w:rPr>
                <w:b/>
                <w:sz w:val="20"/>
                <w:szCs w:val="20"/>
              </w:rPr>
              <w:t>Al</w:t>
            </w:r>
            <w:r w:rsidR="00D5299C" w:rsidRPr="00FE5B4D">
              <w:rPr>
                <w:b/>
                <w:sz w:val="20"/>
                <w:szCs w:val="20"/>
              </w:rPr>
              <w:t>t</w:t>
            </w:r>
            <w:r>
              <w:rPr>
                <w:b/>
                <w:sz w:val="20"/>
                <w:szCs w:val="20"/>
              </w:rPr>
              <w:t>a</w:t>
            </w:r>
            <w:r w:rsidR="00D5299C" w:rsidRPr="00FE5B4D">
              <w:rPr>
                <w:b/>
                <w:sz w:val="20"/>
                <w:szCs w:val="20"/>
              </w:rPr>
              <w:t>.)</w:t>
            </w:r>
          </w:p>
          <w:p w:rsidR="00D5299C" w:rsidRPr="00FE5B4D" w:rsidRDefault="00D5299C" w:rsidP="002244A0">
            <w:pPr>
              <w:keepNext/>
              <w:keepLines/>
              <w:tabs>
                <w:tab w:val="left" w:pos="-1440"/>
                <w:tab w:val="left" w:pos="-720"/>
              </w:tabs>
              <w:rPr>
                <w:sz w:val="20"/>
                <w:szCs w:val="20"/>
              </w:rPr>
            </w:pPr>
            <w:r w:rsidRPr="00FE5B4D">
              <w:rPr>
                <w:sz w:val="20"/>
                <w:szCs w:val="20"/>
              </w:rPr>
              <w:tab/>
            </w:r>
            <w:r w:rsidR="002A53D2">
              <w:rPr>
                <w:sz w:val="20"/>
                <w:szCs w:val="20"/>
              </w:rPr>
              <w:t>Gwen J. Gray, Q.C.</w:t>
            </w:r>
          </w:p>
          <w:p w:rsidR="00D5299C" w:rsidRPr="00FE5B4D" w:rsidRDefault="00D5299C" w:rsidP="002244A0">
            <w:pPr>
              <w:keepNext/>
              <w:keepLines/>
              <w:tabs>
                <w:tab w:val="left" w:pos="-1440"/>
                <w:tab w:val="left" w:pos="-720"/>
              </w:tabs>
              <w:rPr>
                <w:sz w:val="20"/>
                <w:szCs w:val="20"/>
              </w:rPr>
            </w:pPr>
            <w:r w:rsidRPr="00FE5B4D">
              <w:rPr>
                <w:sz w:val="20"/>
                <w:szCs w:val="20"/>
              </w:rPr>
              <w:tab/>
            </w:r>
            <w:r w:rsidR="002A53D2">
              <w:rPr>
                <w:sz w:val="20"/>
                <w:szCs w:val="20"/>
              </w:rPr>
              <w:t>Chivers Carpenter</w:t>
            </w:r>
          </w:p>
          <w:p w:rsidR="00D5299C" w:rsidRDefault="00D5299C" w:rsidP="002244A0">
            <w:pPr>
              <w:keepNext/>
              <w:keepLines/>
              <w:tabs>
                <w:tab w:val="left" w:pos="-1440"/>
                <w:tab w:val="left" w:pos="-720"/>
              </w:tabs>
              <w:rPr>
                <w:sz w:val="20"/>
                <w:szCs w:val="20"/>
              </w:rPr>
            </w:pPr>
          </w:p>
          <w:p w:rsidR="00D5299C" w:rsidRPr="00A80BE6" w:rsidRDefault="00D5299C" w:rsidP="002F706E">
            <w:pPr>
              <w:rPr>
                <w:sz w:val="20"/>
                <w:szCs w:val="20"/>
                <w:lang w:val="fr-CA"/>
              </w:rPr>
            </w:pPr>
            <w:r w:rsidRPr="00FE5B4D">
              <w:rPr>
                <w:sz w:val="20"/>
                <w:szCs w:val="20"/>
              </w:rPr>
              <w:t>FILING DATE</w:t>
            </w:r>
            <w:r w:rsidRPr="00A80BE6">
              <w:rPr>
                <w:sz w:val="20"/>
                <w:szCs w:val="20"/>
                <w:lang w:val="fr-CA"/>
              </w:rPr>
              <w:t>: 2</w:t>
            </w:r>
            <w:r w:rsidR="002F706E">
              <w:rPr>
                <w:sz w:val="20"/>
                <w:szCs w:val="20"/>
                <w:lang w:val="fr-CA"/>
              </w:rPr>
              <w:t>9</w:t>
            </w:r>
            <w:r w:rsidRPr="00A80BE6">
              <w:rPr>
                <w:sz w:val="20"/>
                <w:szCs w:val="20"/>
                <w:lang w:val="fr-CA"/>
              </w:rPr>
              <w:t>.06.2012</w:t>
            </w:r>
            <w:r w:rsidR="00B62B14" w:rsidRPr="00B62B14">
              <w:rPr>
                <w:sz w:val="20"/>
                <w:szCs w:val="20"/>
                <w:lang w:val="fr-CA"/>
              </w:rPr>
              <w:pict>
                <v:rect id="_x0000_i1028" style="width:108pt;height:1pt" o:hrpct="0" o:hralign="center" o:hrstd="t" o:hrnoshade="t" o:hr="t" fillcolor="black [3213]" stroked="f"/>
              </w:pict>
            </w:r>
          </w:p>
        </w:tc>
      </w:tr>
      <w:tr w:rsidR="00D5299C" w:rsidRPr="002F706E" w:rsidTr="002244A0">
        <w:trPr>
          <w:cantSplit/>
        </w:trPr>
        <w:tc>
          <w:tcPr>
            <w:tcW w:w="4320" w:type="dxa"/>
            <w:shd w:val="clear" w:color="auto" w:fill="auto"/>
          </w:tcPr>
          <w:p w:rsidR="00D5299C" w:rsidRPr="00A80BE6" w:rsidRDefault="002F706E" w:rsidP="002244A0">
            <w:pPr>
              <w:rPr>
                <w:b/>
                <w:sz w:val="20"/>
                <w:szCs w:val="20"/>
                <w:lang w:val="fr-CA"/>
              </w:rPr>
            </w:pPr>
            <w:r>
              <w:rPr>
                <w:b/>
                <w:sz w:val="20"/>
                <w:szCs w:val="20"/>
                <w:lang w:val="fr-CA"/>
              </w:rPr>
              <w:lastRenderedPageBreak/>
              <w:t>L’ordre des chimistes du Québec</w:t>
            </w:r>
          </w:p>
          <w:p w:rsidR="00D5299C" w:rsidRPr="00A80BE6" w:rsidRDefault="00D5299C" w:rsidP="002244A0">
            <w:pPr>
              <w:tabs>
                <w:tab w:val="left" w:pos="-1440"/>
                <w:tab w:val="left" w:pos="-720"/>
              </w:tabs>
              <w:rPr>
                <w:sz w:val="20"/>
                <w:szCs w:val="20"/>
                <w:lang w:val="fr-CA"/>
              </w:rPr>
            </w:pPr>
            <w:r w:rsidRPr="00A80BE6">
              <w:rPr>
                <w:sz w:val="20"/>
                <w:szCs w:val="20"/>
                <w:lang w:val="fr-CA"/>
              </w:rPr>
              <w:tab/>
            </w:r>
            <w:r w:rsidR="002F706E">
              <w:rPr>
                <w:sz w:val="20"/>
                <w:szCs w:val="20"/>
                <w:lang w:val="fr-CA"/>
              </w:rPr>
              <w:t>Jean Lanctot</w:t>
            </w:r>
          </w:p>
          <w:p w:rsidR="00D5299C" w:rsidRPr="00A80BE6" w:rsidRDefault="00D5299C" w:rsidP="002244A0">
            <w:pPr>
              <w:tabs>
                <w:tab w:val="left" w:pos="-1440"/>
                <w:tab w:val="left" w:pos="-720"/>
              </w:tabs>
              <w:rPr>
                <w:sz w:val="20"/>
                <w:szCs w:val="20"/>
                <w:lang w:val="fr-CA"/>
              </w:rPr>
            </w:pPr>
            <w:r w:rsidRPr="00A80BE6">
              <w:rPr>
                <w:sz w:val="20"/>
                <w:szCs w:val="20"/>
                <w:lang w:val="fr-CA"/>
              </w:rPr>
              <w:tab/>
            </w:r>
            <w:r w:rsidR="002F706E">
              <w:rPr>
                <w:sz w:val="20"/>
                <w:szCs w:val="20"/>
                <w:lang w:val="fr-CA"/>
              </w:rPr>
              <w:t>Ferland Marois Lanctot</w:t>
            </w:r>
          </w:p>
          <w:p w:rsidR="00D5299C" w:rsidRPr="00A80BE6" w:rsidRDefault="00D5299C" w:rsidP="002244A0">
            <w:pPr>
              <w:tabs>
                <w:tab w:val="left" w:pos="-1440"/>
                <w:tab w:val="left" w:pos="-720"/>
              </w:tabs>
              <w:rPr>
                <w:sz w:val="20"/>
                <w:szCs w:val="20"/>
                <w:lang w:val="fr-CA"/>
              </w:rPr>
            </w:pPr>
          </w:p>
          <w:p w:rsidR="00D5299C" w:rsidRPr="002F706E" w:rsidRDefault="00D5299C" w:rsidP="002244A0">
            <w:pPr>
              <w:tabs>
                <w:tab w:val="left" w:pos="-1440"/>
                <w:tab w:val="left" w:pos="-720"/>
              </w:tabs>
              <w:rPr>
                <w:sz w:val="20"/>
                <w:szCs w:val="20"/>
                <w:lang w:val="fr-CA"/>
              </w:rPr>
            </w:pPr>
            <w:r w:rsidRPr="00A80BE6">
              <w:rPr>
                <w:sz w:val="20"/>
                <w:szCs w:val="20"/>
                <w:lang w:val="fr-CA"/>
              </w:rPr>
              <w:tab/>
            </w:r>
            <w:r w:rsidR="002F706E">
              <w:rPr>
                <w:sz w:val="20"/>
                <w:szCs w:val="20"/>
                <w:lang w:val="fr-CA"/>
              </w:rPr>
              <w:t>c</w:t>
            </w:r>
            <w:r w:rsidRPr="002F706E">
              <w:rPr>
                <w:sz w:val="20"/>
                <w:szCs w:val="20"/>
                <w:lang w:val="fr-CA"/>
              </w:rPr>
              <w:t>. (34</w:t>
            </w:r>
            <w:r w:rsidR="002F706E" w:rsidRPr="002F706E">
              <w:rPr>
                <w:sz w:val="20"/>
                <w:szCs w:val="20"/>
                <w:lang w:val="fr-CA"/>
              </w:rPr>
              <w:t>893</w:t>
            </w:r>
            <w:r w:rsidRPr="002F706E">
              <w:rPr>
                <w:sz w:val="20"/>
                <w:szCs w:val="20"/>
                <w:lang w:val="fr-CA"/>
              </w:rPr>
              <w:t>)</w:t>
            </w:r>
          </w:p>
          <w:p w:rsidR="00D5299C" w:rsidRPr="002F706E" w:rsidRDefault="00D5299C" w:rsidP="002244A0">
            <w:pPr>
              <w:tabs>
                <w:tab w:val="left" w:pos="-1440"/>
                <w:tab w:val="left" w:pos="-720"/>
              </w:tabs>
              <w:rPr>
                <w:sz w:val="20"/>
                <w:szCs w:val="20"/>
                <w:lang w:val="fr-CA"/>
              </w:rPr>
            </w:pPr>
          </w:p>
          <w:p w:rsidR="00D5299C" w:rsidRPr="002F706E" w:rsidRDefault="00EC715B" w:rsidP="002244A0">
            <w:pPr>
              <w:tabs>
                <w:tab w:val="left" w:pos="-1440"/>
                <w:tab w:val="left" w:pos="-720"/>
              </w:tabs>
              <w:rPr>
                <w:b/>
                <w:sz w:val="20"/>
                <w:szCs w:val="20"/>
                <w:lang w:val="fr-CA"/>
              </w:rPr>
            </w:pPr>
            <w:r>
              <w:rPr>
                <w:b/>
                <w:sz w:val="20"/>
                <w:szCs w:val="20"/>
                <w:lang w:val="fr-CA"/>
              </w:rPr>
              <w:t>B</w:t>
            </w:r>
            <w:r w:rsidR="002F706E" w:rsidRPr="002F706E">
              <w:rPr>
                <w:b/>
                <w:sz w:val="20"/>
                <w:szCs w:val="20"/>
                <w:lang w:val="fr-CA"/>
              </w:rPr>
              <w:t>iomedco Services Inc.</w:t>
            </w:r>
            <w:r w:rsidR="002F706E">
              <w:rPr>
                <w:b/>
                <w:sz w:val="20"/>
                <w:szCs w:val="20"/>
                <w:lang w:val="fr-CA"/>
              </w:rPr>
              <w:t xml:space="preserve"> et autre </w:t>
            </w:r>
            <w:r w:rsidR="00D5299C" w:rsidRPr="002F706E">
              <w:rPr>
                <w:b/>
                <w:sz w:val="20"/>
                <w:szCs w:val="20"/>
                <w:lang w:val="fr-CA"/>
              </w:rPr>
              <w:t>(</w:t>
            </w:r>
            <w:r w:rsidR="002F706E">
              <w:rPr>
                <w:b/>
                <w:sz w:val="20"/>
                <w:szCs w:val="20"/>
                <w:lang w:val="fr-CA"/>
              </w:rPr>
              <w:t>Qc</w:t>
            </w:r>
            <w:r w:rsidR="00D5299C" w:rsidRPr="002F706E">
              <w:rPr>
                <w:b/>
                <w:sz w:val="20"/>
                <w:szCs w:val="20"/>
                <w:lang w:val="fr-CA"/>
              </w:rPr>
              <w:t>)</w:t>
            </w:r>
          </w:p>
          <w:p w:rsidR="00D5299C" w:rsidRPr="002F706E" w:rsidRDefault="00D5299C" w:rsidP="002244A0">
            <w:pPr>
              <w:tabs>
                <w:tab w:val="left" w:pos="-1440"/>
                <w:tab w:val="left" w:pos="-720"/>
              </w:tabs>
              <w:rPr>
                <w:sz w:val="20"/>
                <w:szCs w:val="20"/>
                <w:lang w:val="fr-CA"/>
              </w:rPr>
            </w:pPr>
            <w:r w:rsidRPr="002F706E">
              <w:rPr>
                <w:sz w:val="20"/>
                <w:szCs w:val="20"/>
                <w:lang w:val="fr-CA"/>
              </w:rPr>
              <w:tab/>
            </w:r>
            <w:r w:rsidR="002F706E">
              <w:rPr>
                <w:sz w:val="20"/>
                <w:szCs w:val="20"/>
                <w:lang w:val="fr-CA"/>
              </w:rPr>
              <w:t>Tristan Desjardins</w:t>
            </w:r>
          </w:p>
          <w:p w:rsidR="00D5299C" w:rsidRPr="002F706E" w:rsidRDefault="00D5299C" w:rsidP="002244A0">
            <w:pPr>
              <w:tabs>
                <w:tab w:val="left" w:pos="-1440"/>
                <w:tab w:val="left" w:pos="-720"/>
              </w:tabs>
              <w:rPr>
                <w:sz w:val="20"/>
                <w:szCs w:val="20"/>
                <w:lang w:val="fr-CA"/>
              </w:rPr>
            </w:pPr>
            <w:r w:rsidRPr="002F706E">
              <w:rPr>
                <w:sz w:val="20"/>
                <w:szCs w:val="20"/>
                <w:lang w:val="fr-CA"/>
              </w:rPr>
              <w:tab/>
            </w:r>
            <w:r w:rsidR="002F706E">
              <w:rPr>
                <w:sz w:val="20"/>
                <w:szCs w:val="20"/>
                <w:lang w:val="fr-CA"/>
              </w:rPr>
              <w:t>Downs Lepage, s.n.a.</w:t>
            </w:r>
          </w:p>
          <w:p w:rsidR="00D5299C" w:rsidRPr="002F706E" w:rsidRDefault="00D5299C" w:rsidP="002244A0">
            <w:pPr>
              <w:tabs>
                <w:tab w:val="left" w:pos="-1440"/>
                <w:tab w:val="left" w:pos="-720"/>
              </w:tabs>
              <w:rPr>
                <w:sz w:val="20"/>
                <w:szCs w:val="20"/>
                <w:lang w:val="fr-CA"/>
              </w:rPr>
            </w:pPr>
          </w:p>
          <w:p w:rsidR="00D5299C" w:rsidRPr="002F706E" w:rsidRDefault="002F706E" w:rsidP="002244A0">
            <w:pPr>
              <w:rPr>
                <w:sz w:val="20"/>
                <w:szCs w:val="20"/>
                <w:lang w:val="fr-CA"/>
              </w:rPr>
            </w:pPr>
            <w:r>
              <w:rPr>
                <w:sz w:val="20"/>
                <w:szCs w:val="20"/>
                <w:lang w:val="fr-CA"/>
              </w:rPr>
              <w:t>D</w:t>
            </w:r>
            <w:r w:rsidR="00D5299C" w:rsidRPr="002F706E">
              <w:rPr>
                <w:sz w:val="20"/>
                <w:szCs w:val="20"/>
                <w:lang w:val="fr-CA"/>
              </w:rPr>
              <w:t>ATE</w:t>
            </w:r>
            <w:r>
              <w:rPr>
                <w:sz w:val="20"/>
                <w:szCs w:val="20"/>
                <w:lang w:val="fr-CA"/>
              </w:rPr>
              <w:t xml:space="preserve"> DE PRODUCTION </w:t>
            </w:r>
            <w:r w:rsidR="00D5299C" w:rsidRPr="002F706E">
              <w:rPr>
                <w:sz w:val="20"/>
                <w:szCs w:val="20"/>
                <w:lang w:val="fr-CA"/>
              </w:rPr>
              <w:t>: 2</w:t>
            </w:r>
            <w:r>
              <w:rPr>
                <w:sz w:val="20"/>
                <w:szCs w:val="20"/>
                <w:lang w:val="fr-CA"/>
              </w:rPr>
              <w:t>9</w:t>
            </w:r>
            <w:r w:rsidR="00D5299C" w:rsidRPr="002F706E">
              <w:rPr>
                <w:sz w:val="20"/>
                <w:szCs w:val="20"/>
                <w:lang w:val="fr-CA"/>
              </w:rPr>
              <w:t>.06.2012</w:t>
            </w:r>
          </w:p>
          <w:p w:rsidR="00D5299C" w:rsidRPr="002F706E" w:rsidRDefault="00B62B14" w:rsidP="002244A0">
            <w:pPr>
              <w:rPr>
                <w:sz w:val="20"/>
                <w:szCs w:val="20"/>
                <w:lang w:val="fr-CA"/>
              </w:rPr>
            </w:pPr>
            <w:r w:rsidRPr="00B62B14">
              <w:rPr>
                <w:sz w:val="20"/>
                <w:szCs w:val="20"/>
                <w:lang w:val="fr-CA"/>
              </w:rPr>
              <w:pict>
                <v:rect id="_x0000_i1029" style="width:108pt;height:1pt" o:hrpct="0" o:hralign="center" o:hrstd="t" o:hrnoshade="t" o:hr="t" fillcolor="black [3213]" stroked="f"/>
              </w:pict>
            </w:r>
          </w:p>
        </w:tc>
        <w:tc>
          <w:tcPr>
            <w:tcW w:w="1181" w:type="dxa"/>
            <w:shd w:val="clear" w:color="auto" w:fill="auto"/>
          </w:tcPr>
          <w:p w:rsidR="00D5299C" w:rsidRPr="002F706E" w:rsidRDefault="00D5299C" w:rsidP="002244A0">
            <w:pPr>
              <w:jc w:val="center"/>
              <w:rPr>
                <w:sz w:val="20"/>
                <w:szCs w:val="20"/>
                <w:lang w:val="fr-CA"/>
              </w:rPr>
            </w:pPr>
          </w:p>
          <w:p w:rsidR="00D5299C" w:rsidRPr="002F706E" w:rsidRDefault="00D5299C" w:rsidP="002244A0">
            <w:pPr>
              <w:jc w:val="center"/>
              <w:rPr>
                <w:sz w:val="20"/>
                <w:szCs w:val="20"/>
                <w:lang w:val="fr-CA"/>
              </w:rPr>
            </w:pPr>
          </w:p>
          <w:p w:rsidR="00D5299C" w:rsidRPr="002F706E" w:rsidRDefault="00D5299C" w:rsidP="002244A0">
            <w:pPr>
              <w:jc w:val="center"/>
              <w:rPr>
                <w:sz w:val="20"/>
                <w:szCs w:val="20"/>
                <w:lang w:val="fr-CA"/>
              </w:rPr>
            </w:pPr>
          </w:p>
          <w:p w:rsidR="00D5299C" w:rsidRPr="002F706E" w:rsidRDefault="00D5299C" w:rsidP="002244A0">
            <w:pPr>
              <w:jc w:val="center"/>
              <w:rPr>
                <w:sz w:val="20"/>
                <w:szCs w:val="20"/>
                <w:lang w:val="fr-CA"/>
              </w:rPr>
            </w:pPr>
          </w:p>
          <w:p w:rsidR="00D5299C" w:rsidRPr="002F706E" w:rsidRDefault="00D5299C" w:rsidP="002244A0">
            <w:pPr>
              <w:jc w:val="center"/>
              <w:rPr>
                <w:sz w:val="20"/>
                <w:szCs w:val="20"/>
                <w:lang w:val="fr-CA"/>
              </w:rPr>
            </w:pPr>
          </w:p>
          <w:p w:rsidR="00D5299C" w:rsidRPr="002F706E" w:rsidRDefault="00D5299C" w:rsidP="002244A0">
            <w:pPr>
              <w:jc w:val="center"/>
              <w:rPr>
                <w:sz w:val="20"/>
                <w:szCs w:val="20"/>
                <w:lang w:val="fr-CA"/>
              </w:rPr>
            </w:pPr>
          </w:p>
          <w:p w:rsidR="00D5299C" w:rsidRPr="002F706E" w:rsidRDefault="00D5299C" w:rsidP="002244A0">
            <w:pPr>
              <w:jc w:val="center"/>
              <w:rPr>
                <w:sz w:val="20"/>
                <w:szCs w:val="20"/>
                <w:lang w:val="fr-CA"/>
              </w:rPr>
            </w:pPr>
          </w:p>
          <w:p w:rsidR="00D5299C" w:rsidRPr="002F706E" w:rsidRDefault="00D5299C" w:rsidP="002244A0">
            <w:pPr>
              <w:jc w:val="center"/>
              <w:rPr>
                <w:sz w:val="20"/>
                <w:szCs w:val="20"/>
                <w:lang w:val="fr-CA"/>
              </w:rPr>
            </w:pPr>
          </w:p>
          <w:p w:rsidR="00D5299C" w:rsidRPr="002F706E" w:rsidRDefault="00D5299C" w:rsidP="002244A0">
            <w:pPr>
              <w:jc w:val="center"/>
              <w:rPr>
                <w:sz w:val="20"/>
                <w:szCs w:val="20"/>
                <w:lang w:val="fr-CA"/>
              </w:rPr>
            </w:pPr>
          </w:p>
          <w:p w:rsidR="00D5299C" w:rsidRPr="002F706E" w:rsidRDefault="00D5299C" w:rsidP="002244A0">
            <w:pPr>
              <w:jc w:val="center"/>
              <w:rPr>
                <w:sz w:val="20"/>
                <w:szCs w:val="20"/>
                <w:lang w:val="fr-CA"/>
              </w:rPr>
            </w:pPr>
          </w:p>
          <w:p w:rsidR="00D5299C" w:rsidRPr="002F706E" w:rsidRDefault="00D5299C" w:rsidP="002244A0">
            <w:pPr>
              <w:jc w:val="center"/>
              <w:rPr>
                <w:sz w:val="20"/>
                <w:szCs w:val="20"/>
                <w:lang w:val="fr-CA"/>
              </w:rPr>
            </w:pPr>
          </w:p>
          <w:p w:rsidR="00D5299C" w:rsidRPr="002F706E" w:rsidRDefault="00D5299C" w:rsidP="002244A0">
            <w:pPr>
              <w:jc w:val="center"/>
              <w:rPr>
                <w:sz w:val="20"/>
                <w:szCs w:val="20"/>
                <w:lang w:val="fr-CA"/>
              </w:rPr>
            </w:pPr>
          </w:p>
        </w:tc>
        <w:tc>
          <w:tcPr>
            <w:tcW w:w="4320" w:type="dxa"/>
            <w:shd w:val="clear" w:color="auto" w:fill="auto"/>
          </w:tcPr>
          <w:p w:rsidR="00D5299C" w:rsidRPr="002F706E" w:rsidRDefault="002F706E" w:rsidP="002244A0">
            <w:pPr>
              <w:keepNext/>
              <w:keepLines/>
              <w:tabs>
                <w:tab w:val="left" w:pos="-1440"/>
                <w:tab w:val="left" w:pos="-720"/>
              </w:tabs>
              <w:rPr>
                <w:b/>
                <w:sz w:val="20"/>
                <w:szCs w:val="20"/>
                <w:lang w:val="fr-CA"/>
              </w:rPr>
            </w:pPr>
            <w:r>
              <w:rPr>
                <w:b/>
                <w:sz w:val="20"/>
                <w:szCs w:val="20"/>
                <w:lang w:val="fr-CA"/>
              </w:rPr>
              <w:t>Norman Bourdeau</w:t>
            </w:r>
          </w:p>
          <w:p w:rsidR="00D5299C" w:rsidRPr="002F706E" w:rsidRDefault="00D5299C" w:rsidP="002244A0">
            <w:pPr>
              <w:keepNext/>
              <w:keepLines/>
              <w:tabs>
                <w:tab w:val="left" w:pos="-1440"/>
                <w:tab w:val="left" w:pos="-720"/>
              </w:tabs>
              <w:rPr>
                <w:sz w:val="20"/>
                <w:szCs w:val="20"/>
                <w:lang w:val="fr-CA"/>
              </w:rPr>
            </w:pPr>
            <w:r w:rsidRPr="002F706E">
              <w:rPr>
                <w:sz w:val="20"/>
                <w:szCs w:val="20"/>
                <w:lang w:val="fr-CA"/>
              </w:rPr>
              <w:tab/>
            </w:r>
            <w:r w:rsidR="002F706E">
              <w:rPr>
                <w:sz w:val="20"/>
                <w:szCs w:val="20"/>
                <w:lang w:val="fr-CA"/>
              </w:rPr>
              <w:t>Norman Bourdeau</w:t>
            </w:r>
          </w:p>
          <w:p w:rsidR="00D5299C" w:rsidRPr="002F706E" w:rsidRDefault="00D5299C" w:rsidP="002244A0">
            <w:pPr>
              <w:keepNext/>
              <w:keepLines/>
              <w:tabs>
                <w:tab w:val="left" w:pos="-1440"/>
                <w:tab w:val="left" w:pos="-720"/>
              </w:tabs>
              <w:rPr>
                <w:sz w:val="20"/>
                <w:szCs w:val="20"/>
                <w:lang w:val="fr-CA"/>
              </w:rPr>
            </w:pPr>
          </w:p>
          <w:p w:rsidR="00D5299C" w:rsidRPr="00B87177" w:rsidRDefault="00D5299C" w:rsidP="002244A0">
            <w:pPr>
              <w:keepNext/>
              <w:keepLines/>
              <w:tabs>
                <w:tab w:val="left" w:pos="-1440"/>
                <w:tab w:val="left" w:pos="-720"/>
              </w:tabs>
              <w:rPr>
                <w:sz w:val="20"/>
                <w:szCs w:val="20"/>
                <w:lang w:val="fr-CA"/>
              </w:rPr>
            </w:pPr>
            <w:r w:rsidRPr="002F706E">
              <w:rPr>
                <w:sz w:val="20"/>
                <w:szCs w:val="20"/>
                <w:lang w:val="fr-CA"/>
              </w:rPr>
              <w:tab/>
            </w:r>
            <w:r w:rsidRPr="00B87177">
              <w:rPr>
                <w:sz w:val="20"/>
                <w:szCs w:val="20"/>
                <w:lang w:val="fr-CA"/>
              </w:rPr>
              <w:t>v. (34</w:t>
            </w:r>
            <w:r w:rsidR="002F706E" w:rsidRPr="00B87177">
              <w:rPr>
                <w:sz w:val="20"/>
                <w:szCs w:val="20"/>
                <w:lang w:val="fr-CA"/>
              </w:rPr>
              <w:t>896</w:t>
            </w:r>
            <w:r w:rsidRPr="00B87177">
              <w:rPr>
                <w:sz w:val="20"/>
                <w:szCs w:val="20"/>
                <w:lang w:val="fr-CA"/>
              </w:rPr>
              <w:t>)</w:t>
            </w:r>
          </w:p>
          <w:p w:rsidR="00D5299C" w:rsidRPr="00B87177" w:rsidRDefault="00D5299C" w:rsidP="002244A0">
            <w:pPr>
              <w:keepNext/>
              <w:keepLines/>
              <w:tabs>
                <w:tab w:val="left" w:pos="-1440"/>
                <w:tab w:val="left" w:pos="-720"/>
              </w:tabs>
              <w:rPr>
                <w:sz w:val="20"/>
                <w:szCs w:val="20"/>
                <w:lang w:val="fr-CA"/>
              </w:rPr>
            </w:pPr>
          </w:p>
          <w:p w:rsidR="00D5299C" w:rsidRPr="002F706E" w:rsidRDefault="002F706E" w:rsidP="002244A0">
            <w:pPr>
              <w:keepNext/>
              <w:keepLines/>
              <w:tabs>
                <w:tab w:val="left" w:pos="-1440"/>
                <w:tab w:val="left" w:pos="-720"/>
              </w:tabs>
              <w:rPr>
                <w:b/>
                <w:sz w:val="20"/>
                <w:szCs w:val="20"/>
              </w:rPr>
            </w:pPr>
            <w:r w:rsidRPr="002F706E">
              <w:rPr>
                <w:b/>
                <w:sz w:val="20"/>
                <w:szCs w:val="20"/>
              </w:rPr>
              <w:t xml:space="preserve">L.H. Gray &amp; Son Limited </w:t>
            </w:r>
            <w:r w:rsidR="00D5299C" w:rsidRPr="002F706E">
              <w:rPr>
                <w:b/>
                <w:sz w:val="20"/>
                <w:szCs w:val="20"/>
              </w:rPr>
              <w:t>(Ont.)</w:t>
            </w:r>
          </w:p>
          <w:p w:rsidR="00D5299C" w:rsidRPr="002F706E" w:rsidRDefault="00D5299C" w:rsidP="002244A0">
            <w:pPr>
              <w:keepNext/>
              <w:keepLines/>
              <w:tabs>
                <w:tab w:val="left" w:pos="-1440"/>
                <w:tab w:val="left" w:pos="-720"/>
              </w:tabs>
              <w:rPr>
                <w:sz w:val="20"/>
                <w:szCs w:val="20"/>
              </w:rPr>
            </w:pPr>
            <w:r w:rsidRPr="002F706E">
              <w:rPr>
                <w:sz w:val="20"/>
                <w:szCs w:val="20"/>
              </w:rPr>
              <w:tab/>
            </w:r>
            <w:r w:rsidR="002F706E" w:rsidRPr="002F706E">
              <w:rPr>
                <w:sz w:val="20"/>
                <w:szCs w:val="20"/>
              </w:rPr>
              <w:t xml:space="preserve">David B. </w:t>
            </w:r>
            <w:r w:rsidR="002F706E">
              <w:rPr>
                <w:sz w:val="20"/>
                <w:szCs w:val="20"/>
              </w:rPr>
              <w:t>Williams</w:t>
            </w:r>
          </w:p>
          <w:p w:rsidR="00D5299C" w:rsidRPr="002F706E" w:rsidRDefault="00D5299C" w:rsidP="002244A0">
            <w:pPr>
              <w:keepNext/>
              <w:keepLines/>
              <w:tabs>
                <w:tab w:val="left" w:pos="-1440"/>
                <w:tab w:val="left" w:pos="-720"/>
              </w:tabs>
              <w:rPr>
                <w:sz w:val="20"/>
                <w:szCs w:val="20"/>
              </w:rPr>
            </w:pPr>
            <w:r w:rsidRPr="002F706E">
              <w:rPr>
                <w:sz w:val="20"/>
                <w:szCs w:val="20"/>
              </w:rPr>
              <w:tab/>
            </w:r>
            <w:r w:rsidR="002F706E">
              <w:rPr>
                <w:sz w:val="20"/>
                <w:szCs w:val="20"/>
              </w:rPr>
              <w:t>Harrison Pensa LLP</w:t>
            </w:r>
          </w:p>
          <w:p w:rsidR="00D5299C" w:rsidRPr="002F706E" w:rsidRDefault="00D5299C" w:rsidP="002244A0">
            <w:pPr>
              <w:keepNext/>
              <w:keepLines/>
              <w:tabs>
                <w:tab w:val="left" w:pos="-1440"/>
                <w:tab w:val="left" w:pos="-720"/>
              </w:tabs>
              <w:rPr>
                <w:sz w:val="20"/>
                <w:szCs w:val="20"/>
              </w:rPr>
            </w:pPr>
          </w:p>
          <w:p w:rsidR="00D5299C" w:rsidRPr="002F706E" w:rsidRDefault="00D5299C" w:rsidP="002F706E">
            <w:pPr>
              <w:rPr>
                <w:sz w:val="20"/>
                <w:szCs w:val="20"/>
              </w:rPr>
            </w:pPr>
            <w:r w:rsidRPr="002F706E">
              <w:rPr>
                <w:sz w:val="20"/>
                <w:szCs w:val="20"/>
              </w:rPr>
              <w:t>FILING DATE: 2</w:t>
            </w:r>
            <w:r w:rsidR="002F706E">
              <w:rPr>
                <w:sz w:val="20"/>
                <w:szCs w:val="20"/>
              </w:rPr>
              <w:t>9</w:t>
            </w:r>
            <w:r w:rsidRPr="002F706E">
              <w:rPr>
                <w:sz w:val="20"/>
                <w:szCs w:val="20"/>
              </w:rPr>
              <w:t>.06.2012</w:t>
            </w:r>
            <w:r w:rsidR="00B62B14" w:rsidRPr="00B62B14">
              <w:rPr>
                <w:sz w:val="20"/>
                <w:szCs w:val="20"/>
                <w:lang w:val="fr-CA"/>
              </w:rPr>
              <w:pict>
                <v:rect id="_x0000_i1030" style="width:108pt;height:1pt" o:hrpct="0" o:hralign="center" o:hrstd="t" o:hrnoshade="t" o:hr="t" fillcolor="black [3213]" stroked="f"/>
              </w:pict>
            </w:r>
          </w:p>
        </w:tc>
      </w:tr>
      <w:tr w:rsidR="00D5299C" w:rsidRPr="00FE5B4D" w:rsidTr="002244A0">
        <w:trPr>
          <w:cantSplit/>
        </w:trPr>
        <w:tc>
          <w:tcPr>
            <w:tcW w:w="4320" w:type="dxa"/>
            <w:shd w:val="clear" w:color="auto" w:fill="auto"/>
          </w:tcPr>
          <w:p w:rsidR="00D5299C" w:rsidRDefault="00D5299C" w:rsidP="002244A0">
            <w:pPr>
              <w:rPr>
                <w:b/>
                <w:sz w:val="20"/>
                <w:szCs w:val="20"/>
              </w:rPr>
            </w:pPr>
          </w:p>
          <w:p w:rsidR="002F706E" w:rsidRPr="002F706E" w:rsidRDefault="002F706E" w:rsidP="002244A0">
            <w:pPr>
              <w:rPr>
                <w:b/>
                <w:sz w:val="20"/>
                <w:szCs w:val="20"/>
                <w:lang w:val="fr-CA"/>
              </w:rPr>
            </w:pPr>
            <w:r w:rsidRPr="002F706E">
              <w:rPr>
                <w:b/>
                <w:sz w:val="20"/>
                <w:szCs w:val="20"/>
                <w:lang w:val="fr-CA"/>
              </w:rPr>
              <w:t>Christian Reinales</w:t>
            </w:r>
          </w:p>
          <w:p w:rsidR="00D5299C" w:rsidRPr="002F706E" w:rsidRDefault="00D5299C" w:rsidP="002244A0">
            <w:pPr>
              <w:tabs>
                <w:tab w:val="left" w:pos="-1440"/>
                <w:tab w:val="left" w:pos="-720"/>
              </w:tabs>
              <w:rPr>
                <w:sz w:val="20"/>
                <w:szCs w:val="20"/>
                <w:lang w:val="fr-CA"/>
              </w:rPr>
            </w:pPr>
            <w:r w:rsidRPr="002F706E">
              <w:rPr>
                <w:sz w:val="20"/>
                <w:szCs w:val="20"/>
                <w:lang w:val="fr-CA"/>
              </w:rPr>
              <w:tab/>
            </w:r>
            <w:r w:rsidR="002F706E" w:rsidRPr="002F706E">
              <w:rPr>
                <w:sz w:val="20"/>
                <w:szCs w:val="20"/>
                <w:lang w:val="fr-CA"/>
              </w:rPr>
              <w:t>Stéphane Handfield</w:t>
            </w:r>
          </w:p>
          <w:p w:rsidR="00D5299C" w:rsidRPr="002F706E" w:rsidRDefault="00D5299C" w:rsidP="002244A0">
            <w:pPr>
              <w:tabs>
                <w:tab w:val="left" w:pos="-1440"/>
                <w:tab w:val="left" w:pos="-720"/>
              </w:tabs>
              <w:rPr>
                <w:sz w:val="20"/>
                <w:szCs w:val="20"/>
                <w:lang w:val="fr-CA"/>
              </w:rPr>
            </w:pPr>
            <w:r w:rsidRPr="002F706E">
              <w:rPr>
                <w:sz w:val="20"/>
                <w:szCs w:val="20"/>
                <w:lang w:val="fr-CA"/>
              </w:rPr>
              <w:tab/>
            </w:r>
            <w:r w:rsidR="002F706E" w:rsidRPr="002F706E">
              <w:rPr>
                <w:sz w:val="20"/>
                <w:szCs w:val="20"/>
                <w:lang w:val="fr-CA"/>
              </w:rPr>
              <w:t>Lapointe et Associés, Avocats</w:t>
            </w:r>
          </w:p>
          <w:p w:rsidR="00D5299C" w:rsidRPr="002F706E" w:rsidRDefault="00D5299C" w:rsidP="002244A0">
            <w:pPr>
              <w:tabs>
                <w:tab w:val="left" w:pos="-1440"/>
                <w:tab w:val="left" w:pos="-720"/>
              </w:tabs>
              <w:rPr>
                <w:sz w:val="20"/>
                <w:szCs w:val="20"/>
                <w:lang w:val="fr-CA"/>
              </w:rPr>
            </w:pPr>
          </w:p>
          <w:p w:rsidR="00D5299C" w:rsidRPr="002F706E" w:rsidRDefault="00D5299C" w:rsidP="002244A0">
            <w:pPr>
              <w:tabs>
                <w:tab w:val="left" w:pos="-1440"/>
                <w:tab w:val="left" w:pos="-720"/>
              </w:tabs>
              <w:rPr>
                <w:sz w:val="20"/>
                <w:szCs w:val="20"/>
                <w:lang w:val="fr-CA"/>
              </w:rPr>
            </w:pPr>
            <w:r w:rsidRPr="002F706E">
              <w:rPr>
                <w:sz w:val="20"/>
                <w:szCs w:val="20"/>
                <w:lang w:val="fr-CA"/>
              </w:rPr>
              <w:tab/>
            </w:r>
            <w:r w:rsidR="002F706E">
              <w:rPr>
                <w:sz w:val="20"/>
                <w:szCs w:val="20"/>
                <w:lang w:val="fr-CA"/>
              </w:rPr>
              <w:t>c</w:t>
            </w:r>
            <w:r w:rsidRPr="002F706E">
              <w:rPr>
                <w:sz w:val="20"/>
                <w:szCs w:val="20"/>
                <w:lang w:val="fr-CA"/>
              </w:rPr>
              <w:t>. (34</w:t>
            </w:r>
            <w:r w:rsidR="002F706E" w:rsidRPr="002F706E">
              <w:rPr>
                <w:sz w:val="20"/>
                <w:szCs w:val="20"/>
                <w:lang w:val="fr-CA"/>
              </w:rPr>
              <w:t>836</w:t>
            </w:r>
            <w:r w:rsidRPr="002F706E">
              <w:rPr>
                <w:sz w:val="20"/>
                <w:szCs w:val="20"/>
                <w:lang w:val="fr-CA"/>
              </w:rPr>
              <w:t>)</w:t>
            </w:r>
          </w:p>
          <w:p w:rsidR="00D5299C" w:rsidRPr="002F706E" w:rsidRDefault="00D5299C" w:rsidP="002244A0">
            <w:pPr>
              <w:tabs>
                <w:tab w:val="left" w:pos="-1440"/>
                <w:tab w:val="left" w:pos="-720"/>
              </w:tabs>
              <w:rPr>
                <w:sz w:val="20"/>
                <w:szCs w:val="20"/>
                <w:lang w:val="fr-CA"/>
              </w:rPr>
            </w:pPr>
          </w:p>
          <w:p w:rsidR="00D5299C" w:rsidRPr="002F706E" w:rsidRDefault="002F706E" w:rsidP="002244A0">
            <w:pPr>
              <w:tabs>
                <w:tab w:val="left" w:pos="-1440"/>
                <w:tab w:val="left" w:pos="-720"/>
              </w:tabs>
              <w:rPr>
                <w:b/>
                <w:sz w:val="20"/>
                <w:szCs w:val="20"/>
                <w:lang w:val="fr-CA"/>
              </w:rPr>
            </w:pPr>
            <w:r w:rsidRPr="002F706E">
              <w:rPr>
                <w:b/>
                <w:sz w:val="20"/>
                <w:szCs w:val="20"/>
                <w:lang w:val="fr-CA"/>
              </w:rPr>
              <w:t xml:space="preserve">Ministre de la justice du Canada </w:t>
            </w:r>
            <w:r w:rsidR="00D5299C" w:rsidRPr="002F706E">
              <w:rPr>
                <w:b/>
                <w:sz w:val="20"/>
                <w:szCs w:val="20"/>
                <w:lang w:val="fr-CA"/>
              </w:rPr>
              <w:t>(</w:t>
            </w:r>
            <w:r w:rsidRPr="002F706E">
              <w:rPr>
                <w:b/>
                <w:sz w:val="20"/>
                <w:szCs w:val="20"/>
                <w:lang w:val="fr-CA"/>
              </w:rPr>
              <w:t>Qc</w:t>
            </w:r>
            <w:r w:rsidR="00D5299C" w:rsidRPr="002F706E">
              <w:rPr>
                <w:b/>
                <w:sz w:val="20"/>
                <w:szCs w:val="20"/>
                <w:lang w:val="fr-CA"/>
              </w:rPr>
              <w:t>)</w:t>
            </w:r>
          </w:p>
          <w:p w:rsidR="00D5299C" w:rsidRPr="002F706E" w:rsidRDefault="00D5299C" w:rsidP="002244A0">
            <w:pPr>
              <w:tabs>
                <w:tab w:val="left" w:pos="-1440"/>
                <w:tab w:val="left" w:pos="-720"/>
              </w:tabs>
              <w:rPr>
                <w:sz w:val="20"/>
                <w:szCs w:val="20"/>
                <w:lang w:val="fr-CA"/>
              </w:rPr>
            </w:pPr>
            <w:r w:rsidRPr="002F706E">
              <w:rPr>
                <w:sz w:val="20"/>
                <w:szCs w:val="20"/>
                <w:lang w:val="fr-CA"/>
              </w:rPr>
              <w:tab/>
            </w:r>
            <w:r w:rsidR="002F706E">
              <w:rPr>
                <w:sz w:val="20"/>
                <w:szCs w:val="20"/>
                <w:lang w:val="fr-CA"/>
              </w:rPr>
              <w:t>Christian Jarry</w:t>
            </w:r>
          </w:p>
          <w:p w:rsidR="00D5299C" w:rsidRPr="002F706E" w:rsidRDefault="00D5299C" w:rsidP="002244A0">
            <w:pPr>
              <w:tabs>
                <w:tab w:val="left" w:pos="-1440"/>
                <w:tab w:val="left" w:pos="-720"/>
              </w:tabs>
              <w:rPr>
                <w:sz w:val="20"/>
                <w:szCs w:val="20"/>
                <w:lang w:val="fr-CA"/>
              </w:rPr>
            </w:pPr>
            <w:r w:rsidRPr="002F706E">
              <w:rPr>
                <w:sz w:val="20"/>
                <w:szCs w:val="20"/>
                <w:lang w:val="fr-CA"/>
              </w:rPr>
              <w:tab/>
            </w:r>
            <w:r w:rsidR="002F706E">
              <w:rPr>
                <w:sz w:val="20"/>
                <w:szCs w:val="20"/>
                <w:lang w:val="fr-CA"/>
              </w:rPr>
              <w:t>P.G. du Canada</w:t>
            </w:r>
          </w:p>
          <w:p w:rsidR="00D5299C" w:rsidRPr="002F706E" w:rsidRDefault="00D5299C" w:rsidP="002244A0">
            <w:pPr>
              <w:tabs>
                <w:tab w:val="left" w:pos="-1440"/>
                <w:tab w:val="left" w:pos="-720"/>
              </w:tabs>
              <w:rPr>
                <w:sz w:val="20"/>
                <w:szCs w:val="20"/>
                <w:lang w:val="fr-CA"/>
              </w:rPr>
            </w:pPr>
          </w:p>
          <w:p w:rsidR="00D5299C" w:rsidRPr="003A7395" w:rsidRDefault="00D5299C" w:rsidP="002244A0">
            <w:pPr>
              <w:rPr>
                <w:sz w:val="20"/>
                <w:szCs w:val="20"/>
                <w:lang w:val="fr-CA"/>
              </w:rPr>
            </w:pPr>
            <w:r w:rsidRPr="003A7395">
              <w:rPr>
                <w:sz w:val="20"/>
                <w:szCs w:val="20"/>
                <w:lang w:val="fr-CA"/>
              </w:rPr>
              <w:t>DATE</w:t>
            </w:r>
            <w:r w:rsidR="002F706E" w:rsidRPr="003A7395">
              <w:rPr>
                <w:sz w:val="20"/>
                <w:szCs w:val="20"/>
                <w:lang w:val="fr-CA"/>
              </w:rPr>
              <w:t xml:space="preserve"> DE PRODUCTION </w:t>
            </w:r>
            <w:r w:rsidRPr="003A7395">
              <w:rPr>
                <w:sz w:val="20"/>
                <w:szCs w:val="20"/>
                <w:lang w:val="fr-CA"/>
              </w:rPr>
              <w:t xml:space="preserve">: </w:t>
            </w:r>
            <w:r w:rsidR="002F706E" w:rsidRPr="003A7395">
              <w:rPr>
                <w:sz w:val="20"/>
                <w:szCs w:val="20"/>
                <w:lang w:val="fr-CA"/>
              </w:rPr>
              <w:t>04</w:t>
            </w:r>
            <w:r w:rsidRPr="003A7395">
              <w:rPr>
                <w:sz w:val="20"/>
                <w:szCs w:val="20"/>
                <w:lang w:val="fr-CA"/>
              </w:rPr>
              <w:t>.0</w:t>
            </w:r>
            <w:r w:rsidR="002F706E" w:rsidRPr="003A7395">
              <w:rPr>
                <w:sz w:val="20"/>
                <w:szCs w:val="20"/>
                <w:lang w:val="fr-CA"/>
              </w:rPr>
              <w:t>7</w:t>
            </w:r>
            <w:r w:rsidRPr="003A7395">
              <w:rPr>
                <w:sz w:val="20"/>
                <w:szCs w:val="20"/>
                <w:lang w:val="fr-CA"/>
              </w:rPr>
              <w:t>.2012</w:t>
            </w:r>
          </w:p>
          <w:p w:rsidR="00D5299C" w:rsidRPr="00A935AA" w:rsidRDefault="00B62B14" w:rsidP="002244A0">
            <w:pPr>
              <w:rPr>
                <w:sz w:val="20"/>
                <w:szCs w:val="20"/>
              </w:rPr>
            </w:pPr>
            <w:r w:rsidRPr="00B62B14">
              <w:rPr>
                <w:sz w:val="20"/>
                <w:szCs w:val="20"/>
                <w:lang w:val="fr-CA"/>
              </w:rPr>
              <w:pict>
                <v:rect id="_x0000_i1031" style="width:108pt;height:1pt" o:hrpct="0" o:hralign="center" o:hrstd="t" o:hrnoshade="t" o:hr="t" fillcolor="black [3213]" stroked="f"/>
              </w:pict>
            </w:r>
          </w:p>
        </w:tc>
        <w:tc>
          <w:tcPr>
            <w:tcW w:w="1181" w:type="dxa"/>
            <w:shd w:val="clear" w:color="auto" w:fill="auto"/>
          </w:tcPr>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tc>
        <w:tc>
          <w:tcPr>
            <w:tcW w:w="4320" w:type="dxa"/>
            <w:shd w:val="clear" w:color="auto" w:fill="auto"/>
          </w:tcPr>
          <w:p w:rsidR="00D5299C" w:rsidRPr="00A935AA" w:rsidRDefault="003A7395" w:rsidP="002244A0">
            <w:pPr>
              <w:keepNext/>
              <w:keepLines/>
              <w:tabs>
                <w:tab w:val="left" w:pos="-1440"/>
                <w:tab w:val="left" w:pos="-720"/>
              </w:tabs>
              <w:rPr>
                <w:b/>
                <w:sz w:val="20"/>
                <w:szCs w:val="20"/>
              </w:rPr>
            </w:pPr>
            <w:r>
              <w:rPr>
                <w:b/>
                <w:sz w:val="20"/>
                <w:szCs w:val="20"/>
              </w:rPr>
              <w:t>John Frederick Salmon</w:t>
            </w:r>
          </w:p>
          <w:p w:rsidR="00D5299C" w:rsidRPr="00A935AA" w:rsidRDefault="00D5299C" w:rsidP="002244A0">
            <w:pPr>
              <w:keepNext/>
              <w:keepLines/>
              <w:tabs>
                <w:tab w:val="left" w:pos="-1440"/>
                <w:tab w:val="left" w:pos="-720"/>
              </w:tabs>
              <w:rPr>
                <w:sz w:val="20"/>
                <w:szCs w:val="20"/>
              </w:rPr>
            </w:pPr>
            <w:r w:rsidRPr="00A935AA">
              <w:rPr>
                <w:sz w:val="20"/>
                <w:szCs w:val="20"/>
              </w:rPr>
              <w:tab/>
            </w:r>
            <w:r w:rsidR="003A7395">
              <w:rPr>
                <w:sz w:val="20"/>
                <w:szCs w:val="20"/>
              </w:rPr>
              <w:t>James Lockyer</w:t>
            </w:r>
          </w:p>
          <w:p w:rsidR="00D5299C" w:rsidRPr="00A935AA" w:rsidRDefault="00D5299C" w:rsidP="002244A0">
            <w:pPr>
              <w:keepNext/>
              <w:keepLines/>
              <w:tabs>
                <w:tab w:val="left" w:pos="-1440"/>
                <w:tab w:val="left" w:pos="-720"/>
              </w:tabs>
              <w:rPr>
                <w:sz w:val="20"/>
                <w:szCs w:val="20"/>
              </w:rPr>
            </w:pPr>
            <w:r w:rsidRPr="00A935AA">
              <w:rPr>
                <w:sz w:val="20"/>
                <w:szCs w:val="20"/>
              </w:rPr>
              <w:tab/>
            </w:r>
            <w:r w:rsidR="003A7395">
              <w:rPr>
                <w:sz w:val="20"/>
                <w:szCs w:val="20"/>
              </w:rPr>
              <w:t>Lockyer Campbell Posner</w:t>
            </w:r>
          </w:p>
          <w:p w:rsidR="00D5299C" w:rsidRPr="00A935AA" w:rsidRDefault="00D5299C" w:rsidP="002244A0">
            <w:pPr>
              <w:keepNext/>
              <w:keepLines/>
              <w:tabs>
                <w:tab w:val="left" w:pos="-1440"/>
                <w:tab w:val="left" w:pos="-720"/>
              </w:tabs>
              <w:rPr>
                <w:sz w:val="20"/>
                <w:szCs w:val="20"/>
              </w:rPr>
            </w:pPr>
          </w:p>
          <w:p w:rsidR="00D5299C" w:rsidRPr="002F706E" w:rsidRDefault="00D5299C" w:rsidP="002244A0">
            <w:pPr>
              <w:keepNext/>
              <w:keepLines/>
              <w:tabs>
                <w:tab w:val="left" w:pos="-1440"/>
                <w:tab w:val="left" w:pos="-720"/>
              </w:tabs>
              <w:rPr>
                <w:sz w:val="20"/>
                <w:szCs w:val="20"/>
              </w:rPr>
            </w:pPr>
            <w:r w:rsidRPr="00A935AA">
              <w:rPr>
                <w:sz w:val="20"/>
                <w:szCs w:val="20"/>
              </w:rPr>
              <w:tab/>
            </w:r>
            <w:r w:rsidRPr="002F706E">
              <w:rPr>
                <w:sz w:val="20"/>
                <w:szCs w:val="20"/>
              </w:rPr>
              <w:t>v. (34</w:t>
            </w:r>
            <w:r w:rsidR="003A7395">
              <w:rPr>
                <w:sz w:val="20"/>
                <w:szCs w:val="20"/>
              </w:rPr>
              <w:t>894</w:t>
            </w:r>
            <w:r w:rsidRPr="002F706E">
              <w:rPr>
                <w:sz w:val="20"/>
                <w:szCs w:val="20"/>
              </w:rPr>
              <w:t>)</w:t>
            </w:r>
          </w:p>
          <w:p w:rsidR="00D5299C" w:rsidRPr="002F706E" w:rsidRDefault="00D5299C" w:rsidP="002244A0">
            <w:pPr>
              <w:keepNext/>
              <w:keepLines/>
              <w:tabs>
                <w:tab w:val="left" w:pos="-1440"/>
                <w:tab w:val="left" w:pos="-720"/>
              </w:tabs>
              <w:rPr>
                <w:sz w:val="20"/>
                <w:szCs w:val="20"/>
              </w:rPr>
            </w:pPr>
          </w:p>
          <w:p w:rsidR="00D5299C" w:rsidRPr="002F706E" w:rsidRDefault="003A7395" w:rsidP="002244A0">
            <w:pPr>
              <w:keepNext/>
              <w:keepLines/>
              <w:tabs>
                <w:tab w:val="left" w:pos="-1440"/>
                <w:tab w:val="left" w:pos="-720"/>
              </w:tabs>
              <w:rPr>
                <w:b/>
                <w:sz w:val="20"/>
                <w:szCs w:val="20"/>
              </w:rPr>
            </w:pPr>
            <w:r>
              <w:rPr>
                <w:b/>
                <w:sz w:val="20"/>
                <w:szCs w:val="20"/>
              </w:rPr>
              <w:t xml:space="preserve">Her Majesty the Queen </w:t>
            </w:r>
            <w:r w:rsidR="00D5299C" w:rsidRPr="002F706E">
              <w:rPr>
                <w:b/>
                <w:sz w:val="20"/>
                <w:szCs w:val="20"/>
              </w:rPr>
              <w:t>(Ont.)</w:t>
            </w:r>
          </w:p>
          <w:p w:rsidR="00D5299C" w:rsidRPr="002F706E" w:rsidRDefault="00D5299C" w:rsidP="002244A0">
            <w:pPr>
              <w:keepNext/>
              <w:keepLines/>
              <w:tabs>
                <w:tab w:val="left" w:pos="-1440"/>
                <w:tab w:val="left" w:pos="-720"/>
              </w:tabs>
              <w:rPr>
                <w:sz w:val="20"/>
                <w:szCs w:val="20"/>
              </w:rPr>
            </w:pPr>
            <w:r w:rsidRPr="002F706E">
              <w:rPr>
                <w:sz w:val="20"/>
                <w:szCs w:val="20"/>
              </w:rPr>
              <w:tab/>
            </w:r>
            <w:r w:rsidR="003A7395">
              <w:rPr>
                <w:sz w:val="20"/>
                <w:szCs w:val="20"/>
              </w:rPr>
              <w:t>Gregory</w:t>
            </w:r>
            <w:r w:rsidRPr="002F706E">
              <w:rPr>
                <w:sz w:val="20"/>
                <w:szCs w:val="20"/>
              </w:rPr>
              <w:t xml:space="preserve"> </w:t>
            </w:r>
            <w:r w:rsidR="003A7395">
              <w:rPr>
                <w:sz w:val="20"/>
                <w:szCs w:val="20"/>
              </w:rPr>
              <w:t>J. Tweney</w:t>
            </w:r>
          </w:p>
          <w:p w:rsidR="00D5299C" w:rsidRPr="002F706E" w:rsidRDefault="00D5299C" w:rsidP="002244A0">
            <w:pPr>
              <w:keepNext/>
              <w:keepLines/>
              <w:tabs>
                <w:tab w:val="left" w:pos="-1440"/>
                <w:tab w:val="left" w:pos="-720"/>
              </w:tabs>
              <w:rPr>
                <w:sz w:val="20"/>
                <w:szCs w:val="20"/>
              </w:rPr>
            </w:pPr>
            <w:r w:rsidRPr="002F706E">
              <w:rPr>
                <w:sz w:val="20"/>
                <w:szCs w:val="20"/>
              </w:rPr>
              <w:tab/>
            </w:r>
            <w:r w:rsidR="003A7395">
              <w:rPr>
                <w:sz w:val="20"/>
                <w:szCs w:val="20"/>
              </w:rPr>
              <w:t>A.G. of Ontario</w:t>
            </w:r>
          </w:p>
          <w:p w:rsidR="00D5299C" w:rsidRPr="002F706E" w:rsidRDefault="00D5299C" w:rsidP="002244A0">
            <w:pPr>
              <w:keepNext/>
              <w:keepLines/>
              <w:tabs>
                <w:tab w:val="left" w:pos="-1440"/>
                <w:tab w:val="left" w:pos="-720"/>
              </w:tabs>
              <w:rPr>
                <w:sz w:val="20"/>
                <w:szCs w:val="20"/>
              </w:rPr>
            </w:pPr>
          </w:p>
          <w:p w:rsidR="00D5299C" w:rsidRPr="00A80BE6" w:rsidRDefault="00D5299C" w:rsidP="003A7395">
            <w:pPr>
              <w:rPr>
                <w:sz w:val="20"/>
                <w:szCs w:val="20"/>
                <w:lang w:val="fr-CA"/>
              </w:rPr>
            </w:pPr>
            <w:r w:rsidRPr="002F706E">
              <w:rPr>
                <w:sz w:val="20"/>
                <w:szCs w:val="20"/>
              </w:rPr>
              <w:t xml:space="preserve">FILING DATE: </w:t>
            </w:r>
            <w:r w:rsidR="003A7395">
              <w:rPr>
                <w:sz w:val="20"/>
                <w:szCs w:val="20"/>
              </w:rPr>
              <w:t>04</w:t>
            </w:r>
            <w:r w:rsidRPr="002F706E">
              <w:rPr>
                <w:sz w:val="20"/>
                <w:szCs w:val="20"/>
              </w:rPr>
              <w:t>.0</w:t>
            </w:r>
            <w:r w:rsidR="003A7395">
              <w:rPr>
                <w:sz w:val="20"/>
                <w:szCs w:val="20"/>
              </w:rPr>
              <w:t>7</w:t>
            </w:r>
            <w:r w:rsidRPr="002F706E">
              <w:rPr>
                <w:sz w:val="20"/>
                <w:szCs w:val="20"/>
              </w:rPr>
              <w:t>.20</w:t>
            </w:r>
            <w:r w:rsidRPr="00A80BE6">
              <w:rPr>
                <w:sz w:val="20"/>
                <w:szCs w:val="20"/>
                <w:lang w:val="fr-CA"/>
              </w:rPr>
              <w:t>12</w:t>
            </w:r>
            <w:r w:rsidR="00B62B14" w:rsidRPr="00B62B14">
              <w:rPr>
                <w:sz w:val="20"/>
                <w:szCs w:val="20"/>
                <w:lang w:val="fr-CA"/>
              </w:rPr>
              <w:pict>
                <v:rect id="_x0000_i1032" style="width:108pt;height:1pt" o:hrpct="0" o:hralign="center" o:hrstd="t" o:hrnoshade="t" o:hr="t" fillcolor="black [3213]" stroked="f"/>
              </w:pict>
            </w:r>
          </w:p>
        </w:tc>
      </w:tr>
      <w:tr w:rsidR="00D5299C" w:rsidRPr="003A7395" w:rsidTr="002244A0">
        <w:trPr>
          <w:cantSplit/>
        </w:trPr>
        <w:tc>
          <w:tcPr>
            <w:tcW w:w="4320" w:type="dxa"/>
            <w:shd w:val="clear" w:color="auto" w:fill="auto"/>
          </w:tcPr>
          <w:p w:rsidR="00D5299C" w:rsidRPr="00B87177" w:rsidRDefault="00D5299C" w:rsidP="002244A0">
            <w:pPr>
              <w:rPr>
                <w:b/>
                <w:sz w:val="20"/>
                <w:szCs w:val="20"/>
              </w:rPr>
            </w:pPr>
          </w:p>
          <w:p w:rsidR="003A7395" w:rsidRPr="00B87177" w:rsidRDefault="003A7395" w:rsidP="002244A0">
            <w:pPr>
              <w:rPr>
                <w:b/>
                <w:sz w:val="20"/>
                <w:szCs w:val="20"/>
              </w:rPr>
            </w:pPr>
            <w:r w:rsidRPr="00B87177">
              <w:rPr>
                <w:b/>
                <w:sz w:val="20"/>
                <w:szCs w:val="20"/>
              </w:rPr>
              <w:t>Andria Davis</w:t>
            </w:r>
          </w:p>
          <w:p w:rsidR="00D5299C" w:rsidRPr="00B87177" w:rsidRDefault="00D5299C" w:rsidP="002244A0">
            <w:pPr>
              <w:tabs>
                <w:tab w:val="left" w:pos="-1440"/>
                <w:tab w:val="left" w:pos="-720"/>
              </w:tabs>
              <w:rPr>
                <w:sz w:val="20"/>
                <w:szCs w:val="20"/>
              </w:rPr>
            </w:pPr>
            <w:r w:rsidRPr="00B87177">
              <w:rPr>
                <w:sz w:val="20"/>
                <w:szCs w:val="20"/>
              </w:rPr>
              <w:tab/>
            </w:r>
            <w:r w:rsidR="003A7395" w:rsidRPr="00B87177">
              <w:rPr>
                <w:sz w:val="20"/>
                <w:szCs w:val="20"/>
              </w:rPr>
              <w:t>Andria Davis</w:t>
            </w:r>
          </w:p>
          <w:p w:rsidR="00D5299C" w:rsidRPr="00B87177" w:rsidRDefault="00D5299C" w:rsidP="002244A0">
            <w:pPr>
              <w:tabs>
                <w:tab w:val="left" w:pos="-1440"/>
                <w:tab w:val="left" w:pos="-720"/>
              </w:tabs>
              <w:rPr>
                <w:sz w:val="20"/>
                <w:szCs w:val="20"/>
              </w:rPr>
            </w:pPr>
          </w:p>
          <w:p w:rsidR="00D5299C" w:rsidRPr="00A935AA" w:rsidRDefault="00D5299C" w:rsidP="002244A0">
            <w:pPr>
              <w:tabs>
                <w:tab w:val="left" w:pos="-1440"/>
                <w:tab w:val="left" w:pos="-720"/>
              </w:tabs>
              <w:rPr>
                <w:sz w:val="20"/>
                <w:szCs w:val="20"/>
              </w:rPr>
            </w:pPr>
            <w:r w:rsidRPr="00B87177">
              <w:rPr>
                <w:sz w:val="20"/>
                <w:szCs w:val="20"/>
              </w:rPr>
              <w:tab/>
            </w:r>
            <w:r w:rsidRPr="00A935AA">
              <w:rPr>
                <w:sz w:val="20"/>
                <w:szCs w:val="20"/>
              </w:rPr>
              <w:t>v. (3</w:t>
            </w:r>
            <w:r>
              <w:rPr>
                <w:sz w:val="20"/>
                <w:szCs w:val="20"/>
              </w:rPr>
              <w:t>4</w:t>
            </w:r>
            <w:r w:rsidR="003A7395">
              <w:rPr>
                <w:sz w:val="20"/>
                <w:szCs w:val="20"/>
              </w:rPr>
              <w:t>895</w:t>
            </w:r>
            <w:r w:rsidRPr="00A935AA">
              <w:rPr>
                <w:sz w:val="20"/>
                <w:szCs w:val="20"/>
              </w:rPr>
              <w:t>)</w:t>
            </w:r>
          </w:p>
          <w:p w:rsidR="00D5299C" w:rsidRPr="00A935AA" w:rsidRDefault="00D5299C" w:rsidP="002244A0">
            <w:pPr>
              <w:tabs>
                <w:tab w:val="left" w:pos="-1440"/>
                <w:tab w:val="left" w:pos="-720"/>
              </w:tabs>
              <w:rPr>
                <w:sz w:val="20"/>
                <w:szCs w:val="20"/>
              </w:rPr>
            </w:pPr>
          </w:p>
          <w:p w:rsidR="00D5299C" w:rsidRPr="00A935AA" w:rsidRDefault="003A7395" w:rsidP="002244A0">
            <w:pPr>
              <w:tabs>
                <w:tab w:val="left" w:pos="-1440"/>
                <w:tab w:val="left" w:pos="-720"/>
              </w:tabs>
              <w:rPr>
                <w:b/>
                <w:sz w:val="20"/>
                <w:szCs w:val="20"/>
              </w:rPr>
            </w:pPr>
            <w:r>
              <w:rPr>
                <w:b/>
                <w:sz w:val="20"/>
                <w:szCs w:val="20"/>
              </w:rPr>
              <w:t xml:space="preserve">CGU Group Canada Ltd. et al. </w:t>
            </w:r>
            <w:r w:rsidR="00D5299C">
              <w:rPr>
                <w:b/>
                <w:sz w:val="20"/>
                <w:szCs w:val="20"/>
              </w:rPr>
              <w:t>(</w:t>
            </w:r>
            <w:r w:rsidR="00D5299C" w:rsidRPr="00A935AA">
              <w:rPr>
                <w:b/>
                <w:sz w:val="20"/>
                <w:szCs w:val="20"/>
              </w:rPr>
              <w:t>B.C.)</w:t>
            </w:r>
          </w:p>
          <w:p w:rsidR="00D5299C" w:rsidRPr="00A935AA" w:rsidRDefault="00D5299C" w:rsidP="002244A0">
            <w:pPr>
              <w:tabs>
                <w:tab w:val="left" w:pos="-1440"/>
                <w:tab w:val="left" w:pos="-720"/>
              </w:tabs>
              <w:rPr>
                <w:sz w:val="20"/>
                <w:szCs w:val="20"/>
              </w:rPr>
            </w:pPr>
            <w:r w:rsidRPr="00A935AA">
              <w:rPr>
                <w:sz w:val="20"/>
                <w:szCs w:val="20"/>
              </w:rPr>
              <w:tab/>
            </w:r>
            <w:r w:rsidR="003A7395">
              <w:rPr>
                <w:sz w:val="20"/>
                <w:szCs w:val="20"/>
              </w:rPr>
              <w:t>Kevin J. Kovalchuk</w:t>
            </w:r>
          </w:p>
          <w:p w:rsidR="00D5299C" w:rsidRPr="00A935AA" w:rsidRDefault="00D5299C" w:rsidP="002244A0">
            <w:pPr>
              <w:tabs>
                <w:tab w:val="left" w:pos="-1440"/>
                <w:tab w:val="left" w:pos="-720"/>
              </w:tabs>
              <w:rPr>
                <w:sz w:val="20"/>
                <w:szCs w:val="20"/>
              </w:rPr>
            </w:pPr>
            <w:r w:rsidRPr="00A935AA">
              <w:rPr>
                <w:sz w:val="20"/>
                <w:szCs w:val="20"/>
              </w:rPr>
              <w:tab/>
            </w:r>
            <w:r w:rsidR="003A7395">
              <w:rPr>
                <w:sz w:val="20"/>
                <w:szCs w:val="20"/>
              </w:rPr>
              <w:t xml:space="preserve">Aviva Canada Inc. </w:t>
            </w:r>
          </w:p>
          <w:p w:rsidR="00D5299C" w:rsidRPr="00A935AA" w:rsidRDefault="00D5299C" w:rsidP="002244A0">
            <w:pPr>
              <w:tabs>
                <w:tab w:val="left" w:pos="-1440"/>
                <w:tab w:val="left" w:pos="-720"/>
              </w:tabs>
              <w:rPr>
                <w:sz w:val="20"/>
                <w:szCs w:val="20"/>
              </w:rPr>
            </w:pPr>
          </w:p>
          <w:p w:rsidR="00D5299C" w:rsidRPr="00A935AA" w:rsidRDefault="00D5299C" w:rsidP="002244A0">
            <w:pPr>
              <w:rPr>
                <w:sz w:val="20"/>
                <w:szCs w:val="20"/>
              </w:rPr>
            </w:pPr>
            <w:r w:rsidRPr="00A935AA">
              <w:rPr>
                <w:sz w:val="20"/>
                <w:szCs w:val="20"/>
              </w:rPr>
              <w:t xml:space="preserve">FILING DATE: </w:t>
            </w:r>
            <w:r w:rsidR="003A7395">
              <w:rPr>
                <w:sz w:val="20"/>
                <w:szCs w:val="20"/>
              </w:rPr>
              <w:t>09</w:t>
            </w:r>
            <w:r w:rsidRPr="00A935AA">
              <w:rPr>
                <w:sz w:val="20"/>
                <w:szCs w:val="20"/>
              </w:rPr>
              <w:t>.0</w:t>
            </w:r>
            <w:r w:rsidR="003A7395">
              <w:rPr>
                <w:sz w:val="20"/>
                <w:szCs w:val="20"/>
              </w:rPr>
              <w:t>7</w:t>
            </w:r>
            <w:r w:rsidRPr="00A935AA">
              <w:rPr>
                <w:sz w:val="20"/>
                <w:szCs w:val="20"/>
              </w:rPr>
              <w:t>.201</w:t>
            </w:r>
            <w:r>
              <w:rPr>
                <w:sz w:val="20"/>
                <w:szCs w:val="20"/>
              </w:rPr>
              <w:t>2</w:t>
            </w:r>
          </w:p>
          <w:p w:rsidR="00D5299C" w:rsidRPr="00A935AA" w:rsidRDefault="00B62B14" w:rsidP="002244A0">
            <w:pPr>
              <w:rPr>
                <w:sz w:val="20"/>
                <w:szCs w:val="20"/>
              </w:rPr>
            </w:pPr>
            <w:r w:rsidRPr="00B62B14">
              <w:rPr>
                <w:sz w:val="20"/>
                <w:szCs w:val="20"/>
                <w:lang w:val="fr-CA"/>
              </w:rPr>
              <w:pict>
                <v:rect id="_x0000_i1033" style="width:108pt;height:1pt" o:hrpct="0" o:hralign="center" o:hrstd="t" o:hrnoshade="t" o:hr="t" fillcolor="black [3213]" stroked="f"/>
              </w:pict>
            </w:r>
          </w:p>
        </w:tc>
        <w:tc>
          <w:tcPr>
            <w:tcW w:w="1181" w:type="dxa"/>
            <w:shd w:val="clear" w:color="auto" w:fill="auto"/>
          </w:tcPr>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p w:rsidR="00D5299C" w:rsidRPr="00A935AA" w:rsidRDefault="00D5299C" w:rsidP="002244A0">
            <w:pPr>
              <w:jc w:val="center"/>
              <w:rPr>
                <w:sz w:val="20"/>
                <w:szCs w:val="20"/>
              </w:rPr>
            </w:pPr>
          </w:p>
        </w:tc>
        <w:tc>
          <w:tcPr>
            <w:tcW w:w="4320" w:type="dxa"/>
            <w:shd w:val="clear" w:color="auto" w:fill="auto"/>
          </w:tcPr>
          <w:p w:rsidR="00D5299C" w:rsidRPr="003A7395" w:rsidRDefault="003A7395" w:rsidP="002244A0">
            <w:pPr>
              <w:keepNext/>
              <w:keepLines/>
              <w:tabs>
                <w:tab w:val="left" w:pos="-1440"/>
                <w:tab w:val="left" w:pos="-720"/>
              </w:tabs>
              <w:rPr>
                <w:b/>
                <w:sz w:val="20"/>
                <w:szCs w:val="20"/>
                <w:lang w:val="fr-CA"/>
              </w:rPr>
            </w:pPr>
            <w:r w:rsidRPr="003A7395">
              <w:rPr>
                <w:b/>
                <w:sz w:val="20"/>
                <w:szCs w:val="20"/>
                <w:lang w:val="fr-CA"/>
              </w:rPr>
              <w:t xml:space="preserve">Thelma Angela Vassel a.k.a. </w:t>
            </w:r>
            <w:r>
              <w:rPr>
                <w:b/>
                <w:sz w:val="20"/>
                <w:szCs w:val="20"/>
                <w:lang w:val="fr-CA"/>
              </w:rPr>
              <w:t>Linda Lee</w:t>
            </w:r>
          </w:p>
          <w:p w:rsidR="00D5299C" w:rsidRPr="003A7395" w:rsidRDefault="00D5299C" w:rsidP="002244A0">
            <w:pPr>
              <w:keepNext/>
              <w:keepLines/>
              <w:tabs>
                <w:tab w:val="left" w:pos="-1440"/>
                <w:tab w:val="left" w:pos="-720"/>
              </w:tabs>
              <w:rPr>
                <w:sz w:val="20"/>
                <w:szCs w:val="20"/>
                <w:lang w:val="fr-CA"/>
              </w:rPr>
            </w:pPr>
            <w:r w:rsidRPr="003A7395">
              <w:rPr>
                <w:sz w:val="20"/>
                <w:szCs w:val="20"/>
                <w:lang w:val="fr-CA"/>
              </w:rPr>
              <w:tab/>
            </w:r>
            <w:r w:rsidR="003A7395">
              <w:rPr>
                <w:sz w:val="20"/>
                <w:szCs w:val="20"/>
                <w:lang w:val="fr-CA"/>
              </w:rPr>
              <w:t>Thelma Angela Vassel a.k.a. as Linda Lee</w:t>
            </w:r>
          </w:p>
          <w:p w:rsidR="00D5299C" w:rsidRPr="003A7395" w:rsidRDefault="00D5299C" w:rsidP="002244A0">
            <w:pPr>
              <w:keepNext/>
              <w:keepLines/>
              <w:tabs>
                <w:tab w:val="left" w:pos="-1440"/>
                <w:tab w:val="left" w:pos="-720"/>
              </w:tabs>
              <w:rPr>
                <w:sz w:val="20"/>
                <w:szCs w:val="20"/>
                <w:lang w:val="fr-CA"/>
              </w:rPr>
            </w:pPr>
          </w:p>
          <w:p w:rsidR="00D5299C" w:rsidRPr="003A7395" w:rsidRDefault="00D5299C" w:rsidP="002244A0">
            <w:pPr>
              <w:keepNext/>
              <w:keepLines/>
              <w:tabs>
                <w:tab w:val="left" w:pos="-1440"/>
                <w:tab w:val="left" w:pos="-720"/>
              </w:tabs>
              <w:rPr>
                <w:sz w:val="20"/>
                <w:szCs w:val="20"/>
                <w:lang w:val="fr-CA"/>
              </w:rPr>
            </w:pPr>
            <w:r w:rsidRPr="003A7395">
              <w:rPr>
                <w:sz w:val="20"/>
                <w:szCs w:val="20"/>
                <w:lang w:val="fr-CA"/>
              </w:rPr>
              <w:tab/>
              <w:t>v. (34</w:t>
            </w:r>
            <w:r w:rsidR="003A7395" w:rsidRPr="003A7395">
              <w:rPr>
                <w:sz w:val="20"/>
                <w:szCs w:val="20"/>
                <w:lang w:val="fr-CA"/>
              </w:rPr>
              <w:t>900</w:t>
            </w:r>
            <w:r w:rsidRPr="003A7395">
              <w:rPr>
                <w:sz w:val="20"/>
                <w:szCs w:val="20"/>
                <w:lang w:val="fr-CA"/>
              </w:rPr>
              <w:t>)</w:t>
            </w:r>
          </w:p>
          <w:p w:rsidR="00D5299C" w:rsidRPr="003A7395" w:rsidRDefault="00D5299C" w:rsidP="002244A0">
            <w:pPr>
              <w:keepNext/>
              <w:keepLines/>
              <w:tabs>
                <w:tab w:val="left" w:pos="-1440"/>
                <w:tab w:val="left" w:pos="-720"/>
              </w:tabs>
              <w:rPr>
                <w:sz w:val="20"/>
                <w:szCs w:val="20"/>
                <w:lang w:val="fr-CA"/>
              </w:rPr>
            </w:pPr>
          </w:p>
          <w:p w:rsidR="00D5299C" w:rsidRPr="003A7395" w:rsidRDefault="003A7395" w:rsidP="002244A0">
            <w:pPr>
              <w:keepNext/>
              <w:keepLines/>
              <w:tabs>
                <w:tab w:val="left" w:pos="-1440"/>
                <w:tab w:val="left" w:pos="-720"/>
              </w:tabs>
              <w:rPr>
                <w:b/>
                <w:sz w:val="20"/>
                <w:szCs w:val="20"/>
                <w:lang w:val="fr-CA"/>
              </w:rPr>
            </w:pPr>
            <w:r w:rsidRPr="003A7395">
              <w:rPr>
                <w:b/>
                <w:sz w:val="20"/>
                <w:szCs w:val="20"/>
                <w:lang w:val="fr-CA"/>
              </w:rPr>
              <w:t xml:space="preserve">Paul Dagenais </w:t>
            </w:r>
            <w:r w:rsidR="00D5299C" w:rsidRPr="003A7395">
              <w:rPr>
                <w:b/>
                <w:sz w:val="20"/>
                <w:szCs w:val="20"/>
                <w:lang w:val="fr-CA"/>
              </w:rPr>
              <w:t>(Ont.)</w:t>
            </w:r>
          </w:p>
          <w:p w:rsidR="00D5299C" w:rsidRPr="00B87177" w:rsidRDefault="00D5299C" w:rsidP="002244A0">
            <w:pPr>
              <w:keepNext/>
              <w:keepLines/>
              <w:tabs>
                <w:tab w:val="left" w:pos="-1440"/>
                <w:tab w:val="left" w:pos="-720"/>
              </w:tabs>
              <w:rPr>
                <w:sz w:val="20"/>
                <w:szCs w:val="20"/>
              </w:rPr>
            </w:pPr>
            <w:r w:rsidRPr="003A7395">
              <w:rPr>
                <w:sz w:val="20"/>
                <w:szCs w:val="20"/>
                <w:lang w:val="fr-CA"/>
              </w:rPr>
              <w:tab/>
            </w:r>
            <w:r w:rsidR="003A7395" w:rsidRPr="00B87177">
              <w:rPr>
                <w:sz w:val="20"/>
                <w:szCs w:val="20"/>
              </w:rPr>
              <w:t>Clark Peddle</w:t>
            </w:r>
            <w:r w:rsidRPr="00B87177">
              <w:rPr>
                <w:sz w:val="20"/>
                <w:szCs w:val="20"/>
              </w:rPr>
              <w:t xml:space="preserve"> </w:t>
            </w:r>
          </w:p>
          <w:p w:rsidR="00D5299C" w:rsidRPr="00B87177" w:rsidRDefault="00D5299C" w:rsidP="002244A0">
            <w:pPr>
              <w:keepNext/>
              <w:keepLines/>
              <w:tabs>
                <w:tab w:val="left" w:pos="-1440"/>
                <w:tab w:val="left" w:pos="-720"/>
              </w:tabs>
              <w:rPr>
                <w:sz w:val="20"/>
                <w:szCs w:val="20"/>
              </w:rPr>
            </w:pPr>
            <w:r w:rsidRPr="00B87177">
              <w:rPr>
                <w:sz w:val="20"/>
                <w:szCs w:val="20"/>
              </w:rPr>
              <w:tab/>
            </w:r>
            <w:r w:rsidR="003A7395" w:rsidRPr="00B87177">
              <w:rPr>
                <w:sz w:val="20"/>
                <w:szCs w:val="20"/>
              </w:rPr>
              <w:t>Flett Beccario</w:t>
            </w:r>
          </w:p>
          <w:p w:rsidR="00D5299C" w:rsidRPr="00B87177" w:rsidRDefault="00D5299C" w:rsidP="002244A0">
            <w:pPr>
              <w:keepNext/>
              <w:keepLines/>
              <w:tabs>
                <w:tab w:val="left" w:pos="-1440"/>
                <w:tab w:val="left" w:pos="-720"/>
              </w:tabs>
              <w:rPr>
                <w:sz w:val="20"/>
                <w:szCs w:val="20"/>
              </w:rPr>
            </w:pPr>
          </w:p>
          <w:p w:rsidR="00D5299C" w:rsidRPr="003A7395" w:rsidRDefault="00D5299C" w:rsidP="003A7395">
            <w:pPr>
              <w:rPr>
                <w:sz w:val="20"/>
                <w:szCs w:val="20"/>
              </w:rPr>
            </w:pPr>
            <w:r w:rsidRPr="003A7395">
              <w:rPr>
                <w:sz w:val="20"/>
                <w:szCs w:val="20"/>
              </w:rPr>
              <w:t xml:space="preserve">FILING DATE: </w:t>
            </w:r>
            <w:r w:rsidR="003A7395">
              <w:rPr>
                <w:sz w:val="20"/>
                <w:szCs w:val="20"/>
              </w:rPr>
              <w:t>11.</w:t>
            </w:r>
            <w:r w:rsidRPr="003A7395">
              <w:rPr>
                <w:sz w:val="20"/>
                <w:szCs w:val="20"/>
              </w:rPr>
              <w:t>0</w:t>
            </w:r>
            <w:r w:rsidR="003A7395">
              <w:rPr>
                <w:sz w:val="20"/>
                <w:szCs w:val="20"/>
              </w:rPr>
              <w:t>7</w:t>
            </w:r>
            <w:r w:rsidRPr="003A7395">
              <w:rPr>
                <w:sz w:val="20"/>
                <w:szCs w:val="20"/>
              </w:rPr>
              <w:t>.2012</w:t>
            </w:r>
            <w:r w:rsidR="00B62B14" w:rsidRPr="00B62B14">
              <w:rPr>
                <w:sz w:val="20"/>
                <w:szCs w:val="20"/>
                <w:lang w:val="fr-CA"/>
              </w:rPr>
              <w:pict>
                <v:rect id="_x0000_i1034" style="width:108pt;height:1pt" o:hrpct="0" o:hralign="center" o:hrstd="t" o:hrnoshade="t" o:hr="t" fillcolor="black [3213]" stroked="f"/>
              </w:pict>
            </w:r>
          </w:p>
        </w:tc>
      </w:tr>
    </w:tbl>
    <w:p w:rsidR="00D5299C" w:rsidRPr="00EE3FD6" w:rsidRDefault="00D5299C" w:rsidP="00D5299C">
      <w:pPr>
        <w:tabs>
          <w:tab w:val="right" w:pos="9360"/>
        </w:tabs>
        <w:rPr>
          <w:sz w:val="20"/>
          <w:szCs w:val="20"/>
        </w:rPr>
      </w:pPr>
    </w:p>
    <w:p w:rsidR="00242AEE" w:rsidRPr="00EE3FD6" w:rsidRDefault="00242AEE" w:rsidP="0095096B">
      <w:pPr>
        <w:tabs>
          <w:tab w:val="right" w:pos="9360"/>
        </w:tabs>
        <w:rPr>
          <w:sz w:val="20"/>
          <w:szCs w:val="20"/>
        </w:rPr>
      </w:pPr>
    </w:p>
    <w:p w:rsidR="00242AEE" w:rsidRPr="00EE3FD6" w:rsidRDefault="00242AEE" w:rsidP="0095096B">
      <w:pPr>
        <w:tabs>
          <w:tab w:val="right" w:pos="9360"/>
        </w:tabs>
        <w:rPr>
          <w:sz w:val="20"/>
          <w:szCs w:val="20"/>
        </w:rPr>
        <w:sectPr w:rsidR="00242AEE" w:rsidRPr="00EE3FD6" w:rsidSect="00CC690B">
          <w:headerReference w:type="default" r:id="rId17"/>
          <w:footerReference w:type="default" r:id="rId18"/>
          <w:headerReference w:type="first" r:id="rId19"/>
          <w:footerReference w:type="first" r:id="rId20"/>
          <w:pgSz w:w="12240" w:h="15840"/>
          <w:pgMar w:top="720" w:right="965" w:bottom="1080" w:left="1656" w:header="706" w:footer="706" w:gutter="0"/>
          <w:pgNumType w:start="115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83581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D5299C" w:rsidRDefault="002E2327" w:rsidP="002E2327">
      <w:pPr>
        <w:widowControl w:val="0"/>
        <w:rPr>
          <w:sz w:val="20"/>
          <w:szCs w:val="20"/>
          <w:lang w:val="fr-CA"/>
        </w:rPr>
      </w:pPr>
    </w:p>
    <w:p w:rsidR="00D5299C" w:rsidRPr="00C50A5C" w:rsidRDefault="00D5299C" w:rsidP="00D5299C">
      <w:pPr>
        <w:widowControl w:val="0"/>
        <w:rPr>
          <w:b/>
          <w:sz w:val="20"/>
          <w:szCs w:val="20"/>
        </w:rPr>
      </w:pPr>
      <w:r>
        <w:rPr>
          <w:b/>
          <w:sz w:val="20"/>
          <w:szCs w:val="20"/>
        </w:rPr>
        <w:t>JULY 23,</w:t>
      </w:r>
      <w:r w:rsidRPr="00C50A5C">
        <w:rPr>
          <w:b/>
          <w:sz w:val="20"/>
          <w:szCs w:val="20"/>
        </w:rPr>
        <w:t xml:space="preserve"> 201</w:t>
      </w:r>
      <w:r>
        <w:rPr>
          <w:b/>
          <w:sz w:val="20"/>
          <w:szCs w:val="20"/>
        </w:rPr>
        <w:t>2</w:t>
      </w:r>
      <w:r w:rsidRPr="00C50A5C">
        <w:rPr>
          <w:b/>
          <w:sz w:val="20"/>
          <w:szCs w:val="20"/>
        </w:rPr>
        <w:t xml:space="preserve"> / LE </w:t>
      </w:r>
      <w:r>
        <w:rPr>
          <w:b/>
          <w:sz w:val="20"/>
          <w:szCs w:val="20"/>
        </w:rPr>
        <w:t>23 JUILLET</w:t>
      </w:r>
      <w:r w:rsidRPr="00C50A5C">
        <w:rPr>
          <w:b/>
          <w:sz w:val="20"/>
          <w:szCs w:val="20"/>
        </w:rPr>
        <w:t xml:space="preserve"> 201</w:t>
      </w:r>
      <w:r>
        <w:rPr>
          <w:b/>
          <w:sz w:val="20"/>
          <w:szCs w:val="20"/>
        </w:rPr>
        <w:t>2</w:t>
      </w:r>
    </w:p>
    <w:p w:rsidR="00D5299C" w:rsidRPr="00C50A5C" w:rsidRDefault="00D5299C" w:rsidP="00D5299C">
      <w:pPr>
        <w:widowControl w:val="0"/>
        <w:rPr>
          <w:b/>
          <w:sz w:val="20"/>
          <w:szCs w:val="20"/>
        </w:rPr>
      </w:pPr>
    </w:p>
    <w:p w:rsidR="00D5299C" w:rsidRPr="00C50A5C" w:rsidRDefault="00D5299C" w:rsidP="00D5299C">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D5299C" w:rsidRPr="00C50A5C" w:rsidRDefault="00D5299C" w:rsidP="00D5299C">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D5299C" w:rsidRPr="00C50A5C" w:rsidRDefault="00D5299C" w:rsidP="00D5299C">
      <w:pPr>
        <w:widowControl w:val="0"/>
        <w:rPr>
          <w:sz w:val="20"/>
          <w:szCs w:val="20"/>
          <w:lang w:val="fr-CA"/>
        </w:rPr>
      </w:pPr>
    </w:p>
    <w:p w:rsidR="00D5299C" w:rsidRPr="00C50A5C" w:rsidRDefault="00B87177" w:rsidP="00D5299C">
      <w:pPr>
        <w:pStyle w:val="ListParagraph"/>
        <w:widowControl w:val="0"/>
        <w:numPr>
          <w:ilvl w:val="0"/>
          <w:numId w:val="1"/>
        </w:numPr>
        <w:ind w:hanging="720"/>
        <w:jc w:val="both"/>
        <w:rPr>
          <w:sz w:val="20"/>
          <w:szCs w:val="20"/>
        </w:rPr>
      </w:pPr>
      <w:r w:rsidRPr="00B87177">
        <w:rPr>
          <w:i/>
          <w:sz w:val="20"/>
          <w:szCs w:val="20"/>
        </w:rPr>
        <w:t>Debra McIntyre v. Her Majesty the Queen</w:t>
      </w:r>
      <w:r w:rsidRPr="00B87177">
        <w:rPr>
          <w:sz w:val="20"/>
          <w:szCs w:val="20"/>
        </w:rPr>
        <w:t xml:space="preserve"> (Ont.) (Crim</w:t>
      </w:r>
      <w:r>
        <w:rPr>
          <w:sz w:val="20"/>
          <w:szCs w:val="20"/>
        </w:rPr>
        <w:t>.</w:t>
      </w:r>
      <w:r w:rsidRPr="00B87177">
        <w:rPr>
          <w:sz w:val="20"/>
          <w:szCs w:val="20"/>
        </w:rPr>
        <w:t>) (By Leave)</w:t>
      </w:r>
      <w:r w:rsidRPr="00C50A5C">
        <w:rPr>
          <w:sz w:val="20"/>
          <w:szCs w:val="20"/>
        </w:rPr>
        <w:t xml:space="preserve"> </w:t>
      </w:r>
      <w:r w:rsidR="00D5299C" w:rsidRPr="00C50A5C">
        <w:rPr>
          <w:sz w:val="20"/>
          <w:szCs w:val="20"/>
        </w:rPr>
        <w:t>(3</w:t>
      </w:r>
      <w:r w:rsidR="00D5299C">
        <w:rPr>
          <w:sz w:val="20"/>
          <w:szCs w:val="20"/>
        </w:rPr>
        <w:t>4</w:t>
      </w:r>
      <w:r>
        <w:rPr>
          <w:sz w:val="20"/>
          <w:szCs w:val="20"/>
        </w:rPr>
        <w:t>750</w:t>
      </w:r>
      <w:r w:rsidR="00D5299C" w:rsidRPr="00C50A5C">
        <w:rPr>
          <w:sz w:val="20"/>
          <w:szCs w:val="20"/>
        </w:rPr>
        <w:t>)</w:t>
      </w:r>
    </w:p>
    <w:p w:rsidR="00D5299C" w:rsidRPr="00C50A5C" w:rsidRDefault="00D5299C" w:rsidP="00D5299C">
      <w:pPr>
        <w:widowControl w:val="0"/>
        <w:jc w:val="both"/>
        <w:rPr>
          <w:sz w:val="20"/>
          <w:szCs w:val="20"/>
        </w:rPr>
      </w:pPr>
    </w:p>
    <w:p w:rsidR="00D5299C" w:rsidRPr="00C612D0" w:rsidRDefault="00FC262F" w:rsidP="00D5299C">
      <w:pPr>
        <w:pStyle w:val="ListParagraph"/>
        <w:widowControl w:val="0"/>
        <w:numPr>
          <w:ilvl w:val="0"/>
          <w:numId w:val="1"/>
        </w:numPr>
        <w:ind w:hanging="720"/>
        <w:jc w:val="both"/>
        <w:rPr>
          <w:sz w:val="20"/>
          <w:szCs w:val="20"/>
        </w:rPr>
      </w:pPr>
      <w:r w:rsidRPr="00FC262F">
        <w:rPr>
          <w:i/>
          <w:sz w:val="20"/>
          <w:szCs w:val="20"/>
        </w:rPr>
        <w:t>Gary Pallister v. Her Majesty the Queen</w:t>
      </w:r>
      <w:r w:rsidRPr="00B87177">
        <w:rPr>
          <w:sz w:val="20"/>
          <w:szCs w:val="20"/>
        </w:rPr>
        <w:t xml:space="preserve"> (Ont.) (Crim</w:t>
      </w:r>
      <w:r>
        <w:rPr>
          <w:sz w:val="20"/>
          <w:szCs w:val="20"/>
        </w:rPr>
        <w:t>.</w:t>
      </w:r>
      <w:r w:rsidRPr="00B87177">
        <w:rPr>
          <w:sz w:val="20"/>
          <w:szCs w:val="20"/>
        </w:rPr>
        <w:t>) (By Leave)</w:t>
      </w:r>
      <w:r w:rsidRPr="00C612D0">
        <w:rPr>
          <w:sz w:val="20"/>
          <w:szCs w:val="20"/>
        </w:rPr>
        <w:t xml:space="preserve"> </w:t>
      </w:r>
      <w:r w:rsidR="00D5299C" w:rsidRPr="00C612D0">
        <w:rPr>
          <w:sz w:val="20"/>
          <w:szCs w:val="20"/>
        </w:rPr>
        <w:t>(34</w:t>
      </w:r>
      <w:r>
        <w:rPr>
          <w:sz w:val="20"/>
          <w:szCs w:val="20"/>
        </w:rPr>
        <w:t>7</w:t>
      </w:r>
      <w:r w:rsidR="00D5299C" w:rsidRPr="00C612D0">
        <w:rPr>
          <w:sz w:val="20"/>
          <w:szCs w:val="20"/>
        </w:rPr>
        <w:t>4</w:t>
      </w:r>
      <w:r>
        <w:rPr>
          <w:sz w:val="20"/>
          <w:szCs w:val="20"/>
        </w:rPr>
        <w:t>8</w:t>
      </w:r>
      <w:r w:rsidR="00D5299C" w:rsidRPr="00C612D0">
        <w:rPr>
          <w:sz w:val="20"/>
          <w:szCs w:val="20"/>
        </w:rPr>
        <w:t>)</w:t>
      </w:r>
    </w:p>
    <w:p w:rsidR="00D5299C" w:rsidRPr="00C612D0" w:rsidRDefault="00D5299C" w:rsidP="00D5299C">
      <w:pPr>
        <w:widowControl w:val="0"/>
        <w:jc w:val="both"/>
        <w:rPr>
          <w:sz w:val="20"/>
          <w:szCs w:val="20"/>
        </w:rPr>
      </w:pPr>
    </w:p>
    <w:p w:rsidR="00D5299C" w:rsidRPr="00C50A5C" w:rsidRDefault="00FC262F" w:rsidP="00D5299C">
      <w:pPr>
        <w:pStyle w:val="ListParagraph"/>
        <w:widowControl w:val="0"/>
        <w:numPr>
          <w:ilvl w:val="0"/>
          <w:numId w:val="1"/>
        </w:numPr>
        <w:ind w:hanging="720"/>
        <w:jc w:val="both"/>
        <w:rPr>
          <w:sz w:val="20"/>
          <w:szCs w:val="20"/>
        </w:rPr>
      </w:pPr>
      <w:r w:rsidRPr="00FC262F">
        <w:rPr>
          <w:i/>
          <w:sz w:val="20"/>
          <w:szCs w:val="20"/>
        </w:rPr>
        <w:t>Mark MacDonald v. Her Majesty the Queen</w:t>
      </w:r>
      <w:r w:rsidRPr="00B87177">
        <w:rPr>
          <w:sz w:val="20"/>
          <w:szCs w:val="20"/>
        </w:rPr>
        <w:t xml:space="preserve"> (Ont.) (Crim</w:t>
      </w:r>
      <w:r>
        <w:rPr>
          <w:sz w:val="20"/>
          <w:szCs w:val="20"/>
        </w:rPr>
        <w:t>.</w:t>
      </w:r>
      <w:r w:rsidRPr="00B87177">
        <w:rPr>
          <w:sz w:val="20"/>
          <w:szCs w:val="20"/>
        </w:rPr>
        <w:t>) (By Leave)</w:t>
      </w:r>
      <w:r w:rsidRPr="00940CAD">
        <w:rPr>
          <w:sz w:val="20"/>
          <w:szCs w:val="20"/>
        </w:rPr>
        <w:t xml:space="preserve"> </w:t>
      </w:r>
      <w:r w:rsidR="00D5299C" w:rsidRPr="00940CAD">
        <w:rPr>
          <w:sz w:val="20"/>
          <w:szCs w:val="20"/>
        </w:rPr>
        <w:t>(34</w:t>
      </w:r>
      <w:r>
        <w:rPr>
          <w:sz w:val="20"/>
          <w:szCs w:val="20"/>
        </w:rPr>
        <w:t>749</w:t>
      </w:r>
      <w:r w:rsidR="00D5299C" w:rsidRPr="00940CAD">
        <w:rPr>
          <w:sz w:val="20"/>
          <w:szCs w:val="20"/>
        </w:rPr>
        <w:t>)</w:t>
      </w:r>
    </w:p>
    <w:p w:rsidR="00D5299C" w:rsidRPr="00C50A5C" w:rsidRDefault="00D5299C" w:rsidP="00D5299C">
      <w:pPr>
        <w:widowControl w:val="0"/>
        <w:rPr>
          <w:sz w:val="20"/>
          <w:szCs w:val="20"/>
        </w:rPr>
      </w:pPr>
    </w:p>
    <w:p w:rsidR="00D5299C" w:rsidRPr="00C50A5C" w:rsidRDefault="00FC262F" w:rsidP="00D5299C">
      <w:pPr>
        <w:pStyle w:val="ListParagraph"/>
        <w:widowControl w:val="0"/>
        <w:numPr>
          <w:ilvl w:val="0"/>
          <w:numId w:val="1"/>
        </w:numPr>
        <w:ind w:hanging="720"/>
        <w:jc w:val="both"/>
        <w:rPr>
          <w:sz w:val="20"/>
          <w:szCs w:val="20"/>
        </w:rPr>
      </w:pPr>
      <w:r w:rsidRPr="00DD7F10">
        <w:rPr>
          <w:i/>
          <w:sz w:val="20"/>
          <w:szCs w:val="20"/>
        </w:rPr>
        <w:t>Wayne William Hearn v. Her Majesty the Queen</w:t>
      </w:r>
      <w:r w:rsidRPr="00B87177">
        <w:rPr>
          <w:sz w:val="20"/>
          <w:szCs w:val="20"/>
        </w:rPr>
        <w:t xml:space="preserve"> (Ont.) (Crim</w:t>
      </w:r>
      <w:r>
        <w:rPr>
          <w:sz w:val="20"/>
          <w:szCs w:val="20"/>
        </w:rPr>
        <w:t>.</w:t>
      </w:r>
      <w:r w:rsidRPr="00B87177">
        <w:rPr>
          <w:sz w:val="20"/>
          <w:szCs w:val="20"/>
        </w:rPr>
        <w:t>) (By Leave)</w:t>
      </w:r>
      <w:r w:rsidRPr="00C50A5C">
        <w:rPr>
          <w:sz w:val="20"/>
          <w:szCs w:val="20"/>
        </w:rPr>
        <w:t xml:space="preserve"> </w:t>
      </w:r>
      <w:r w:rsidR="00D5299C" w:rsidRPr="00C50A5C">
        <w:rPr>
          <w:sz w:val="20"/>
          <w:szCs w:val="20"/>
        </w:rPr>
        <w:t>(3</w:t>
      </w:r>
      <w:r w:rsidR="00D5299C">
        <w:rPr>
          <w:sz w:val="20"/>
          <w:szCs w:val="20"/>
        </w:rPr>
        <w:t>4</w:t>
      </w:r>
      <w:r>
        <w:rPr>
          <w:sz w:val="20"/>
          <w:szCs w:val="20"/>
        </w:rPr>
        <w:t>747</w:t>
      </w:r>
      <w:r w:rsidR="00D5299C" w:rsidRPr="00C50A5C">
        <w:rPr>
          <w:sz w:val="20"/>
          <w:szCs w:val="20"/>
        </w:rPr>
        <w:t>)</w:t>
      </w:r>
    </w:p>
    <w:p w:rsidR="00D5299C" w:rsidRPr="00C16CB3" w:rsidRDefault="00D5299C" w:rsidP="00D5299C">
      <w:pPr>
        <w:widowControl w:val="0"/>
        <w:jc w:val="both"/>
        <w:rPr>
          <w:sz w:val="20"/>
          <w:szCs w:val="20"/>
          <w:lang w:val="fr-CA"/>
        </w:rPr>
      </w:pPr>
    </w:p>
    <w:p w:rsidR="00D5299C" w:rsidRPr="00DD7F10" w:rsidRDefault="00DD7F10" w:rsidP="00D5299C">
      <w:pPr>
        <w:pStyle w:val="ListParagraph"/>
        <w:widowControl w:val="0"/>
        <w:numPr>
          <w:ilvl w:val="0"/>
          <w:numId w:val="1"/>
        </w:numPr>
        <w:ind w:hanging="720"/>
        <w:jc w:val="both"/>
        <w:rPr>
          <w:sz w:val="20"/>
          <w:szCs w:val="20"/>
        </w:rPr>
      </w:pPr>
      <w:r w:rsidRPr="00DD7F10">
        <w:rPr>
          <w:i/>
          <w:sz w:val="20"/>
          <w:szCs w:val="20"/>
        </w:rPr>
        <w:t>Terrance Parker v. Her Majesty the Queen</w:t>
      </w:r>
      <w:r w:rsidRPr="00B87177">
        <w:rPr>
          <w:sz w:val="20"/>
          <w:szCs w:val="20"/>
        </w:rPr>
        <w:t xml:space="preserve"> (Ont.) (Crim</w:t>
      </w:r>
      <w:r>
        <w:rPr>
          <w:sz w:val="20"/>
          <w:szCs w:val="20"/>
        </w:rPr>
        <w:t>.)</w:t>
      </w:r>
      <w:r w:rsidRPr="00B87177">
        <w:rPr>
          <w:sz w:val="20"/>
          <w:szCs w:val="20"/>
        </w:rPr>
        <w:t xml:space="preserve"> (By Leave)</w:t>
      </w:r>
      <w:r>
        <w:rPr>
          <w:sz w:val="20"/>
          <w:szCs w:val="20"/>
        </w:rPr>
        <w:t xml:space="preserve"> </w:t>
      </w:r>
      <w:r w:rsidR="00D5299C" w:rsidRPr="00DD7F10">
        <w:rPr>
          <w:sz w:val="20"/>
          <w:szCs w:val="20"/>
        </w:rPr>
        <w:t>(34</w:t>
      </w:r>
      <w:r w:rsidR="00FC262F" w:rsidRPr="00DD7F10">
        <w:rPr>
          <w:sz w:val="20"/>
          <w:szCs w:val="20"/>
        </w:rPr>
        <w:t>756</w:t>
      </w:r>
      <w:r w:rsidR="00D5299C" w:rsidRPr="00DD7F10">
        <w:rPr>
          <w:sz w:val="20"/>
          <w:szCs w:val="20"/>
        </w:rPr>
        <w:t>)</w:t>
      </w:r>
    </w:p>
    <w:p w:rsidR="00D5299C" w:rsidRPr="00DD7F10" w:rsidRDefault="00D5299C" w:rsidP="00D5299C">
      <w:pPr>
        <w:widowControl w:val="0"/>
        <w:rPr>
          <w:sz w:val="20"/>
          <w:szCs w:val="20"/>
        </w:rPr>
      </w:pPr>
    </w:p>
    <w:p w:rsidR="00D5299C" w:rsidRPr="00115C9E" w:rsidRDefault="00DD7F10" w:rsidP="00D5299C">
      <w:pPr>
        <w:pStyle w:val="ListParagraph"/>
        <w:widowControl w:val="0"/>
        <w:numPr>
          <w:ilvl w:val="0"/>
          <w:numId w:val="1"/>
        </w:numPr>
        <w:ind w:hanging="720"/>
        <w:jc w:val="both"/>
        <w:rPr>
          <w:sz w:val="20"/>
          <w:szCs w:val="20"/>
          <w:lang w:val="fr-CA"/>
        </w:rPr>
      </w:pPr>
      <w:r w:rsidRPr="00DD7F10">
        <w:rPr>
          <w:i/>
          <w:sz w:val="20"/>
          <w:szCs w:val="20"/>
        </w:rPr>
        <w:t>Sean William Maloney v. Her Majesty the Queen</w:t>
      </w:r>
      <w:r w:rsidRPr="00B87177">
        <w:rPr>
          <w:sz w:val="20"/>
          <w:szCs w:val="20"/>
        </w:rPr>
        <w:t xml:space="preserve"> (Ont.) (Crim</w:t>
      </w:r>
      <w:r>
        <w:rPr>
          <w:sz w:val="20"/>
          <w:szCs w:val="20"/>
        </w:rPr>
        <w:t>.</w:t>
      </w:r>
      <w:r w:rsidRPr="00B87177">
        <w:rPr>
          <w:sz w:val="20"/>
          <w:szCs w:val="20"/>
        </w:rPr>
        <w:t>) (By Leave)</w:t>
      </w:r>
      <w:r w:rsidRPr="00115C9E">
        <w:rPr>
          <w:sz w:val="20"/>
          <w:szCs w:val="20"/>
          <w:lang w:val="fr-CA"/>
        </w:rPr>
        <w:t xml:space="preserve"> </w:t>
      </w:r>
      <w:r w:rsidR="00D5299C" w:rsidRPr="00115C9E">
        <w:rPr>
          <w:sz w:val="20"/>
          <w:szCs w:val="20"/>
          <w:lang w:val="fr-CA"/>
        </w:rPr>
        <w:t>(34</w:t>
      </w:r>
      <w:r w:rsidR="00FC262F">
        <w:rPr>
          <w:sz w:val="20"/>
          <w:szCs w:val="20"/>
          <w:lang w:val="fr-CA"/>
        </w:rPr>
        <w:t>755</w:t>
      </w:r>
      <w:r w:rsidR="00D5299C" w:rsidRPr="00115C9E">
        <w:rPr>
          <w:sz w:val="20"/>
          <w:szCs w:val="20"/>
          <w:lang w:val="fr-CA"/>
        </w:rPr>
        <w:t>)</w:t>
      </w:r>
    </w:p>
    <w:p w:rsidR="00D5299C" w:rsidRPr="00115C9E" w:rsidRDefault="00D5299C" w:rsidP="00D5299C">
      <w:pPr>
        <w:widowControl w:val="0"/>
        <w:jc w:val="both"/>
        <w:rPr>
          <w:sz w:val="20"/>
          <w:szCs w:val="20"/>
          <w:lang w:val="fr-CA"/>
        </w:rPr>
      </w:pPr>
    </w:p>
    <w:p w:rsidR="00D5299C" w:rsidRPr="00DD7F10" w:rsidRDefault="00DD7F10" w:rsidP="00D5299C">
      <w:pPr>
        <w:pStyle w:val="ListParagraph"/>
        <w:widowControl w:val="0"/>
        <w:numPr>
          <w:ilvl w:val="0"/>
          <w:numId w:val="1"/>
        </w:numPr>
        <w:ind w:hanging="720"/>
        <w:jc w:val="both"/>
        <w:rPr>
          <w:sz w:val="20"/>
          <w:szCs w:val="20"/>
        </w:rPr>
      </w:pPr>
      <w:r w:rsidRPr="00DD7F10">
        <w:rPr>
          <w:i/>
          <w:sz w:val="20"/>
          <w:szCs w:val="20"/>
        </w:rPr>
        <w:t>Robert Christopher McCrady v. Her Majesty the Queen</w:t>
      </w:r>
      <w:r w:rsidRPr="00B87177">
        <w:rPr>
          <w:sz w:val="20"/>
          <w:szCs w:val="20"/>
        </w:rPr>
        <w:t xml:space="preserve"> (Ont.) (Crim</w:t>
      </w:r>
      <w:r>
        <w:rPr>
          <w:sz w:val="20"/>
          <w:szCs w:val="20"/>
        </w:rPr>
        <w:t>.</w:t>
      </w:r>
      <w:r w:rsidRPr="00B87177">
        <w:rPr>
          <w:sz w:val="20"/>
          <w:szCs w:val="20"/>
        </w:rPr>
        <w:t>) (By Leave)</w:t>
      </w:r>
      <w:r w:rsidRPr="00DD7F10">
        <w:rPr>
          <w:sz w:val="20"/>
          <w:szCs w:val="20"/>
        </w:rPr>
        <w:t xml:space="preserve"> </w:t>
      </w:r>
      <w:r w:rsidR="00D5299C" w:rsidRPr="00DD7F10">
        <w:rPr>
          <w:sz w:val="20"/>
          <w:szCs w:val="20"/>
        </w:rPr>
        <w:t>(34</w:t>
      </w:r>
      <w:r w:rsidR="00FC262F" w:rsidRPr="00DD7F10">
        <w:rPr>
          <w:sz w:val="20"/>
          <w:szCs w:val="20"/>
        </w:rPr>
        <w:t>751</w:t>
      </w:r>
      <w:r w:rsidR="00D5299C" w:rsidRPr="00DD7F10">
        <w:rPr>
          <w:sz w:val="20"/>
          <w:szCs w:val="20"/>
        </w:rPr>
        <w:t>)</w:t>
      </w:r>
    </w:p>
    <w:p w:rsidR="00D5299C" w:rsidRPr="00DD7F10" w:rsidRDefault="00D5299C" w:rsidP="00D5299C">
      <w:pPr>
        <w:widowControl w:val="0"/>
        <w:jc w:val="both"/>
        <w:rPr>
          <w:sz w:val="20"/>
          <w:szCs w:val="20"/>
        </w:rPr>
      </w:pPr>
    </w:p>
    <w:p w:rsidR="00D5299C" w:rsidRPr="00DD7F10" w:rsidRDefault="00DD7F10" w:rsidP="00D5299C">
      <w:pPr>
        <w:pStyle w:val="ListParagraph"/>
        <w:widowControl w:val="0"/>
        <w:numPr>
          <w:ilvl w:val="0"/>
          <w:numId w:val="1"/>
        </w:numPr>
        <w:ind w:hanging="720"/>
        <w:jc w:val="both"/>
        <w:rPr>
          <w:sz w:val="20"/>
          <w:szCs w:val="20"/>
        </w:rPr>
      </w:pPr>
      <w:r w:rsidRPr="00DD7F10">
        <w:rPr>
          <w:i/>
          <w:sz w:val="20"/>
          <w:szCs w:val="20"/>
        </w:rPr>
        <w:t>Michael Lee Barker v. Budget Rent-A-Car of Edmonton Ltd.</w:t>
      </w:r>
      <w:r w:rsidRPr="00B87177">
        <w:rPr>
          <w:sz w:val="20"/>
          <w:szCs w:val="20"/>
        </w:rPr>
        <w:t xml:space="preserve"> (Alta.) (Civil) (By Leave)</w:t>
      </w:r>
      <w:r w:rsidRPr="00DD7F10">
        <w:rPr>
          <w:sz w:val="20"/>
          <w:szCs w:val="20"/>
        </w:rPr>
        <w:t xml:space="preserve"> </w:t>
      </w:r>
      <w:r w:rsidR="00D5299C" w:rsidRPr="00DD7F10">
        <w:rPr>
          <w:sz w:val="20"/>
          <w:szCs w:val="20"/>
        </w:rPr>
        <w:t>(34</w:t>
      </w:r>
      <w:r w:rsidR="00FC262F" w:rsidRPr="00DD7F10">
        <w:rPr>
          <w:sz w:val="20"/>
          <w:szCs w:val="20"/>
        </w:rPr>
        <w:t>812</w:t>
      </w:r>
      <w:r w:rsidR="00D5299C" w:rsidRPr="00DD7F10">
        <w:rPr>
          <w:sz w:val="20"/>
          <w:szCs w:val="20"/>
        </w:rPr>
        <w:t>)</w:t>
      </w:r>
    </w:p>
    <w:p w:rsidR="00D5299C" w:rsidRPr="00DD7F10" w:rsidRDefault="00D5299C" w:rsidP="00D5299C">
      <w:pPr>
        <w:widowControl w:val="0"/>
        <w:rPr>
          <w:sz w:val="20"/>
          <w:szCs w:val="20"/>
        </w:rPr>
      </w:pPr>
    </w:p>
    <w:p w:rsidR="00D5299C" w:rsidRPr="00DD7F10" w:rsidRDefault="00DD7F10" w:rsidP="00D5299C">
      <w:pPr>
        <w:pStyle w:val="ListParagraph"/>
        <w:widowControl w:val="0"/>
        <w:numPr>
          <w:ilvl w:val="0"/>
          <w:numId w:val="1"/>
        </w:numPr>
        <w:ind w:hanging="720"/>
        <w:jc w:val="both"/>
        <w:rPr>
          <w:sz w:val="20"/>
          <w:szCs w:val="20"/>
        </w:rPr>
      </w:pPr>
      <w:r w:rsidRPr="00DD7F10">
        <w:rPr>
          <w:i/>
          <w:sz w:val="20"/>
          <w:szCs w:val="20"/>
        </w:rPr>
        <w:t>City of Calgary v. Zahmol Properties Ltd.</w:t>
      </w:r>
      <w:r w:rsidRPr="00B87177">
        <w:rPr>
          <w:sz w:val="20"/>
          <w:szCs w:val="20"/>
        </w:rPr>
        <w:t xml:space="preserve"> (Alta.) (Civil) (By Leave)</w:t>
      </w:r>
      <w:r w:rsidRPr="00DD7F10">
        <w:rPr>
          <w:sz w:val="20"/>
          <w:szCs w:val="20"/>
        </w:rPr>
        <w:t xml:space="preserve"> </w:t>
      </w:r>
      <w:r w:rsidR="00D5299C" w:rsidRPr="00DD7F10">
        <w:rPr>
          <w:sz w:val="20"/>
          <w:szCs w:val="20"/>
        </w:rPr>
        <w:t>(34</w:t>
      </w:r>
      <w:r w:rsidR="00FC262F" w:rsidRPr="00DD7F10">
        <w:rPr>
          <w:sz w:val="20"/>
          <w:szCs w:val="20"/>
        </w:rPr>
        <w:t>838</w:t>
      </w:r>
      <w:r w:rsidR="00D5299C" w:rsidRPr="00DD7F10">
        <w:rPr>
          <w:sz w:val="20"/>
          <w:szCs w:val="20"/>
        </w:rPr>
        <w:t>)</w:t>
      </w:r>
    </w:p>
    <w:p w:rsidR="00D5299C" w:rsidRPr="00DD7F10" w:rsidRDefault="00D5299C" w:rsidP="00D5299C">
      <w:pPr>
        <w:widowControl w:val="0"/>
        <w:jc w:val="both"/>
        <w:rPr>
          <w:sz w:val="20"/>
          <w:szCs w:val="20"/>
        </w:rPr>
      </w:pPr>
    </w:p>
    <w:p w:rsidR="00B87177" w:rsidRPr="00DD7F10" w:rsidRDefault="00B87177" w:rsidP="00D5299C">
      <w:pPr>
        <w:widowControl w:val="0"/>
        <w:jc w:val="both"/>
        <w:rPr>
          <w:sz w:val="20"/>
          <w:szCs w:val="20"/>
        </w:rPr>
      </w:pPr>
    </w:p>
    <w:p w:rsidR="00B87177" w:rsidRPr="00C50A5C" w:rsidRDefault="00B87177" w:rsidP="00B87177">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B87177" w:rsidRPr="00C50A5C" w:rsidRDefault="00B87177" w:rsidP="00B87177">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B87177" w:rsidRDefault="00B87177" w:rsidP="00D5299C">
      <w:pPr>
        <w:widowControl w:val="0"/>
        <w:jc w:val="both"/>
        <w:rPr>
          <w:sz w:val="20"/>
          <w:szCs w:val="20"/>
          <w:lang w:val="fr-CA"/>
        </w:rPr>
      </w:pPr>
    </w:p>
    <w:p w:rsidR="00D5299C" w:rsidRPr="00115C9E" w:rsidRDefault="00DD7F10" w:rsidP="00D5299C">
      <w:pPr>
        <w:pStyle w:val="ListParagraph"/>
        <w:widowControl w:val="0"/>
        <w:numPr>
          <w:ilvl w:val="0"/>
          <w:numId w:val="1"/>
        </w:numPr>
        <w:ind w:hanging="720"/>
        <w:jc w:val="both"/>
        <w:rPr>
          <w:sz w:val="20"/>
          <w:szCs w:val="20"/>
        </w:rPr>
      </w:pPr>
      <w:r w:rsidRPr="00DD7F10">
        <w:rPr>
          <w:i/>
          <w:sz w:val="20"/>
          <w:szCs w:val="20"/>
        </w:rPr>
        <w:t>Norman Ted Walton v. Her Majesty the Queen</w:t>
      </w:r>
      <w:r w:rsidRPr="00B87177">
        <w:rPr>
          <w:sz w:val="20"/>
          <w:szCs w:val="20"/>
        </w:rPr>
        <w:t xml:space="preserve"> (B.C.) (Crim</w:t>
      </w:r>
      <w:r>
        <w:rPr>
          <w:sz w:val="20"/>
          <w:szCs w:val="20"/>
        </w:rPr>
        <w:t>.</w:t>
      </w:r>
      <w:r w:rsidRPr="00B87177">
        <w:rPr>
          <w:sz w:val="20"/>
          <w:szCs w:val="20"/>
        </w:rPr>
        <w:t>) (By Leave)</w:t>
      </w:r>
      <w:r w:rsidRPr="00115C9E">
        <w:rPr>
          <w:sz w:val="20"/>
          <w:szCs w:val="20"/>
        </w:rPr>
        <w:t xml:space="preserve"> </w:t>
      </w:r>
      <w:r w:rsidR="00D5299C" w:rsidRPr="00115C9E">
        <w:rPr>
          <w:sz w:val="20"/>
          <w:szCs w:val="20"/>
        </w:rPr>
        <w:t>(34</w:t>
      </w:r>
      <w:r>
        <w:rPr>
          <w:sz w:val="20"/>
          <w:szCs w:val="20"/>
        </w:rPr>
        <w:t>692</w:t>
      </w:r>
      <w:r w:rsidR="00D5299C" w:rsidRPr="00115C9E">
        <w:rPr>
          <w:sz w:val="20"/>
          <w:szCs w:val="20"/>
        </w:rPr>
        <w:t>)</w:t>
      </w:r>
    </w:p>
    <w:p w:rsidR="00D5299C" w:rsidRPr="008C1620" w:rsidRDefault="00D5299C" w:rsidP="00D5299C">
      <w:pPr>
        <w:widowControl w:val="0"/>
        <w:jc w:val="both"/>
        <w:rPr>
          <w:i/>
          <w:sz w:val="20"/>
          <w:szCs w:val="20"/>
        </w:rPr>
      </w:pPr>
    </w:p>
    <w:p w:rsidR="00D5299C" w:rsidRPr="00115C9E" w:rsidRDefault="008C1620" w:rsidP="00D5299C">
      <w:pPr>
        <w:pStyle w:val="ListParagraph"/>
        <w:widowControl w:val="0"/>
        <w:numPr>
          <w:ilvl w:val="0"/>
          <w:numId w:val="1"/>
        </w:numPr>
        <w:ind w:hanging="720"/>
        <w:jc w:val="both"/>
        <w:rPr>
          <w:sz w:val="20"/>
          <w:szCs w:val="20"/>
        </w:rPr>
      </w:pPr>
      <w:r w:rsidRPr="008C1620">
        <w:rPr>
          <w:i/>
          <w:sz w:val="20"/>
          <w:szCs w:val="20"/>
        </w:rPr>
        <w:t>Anthony Diamond et al. v. Danny Doobay et al.</w:t>
      </w:r>
      <w:r w:rsidRPr="00B87177">
        <w:rPr>
          <w:sz w:val="20"/>
          <w:szCs w:val="20"/>
        </w:rPr>
        <w:t xml:space="preserve"> (Ont.) (Civil) (By Leave)</w:t>
      </w:r>
      <w:r>
        <w:rPr>
          <w:sz w:val="20"/>
          <w:szCs w:val="20"/>
        </w:rPr>
        <w:t xml:space="preserve"> </w:t>
      </w:r>
      <w:r w:rsidR="00D5299C" w:rsidRPr="00115C9E">
        <w:rPr>
          <w:sz w:val="20"/>
          <w:szCs w:val="20"/>
        </w:rPr>
        <w:t>(34</w:t>
      </w:r>
      <w:r w:rsidR="00DD7F10">
        <w:rPr>
          <w:sz w:val="20"/>
          <w:szCs w:val="20"/>
        </w:rPr>
        <w:t>700</w:t>
      </w:r>
      <w:r w:rsidR="00D5299C" w:rsidRPr="00115C9E">
        <w:rPr>
          <w:sz w:val="20"/>
          <w:szCs w:val="20"/>
        </w:rPr>
        <w:t>)</w:t>
      </w:r>
    </w:p>
    <w:p w:rsidR="00D5299C" w:rsidRPr="00115C9E" w:rsidRDefault="00D5299C" w:rsidP="00D5299C">
      <w:pPr>
        <w:widowControl w:val="0"/>
        <w:jc w:val="both"/>
        <w:rPr>
          <w:sz w:val="20"/>
          <w:szCs w:val="20"/>
        </w:rPr>
      </w:pPr>
    </w:p>
    <w:p w:rsidR="00D5299C" w:rsidRDefault="008C1620" w:rsidP="00D5299C">
      <w:pPr>
        <w:pStyle w:val="ListParagraph"/>
        <w:widowControl w:val="0"/>
        <w:numPr>
          <w:ilvl w:val="0"/>
          <w:numId w:val="1"/>
        </w:numPr>
        <w:ind w:hanging="720"/>
        <w:jc w:val="both"/>
        <w:rPr>
          <w:sz w:val="20"/>
          <w:szCs w:val="20"/>
        </w:rPr>
      </w:pPr>
      <w:r w:rsidRPr="008C1620">
        <w:rPr>
          <w:i/>
          <w:sz w:val="20"/>
          <w:szCs w:val="20"/>
        </w:rPr>
        <w:t>Anton Oleynik v. Information and Privacy Commissioner of Newfoundland and Labrador</w:t>
      </w:r>
      <w:r w:rsidRPr="00B87177">
        <w:rPr>
          <w:sz w:val="20"/>
          <w:szCs w:val="20"/>
        </w:rPr>
        <w:t xml:space="preserve"> (N.L.) (Civil) (By</w:t>
      </w:r>
      <w:r>
        <w:rPr>
          <w:sz w:val="20"/>
          <w:szCs w:val="20"/>
        </w:rPr>
        <w:t> </w:t>
      </w:r>
      <w:r w:rsidRPr="00B87177">
        <w:rPr>
          <w:sz w:val="20"/>
          <w:szCs w:val="20"/>
        </w:rPr>
        <w:t>Leave)</w:t>
      </w:r>
      <w:r>
        <w:rPr>
          <w:sz w:val="20"/>
          <w:szCs w:val="20"/>
        </w:rPr>
        <w:t xml:space="preserve"> </w:t>
      </w:r>
      <w:r w:rsidR="00D5299C" w:rsidRPr="00C50A5C">
        <w:rPr>
          <w:sz w:val="20"/>
          <w:szCs w:val="20"/>
        </w:rPr>
        <w:t>(3</w:t>
      </w:r>
      <w:r w:rsidR="00D5299C">
        <w:rPr>
          <w:sz w:val="20"/>
          <w:szCs w:val="20"/>
        </w:rPr>
        <w:t>4</w:t>
      </w:r>
      <w:r w:rsidR="00DD7F10">
        <w:rPr>
          <w:sz w:val="20"/>
          <w:szCs w:val="20"/>
        </w:rPr>
        <w:t>791</w:t>
      </w:r>
      <w:r w:rsidR="00D5299C" w:rsidRPr="00C50A5C">
        <w:rPr>
          <w:sz w:val="20"/>
          <w:szCs w:val="20"/>
        </w:rPr>
        <w:t>)</w:t>
      </w:r>
    </w:p>
    <w:p w:rsidR="00D5299C" w:rsidRDefault="00D5299C" w:rsidP="00D5299C">
      <w:pPr>
        <w:widowControl w:val="0"/>
        <w:rPr>
          <w:sz w:val="20"/>
          <w:szCs w:val="20"/>
        </w:rPr>
      </w:pPr>
    </w:p>
    <w:p w:rsidR="00D5299C" w:rsidRPr="008C1620" w:rsidRDefault="008C1620" w:rsidP="00D5299C">
      <w:pPr>
        <w:pStyle w:val="ListParagraph"/>
        <w:widowControl w:val="0"/>
        <w:numPr>
          <w:ilvl w:val="0"/>
          <w:numId w:val="1"/>
        </w:numPr>
        <w:ind w:hanging="720"/>
        <w:jc w:val="both"/>
        <w:rPr>
          <w:sz w:val="20"/>
          <w:szCs w:val="20"/>
        </w:rPr>
      </w:pPr>
      <w:r w:rsidRPr="008C1620">
        <w:rPr>
          <w:i/>
          <w:sz w:val="20"/>
          <w:szCs w:val="20"/>
        </w:rPr>
        <w:t>Robert Kotello v. Rita Steinmann</w:t>
      </w:r>
      <w:r w:rsidRPr="008C1620">
        <w:rPr>
          <w:sz w:val="20"/>
          <w:szCs w:val="20"/>
        </w:rPr>
        <w:t xml:space="preserve"> (Man.) </w:t>
      </w:r>
      <w:r w:rsidRPr="00B87177">
        <w:rPr>
          <w:sz w:val="20"/>
          <w:szCs w:val="20"/>
        </w:rPr>
        <w:t>(Civil) (By Leave)</w:t>
      </w:r>
      <w:r w:rsidRPr="008C1620">
        <w:rPr>
          <w:sz w:val="20"/>
          <w:szCs w:val="20"/>
        </w:rPr>
        <w:t xml:space="preserve"> </w:t>
      </w:r>
      <w:r w:rsidR="00D5299C" w:rsidRPr="008C1620">
        <w:rPr>
          <w:sz w:val="20"/>
          <w:szCs w:val="20"/>
        </w:rPr>
        <w:t>(34</w:t>
      </w:r>
      <w:r w:rsidR="00DD7F10" w:rsidRPr="008C1620">
        <w:rPr>
          <w:sz w:val="20"/>
          <w:szCs w:val="20"/>
        </w:rPr>
        <w:t>846</w:t>
      </w:r>
      <w:r w:rsidR="00D5299C" w:rsidRPr="008C1620">
        <w:rPr>
          <w:sz w:val="20"/>
          <w:szCs w:val="20"/>
        </w:rPr>
        <w:t>)</w:t>
      </w:r>
    </w:p>
    <w:p w:rsidR="00D5299C" w:rsidRPr="008C1620" w:rsidRDefault="00D5299C" w:rsidP="00D5299C">
      <w:pPr>
        <w:widowControl w:val="0"/>
        <w:jc w:val="both"/>
        <w:rPr>
          <w:sz w:val="20"/>
          <w:szCs w:val="20"/>
        </w:rPr>
      </w:pPr>
    </w:p>
    <w:p w:rsidR="00D5299C" w:rsidRPr="00C50A5C" w:rsidRDefault="008C1620" w:rsidP="00D5299C">
      <w:pPr>
        <w:pStyle w:val="ListParagraph"/>
        <w:widowControl w:val="0"/>
        <w:numPr>
          <w:ilvl w:val="0"/>
          <w:numId w:val="1"/>
        </w:numPr>
        <w:ind w:hanging="720"/>
        <w:jc w:val="both"/>
        <w:rPr>
          <w:sz w:val="20"/>
          <w:szCs w:val="20"/>
          <w:lang w:val="fr-CA"/>
        </w:rPr>
      </w:pPr>
      <w:r w:rsidRPr="008C1620">
        <w:rPr>
          <w:i/>
          <w:sz w:val="20"/>
          <w:szCs w:val="20"/>
          <w:lang w:val="fr-CA"/>
        </w:rPr>
        <w:t>Jean-Claude Valfer v. Etienne Calomne, ès qualités de syndic adjoint de l'Ordre professionnel des travailleurs sociaux du Québec</w:t>
      </w:r>
      <w:r w:rsidRPr="00B87177">
        <w:rPr>
          <w:sz w:val="20"/>
          <w:szCs w:val="20"/>
          <w:lang w:val="fr-CA"/>
        </w:rPr>
        <w:t xml:space="preserve"> (Que.) (Civil) (By Leave)</w:t>
      </w:r>
      <w:r w:rsidRPr="00C50A5C">
        <w:rPr>
          <w:sz w:val="20"/>
          <w:szCs w:val="20"/>
          <w:lang w:val="fr-CA"/>
        </w:rPr>
        <w:t xml:space="preserve"> </w:t>
      </w:r>
      <w:r w:rsidR="00D5299C" w:rsidRPr="00C50A5C">
        <w:rPr>
          <w:sz w:val="20"/>
          <w:szCs w:val="20"/>
          <w:lang w:val="fr-CA"/>
        </w:rPr>
        <w:t>(3</w:t>
      </w:r>
      <w:r w:rsidR="00D5299C">
        <w:rPr>
          <w:sz w:val="20"/>
          <w:szCs w:val="20"/>
          <w:lang w:val="fr-CA"/>
        </w:rPr>
        <w:t>4</w:t>
      </w:r>
      <w:r w:rsidR="00DD7F10">
        <w:rPr>
          <w:sz w:val="20"/>
          <w:szCs w:val="20"/>
          <w:lang w:val="fr-CA"/>
        </w:rPr>
        <w:t>753</w:t>
      </w:r>
      <w:r w:rsidR="00D5299C" w:rsidRPr="00C50A5C">
        <w:rPr>
          <w:sz w:val="20"/>
          <w:szCs w:val="20"/>
          <w:lang w:val="fr-CA"/>
        </w:rPr>
        <w:t>)</w:t>
      </w:r>
    </w:p>
    <w:p w:rsidR="00D5299C" w:rsidRPr="00C50A5C" w:rsidRDefault="00D5299C" w:rsidP="00D5299C">
      <w:pPr>
        <w:widowControl w:val="0"/>
        <w:jc w:val="both"/>
        <w:rPr>
          <w:sz w:val="20"/>
          <w:szCs w:val="20"/>
          <w:lang w:val="fr-CA"/>
        </w:rPr>
      </w:pPr>
    </w:p>
    <w:p w:rsidR="00D5299C" w:rsidRPr="008C1620" w:rsidRDefault="008C1620" w:rsidP="00D5299C">
      <w:pPr>
        <w:pStyle w:val="ListParagraph"/>
        <w:widowControl w:val="0"/>
        <w:numPr>
          <w:ilvl w:val="0"/>
          <w:numId w:val="1"/>
        </w:numPr>
        <w:ind w:hanging="720"/>
        <w:jc w:val="both"/>
        <w:rPr>
          <w:sz w:val="20"/>
          <w:szCs w:val="20"/>
        </w:rPr>
      </w:pPr>
      <w:r w:rsidRPr="008C1620">
        <w:rPr>
          <w:i/>
          <w:sz w:val="20"/>
          <w:szCs w:val="20"/>
        </w:rPr>
        <w:t>Colin  McGregor v. Scotia Mortgage Corporation</w:t>
      </w:r>
      <w:r w:rsidRPr="00B87177">
        <w:rPr>
          <w:sz w:val="20"/>
          <w:szCs w:val="20"/>
        </w:rPr>
        <w:t xml:space="preserve"> (Ont.) (Civil) (By Leave)</w:t>
      </w:r>
      <w:r w:rsidRPr="008C1620">
        <w:rPr>
          <w:sz w:val="20"/>
          <w:szCs w:val="20"/>
        </w:rPr>
        <w:t xml:space="preserve"> </w:t>
      </w:r>
      <w:r w:rsidR="00D5299C" w:rsidRPr="008C1620">
        <w:rPr>
          <w:sz w:val="20"/>
          <w:szCs w:val="20"/>
        </w:rPr>
        <w:t>(34</w:t>
      </w:r>
      <w:r w:rsidR="00DD7F10" w:rsidRPr="008C1620">
        <w:rPr>
          <w:sz w:val="20"/>
          <w:szCs w:val="20"/>
        </w:rPr>
        <w:t>826</w:t>
      </w:r>
      <w:r w:rsidR="00D5299C" w:rsidRPr="008C1620">
        <w:rPr>
          <w:sz w:val="20"/>
          <w:szCs w:val="20"/>
        </w:rPr>
        <w:t>)</w:t>
      </w:r>
    </w:p>
    <w:p w:rsidR="00B87177" w:rsidRPr="008C1620" w:rsidRDefault="00B87177" w:rsidP="00B87177">
      <w:pPr>
        <w:pStyle w:val="ListParagraph"/>
        <w:widowControl w:val="0"/>
        <w:ind w:left="0"/>
        <w:jc w:val="both"/>
        <w:rPr>
          <w:sz w:val="20"/>
          <w:szCs w:val="20"/>
        </w:rPr>
      </w:pPr>
    </w:p>
    <w:p w:rsidR="00B87177" w:rsidRPr="008C1620" w:rsidRDefault="008C1620" w:rsidP="00D5299C">
      <w:pPr>
        <w:pStyle w:val="ListParagraph"/>
        <w:widowControl w:val="0"/>
        <w:numPr>
          <w:ilvl w:val="0"/>
          <w:numId w:val="1"/>
        </w:numPr>
        <w:ind w:hanging="720"/>
        <w:jc w:val="both"/>
        <w:rPr>
          <w:sz w:val="20"/>
          <w:szCs w:val="20"/>
        </w:rPr>
      </w:pPr>
      <w:r w:rsidRPr="008C1620">
        <w:rPr>
          <w:i/>
          <w:sz w:val="20"/>
          <w:szCs w:val="20"/>
        </w:rPr>
        <w:t>Valerie Guillaume v. Mintz &amp; Partners Limited Court Appointed Receiver and Manager of Moshav Naom Non-Profit Co-Operative Housing Corporation and Not in It's Personal Capacity</w:t>
      </w:r>
      <w:r w:rsidRPr="00B87177">
        <w:rPr>
          <w:sz w:val="20"/>
          <w:szCs w:val="20"/>
        </w:rPr>
        <w:t xml:space="preserve"> (Ont.) (Civil) (By Leave)</w:t>
      </w:r>
      <w:r w:rsidRPr="008C1620">
        <w:rPr>
          <w:sz w:val="20"/>
          <w:szCs w:val="20"/>
        </w:rPr>
        <w:t xml:space="preserve"> </w:t>
      </w:r>
      <w:r w:rsidR="00DD7F10" w:rsidRPr="008C1620">
        <w:rPr>
          <w:sz w:val="20"/>
          <w:szCs w:val="20"/>
        </w:rPr>
        <w:t>(34805)</w:t>
      </w:r>
    </w:p>
    <w:p w:rsidR="00B87177" w:rsidRPr="008C1620" w:rsidRDefault="00B87177" w:rsidP="00B87177">
      <w:pPr>
        <w:pStyle w:val="ListParagraph"/>
        <w:widowControl w:val="0"/>
        <w:ind w:left="0"/>
        <w:jc w:val="both"/>
        <w:rPr>
          <w:sz w:val="20"/>
          <w:szCs w:val="20"/>
        </w:rPr>
      </w:pPr>
    </w:p>
    <w:p w:rsidR="00B87177" w:rsidRPr="00924A07" w:rsidRDefault="008C1620" w:rsidP="00D5299C">
      <w:pPr>
        <w:pStyle w:val="ListParagraph"/>
        <w:widowControl w:val="0"/>
        <w:numPr>
          <w:ilvl w:val="0"/>
          <w:numId w:val="1"/>
        </w:numPr>
        <w:ind w:hanging="720"/>
        <w:jc w:val="both"/>
        <w:rPr>
          <w:sz w:val="20"/>
          <w:szCs w:val="20"/>
        </w:rPr>
      </w:pPr>
      <w:r w:rsidRPr="008C1620">
        <w:rPr>
          <w:i/>
          <w:sz w:val="20"/>
          <w:szCs w:val="20"/>
        </w:rPr>
        <w:t>Mickey Weig, a.k.a. Matwei Weig, a.k.a. Matvey Weig</w:t>
      </w:r>
      <w:r w:rsidRPr="00924A07">
        <w:rPr>
          <w:i/>
          <w:sz w:val="20"/>
          <w:szCs w:val="20"/>
        </w:rPr>
        <w:t xml:space="preserve"> </w:t>
      </w:r>
      <w:r w:rsidR="00924A07" w:rsidRPr="00924A07">
        <w:rPr>
          <w:i/>
          <w:sz w:val="20"/>
          <w:szCs w:val="20"/>
        </w:rPr>
        <w:t>v. M.B.</w:t>
      </w:r>
      <w:r w:rsidR="00924A07" w:rsidRPr="00B87177">
        <w:rPr>
          <w:sz w:val="20"/>
          <w:szCs w:val="20"/>
        </w:rPr>
        <w:t xml:space="preserve"> </w:t>
      </w:r>
      <w:r w:rsidR="00924A07">
        <w:rPr>
          <w:sz w:val="20"/>
          <w:szCs w:val="20"/>
        </w:rPr>
        <w:t>(Ont.) (Civil) (By </w:t>
      </w:r>
      <w:r w:rsidRPr="00B87177">
        <w:rPr>
          <w:sz w:val="20"/>
          <w:szCs w:val="20"/>
        </w:rPr>
        <w:t>Leave)</w:t>
      </w:r>
      <w:r>
        <w:rPr>
          <w:sz w:val="20"/>
          <w:szCs w:val="20"/>
        </w:rPr>
        <w:t xml:space="preserve"> </w:t>
      </w:r>
      <w:r w:rsidR="00DD7F10" w:rsidRPr="00924A07">
        <w:rPr>
          <w:sz w:val="20"/>
          <w:szCs w:val="20"/>
        </w:rPr>
        <w:t>(34803)</w:t>
      </w:r>
    </w:p>
    <w:p w:rsidR="00B87177" w:rsidRPr="00924A07" w:rsidRDefault="00B87177" w:rsidP="00B87177">
      <w:pPr>
        <w:pStyle w:val="ListParagraph"/>
        <w:widowControl w:val="0"/>
        <w:ind w:left="0"/>
        <w:jc w:val="both"/>
        <w:rPr>
          <w:sz w:val="20"/>
          <w:szCs w:val="20"/>
        </w:rPr>
      </w:pPr>
    </w:p>
    <w:p w:rsidR="00924A07" w:rsidRPr="00924A07" w:rsidRDefault="00924A07">
      <w:pPr>
        <w:rPr>
          <w:sz w:val="20"/>
          <w:szCs w:val="20"/>
        </w:rPr>
      </w:pPr>
    </w:p>
    <w:p w:rsidR="00B87177" w:rsidRPr="00C50A5C" w:rsidRDefault="00B87177" w:rsidP="00B87177">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B87177" w:rsidRDefault="00B87177" w:rsidP="00B87177">
      <w:pPr>
        <w:pStyle w:val="ListParagraph"/>
        <w:widowControl w:val="0"/>
        <w:ind w:left="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B87177" w:rsidRDefault="00B87177" w:rsidP="00B87177">
      <w:pPr>
        <w:pStyle w:val="ListParagraph"/>
        <w:widowControl w:val="0"/>
        <w:ind w:left="0"/>
        <w:rPr>
          <w:sz w:val="20"/>
          <w:szCs w:val="20"/>
          <w:lang w:val="fr-CA"/>
        </w:rPr>
      </w:pPr>
    </w:p>
    <w:p w:rsidR="00B87177" w:rsidRPr="005D0E43" w:rsidRDefault="0035629B" w:rsidP="00D5299C">
      <w:pPr>
        <w:pStyle w:val="ListParagraph"/>
        <w:widowControl w:val="0"/>
        <w:numPr>
          <w:ilvl w:val="0"/>
          <w:numId w:val="1"/>
        </w:numPr>
        <w:ind w:hanging="720"/>
        <w:jc w:val="both"/>
        <w:rPr>
          <w:sz w:val="20"/>
          <w:szCs w:val="20"/>
        </w:rPr>
      </w:pPr>
      <w:r w:rsidRPr="0035629B">
        <w:rPr>
          <w:i/>
          <w:sz w:val="20"/>
          <w:szCs w:val="20"/>
        </w:rPr>
        <w:t>Castonguay Blasting Ltd. v. Her Majesty the Queen in Right of the Province of Ontario as represented by the Minister of the Environment</w:t>
      </w:r>
      <w:r>
        <w:rPr>
          <w:sz w:val="20"/>
          <w:szCs w:val="20"/>
        </w:rPr>
        <w:t xml:space="preserve"> (</w:t>
      </w:r>
      <w:r w:rsidRPr="00B87177">
        <w:rPr>
          <w:sz w:val="20"/>
          <w:szCs w:val="20"/>
        </w:rPr>
        <w:t>Ont.) (Crim</w:t>
      </w:r>
      <w:r>
        <w:rPr>
          <w:sz w:val="20"/>
          <w:szCs w:val="20"/>
        </w:rPr>
        <w:t>.</w:t>
      </w:r>
      <w:r w:rsidRPr="00B87177">
        <w:rPr>
          <w:sz w:val="20"/>
          <w:szCs w:val="20"/>
        </w:rPr>
        <w:t>) (By Leave)</w:t>
      </w:r>
      <w:r>
        <w:rPr>
          <w:sz w:val="20"/>
          <w:szCs w:val="20"/>
        </w:rPr>
        <w:t xml:space="preserve"> </w:t>
      </w:r>
      <w:r w:rsidR="00DD7F10" w:rsidRPr="005D0E43">
        <w:rPr>
          <w:sz w:val="20"/>
          <w:szCs w:val="20"/>
        </w:rPr>
        <w:t>(34</w:t>
      </w:r>
      <w:r>
        <w:rPr>
          <w:sz w:val="20"/>
          <w:szCs w:val="20"/>
        </w:rPr>
        <w:t>816</w:t>
      </w:r>
      <w:r w:rsidR="00DD7F10" w:rsidRPr="005D0E43">
        <w:rPr>
          <w:sz w:val="20"/>
          <w:szCs w:val="20"/>
        </w:rPr>
        <w:t>)</w:t>
      </w:r>
    </w:p>
    <w:p w:rsidR="00B87177" w:rsidRPr="005D0E43" w:rsidRDefault="00B87177" w:rsidP="00B87177">
      <w:pPr>
        <w:pStyle w:val="ListParagraph"/>
        <w:widowControl w:val="0"/>
        <w:ind w:left="0"/>
        <w:jc w:val="both"/>
        <w:rPr>
          <w:sz w:val="20"/>
          <w:szCs w:val="20"/>
        </w:rPr>
      </w:pPr>
    </w:p>
    <w:p w:rsidR="00B87177" w:rsidRPr="005D0E43" w:rsidRDefault="0035629B" w:rsidP="00D5299C">
      <w:pPr>
        <w:pStyle w:val="ListParagraph"/>
        <w:widowControl w:val="0"/>
        <w:numPr>
          <w:ilvl w:val="0"/>
          <w:numId w:val="1"/>
        </w:numPr>
        <w:ind w:hanging="720"/>
        <w:jc w:val="both"/>
        <w:rPr>
          <w:sz w:val="20"/>
          <w:szCs w:val="20"/>
        </w:rPr>
      </w:pPr>
      <w:r w:rsidRPr="0035629B">
        <w:rPr>
          <w:i/>
          <w:sz w:val="20"/>
          <w:szCs w:val="20"/>
        </w:rPr>
        <w:t>Law Society of Saskatchewan v. Sterling Gilbert McLean</w:t>
      </w:r>
      <w:r w:rsidRPr="00B87177">
        <w:rPr>
          <w:sz w:val="20"/>
          <w:szCs w:val="20"/>
        </w:rPr>
        <w:t xml:space="preserve"> (Sask.) (Civil) (By Leave)</w:t>
      </w:r>
      <w:r>
        <w:rPr>
          <w:sz w:val="20"/>
          <w:szCs w:val="20"/>
        </w:rPr>
        <w:t xml:space="preserve"> </w:t>
      </w:r>
      <w:r w:rsidR="00DD7F10" w:rsidRPr="005D0E43">
        <w:rPr>
          <w:sz w:val="20"/>
          <w:szCs w:val="20"/>
        </w:rPr>
        <w:t>(34</w:t>
      </w:r>
      <w:r>
        <w:rPr>
          <w:sz w:val="20"/>
          <w:szCs w:val="20"/>
        </w:rPr>
        <w:t>735</w:t>
      </w:r>
      <w:r w:rsidR="00DD7F10" w:rsidRPr="005D0E43">
        <w:rPr>
          <w:sz w:val="20"/>
          <w:szCs w:val="20"/>
        </w:rPr>
        <w:t>)</w:t>
      </w:r>
    </w:p>
    <w:p w:rsidR="00B87177" w:rsidRPr="005D0E43" w:rsidRDefault="00B87177" w:rsidP="00B87177">
      <w:pPr>
        <w:pStyle w:val="ListParagraph"/>
        <w:widowControl w:val="0"/>
        <w:ind w:left="0"/>
        <w:jc w:val="both"/>
        <w:rPr>
          <w:sz w:val="20"/>
          <w:szCs w:val="20"/>
        </w:rPr>
      </w:pPr>
    </w:p>
    <w:p w:rsidR="00B87177" w:rsidRPr="0035629B" w:rsidRDefault="0035629B" w:rsidP="00D5299C">
      <w:pPr>
        <w:pStyle w:val="ListParagraph"/>
        <w:widowControl w:val="0"/>
        <w:numPr>
          <w:ilvl w:val="0"/>
          <w:numId w:val="1"/>
        </w:numPr>
        <w:ind w:hanging="720"/>
        <w:jc w:val="both"/>
        <w:rPr>
          <w:sz w:val="20"/>
          <w:szCs w:val="20"/>
          <w:lang w:val="fr-CA"/>
        </w:rPr>
      </w:pPr>
      <w:r w:rsidRPr="0035629B">
        <w:rPr>
          <w:i/>
          <w:sz w:val="20"/>
          <w:szCs w:val="20"/>
          <w:lang w:val="fr-CA"/>
        </w:rPr>
        <w:t>Nicole (Nora) Hérold c. Banque de Nouvelle-Écosse</w:t>
      </w:r>
      <w:r w:rsidRPr="00B87177">
        <w:rPr>
          <w:sz w:val="20"/>
          <w:szCs w:val="20"/>
          <w:lang w:val="fr-CA"/>
        </w:rPr>
        <w:t xml:space="preserve"> (Ont.) (Civile) (Autorisation)</w:t>
      </w:r>
      <w:r w:rsidRPr="0035629B">
        <w:rPr>
          <w:sz w:val="20"/>
          <w:szCs w:val="20"/>
          <w:lang w:val="fr-CA"/>
        </w:rPr>
        <w:t xml:space="preserve"> </w:t>
      </w:r>
      <w:r w:rsidR="00DD7F10" w:rsidRPr="0035629B">
        <w:rPr>
          <w:sz w:val="20"/>
          <w:szCs w:val="20"/>
          <w:lang w:val="fr-CA"/>
        </w:rPr>
        <w:t>(34</w:t>
      </w:r>
      <w:r w:rsidRPr="0035629B">
        <w:rPr>
          <w:sz w:val="20"/>
          <w:szCs w:val="20"/>
          <w:lang w:val="fr-CA"/>
        </w:rPr>
        <w:t>787</w:t>
      </w:r>
      <w:r w:rsidR="00DD7F10" w:rsidRPr="0035629B">
        <w:rPr>
          <w:sz w:val="20"/>
          <w:szCs w:val="20"/>
          <w:lang w:val="fr-CA"/>
        </w:rPr>
        <w:t>)</w:t>
      </w:r>
    </w:p>
    <w:p w:rsidR="00B87177" w:rsidRPr="0035629B" w:rsidRDefault="00B87177" w:rsidP="00B87177">
      <w:pPr>
        <w:pStyle w:val="ListParagraph"/>
        <w:widowControl w:val="0"/>
        <w:ind w:left="0"/>
        <w:jc w:val="both"/>
        <w:rPr>
          <w:sz w:val="20"/>
          <w:szCs w:val="20"/>
          <w:lang w:val="fr-CA"/>
        </w:rPr>
      </w:pPr>
    </w:p>
    <w:p w:rsidR="00B87177" w:rsidRPr="00476EB0" w:rsidRDefault="0035629B" w:rsidP="00D5299C">
      <w:pPr>
        <w:pStyle w:val="ListParagraph"/>
        <w:widowControl w:val="0"/>
        <w:numPr>
          <w:ilvl w:val="0"/>
          <w:numId w:val="1"/>
        </w:numPr>
        <w:ind w:hanging="720"/>
        <w:jc w:val="both"/>
        <w:rPr>
          <w:sz w:val="20"/>
          <w:szCs w:val="20"/>
          <w:lang w:val="fr-CA"/>
        </w:rPr>
      </w:pPr>
      <w:r w:rsidRPr="0035629B">
        <w:rPr>
          <w:i/>
          <w:sz w:val="20"/>
          <w:szCs w:val="20"/>
          <w:lang w:val="fr-CA"/>
        </w:rPr>
        <w:t>George Ghanotakis c. Imprimerie Régionale ARL Ltée et a</w:t>
      </w:r>
      <w:r w:rsidR="00205DB9">
        <w:rPr>
          <w:i/>
          <w:sz w:val="20"/>
          <w:szCs w:val="20"/>
          <w:lang w:val="fr-CA"/>
        </w:rPr>
        <w:t>utre</w:t>
      </w:r>
      <w:r w:rsidRPr="00B87177">
        <w:rPr>
          <w:sz w:val="20"/>
          <w:szCs w:val="20"/>
          <w:lang w:val="fr-CA"/>
        </w:rPr>
        <w:t xml:space="preserve"> (Qc) (Civile) (Autorisation)</w:t>
      </w:r>
      <w:r w:rsidRPr="00476EB0">
        <w:rPr>
          <w:sz w:val="20"/>
          <w:szCs w:val="20"/>
          <w:lang w:val="fr-CA"/>
        </w:rPr>
        <w:t xml:space="preserve"> </w:t>
      </w:r>
      <w:r w:rsidR="00DD7F10" w:rsidRPr="00476EB0">
        <w:rPr>
          <w:sz w:val="20"/>
          <w:szCs w:val="20"/>
          <w:lang w:val="fr-CA"/>
        </w:rPr>
        <w:t>(34</w:t>
      </w:r>
      <w:r w:rsidRPr="00476EB0">
        <w:rPr>
          <w:sz w:val="20"/>
          <w:szCs w:val="20"/>
          <w:lang w:val="fr-CA"/>
        </w:rPr>
        <w:t>804</w:t>
      </w:r>
      <w:r w:rsidR="00DD7F10" w:rsidRPr="00476EB0">
        <w:rPr>
          <w:sz w:val="20"/>
          <w:szCs w:val="20"/>
          <w:lang w:val="fr-CA"/>
        </w:rPr>
        <w:t>)</w:t>
      </w:r>
    </w:p>
    <w:p w:rsidR="00B87177" w:rsidRPr="00476EB0" w:rsidRDefault="00B87177" w:rsidP="00B87177">
      <w:pPr>
        <w:pStyle w:val="ListParagraph"/>
        <w:widowControl w:val="0"/>
        <w:ind w:left="0"/>
        <w:jc w:val="both"/>
        <w:rPr>
          <w:sz w:val="20"/>
          <w:szCs w:val="20"/>
          <w:lang w:val="fr-CA"/>
        </w:rPr>
      </w:pPr>
    </w:p>
    <w:p w:rsidR="00B87177" w:rsidRPr="005D0E43" w:rsidRDefault="0035629B" w:rsidP="00D5299C">
      <w:pPr>
        <w:pStyle w:val="ListParagraph"/>
        <w:widowControl w:val="0"/>
        <w:numPr>
          <w:ilvl w:val="0"/>
          <w:numId w:val="1"/>
        </w:numPr>
        <w:ind w:hanging="720"/>
        <w:jc w:val="both"/>
        <w:rPr>
          <w:sz w:val="20"/>
          <w:szCs w:val="20"/>
        </w:rPr>
      </w:pPr>
      <w:r w:rsidRPr="0035629B">
        <w:rPr>
          <w:i/>
          <w:sz w:val="20"/>
          <w:szCs w:val="20"/>
        </w:rPr>
        <w:t>Jerry H. Beaton v. Scott Burns and Burnco Rock Products Ltd. et al.</w:t>
      </w:r>
      <w:r w:rsidRPr="00B87177">
        <w:rPr>
          <w:sz w:val="20"/>
          <w:szCs w:val="20"/>
        </w:rPr>
        <w:t xml:space="preserve"> (Alta.) (Civil) (By Leave)</w:t>
      </w:r>
      <w:r>
        <w:rPr>
          <w:sz w:val="20"/>
          <w:szCs w:val="20"/>
        </w:rPr>
        <w:t xml:space="preserve"> </w:t>
      </w:r>
      <w:r w:rsidR="00DD7F10" w:rsidRPr="005D0E43">
        <w:rPr>
          <w:sz w:val="20"/>
          <w:szCs w:val="20"/>
        </w:rPr>
        <w:t>(34</w:t>
      </w:r>
      <w:r>
        <w:rPr>
          <w:sz w:val="20"/>
          <w:szCs w:val="20"/>
        </w:rPr>
        <w:t>784</w:t>
      </w:r>
      <w:r w:rsidR="00DD7F10" w:rsidRPr="005D0E43">
        <w:rPr>
          <w:sz w:val="20"/>
          <w:szCs w:val="20"/>
        </w:rPr>
        <w:t>)</w:t>
      </w:r>
    </w:p>
    <w:p w:rsidR="00B87177" w:rsidRPr="005D0E43" w:rsidRDefault="00B87177" w:rsidP="00B87177">
      <w:pPr>
        <w:pStyle w:val="ListParagraph"/>
        <w:widowControl w:val="0"/>
        <w:ind w:left="0"/>
        <w:jc w:val="both"/>
        <w:rPr>
          <w:sz w:val="20"/>
          <w:szCs w:val="20"/>
        </w:rPr>
      </w:pPr>
    </w:p>
    <w:p w:rsidR="00B87177" w:rsidRPr="0035629B" w:rsidRDefault="0035629B" w:rsidP="00D5299C">
      <w:pPr>
        <w:pStyle w:val="ListParagraph"/>
        <w:widowControl w:val="0"/>
        <w:numPr>
          <w:ilvl w:val="0"/>
          <w:numId w:val="1"/>
        </w:numPr>
        <w:ind w:hanging="720"/>
        <w:jc w:val="both"/>
        <w:rPr>
          <w:sz w:val="20"/>
          <w:szCs w:val="20"/>
          <w:lang w:val="fr-CA"/>
        </w:rPr>
      </w:pPr>
      <w:r w:rsidRPr="0035629B">
        <w:rPr>
          <w:i/>
          <w:sz w:val="20"/>
          <w:szCs w:val="20"/>
          <w:lang w:val="fr-CA"/>
        </w:rPr>
        <w:t>Robert Gravel c. Telus Communications Inc.</w:t>
      </w:r>
      <w:r w:rsidRPr="0035629B">
        <w:rPr>
          <w:sz w:val="20"/>
          <w:szCs w:val="20"/>
          <w:lang w:val="fr-CA"/>
        </w:rPr>
        <w:t xml:space="preserve"> (C.F.) </w:t>
      </w:r>
      <w:r w:rsidRPr="005D0E43">
        <w:rPr>
          <w:sz w:val="20"/>
          <w:szCs w:val="20"/>
          <w:lang w:val="fr-CA"/>
        </w:rPr>
        <w:t xml:space="preserve">(Civile) (Autorisation) </w:t>
      </w:r>
      <w:r w:rsidR="00DD7F10" w:rsidRPr="0035629B">
        <w:rPr>
          <w:sz w:val="20"/>
          <w:szCs w:val="20"/>
          <w:lang w:val="fr-CA"/>
        </w:rPr>
        <w:t>(34</w:t>
      </w:r>
      <w:r w:rsidRPr="0035629B">
        <w:rPr>
          <w:sz w:val="20"/>
          <w:szCs w:val="20"/>
          <w:lang w:val="fr-CA"/>
        </w:rPr>
        <w:t>765</w:t>
      </w:r>
      <w:r w:rsidR="00DD7F10" w:rsidRPr="0035629B">
        <w:rPr>
          <w:sz w:val="20"/>
          <w:szCs w:val="20"/>
          <w:lang w:val="fr-CA"/>
        </w:rPr>
        <w:t>)</w:t>
      </w:r>
    </w:p>
    <w:p w:rsidR="00B87177" w:rsidRPr="0035629B" w:rsidRDefault="00B87177" w:rsidP="00B87177">
      <w:pPr>
        <w:pStyle w:val="ListParagraph"/>
        <w:widowControl w:val="0"/>
        <w:ind w:left="0"/>
        <w:jc w:val="both"/>
        <w:rPr>
          <w:sz w:val="20"/>
          <w:szCs w:val="20"/>
          <w:lang w:val="fr-CA"/>
        </w:rPr>
      </w:pPr>
    </w:p>
    <w:p w:rsidR="00B87177" w:rsidRPr="005D0E43" w:rsidRDefault="0035629B" w:rsidP="00D5299C">
      <w:pPr>
        <w:pStyle w:val="ListParagraph"/>
        <w:widowControl w:val="0"/>
        <w:numPr>
          <w:ilvl w:val="0"/>
          <w:numId w:val="1"/>
        </w:numPr>
        <w:ind w:hanging="720"/>
        <w:jc w:val="both"/>
        <w:rPr>
          <w:sz w:val="20"/>
          <w:szCs w:val="20"/>
        </w:rPr>
      </w:pPr>
      <w:r w:rsidRPr="0035629B">
        <w:rPr>
          <w:i/>
          <w:sz w:val="20"/>
          <w:szCs w:val="20"/>
        </w:rPr>
        <w:t>Real Life Homes &amp; Investments Ltd. et al. v. Wert Homes and Investments Ltd. et al.</w:t>
      </w:r>
      <w:r w:rsidRPr="005D0E43">
        <w:rPr>
          <w:sz w:val="20"/>
          <w:szCs w:val="20"/>
        </w:rPr>
        <w:t xml:space="preserve"> </w:t>
      </w:r>
      <w:r w:rsidRPr="0035629B">
        <w:rPr>
          <w:sz w:val="20"/>
          <w:szCs w:val="20"/>
          <w:lang w:val="fr-CA"/>
        </w:rPr>
        <w:t xml:space="preserve">(Alta.) </w:t>
      </w:r>
      <w:r w:rsidRPr="0035629B">
        <w:rPr>
          <w:sz w:val="20"/>
          <w:szCs w:val="20"/>
        </w:rPr>
        <w:t xml:space="preserve">(Civil) (By Leave) </w:t>
      </w:r>
      <w:r w:rsidR="00DD7F10" w:rsidRPr="005D0E43">
        <w:rPr>
          <w:sz w:val="20"/>
          <w:szCs w:val="20"/>
        </w:rPr>
        <w:t>(34</w:t>
      </w:r>
      <w:r>
        <w:rPr>
          <w:sz w:val="20"/>
          <w:szCs w:val="20"/>
        </w:rPr>
        <w:t>808</w:t>
      </w:r>
      <w:r w:rsidR="00DD7F10" w:rsidRPr="005D0E43">
        <w:rPr>
          <w:sz w:val="20"/>
          <w:szCs w:val="20"/>
        </w:rPr>
        <w:t>)</w:t>
      </w:r>
    </w:p>
    <w:p w:rsidR="00B87177" w:rsidRPr="005D0E43" w:rsidRDefault="00B87177" w:rsidP="00B87177">
      <w:pPr>
        <w:pStyle w:val="ListParagraph"/>
        <w:widowControl w:val="0"/>
        <w:ind w:left="0"/>
        <w:jc w:val="both"/>
        <w:rPr>
          <w:sz w:val="20"/>
          <w:szCs w:val="20"/>
        </w:rPr>
      </w:pPr>
    </w:p>
    <w:p w:rsidR="00D5299C" w:rsidRPr="00C50A5C" w:rsidRDefault="00B62B14" w:rsidP="00D5299C">
      <w:pPr>
        <w:widowControl w:val="0"/>
        <w:rPr>
          <w:sz w:val="20"/>
          <w:szCs w:val="20"/>
        </w:rPr>
      </w:pPr>
      <w:r w:rsidRPr="00B62B14">
        <w:rPr>
          <w:sz w:val="20"/>
          <w:szCs w:val="20"/>
        </w:rPr>
        <w:pict>
          <v:rect id="_x0000_i1037" style="width:2in;height:1pt" o:hrpct="0" o:hralign="center" o:hrstd="t" o:hrnoshade="t" o:hr="t" fillcolor="black [3213]" stroked="f"/>
        </w:pict>
      </w:r>
    </w:p>
    <w:p w:rsidR="002E2327" w:rsidRDefault="002E2327" w:rsidP="002E2327">
      <w:pPr>
        <w:widowControl w:val="0"/>
        <w:rPr>
          <w:sz w:val="20"/>
          <w:szCs w:val="20"/>
        </w:rPr>
      </w:pPr>
    </w:p>
    <w:p w:rsidR="00B87177" w:rsidRPr="0035629B" w:rsidRDefault="00B87177" w:rsidP="002E2327">
      <w:pPr>
        <w:widowControl w:val="0"/>
        <w:rPr>
          <w:sz w:val="20"/>
          <w:szCs w:val="20"/>
        </w:rPr>
      </w:pPr>
    </w:p>
    <w:p w:rsidR="00B87177" w:rsidRPr="0035629B" w:rsidRDefault="00B87177" w:rsidP="002E2327">
      <w:pPr>
        <w:widowControl w:val="0"/>
        <w:rPr>
          <w:sz w:val="20"/>
          <w:szCs w:val="20"/>
        </w:rPr>
      </w:pPr>
    </w:p>
    <w:p w:rsidR="0044776A" w:rsidRPr="0035629B" w:rsidRDefault="0044776A" w:rsidP="002E2327">
      <w:pPr>
        <w:widowControl w:val="0"/>
        <w:spacing w:line="0" w:lineRule="atLeast"/>
        <w:rPr>
          <w:sz w:val="20"/>
          <w:szCs w:val="20"/>
        </w:rPr>
        <w:sectPr w:rsidR="0044776A" w:rsidRPr="0035629B"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835818" w:rsidTr="00ED7E83">
        <w:tc>
          <w:tcPr>
            <w:tcW w:w="4200" w:type="dxa"/>
            <w:tcMar>
              <w:left w:w="0" w:type="dxa"/>
              <w:right w:w="0" w:type="dxa"/>
            </w:tcMar>
          </w:tcPr>
          <w:p w:rsidR="008D292F" w:rsidRPr="00EE3FD6" w:rsidRDefault="008D292F" w:rsidP="00ED7E83">
            <w:pPr>
              <w:keepNext/>
              <w:keepLines/>
              <w:jc w:val="both"/>
              <w:rPr>
                <w:b/>
                <w:szCs w:val="24"/>
              </w:rPr>
            </w:pPr>
            <w:bookmarkStart w:id="0" w:name="QuickMark_1"/>
            <w:bookmarkEnd w:id="0"/>
            <w:r w:rsidRPr="00EE3FD6">
              <w:rPr>
                <w:b/>
                <w:szCs w:val="24"/>
              </w:rPr>
              <w:lastRenderedPageBreak/>
              <w:t>JUDGMENTS ON APPLICATIONS</w:t>
            </w:r>
          </w:p>
          <w:p w:rsidR="008D292F" w:rsidRPr="00EE3FD6" w:rsidRDefault="008D292F" w:rsidP="00ED7E83">
            <w:pPr>
              <w:keepNext/>
              <w:keepLines/>
              <w:jc w:val="both"/>
              <w:rPr>
                <w:b/>
                <w:szCs w:val="24"/>
              </w:rPr>
            </w:pPr>
            <w:r w:rsidRPr="00EE3FD6">
              <w:rPr>
                <w:b/>
                <w:szCs w:val="24"/>
              </w:rPr>
              <w:t>FOR LEAVE</w:t>
            </w:r>
          </w:p>
        </w:tc>
        <w:tc>
          <w:tcPr>
            <w:tcW w:w="1200" w:type="dxa"/>
            <w:tcMar>
              <w:left w:w="0" w:type="dxa"/>
              <w:right w:w="0" w:type="dxa"/>
            </w:tcMar>
          </w:tcPr>
          <w:p w:rsidR="008D292F" w:rsidRPr="00EE3FD6" w:rsidRDefault="008D292F" w:rsidP="008D292F">
            <w:pPr>
              <w:keepNext/>
              <w:keepLines/>
              <w:jc w:val="center"/>
              <w:rPr>
                <w:b/>
                <w:szCs w:val="24"/>
              </w:rPr>
            </w:pPr>
          </w:p>
          <w:p w:rsidR="008D292F" w:rsidRPr="00EE3FD6" w:rsidRDefault="008D292F" w:rsidP="008D292F">
            <w:pPr>
              <w:keepNext/>
              <w:keepLines/>
              <w:jc w:val="center"/>
              <w:rPr>
                <w:b/>
                <w:szCs w:val="24"/>
              </w:rPr>
            </w:pPr>
          </w:p>
          <w:p w:rsidR="008D292F" w:rsidRPr="00EE3FD6"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3638D2" w:rsidRPr="0035629B" w:rsidRDefault="003638D2" w:rsidP="003638D2">
      <w:pPr>
        <w:rPr>
          <w:b/>
          <w:sz w:val="20"/>
          <w:szCs w:val="20"/>
          <w:lang w:val="fr-CA"/>
        </w:rPr>
      </w:pPr>
      <w:r w:rsidRPr="0035629B">
        <w:rPr>
          <w:b/>
          <w:sz w:val="20"/>
          <w:szCs w:val="20"/>
          <w:lang w:val="fr-CA"/>
        </w:rPr>
        <w:t>JULY 26, 2012 / LE 26 JUILLET 2012</w:t>
      </w:r>
    </w:p>
    <w:p w:rsidR="003638D2" w:rsidRPr="0035629B" w:rsidRDefault="003638D2" w:rsidP="003638D2">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E697B" w:rsidRPr="00722CAA" w:rsidTr="00CE697B">
        <w:trPr>
          <w:cantSplit/>
        </w:trPr>
        <w:tc>
          <w:tcPr>
            <w:tcW w:w="1458" w:type="dxa"/>
          </w:tcPr>
          <w:p w:rsidR="00CE697B" w:rsidRPr="00722CAA" w:rsidRDefault="00CE697B" w:rsidP="00CE697B">
            <w:pPr>
              <w:rPr>
                <w:sz w:val="20"/>
                <w:szCs w:val="20"/>
              </w:rPr>
            </w:pPr>
            <w:r w:rsidRPr="00722CAA">
              <w:rPr>
                <w:rStyle w:val="SCCFileNumberChar"/>
                <w:sz w:val="20"/>
                <w:szCs w:val="20"/>
              </w:rPr>
              <w:t>34685</w:t>
            </w:r>
          </w:p>
          <w:p w:rsidR="00CE697B" w:rsidRPr="00722CAA" w:rsidRDefault="00CE697B" w:rsidP="00CE697B">
            <w:pPr>
              <w:rPr>
                <w:b/>
                <w:sz w:val="20"/>
                <w:szCs w:val="20"/>
                <w:lang w:val="fr-CA"/>
              </w:rPr>
            </w:pPr>
          </w:p>
        </w:tc>
        <w:tc>
          <w:tcPr>
            <w:tcW w:w="8118" w:type="dxa"/>
          </w:tcPr>
          <w:p w:rsidR="00CE697B" w:rsidRPr="00722CAA" w:rsidRDefault="00CE697B" w:rsidP="00CE697B">
            <w:pPr>
              <w:rPr>
                <w:sz w:val="20"/>
                <w:szCs w:val="20"/>
              </w:rPr>
            </w:pPr>
            <w:r w:rsidRPr="00722CAA">
              <w:rPr>
                <w:rStyle w:val="SCCLsocChar"/>
                <w:sz w:val="20"/>
                <w:szCs w:val="20"/>
                <w:lang w:val="en-CA"/>
              </w:rPr>
              <w:t>Edward Lac v. Her Majesty the Queen</w:t>
            </w:r>
            <w:r w:rsidRPr="00722CAA">
              <w:rPr>
                <w:sz w:val="20"/>
                <w:szCs w:val="20"/>
              </w:rPr>
              <w:t xml:space="preserve"> (B.C.) (Criminal) (By Leave)</w:t>
            </w:r>
          </w:p>
          <w:p w:rsidR="00CE697B" w:rsidRPr="00722CAA" w:rsidRDefault="00CE697B" w:rsidP="00CE697B">
            <w:pPr>
              <w:rPr>
                <w:sz w:val="20"/>
                <w:szCs w:val="20"/>
              </w:rPr>
            </w:pPr>
          </w:p>
        </w:tc>
      </w:tr>
      <w:tr w:rsidR="00CE697B" w:rsidRPr="00722CAA" w:rsidTr="00CE697B">
        <w:trPr>
          <w:cantSplit/>
        </w:trPr>
        <w:tc>
          <w:tcPr>
            <w:tcW w:w="1458" w:type="dxa"/>
          </w:tcPr>
          <w:p w:rsidR="00CE697B" w:rsidRPr="00722CAA" w:rsidRDefault="00CE697B" w:rsidP="00CE697B">
            <w:pPr>
              <w:rPr>
                <w:sz w:val="20"/>
                <w:szCs w:val="20"/>
              </w:rPr>
            </w:pPr>
            <w:r w:rsidRPr="00722CAA">
              <w:rPr>
                <w:sz w:val="20"/>
                <w:szCs w:val="20"/>
              </w:rPr>
              <w:t>Coram :</w:t>
            </w:r>
          </w:p>
        </w:tc>
        <w:tc>
          <w:tcPr>
            <w:tcW w:w="8118" w:type="dxa"/>
          </w:tcPr>
          <w:p w:rsidR="00CE697B" w:rsidRPr="00722CAA" w:rsidRDefault="00CE697B" w:rsidP="00CE697B">
            <w:pPr>
              <w:rPr>
                <w:sz w:val="20"/>
                <w:szCs w:val="20"/>
              </w:rPr>
            </w:pPr>
            <w:r w:rsidRPr="00722CAA">
              <w:rPr>
                <w:rStyle w:val="SCCCoramChar"/>
                <w:sz w:val="20"/>
                <w:szCs w:val="20"/>
                <w:lang w:val="en-CA"/>
              </w:rPr>
              <w:t>McLachlin C.J. and Rothstein and Moldaver JJ.</w:t>
            </w:r>
          </w:p>
          <w:p w:rsidR="00CE697B" w:rsidRPr="00722CAA" w:rsidRDefault="00CE697B" w:rsidP="00CE697B">
            <w:pPr>
              <w:rPr>
                <w:sz w:val="20"/>
                <w:szCs w:val="20"/>
                <w:u w:val="single"/>
              </w:rPr>
            </w:pPr>
          </w:p>
        </w:tc>
      </w:tr>
      <w:tr w:rsidR="00CE697B" w:rsidRPr="00835818" w:rsidTr="00CE697B">
        <w:trPr>
          <w:cantSplit/>
        </w:trPr>
        <w:tc>
          <w:tcPr>
            <w:tcW w:w="9576" w:type="dxa"/>
            <w:gridSpan w:val="2"/>
          </w:tcPr>
          <w:p w:rsidR="00CE697B" w:rsidRPr="00722CAA" w:rsidRDefault="00CE697B" w:rsidP="00CE697B">
            <w:pPr>
              <w:pStyle w:val="SCCShortJudgment"/>
              <w:rPr>
                <w:szCs w:val="20"/>
              </w:rPr>
            </w:pPr>
            <w:r w:rsidRPr="00722CAA">
              <w:rPr>
                <w:szCs w:val="20"/>
              </w:rPr>
              <w:t>The motion to adduce new evidence is dismissed.  The application for leave to appeal from the judgment of the Court of Appeal for British Columbia (Vancouver), Number CA038576, 2011 BCCA 533, dated December 28, 2011, is dismissed without costs.</w:t>
            </w:r>
          </w:p>
          <w:p w:rsidR="00CE697B" w:rsidRPr="00722CAA" w:rsidRDefault="00CE697B" w:rsidP="00CE697B">
            <w:pPr>
              <w:pStyle w:val="SCCShortJudgment"/>
              <w:ind w:firstLine="0"/>
              <w:rPr>
                <w:szCs w:val="20"/>
              </w:rPr>
            </w:pPr>
          </w:p>
          <w:p w:rsidR="00CE697B" w:rsidRPr="00722CAA" w:rsidRDefault="00CE697B" w:rsidP="00CE697B">
            <w:pPr>
              <w:pStyle w:val="SCCShortJudgment"/>
              <w:rPr>
                <w:szCs w:val="20"/>
                <w:lang w:val="fr-CA"/>
              </w:rPr>
            </w:pPr>
            <w:r w:rsidRPr="00722CAA">
              <w:rPr>
                <w:szCs w:val="20"/>
                <w:lang w:val="fr-CA"/>
              </w:rPr>
              <w:t>La requête pour déposer de nouveaux éléments de preuve est rejetée.  La demande d’autorisation d’appel de l’arrêt de la Cour d’appel de la Colombie-Britannique (Vancouver), numéro CA038576, 2011 BCCA 533, daté du 28 décembre 2011, est rejetée sans dépens.</w:t>
            </w:r>
          </w:p>
        </w:tc>
      </w:tr>
    </w:tbl>
    <w:p w:rsidR="003638D2" w:rsidRPr="00CE697B" w:rsidRDefault="003638D2" w:rsidP="003638D2">
      <w:pPr>
        <w:rPr>
          <w:sz w:val="20"/>
          <w:szCs w:val="20"/>
          <w:lang w:val="fr-CA"/>
        </w:rPr>
      </w:pPr>
    </w:p>
    <w:p w:rsidR="003638D2" w:rsidRPr="001B157C" w:rsidRDefault="003638D2" w:rsidP="003638D2">
      <w:pPr>
        <w:rPr>
          <w:sz w:val="20"/>
          <w:szCs w:val="20"/>
          <w:u w:val="single"/>
        </w:rPr>
      </w:pPr>
      <w:r w:rsidRPr="001B157C">
        <w:rPr>
          <w:sz w:val="20"/>
          <w:szCs w:val="20"/>
          <w:u w:val="single"/>
        </w:rPr>
        <w:t>CASE SUMMARY</w:t>
      </w:r>
    </w:p>
    <w:p w:rsidR="003638D2" w:rsidRDefault="003638D2" w:rsidP="003638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38D2" w:rsidRPr="005E0DD9" w:rsidTr="002244A0">
        <w:tc>
          <w:tcPr>
            <w:tcW w:w="5000" w:type="pct"/>
            <w:gridSpan w:val="3"/>
          </w:tcPr>
          <w:p w:rsidR="003638D2" w:rsidRPr="005E0DD9" w:rsidRDefault="003638D2" w:rsidP="002244A0">
            <w:pPr>
              <w:jc w:val="both"/>
              <w:rPr>
                <w:rFonts w:eastAsia="Calibri"/>
                <w:sz w:val="20"/>
              </w:rPr>
            </w:pPr>
            <w:r w:rsidRPr="005E0DD9">
              <w:rPr>
                <w:rFonts w:eastAsia="Calibri"/>
                <w:i/>
                <w:sz w:val="20"/>
              </w:rPr>
              <w:t xml:space="preserve">Canadian Charter of Rights and Freedoms </w:t>
            </w:r>
            <w:r w:rsidRPr="005E0DD9">
              <w:rPr>
                <w:rFonts w:eastAsia="Calibri"/>
                <w:sz w:val="20"/>
              </w:rPr>
              <w:t xml:space="preserve">– Right to full disclosure – Right to reasonable bail – Right to be instructed and informed of right to counsel – Competency of counsel – Right to trial within a reasonable amount of time – Whether police committed wilful and </w:t>
            </w:r>
            <w:r w:rsidRPr="00EE3FD6">
              <w:rPr>
                <w:rFonts w:eastAsia="Calibri"/>
                <w:sz w:val="20"/>
              </w:rPr>
              <w:t>flagrant</w:t>
            </w:r>
            <w:r w:rsidRPr="005E0DD9">
              <w:rPr>
                <w:rFonts w:eastAsia="Calibri"/>
                <w:sz w:val="20"/>
              </w:rPr>
              <w:t xml:space="preserve"> misconduct or  unlawful actions – </w:t>
            </w:r>
            <w:r w:rsidRPr="00EE3FD6">
              <w:rPr>
                <w:rFonts w:eastAsia="Calibri"/>
                <w:sz w:val="20"/>
              </w:rPr>
              <w:t>Arbitrary</w:t>
            </w:r>
            <w:r w:rsidRPr="005E0DD9">
              <w:rPr>
                <w:rFonts w:eastAsia="Calibri"/>
                <w:sz w:val="20"/>
              </w:rPr>
              <w:t xml:space="preserve"> detention and imprisonment – Right to be presumed innocent – Whether a wrongful conviction or a miscarriage of justice resulted from ineffective assistance of trial counsel – Whether Crown counsel engaged in abuse of process or misconduct – Whether there was unreasonable delay – Whether the Court of Appeal erred in law or on a question of law  -- Whether the applicant was precluded from participating and testifying in court –– Whether misdirection from the court resulted in unfair trial – Whether failure to admit fresh evidence resulted in trial unfairness – Whether Court of Appeal was biased – Whether fresh evidence should be admitted.</w:t>
            </w:r>
          </w:p>
        </w:tc>
      </w:tr>
      <w:tr w:rsidR="003638D2" w:rsidRPr="005E0DD9" w:rsidTr="002244A0">
        <w:tc>
          <w:tcPr>
            <w:tcW w:w="5000" w:type="pct"/>
            <w:gridSpan w:val="3"/>
          </w:tcPr>
          <w:p w:rsidR="003638D2" w:rsidRPr="005E0DD9" w:rsidRDefault="003638D2" w:rsidP="002244A0">
            <w:pPr>
              <w:jc w:val="both"/>
              <w:rPr>
                <w:rFonts w:eastAsia="Calibri"/>
                <w:sz w:val="20"/>
              </w:rPr>
            </w:pPr>
          </w:p>
        </w:tc>
      </w:tr>
      <w:tr w:rsidR="003638D2" w:rsidRPr="005E0DD9" w:rsidTr="002244A0">
        <w:tc>
          <w:tcPr>
            <w:tcW w:w="5000" w:type="pct"/>
            <w:gridSpan w:val="3"/>
          </w:tcPr>
          <w:p w:rsidR="003638D2" w:rsidRPr="005E0DD9" w:rsidRDefault="003638D2" w:rsidP="002244A0">
            <w:pPr>
              <w:jc w:val="both"/>
              <w:rPr>
                <w:rFonts w:eastAsia="Calibri"/>
                <w:sz w:val="20"/>
              </w:rPr>
            </w:pPr>
            <w:r w:rsidRPr="005E0DD9">
              <w:rPr>
                <w:rFonts w:eastAsia="Calibri"/>
                <w:sz w:val="20"/>
              </w:rPr>
              <w:t>A father and daughter testified that they were attacked by the applicant after they posted comments on Craigslist about a bad experience with him when attempting to buy tires.  They testified that the applicant forcibly entered their home armed with a bat and threatened to harm them if they did not remove their comments.  The father chased the applicant out of their home.  The applicant then struck the father across the forearm with his bat, causing a laceration requiring six stitches.  He struck the daughter across the side of the head with his bat, causing potentially life-threatening injuries that required emergency surgery.  The applicant was convicted of break-and-enter with intent to commit extortion, assault with a weapon, and aggravated assault.  On appeal, the applicant applied to admit fresh evidence to show that his trial counsel was ineffective, to prove an alibi, and to show that a miscarriage of justice had resulted.  The Court of Appeal denied the application to admit fresh evidence and dismissed the appeal from the convictions.</w:t>
            </w:r>
          </w:p>
          <w:p w:rsidR="003638D2" w:rsidRPr="005E0DD9" w:rsidRDefault="003638D2" w:rsidP="002244A0">
            <w:pPr>
              <w:jc w:val="both"/>
              <w:rPr>
                <w:rFonts w:eastAsia="Calibri"/>
                <w:sz w:val="20"/>
              </w:rPr>
            </w:pPr>
          </w:p>
        </w:tc>
      </w:tr>
      <w:tr w:rsidR="003638D2" w:rsidRPr="005E0DD9" w:rsidTr="002244A0">
        <w:tc>
          <w:tcPr>
            <w:tcW w:w="2427" w:type="pct"/>
          </w:tcPr>
          <w:p w:rsidR="003638D2" w:rsidRPr="005E0DD9" w:rsidRDefault="003638D2" w:rsidP="002244A0">
            <w:pPr>
              <w:jc w:val="both"/>
              <w:rPr>
                <w:rFonts w:eastAsia="Calibri"/>
                <w:sz w:val="20"/>
              </w:rPr>
            </w:pPr>
            <w:r w:rsidRPr="005E0DD9">
              <w:rPr>
                <w:rFonts w:eastAsia="Calibri"/>
                <w:sz w:val="20"/>
              </w:rPr>
              <w:t>May 28, 2010</w:t>
            </w:r>
          </w:p>
          <w:p w:rsidR="003638D2" w:rsidRPr="005E0DD9" w:rsidRDefault="003638D2" w:rsidP="002244A0">
            <w:pPr>
              <w:jc w:val="both"/>
              <w:rPr>
                <w:rFonts w:eastAsia="Calibri"/>
                <w:sz w:val="20"/>
              </w:rPr>
            </w:pPr>
            <w:r w:rsidRPr="005E0DD9">
              <w:rPr>
                <w:rFonts w:eastAsia="Calibri"/>
                <w:sz w:val="20"/>
              </w:rPr>
              <w:t>Provincial Court of British Columbia</w:t>
            </w:r>
          </w:p>
          <w:p w:rsidR="003638D2" w:rsidRPr="005E0DD9" w:rsidRDefault="003638D2" w:rsidP="002244A0">
            <w:pPr>
              <w:jc w:val="both"/>
              <w:rPr>
                <w:rFonts w:eastAsia="Calibri"/>
                <w:sz w:val="20"/>
              </w:rPr>
            </w:pPr>
            <w:r w:rsidRPr="005E0DD9">
              <w:rPr>
                <w:rFonts w:eastAsia="Calibri"/>
                <w:sz w:val="20"/>
              </w:rPr>
              <w:t>(Burgess J.)</w:t>
            </w:r>
          </w:p>
          <w:p w:rsidR="003638D2" w:rsidRPr="005E0DD9" w:rsidRDefault="003638D2" w:rsidP="002244A0">
            <w:pPr>
              <w:jc w:val="both"/>
              <w:rPr>
                <w:rFonts w:eastAsia="Calibri"/>
                <w:sz w:val="20"/>
              </w:rPr>
            </w:pPr>
          </w:p>
        </w:tc>
        <w:tc>
          <w:tcPr>
            <w:tcW w:w="243" w:type="pct"/>
          </w:tcPr>
          <w:p w:rsidR="003638D2" w:rsidRPr="005E0DD9" w:rsidRDefault="003638D2" w:rsidP="002244A0">
            <w:pPr>
              <w:jc w:val="both"/>
              <w:rPr>
                <w:rFonts w:eastAsia="Calibri"/>
                <w:sz w:val="20"/>
              </w:rPr>
            </w:pPr>
          </w:p>
        </w:tc>
        <w:tc>
          <w:tcPr>
            <w:tcW w:w="2330" w:type="pct"/>
          </w:tcPr>
          <w:p w:rsidR="003638D2" w:rsidRPr="005E0DD9" w:rsidRDefault="003638D2" w:rsidP="002244A0">
            <w:pPr>
              <w:jc w:val="both"/>
              <w:rPr>
                <w:rFonts w:eastAsia="Calibri"/>
                <w:sz w:val="20"/>
              </w:rPr>
            </w:pPr>
            <w:r w:rsidRPr="005E0DD9">
              <w:rPr>
                <w:rFonts w:eastAsia="Calibri"/>
                <w:sz w:val="20"/>
              </w:rPr>
              <w:t>Convictions of break and enter with intent to commit extortion, assault with a weapon, and aggravated assault</w:t>
            </w:r>
          </w:p>
          <w:p w:rsidR="003638D2" w:rsidRPr="005E0DD9" w:rsidRDefault="003638D2" w:rsidP="002244A0">
            <w:pPr>
              <w:jc w:val="both"/>
              <w:rPr>
                <w:rFonts w:eastAsia="Calibri"/>
                <w:sz w:val="20"/>
              </w:rPr>
            </w:pPr>
          </w:p>
        </w:tc>
      </w:tr>
      <w:tr w:rsidR="003638D2" w:rsidRPr="005E0DD9" w:rsidTr="002244A0">
        <w:tc>
          <w:tcPr>
            <w:tcW w:w="2427" w:type="pct"/>
          </w:tcPr>
          <w:p w:rsidR="003638D2" w:rsidRPr="005E0DD9" w:rsidRDefault="003638D2" w:rsidP="002244A0">
            <w:pPr>
              <w:jc w:val="both"/>
              <w:rPr>
                <w:rFonts w:eastAsia="Calibri"/>
                <w:sz w:val="20"/>
              </w:rPr>
            </w:pPr>
            <w:r w:rsidRPr="005E0DD9">
              <w:rPr>
                <w:rFonts w:eastAsia="Calibri"/>
                <w:sz w:val="20"/>
              </w:rPr>
              <w:t>December 28, 2011</w:t>
            </w:r>
          </w:p>
          <w:p w:rsidR="003638D2" w:rsidRPr="005E0DD9" w:rsidRDefault="003638D2" w:rsidP="002244A0">
            <w:pPr>
              <w:jc w:val="both"/>
              <w:rPr>
                <w:rFonts w:eastAsia="Calibri"/>
                <w:sz w:val="20"/>
              </w:rPr>
            </w:pPr>
            <w:r w:rsidRPr="005E0DD9">
              <w:rPr>
                <w:rFonts w:eastAsia="Calibri"/>
                <w:sz w:val="20"/>
              </w:rPr>
              <w:t>Court of Appeal for British Columbia (Vancouver)</w:t>
            </w:r>
          </w:p>
          <w:p w:rsidR="003638D2" w:rsidRPr="005E0DD9" w:rsidRDefault="003638D2" w:rsidP="002244A0">
            <w:pPr>
              <w:jc w:val="both"/>
              <w:rPr>
                <w:rFonts w:eastAsia="Calibri"/>
                <w:sz w:val="20"/>
              </w:rPr>
            </w:pPr>
            <w:r w:rsidRPr="005E0DD9">
              <w:rPr>
                <w:rFonts w:eastAsia="Calibri"/>
                <w:sz w:val="20"/>
              </w:rPr>
              <w:t>(Mackenzie, Neilson, Garson JJ.A.)</w:t>
            </w:r>
          </w:p>
          <w:p w:rsidR="003638D2" w:rsidRPr="005E0DD9" w:rsidRDefault="003638D2" w:rsidP="002244A0">
            <w:pPr>
              <w:jc w:val="both"/>
              <w:rPr>
                <w:rFonts w:eastAsia="Calibri"/>
                <w:sz w:val="20"/>
              </w:rPr>
            </w:pPr>
            <w:r w:rsidRPr="005E0DD9">
              <w:rPr>
                <w:rFonts w:eastAsia="Calibri"/>
                <w:sz w:val="20"/>
              </w:rPr>
              <w:t>2011 BCCA 533,  CA038576</w:t>
            </w:r>
          </w:p>
          <w:p w:rsidR="003638D2" w:rsidRPr="005E0DD9" w:rsidRDefault="003638D2" w:rsidP="002244A0">
            <w:pPr>
              <w:jc w:val="both"/>
              <w:rPr>
                <w:rFonts w:eastAsia="Calibri"/>
                <w:sz w:val="20"/>
              </w:rPr>
            </w:pPr>
          </w:p>
        </w:tc>
        <w:tc>
          <w:tcPr>
            <w:tcW w:w="243" w:type="pct"/>
          </w:tcPr>
          <w:p w:rsidR="003638D2" w:rsidRPr="005E0DD9" w:rsidRDefault="003638D2" w:rsidP="002244A0">
            <w:pPr>
              <w:jc w:val="both"/>
              <w:rPr>
                <w:rFonts w:eastAsia="Calibri"/>
                <w:sz w:val="20"/>
              </w:rPr>
            </w:pPr>
          </w:p>
        </w:tc>
        <w:tc>
          <w:tcPr>
            <w:tcW w:w="2330" w:type="pct"/>
          </w:tcPr>
          <w:p w:rsidR="003638D2" w:rsidRPr="005E0DD9" w:rsidRDefault="003638D2" w:rsidP="002244A0">
            <w:pPr>
              <w:jc w:val="both"/>
              <w:rPr>
                <w:rFonts w:eastAsia="Calibri"/>
                <w:sz w:val="20"/>
              </w:rPr>
            </w:pPr>
            <w:r w:rsidRPr="005E0DD9">
              <w:rPr>
                <w:rFonts w:eastAsia="Calibri"/>
                <w:sz w:val="20"/>
              </w:rPr>
              <w:t>Application to admit fresh evidence and appeal from convictions dismissed</w:t>
            </w:r>
          </w:p>
          <w:p w:rsidR="003638D2" w:rsidRPr="005E0DD9" w:rsidRDefault="003638D2" w:rsidP="002244A0">
            <w:pPr>
              <w:jc w:val="both"/>
              <w:rPr>
                <w:rFonts w:eastAsia="Calibri"/>
                <w:sz w:val="20"/>
              </w:rPr>
            </w:pPr>
          </w:p>
        </w:tc>
      </w:tr>
      <w:tr w:rsidR="003638D2" w:rsidRPr="005E0DD9" w:rsidTr="002244A0">
        <w:tc>
          <w:tcPr>
            <w:tcW w:w="2427" w:type="pct"/>
          </w:tcPr>
          <w:p w:rsidR="003638D2" w:rsidRPr="005E0DD9" w:rsidRDefault="003638D2" w:rsidP="002244A0">
            <w:pPr>
              <w:jc w:val="both"/>
              <w:rPr>
                <w:rFonts w:eastAsia="Calibri"/>
                <w:sz w:val="20"/>
              </w:rPr>
            </w:pPr>
            <w:r w:rsidRPr="005E0DD9">
              <w:rPr>
                <w:rFonts w:eastAsia="Calibri"/>
                <w:sz w:val="20"/>
              </w:rPr>
              <w:t>February 23, 2012</w:t>
            </w:r>
          </w:p>
          <w:p w:rsidR="003638D2" w:rsidRPr="005E0DD9" w:rsidRDefault="003638D2" w:rsidP="002244A0">
            <w:pPr>
              <w:jc w:val="both"/>
              <w:rPr>
                <w:rFonts w:eastAsia="Calibri"/>
                <w:sz w:val="20"/>
              </w:rPr>
            </w:pPr>
            <w:r w:rsidRPr="005E0DD9">
              <w:rPr>
                <w:rFonts w:eastAsia="Calibri"/>
                <w:sz w:val="20"/>
              </w:rPr>
              <w:t>Supreme Court of Canada</w:t>
            </w:r>
          </w:p>
        </w:tc>
        <w:tc>
          <w:tcPr>
            <w:tcW w:w="243" w:type="pct"/>
          </w:tcPr>
          <w:p w:rsidR="003638D2" w:rsidRPr="005E0DD9" w:rsidRDefault="003638D2" w:rsidP="002244A0">
            <w:pPr>
              <w:jc w:val="both"/>
              <w:rPr>
                <w:rFonts w:eastAsia="Calibri"/>
                <w:sz w:val="20"/>
              </w:rPr>
            </w:pPr>
          </w:p>
        </w:tc>
        <w:tc>
          <w:tcPr>
            <w:tcW w:w="2330" w:type="pct"/>
          </w:tcPr>
          <w:p w:rsidR="003638D2" w:rsidRPr="005E0DD9" w:rsidRDefault="003638D2" w:rsidP="002244A0">
            <w:pPr>
              <w:jc w:val="both"/>
              <w:rPr>
                <w:rFonts w:eastAsia="Calibri"/>
                <w:sz w:val="20"/>
              </w:rPr>
            </w:pPr>
            <w:r w:rsidRPr="005E0DD9">
              <w:rPr>
                <w:rFonts w:eastAsia="Calibri"/>
                <w:sz w:val="20"/>
              </w:rPr>
              <w:t>Application to admit fresh evidence and Application for leave to appeal filed</w:t>
            </w:r>
          </w:p>
        </w:tc>
      </w:tr>
    </w:tbl>
    <w:p w:rsidR="003638D2" w:rsidRPr="00C50A5C" w:rsidRDefault="003638D2" w:rsidP="003638D2">
      <w:pPr>
        <w:rPr>
          <w:sz w:val="20"/>
          <w:szCs w:val="20"/>
        </w:rPr>
      </w:pPr>
    </w:p>
    <w:p w:rsidR="003638D2" w:rsidRPr="00C50A5C" w:rsidRDefault="00B62B14" w:rsidP="003638D2">
      <w:pPr>
        <w:rPr>
          <w:sz w:val="20"/>
          <w:szCs w:val="20"/>
        </w:rPr>
      </w:pPr>
      <w:r w:rsidRPr="00B62B14">
        <w:rPr>
          <w:sz w:val="20"/>
          <w:szCs w:val="20"/>
          <w:lang w:val="fr-CA"/>
        </w:rPr>
        <w:pict>
          <v:rect id="_x0000_i1040" style="width:2in;height:1pt" o:hrpct="0" o:hralign="center" o:hrstd="t" o:hrnoshade="t" o:hr="t" fillcolor="black [3213]" stroked="f"/>
        </w:pict>
      </w:r>
    </w:p>
    <w:p w:rsidR="003638D2" w:rsidRDefault="003638D2" w:rsidP="003638D2">
      <w:pPr>
        <w:rPr>
          <w:sz w:val="20"/>
          <w:szCs w:val="20"/>
        </w:rPr>
      </w:pPr>
    </w:p>
    <w:p w:rsidR="003638D2" w:rsidRPr="001B157C" w:rsidRDefault="003638D2" w:rsidP="003638D2">
      <w:pPr>
        <w:rPr>
          <w:sz w:val="20"/>
          <w:szCs w:val="20"/>
          <w:u w:val="single"/>
          <w:lang w:val="fr-CA"/>
        </w:rPr>
      </w:pPr>
      <w:r w:rsidRPr="001B157C">
        <w:rPr>
          <w:sz w:val="20"/>
          <w:szCs w:val="20"/>
          <w:u w:val="single"/>
          <w:lang w:val="fr-CA"/>
        </w:rPr>
        <w:t>RÉSUMÉ DE L’AFFAIRE</w:t>
      </w:r>
    </w:p>
    <w:p w:rsidR="003638D2" w:rsidRDefault="003638D2" w:rsidP="003638D2">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3638D2" w:rsidRPr="00835818" w:rsidTr="002244A0">
        <w:tc>
          <w:tcPr>
            <w:tcW w:w="5000" w:type="pct"/>
            <w:gridSpan w:val="3"/>
          </w:tcPr>
          <w:p w:rsidR="003638D2" w:rsidRPr="005E0DD9" w:rsidRDefault="003638D2" w:rsidP="002244A0">
            <w:pPr>
              <w:jc w:val="both"/>
              <w:rPr>
                <w:rFonts w:eastAsia="Calibri"/>
                <w:sz w:val="20"/>
                <w:lang w:val="fr-CA"/>
              </w:rPr>
            </w:pPr>
            <w:r w:rsidRPr="005E0DD9">
              <w:rPr>
                <w:rFonts w:eastAsia="Calibri"/>
                <w:i/>
                <w:sz w:val="20"/>
                <w:lang w:val="fr-CA"/>
              </w:rPr>
              <w:t xml:space="preserve">Charte canadienne des droits et libertés </w:t>
            </w:r>
            <w:r w:rsidRPr="005E0DD9">
              <w:rPr>
                <w:rFonts w:eastAsia="Calibri"/>
                <w:sz w:val="20"/>
                <w:lang w:val="fr-CA"/>
              </w:rPr>
              <w:t>– Droit à la communication complète de la preuve – Droit à une mise en liberté assortie d'un cautionnement raisonnable – Droit d’avoir recours à l’assistance d’un avocat et d'être informé de ce droit – Compétence de l'avocat – Droit d'être jugé dans un délai raisonnable – Les policiers ont-ils fait preuve d'inconduite ou commis des actes illégaux volontaires et</w:t>
            </w:r>
            <w:r w:rsidRPr="005E0DD9">
              <w:rPr>
                <w:rFonts w:eastAsia="Calibri"/>
                <w:b/>
                <w:sz w:val="20"/>
                <w:lang w:val="fr-CA"/>
              </w:rPr>
              <w:t xml:space="preserve"> </w:t>
            </w:r>
            <w:r w:rsidRPr="005E0DD9">
              <w:rPr>
                <w:rFonts w:eastAsia="Calibri"/>
                <w:sz w:val="20"/>
                <w:lang w:val="fr-CA"/>
              </w:rPr>
              <w:t>flagrants?– Détention et emprisonnement arbitraires – Droit à la présomption d'innocence – L'assistance inefficace de l'avocat au procès a-t-elle donné lieu à une déclaration de culpabilité erronée ou à une erreur judiciaire? – L’avocat de la Couronne a-t-il commis un abus de procédure ou a-t-il fait preuve d’inconduite? – Y a-t-il eu délai déraisonnable? – La Cour d'appel a-t-elle commis une erreur de droit? -- Le demandeur a-t-il été empêché de participer et de témoigner à l'audience? –– Les directives erronées du tribunal ont-elles eu pour effet de rendre le procès inéquitable? – Le refus d'admettre de nouveaux éléments de preuve a-t-il entraîné un procès inéquitable? – La Cour d'appel avait-elle un parti pris? – Y a-t-il lieu d'admettre de nouveaux éléments de preuve?</w:t>
            </w:r>
          </w:p>
        </w:tc>
      </w:tr>
      <w:tr w:rsidR="003638D2" w:rsidRPr="00835818" w:rsidTr="002244A0">
        <w:tc>
          <w:tcPr>
            <w:tcW w:w="5000" w:type="pct"/>
            <w:gridSpan w:val="3"/>
          </w:tcPr>
          <w:p w:rsidR="003638D2" w:rsidRPr="005E0DD9" w:rsidRDefault="003638D2" w:rsidP="002244A0">
            <w:pPr>
              <w:jc w:val="both"/>
              <w:rPr>
                <w:rFonts w:eastAsia="Calibri"/>
                <w:sz w:val="20"/>
                <w:lang w:val="fr-CA"/>
              </w:rPr>
            </w:pPr>
          </w:p>
        </w:tc>
      </w:tr>
      <w:tr w:rsidR="003638D2" w:rsidRPr="00835818" w:rsidTr="002244A0">
        <w:tc>
          <w:tcPr>
            <w:tcW w:w="5000" w:type="pct"/>
            <w:gridSpan w:val="3"/>
          </w:tcPr>
          <w:p w:rsidR="003638D2" w:rsidRPr="005E0DD9" w:rsidRDefault="003638D2" w:rsidP="002244A0">
            <w:pPr>
              <w:jc w:val="both"/>
              <w:rPr>
                <w:rFonts w:eastAsia="Calibri"/>
                <w:sz w:val="20"/>
                <w:lang w:val="fr-CA"/>
              </w:rPr>
            </w:pPr>
            <w:r w:rsidRPr="005E0DD9">
              <w:rPr>
                <w:rFonts w:eastAsia="Calibri"/>
                <w:sz w:val="20"/>
                <w:lang w:val="fr-CA"/>
              </w:rPr>
              <w:t>Dans leurs témoignages, un père et sa fille ont affirmé avoir été attaqués par le demandeur après qu'ils eurent affiché des commentaires sur Craigslist relativement à une mauvaise expérience qu'ils auraient eue avec le demandeur en tentant d'acheter des pneus. Ils ont affirmé que le demandeur était entré de force chez eux armé d'un bâton de baseball et les avait menacés de leur faire du mal s’ils ne retiraient pas leurs commentaires. Le père a chassé le demandeur de chez eux. Le demandeur a alors frappé le père à l'avant-bras avec le bâton, lui causant une lacération qui a nécessité six points de suture. Il a frappé la fille sur le côté de la tête également avec le bâton de baseball, lui causant des blessures susceptibles de mettre sa vie en danger et qui ont nécessité une intervention chirurgicale d'urgence. Le demandeur a été déclaré coupable d'introduction par effraction avec l'intention de commettre une extorsion, d'agression armée et de voies de faits graves. En appel, le demandeur a demandé que soient admis de nouveaux éléments de preuve pour montrer que son avocat au procès avait été inefficace, pour prouver un alibi et pour démontrer qu'il y avait eu déni de justice en conséquence. La Cour d'appel a rejeté la demande en vue d'admettre de nouveaux éléments de preuve et a rejeté l'appel des déclarations de culpabilité.</w:t>
            </w:r>
          </w:p>
          <w:p w:rsidR="003638D2" w:rsidRPr="005E0DD9" w:rsidRDefault="003638D2" w:rsidP="002244A0">
            <w:pPr>
              <w:jc w:val="both"/>
              <w:rPr>
                <w:rFonts w:eastAsia="Calibri"/>
                <w:sz w:val="20"/>
                <w:lang w:val="fr-CA"/>
              </w:rPr>
            </w:pPr>
          </w:p>
        </w:tc>
      </w:tr>
      <w:tr w:rsidR="003638D2" w:rsidRPr="00835818" w:rsidTr="002244A0">
        <w:tc>
          <w:tcPr>
            <w:tcW w:w="2427" w:type="pct"/>
          </w:tcPr>
          <w:p w:rsidR="003638D2" w:rsidRPr="005E0DD9" w:rsidRDefault="003638D2" w:rsidP="002244A0">
            <w:pPr>
              <w:jc w:val="both"/>
              <w:rPr>
                <w:rFonts w:eastAsia="Calibri"/>
                <w:sz w:val="20"/>
                <w:lang w:val="fr-CA"/>
              </w:rPr>
            </w:pPr>
            <w:r w:rsidRPr="005E0DD9">
              <w:rPr>
                <w:rFonts w:eastAsia="Calibri"/>
                <w:sz w:val="20"/>
                <w:lang w:val="fr-CA"/>
              </w:rPr>
              <w:t>28 mai 2010</w:t>
            </w:r>
          </w:p>
          <w:p w:rsidR="003638D2" w:rsidRPr="005E0DD9" w:rsidRDefault="003638D2" w:rsidP="002244A0">
            <w:pPr>
              <w:jc w:val="both"/>
              <w:rPr>
                <w:rFonts w:eastAsia="Calibri"/>
                <w:sz w:val="20"/>
                <w:lang w:val="fr-CA"/>
              </w:rPr>
            </w:pPr>
            <w:r w:rsidRPr="005E0DD9">
              <w:rPr>
                <w:rFonts w:eastAsia="Calibri"/>
                <w:sz w:val="20"/>
                <w:lang w:val="fr-CA"/>
              </w:rPr>
              <w:t xml:space="preserve">Cour provinciale de la Colombie-Britannique </w:t>
            </w:r>
          </w:p>
          <w:p w:rsidR="003638D2" w:rsidRPr="005E0DD9" w:rsidRDefault="003638D2" w:rsidP="002244A0">
            <w:pPr>
              <w:jc w:val="both"/>
              <w:rPr>
                <w:rFonts w:eastAsia="Calibri"/>
                <w:sz w:val="20"/>
                <w:lang w:val="fr-CA"/>
              </w:rPr>
            </w:pPr>
            <w:r w:rsidRPr="005E0DD9">
              <w:rPr>
                <w:rFonts w:eastAsia="Calibri"/>
                <w:sz w:val="20"/>
                <w:lang w:val="fr-CA"/>
              </w:rPr>
              <w:t>(Juge Burgess)</w:t>
            </w:r>
          </w:p>
          <w:p w:rsidR="003638D2" w:rsidRPr="005E0DD9" w:rsidRDefault="003638D2" w:rsidP="002244A0">
            <w:pPr>
              <w:jc w:val="both"/>
              <w:rPr>
                <w:rFonts w:eastAsia="Calibri"/>
                <w:sz w:val="20"/>
                <w:lang w:val="fr-CA"/>
              </w:rPr>
            </w:pPr>
          </w:p>
        </w:tc>
        <w:tc>
          <w:tcPr>
            <w:tcW w:w="243" w:type="pct"/>
          </w:tcPr>
          <w:p w:rsidR="003638D2" w:rsidRPr="005E0DD9" w:rsidRDefault="003638D2" w:rsidP="002244A0">
            <w:pPr>
              <w:jc w:val="both"/>
              <w:rPr>
                <w:rFonts w:eastAsia="Calibri"/>
                <w:sz w:val="20"/>
                <w:lang w:val="fr-CA"/>
              </w:rPr>
            </w:pPr>
          </w:p>
        </w:tc>
        <w:tc>
          <w:tcPr>
            <w:tcW w:w="2330" w:type="pct"/>
          </w:tcPr>
          <w:p w:rsidR="003638D2" w:rsidRPr="005E0DD9" w:rsidRDefault="003638D2" w:rsidP="002244A0">
            <w:pPr>
              <w:jc w:val="both"/>
              <w:rPr>
                <w:rFonts w:eastAsia="Calibri"/>
                <w:sz w:val="20"/>
                <w:lang w:val="fr-CA"/>
              </w:rPr>
            </w:pPr>
            <w:r w:rsidRPr="005E0DD9">
              <w:rPr>
                <w:rFonts w:eastAsia="Calibri"/>
                <w:sz w:val="20"/>
                <w:lang w:val="fr-CA"/>
              </w:rPr>
              <w:t>Déclarations de culpabilité pour introduction par effraction avec l'intention de commettre une extorsion, agression armée et voies de faits graves</w:t>
            </w:r>
          </w:p>
          <w:p w:rsidR="003638D2" w:rsidRPr="005E0DD9" w:rsidRDefault="003638D2" w:rsidP="002244A0">
            <w:pPr>
              <w:jc w:val="both"/>
              <w:rPr>
                <w:rFonts w:eastAsia="Calibri"/>
                <w:sz w:val="20"/>
                <w:lang w:val="fr-CA"/>
              </w:rPr>
            </w:pPr>
          </w:p>
        </w:tc>
      </w:tr>
      <w:tr w:rsidR="003638D2" w:rsidRPr="00835818" w:rsidTr="002244A0">
        <w:tc>
          <w:tcPr>
            <w:tcW w:w="2427" w:type="pct"/>
          </w:tcPr>
          <w:p w:rsidR="003638D2" w:rsidRPr="005E0DD9" w:rsidRDefault="003638D2" w:rsidP="002244A0">
            <w:pPr>
              <w:jc w:val="both"/>
              <w:rPr>
                <w:rFonts w:eastAsia="Calibri"/>
                <w:sz w:val="20"/>
                <w:lang w:val="fr-CA"/>
              </w:rPr>
            </w:pPr>
            <w:r w:rsidRPr="005E0DD9">
              <w:rPr>
                <w:rFonts w:eastAsia="Calibri"/>
                <w:sz w:val="20"/>
                <w:lang w:val="fr-CA"/>
              </w:rPr>
              <w:t>28 décembre 2011</w:t>
            </w:r>
          </w:p>
          <w:p w:rsidR="003638D2" w:rsidRPr="005E0DD9" w:rsidRDefault="003638D2" w:rsidP="002244A0">
            <w:pPr>
              <w:jc w:val="both"/>
              <w:rPr>
                <w:rFonts w:eastAsia="Calibri"/>
                <w:sz w:val="20"/>
                <w:lang w:val="fr-CA"/>
              </w:rPr>
            </w:pPr>
            <w:r w:rsidRPr="005E0DD9">
              <w:rPr>
                <w:rFonts w:eastAsia="Calibri"/>
                <w:sz w:val="20"/>
                <w:lang w:val="fr-CA"/>
              </w:rPr>
              <w:t>Cour d'appel de la Colombie-Britannique (Vancouver)</w:t>
            </w:r>
          </w:p>
          <w:p w:rsidR="003638D2" w:rsidRPr="005E0DD9" w:rsidRDefault="003638D2" w:rsidP="002244A0">
            <w:pPr>
              <w:jc w:val="both"/>
              <w:rPr>
                <w:rFonts w:eastAsia="Calibri"/>
                <w:sz w:val="20"/>
                <w:lang w:val="fr-CA"/>
              </w:rPr>
            </w:pPr>
            <w:r w:rsidRPr="005E0DD9">
              <w:rPr>
                <w:rFonts w:eastAsia="Calibri"/>
                <w:sz w:val="20"/>
                <w:lang w:val="fr-CA"/>
              </w:rPr>
              <w:t>(Juges Mackenzie, Neilson et Garson)</w:t>
            </w:r>
          </w:p>
          <w:p w:rsidR="003638D2" w:rsidRPr="005E0DD9" w:rsidRDefault="003638D2" w:rsidP="002244A0">
            <w:pPr>
              <w:jc w:val="both"/>
              <w:rPr>
                <w:rFonts w:eastAsia="Calibri"/>
                <w:sz w:val="20"/>
                <w:lang w:val="fr-CA"/>
              </w:rPr>
            </w:pPr>
            <w:r w:rsidRPr="005E0DD9">
              <w:rPr>
                <w:rFonts w:eastAsia="Calibri"/>
                <w:sz w:val="20"/>
                <w:lang w:val="fr-CA"/>
              </w:rPr>
              <w:t>2011 BCCA 533,  CA038576</w:t>
            </w:r>
          </w:p>
          <w:p w:rsidR="003638D2" w:rsidRPr="005E0DD9" w:rsidRDefault="003638D2" w:rsidP="002244A0">
            <w:pPr>
              <w:jc w:val="both"/>
              <w:rPr>
                <w:rFonts w:eastAsia="Calibri"/>
                <w:sz w:val="20"/>
                <w:lang w:val="fr-CA"/>
              </w:rPr>
            </w:pPr>
          </w:p>
        </w:tc>
        <w:tc>
          <w:tcPr>
            <w:tcW w:w="243" w:type="pct"/>
          </w:tcPr>
          <w:p w:rsidR="003638D2" w:rsidRPr="005E0DD9" w:rsidRDefault="003638D2" w:rsidP="002244A0">
            <w:pPr>
              <w:jc w:val="both"/>
              <w:rPr>
                <w:rFonts w:eastAsia="Calibri"/>
                <w:sz w:val="20"/>
                <w:lang w:val="fr-CA"/>
              </w:rPr>
            </w:pPr>
          </w:p>
        </w:tc>
        <w:tc>
          <w:tcPr>
            <w:tcW w:w="2330" w:type="pct"/>
          </w:tcPr>
          <w:p w:rsidR="003638D2" w:rsidRPr="005E0DD9" w:rsidRDefault="003638D2" w:rsidP="002244A0">
            <w:pPr>
              <w:jc w:val="both"/>
              <w:rPr>
                <w:rFonts w:eastAsia="Calibri"/>
                <w:sz w:val="20"/>
                <w:lang w:val="fr-CA"/>
              </w:rPr>
            </w:pPr>
            <w:r w:rsidRPr="005E0DD9">
              <w:rPr>
                <w:rFonts w:eastAsia="Calibri"/>
                <w:sz w:val="20"/>
                <w:lang w:val="fr-CA"/>
              </w:rPr>
              <w:t>Demande en vue d'admettre de nouveaux éléments de preuve et appel des déclarations de culpabilité, rejetés</w:t>
            </w:r>
          </w:p>
          <w:p w:rsidR="003638D2" w:rsidRPr="005E0DD9" w:rsidRDefault="003638D2" w:rsidP="002244A0">
            <w:pPr>
              <w:jc w:val="both"/>
              <w:rPr>
                <w:rFonts w:eastAsia="Calibri"/>
                <w:sz w:val="20"/>
                <w:lang w:val="fr-CA"/>
              </w:rPr>
            </w:pPr>
          </w:p>
        </w:tc>
      </w:tr>
      <w:tr w:rsidR="003638D2" w:rsidRPr="00835818" w:rsidTr="002244A0">
        <w:tc>
          <w:tcPr>
            <w:tcW w:w="2427" w:type="pct"/>
          </w:tcPr>
          <w:p w:rsidR="003638D2" w:rsidRPr="005E0DD9" w:rsidRDefault="003638D2" w:rsidP="002244A0">
            <w:pPr>
              <w:jc w:val="both"/>
              <w:rPr>
                <w:rFonts w:eastAsia="Calibri"/>
                <w:sz w:val="20"/>
                <w:lang w:val="fr-CA"/>
              </w:rPr>
            </w:pPr>
            <w:r w:rsidRPr="005E0DD9">
              <w:rPr>
                <w:rFonts w:eastAsia="Calibri"/>
                <w:sz w:val="20"/>
                <w:lang w:val="fr-CA"/>
              </w:rPr>
              <w:t>23 février 2012</w:t>
            </w:r>
          </w:p>
          <w:p w:rsidR="003638D2" w:rsidRPr="005E0DD9" w:rsidRDefault="003638D2" w:rsidP="002244A0">
            <w:pPr>
              <w:jc w:val="both"/>
              <w:rPr>
                <w:rFonts w:eastAsia="Calibri"/>
                <w:sz w:val="20"/>
                <w:lang w:val="fr-CA"/>
              </w:rPr>
            </w:pPr>
            <w:r w:rsidRPr="005E0DD9">
              <w:rPr>
                <w:rFonts w:eastAsia="Calibri"/>
                <w:sz w:val="20"/>
                <w:lang w:val="fr-CA"/>
              </w:rPr>
              <w:t>Cour suprême du Canada</w:t>
            </w:r>
          </w:p>
        </w:tc>
        <w:tc>
          <w:tcPr>
            <w:tcW w:w="243" w:type="pct"/>
          </w:tcPr>
          <w:p w:rsidR="003638D2" w:rsidRPr="005E0DD9" w:rsidRDefault="003638D2" w:rsidP="002244A0">
            <w:pPr>
              <w:jc w:val="both"/>
              <w:rPr>
                <w:rFonts w:eastAsia="Calibri"/>
                <w:sz w:val="20"/>
                <w:lang w:val="fr-CA"/>
              </w:rPr>
            </w:pPr>
          </w:p>
        </w:tc>
        <w:tc>
          <w:tcPr>
            <w:tcW w:w="2330" w:type="pct"/>
          </w:tcPr>
          <w:p w:rsidR="003638D2" w:rsidRPr="005E0DD9" w:rsidRDefault="003638D2" w:rsidP="002244A0">
            <w:pPr>
              <w:jc w:val="both"/>
              <w:rPr>
                <w:rFonts w:eastAsia="Calibri"/>
                <w:sz w:val="20"/>
                <w:lang w:val="fr-CA"/>
              </w:rPr>
            </w:pPr>
            <w:r w:rsidRPr="005E0DD9">
              <w:rPr>
                <w:rFonts w:eastAsia="Calibri"/>
                <w:sz w:val="20"/>
                <w:lang w:val="fr-CA"/>
              </w:rPr>
              <w:t xml:space="preserve">Demande en vue d'admettre de nouveaux éléments de preuve et demande d'autorisation d'appel, déposées </w:t>
            </w:r>
          </w:p>
        </w:tc>
      </w:tr>
    </w:tbl>
    <w:p w:rsidR="003638D2" w:rsidRPr="00F54520" w:rsidRDefault="003638D2" w:rsidP="003638D2">
      <w:pPr>
        <w:rPr>
          <w:sz w:val="20"/>
          <w:szCs w:val="20"/>
          <w:lang w:val="fr-CA"/>
        </w:rPr>
      </w:pPr>
    </w:p>
    <w:p w:rsidR="003638D2" w:rsidRDefault="00B62B14" w:rsidP="003638D2">
      <w:pPr>
        <w:rPr>
          <w:sz w:val="20"/>
          <w:szCs w:val="20"/>
          <w:lang w:val="fr-CA"/>
        </w:rPr>
      </w:pPr>
      <w:r w:rsidRPr="00B62B14">
        <w:rPr>
          <w:sz w:val="20"/>
          <w:szCs w:val="20"/>
          <w:lang w:val="fr-CA"/>
        </w:rPr>
        <w:pict>
          <v:rect id="_x0000_i1041" style="width:2in;height:1pt" o:hrpct="0" o:hralign="center" o:hrstd="t" o:hrnoshade="t" o:hr="t" fillcolor="black [3213]" stroked="f"/>
        </w:pict>
      </w:r>
    </w:p>
    <w:p w:rsidR="003638D2" w:rsidRDefault="003638D2" w:rsidP="003638D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E697B" w:rsidRPr="00722CAA" w:rsidTr="00CE697B">
        <w:trPr>
          <w:cantSplit/>
        </w:trPr>
        <w:tc>
          <w:tcPr>
            <w:tcW w:w="1458" w:type="dxa"/>
          </w:tcPr>
          <w:p w:rsidR="00CE697B" w:rsidRPr="00722CAA" w:rsidRDefault="00CE697B" w:rsidP="00CE697B">
            <w:pPr>
              <w:rPr>
                <w:sz w:val="20"/>
                <w:szCs w:val="20"/>
              </w:rPr>
            </w:pPr>
            <w:r w:rsidRPr="00722CAA">
              <w:rPr>
                <w:rStyle w:val="SCCFileNumberChar"/>
                <w:sz w:val="20"/>
                <w:szCs w:val="20"/>
              </w:rPr>
              <w:t>34769</w:t>
            </w:r>
          </w:p>
          <w:p w:rsidR="00CE697B" w:rsidRPr="00722CAA" w:rsidRDefault="00CE697B" w:rsidP="00CE697B">
            <w:pPr>
              <w:rPr>
                <w:b/>
                <w:sz w:val="20"/>
                <w:szCs w:val="20"/>
                <w:lang w:val="fr-CA"/>
              </w:rPr>
            </w:pPr>
          </w:p>
        </w:tc>
        <w:tc>
          <w:tcPr>
            <w:tcW w:w="8118" w:type="dxa"/>
          </w:tcPr>
          <w:p w:rsidR="00CE697B" w:rsidRPr="00722CAA" w:rsidRDefault="00CE697B" w:rsidP="00CE697B">
            <w:pPr>
              <w:jc w:val="both"/>
              <w:rPr>
                <w:sz w:val="20"/>
                <w:szCs w:val="20"/>
              </w:rPr>
            </w:pPr>
            <w:r w:rsidRPr="00722CAA">
              <w:rPr>
                <w:rStyle w:val="SCCLsocChar"/>
                <w:sz w:val="20"/>
                <w:szCs w:val="20"/>
                <w:lang w:val="en-CA"/>
              </w:rPr>
              <w:t>Her Majesty the Queen in Right of the Province of British Columbia as represented by the Ministry of Forests v. Teal Cedar Products Ltd.</w:t>
            </w:r>
            <w:r w:rsidRPr="00722CAA">
              <w:rPr>
                <w:sz w:val="20"/>
                <w:szCs w:val="20"/>
              </w:rPr>
              <w:t xml:space="preserve"> (B.C.) (Civil) (By Leave)</w:t>
            </w:r>
          </w:p>
          <w:p w:rsidR="00CE697B" w:rsidRPr="00722CAA" w:rsidRDefault="00CE697B" w:rsidP="00CE697B">
            <w:pPr>
              <w:rPr>
                <w:sz w:val="20"/>
                <w:szCs w:val="20"/>
              </w:rPr>
            </w:pPr>
          </w:p>
        </w:tc>
      </w:tr>
      <w:tr w:rsidR="00CE697B" w:rsidRPr="00722CAA" w:rsidTr="00CE697B">
        <w:trPr>
          <w:cantSplit/>
        </w:trPr>
        <w:tc>
          <w:tcPr>
            <w:tcW w:w="1458" w:type="dxa"/>
          </w:tcPr>
          <w:p w:rsidR="00CE697B" w:rsidRPr="00722CAA" w:rsidRDefault="00CE697B" w:rsidP="00CE697B">
            <w:pPr>
              <w:rPr>
                <w:sz w:val="20"/>
                <w:szCs w:val="20"/>
              </w:rPr>
            </w:pPr>
            <w:r w:rsidRPr="00722CAA">
              <w:rPr>
                <w:sz w:val="20"/>
                <w:szCs w:val="20"/>
              </w:rPr>
              <w:t>Coram :</w:t>
            </w:r>
          </w:p>
        </w:tc>
        <w:tc>
          <w:tcPr>
            <w:tcW w:w="8118" w:type="dxa"/>
          </w:tcPr>
          <w:p w:rsidR="00CE697B" w:rsidRPr="00722CAA" w:rsidRDefault="00CE697B" w:rsidP="00CE697B">
            <w:pPr>
              <w:rPr>
                <w:sz w:val="20"/>
                <w:szCs w:val="20"/>
              </w:rPr>
            </w:pPr>
            <w:r w:rsidRPr="00722CAA">
              <w:rPr>
                <w:rStyle w:val="SCCCoramChar"/>
                <w:sz w:val="20"/>
                <w:szCs w:val="20"/>
                <w:lang w:val="en-CA"/>
              </w:rPr>
              <w:t>McLachlin C.J. and Rothstein and Moldaver JJ.</w:t>
            </w:r>
          </w:p>
          <w:p w:rsidR="00CE697B" w:rsidRPr="00722CAA" w:rsidRDefault="00CE697B" w:rsidP="00CE697B">
            <w:pPr>
              <w:rPr>
                <w:sz w:val="20"/>
                <w:szCs w:val="20"/>
                <w:u w:val="single"/>
              </w:rPr>
            </w:pPr>
          </w:p>
        </w:tc>
      </w:tr>
      <w:tr w:rsidR="00CE697B" w:rsidRPr="00835818" w:rsidTr="00CE697B">
        <w:trPr>
          <w:cantSplit/>
        </w:trPr>
        <w:tc>
          <w:tcPr>
            <w:tcW w:w="9576" w:type="dxa"/>
            <w:gridSpan w:val="2"/>
          </w:tcPr>
          <w:p w:rsidR="00CE697B" w:rsidRPr="00722CAA" w:rsidRDefault="00CE697B" w:rsidP="00CE697B">
            <w:pPr>
              <w:pStyle w:val="SCCShortJudgment"/>
              <w:rPr>
                <w:szCs w:val="20"/>
              </w:rPr>
            </w:pPr>
            <w:r w:rsidRPr="00722CAA">
              <w:rPr>
                <w:szCs w:val="20"/>
              </w:rPr>
              <w:lastRenderedPageBreak/>
              <w:t>The application for leave to appeal from the judgment of the Court of Appeal for British Columbia (Vancouver), Number CA038980, 2012 BCCA 70, dated February 13, 2012, is granted with costs in the cause.</w:t>
            </w:r>
          </w:p>
          <w:p w:rsidR="00CE697B" w:rsidRPr="00722CAA" w:rsidRDefault="00CE697B" w:rsidP="00CE697B">
            <w:pPr>
              <w:pStyle w:val="SCCShortJudgment"/>
              <w:ind w:firstLine="0"/>
              <w:rPr>
                <w:szCs w:val="20"/>
              </w:rPr>
            </w:pPr>
          </w:p>
          <w:p w:rsidR="00CE697B" w:rsidRPr="00722CAA" w:rsidRDefault="00CE697B" w:rsidP="00CE697B">
            <w:pPr>
              <w:pStyle w:val="SCCShortJudgment"/>
              <w:rPr>
                <w:szCs w:val="20"/>
                <w:lang w:val="fr-CA"/>
              </w:rPr>
            </w:pPr>
            <w:r w:rsidRPr="00722CAA">
              <w:rPr>
                <w:szCs w:val="20"/>
                <w:lang w:val="fr-CA"/>
              </w:rPr>
              <w:t>La demande d’autorisation d’appel de l’arrêt de la Cour d’appel de la Colombie-Britannique (Vancouver), numéro CA038980, 2012 BCCA 70, daté du 13 février 2012, est accueillie avec dépens suivant l’issue de la cause.</w:t>
            </w:r>
          </w:p>
        </w:tc>
      </w:tr>
    </w:tbl>
    <w:p w:rsidR="003638D2" w:rsidRPr="00CE697B" w:rsidRDefault="003638D2" w:rsidP="003638D2">
      <w:pPr>
        <w:rPr>
          <w:sz w:val="20"/>
          <w:szCs w:val="20"/>
          <w:lang w:val="fr-CA"/>
        </w:rPr>
      </w:pPr>
    </w:p>
    <w:p w:rsidR="003638D2" w:rsidRPr="001B157C" w:rsidRDefault="003638D2" w:rsidP="003638D2">
      <w:pPr>
        <w:rPr>
          <w:sz w:val="20"/>
          <w:szCs w:val="20"/>
          <w:u w:val="single"/>
        </w:rPr>
      </w:pPr>
      <w:r w:rsidRPr="001B157C">
        <w:rPr>
          <w:sz w:val="20"/>
          <w:szCs w:val="20"/>
          <w:u w:val="single"/>
        </w:rPr>
        <w:t>CASE SUMMARY</w:t>
      </w:r>
    </w:p>
    <w:p w:rsidR="003638D2" w:rsidRDefault="003638D2" w:rsidP="003638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38D2" w:rsidRPr="005E0DD9" w:rsidTr="002244A0">
        <w:tc>
          <w:tcPr>
            <w:tcW w:w="5000" w:type="pct"/>
            <w:gridSpan w:val="3"/>
          </w:tcPr>
          <w:p w:rsidR="003638D2" w:rsidRPr="005E0DD9" w:rsidRDefault="003638D2" w:rsidP="002244A0">
            <w:pPr>
              <w:jc w:val="both"/>
              <w:rPr>
                <w:rFonts w:eastAsia="Calibri"/>
                <w:sz w:val="20"/>
              </w:rPr>
            </w:pPr>
            <w:r w:rsidRPr="005E0DD9">
              <w:rPr>
                <w:rFonts w:eastAsia="Calibri"/>
                <w:sz w:val="20"/>
              </w:rPr>
              <w:t>Interest – Arbitrator awarding compound interest to holder of forest licence interest as part of compensation for expropriation – British Columbia Supreme Court confirming arbitrator’s order on compound interest</w:t>
            </w:r>
            <w:r w:rsidRPr="005E0DD9">
              <w:rPr>
                <w:rFonts w:eastAsia="Calibri"/>
                <w:sz w:val="20"/>
                <w:lang w:eastAsia="fr-CA"/>
              </w:rPr>
              <w:t xml:space="preserve"> – Court of Appeal finding no basis to intervene with lower court’s affirmation of </w:t>
            </w:r>
            <w:r w:rsidRPr="005E0DD9">
              <w:rPr>
                <w:rFonts w:eastAsia="Calibri"/>
                <w:sz w:val="20"/>
              </w:rPr>
              <w:t xml:space="preserve">arbitrator’s order on compound interest – Can compound interest on a pecuniary judgment be awarded by a court despite a statutory provision which limits pre-judgment interest to simple interest? – If so, what considerations guide to exercise of the court’s discretion to award compound interest in the absence of statutory guidance? – Does the discretion permit an award of compound interest in cases other than breach of contract? – Is compound interest available where the plaintiff’s entitlement to compensation is entirely based in statute and the statute does not provide for compound interest? – </w:t>
            </w:r>
            <w:r w:rsidRPr="005E0DD9">
              <w:rPr>
                <w:rFonts w:eastAsia="Calibri"/>
                <w:i/>
                <w:iCs/>
                <w:sz w:val="20"/>
              </w:rPr>
              <w:t>Protected Areas Forests Compensation Act</w:t>
            </w:r>
            <w:r w:rsidRPr="005E0DD9">
              <w:rPr>
                <w:rFonts w:eastAsia="Calibri"/>
                <w:sz w:val="20"/>
              </w:rPr>
              <w:t xml:space="preserve">, S.B.C. 2002, c. 51, ss. 2(1), 7, 7(0.1), 7(1)(a), 7(1)(b), 7(1)(c) – </w:t>
            </w:r>
            <w:r w:rsidRPr="005E0DD9">
              <w:rPr>
                <w:rFonts w:eastAsia="Calibri"/>
                <w:i/>
                <w:iCs/>
                <w:sz w:val="20"/>
              </w:rPr>
              <w:t>Forest Act</w:t>
            </w:r>
            <w:r w:rsidRPr="005E0DD9">
              <w:rPr>
                <w:rFonts w:eastAsia="Calibri"/>
                <w:sz w:val="20"/>
              </w:rPr>
              <w:t xml:space="preserve">, R.S.B.C. 1996, c. 157, ss. 14, 60, 60(1)(a), 60(1)(b), 60(1)(c), 60(4) – </w:t>
            </w:r>
            <w:r w:rsidRPr="005E0DD9">
              <w:rPr>
                <w:rFonts w:eastAsia="Calibri"/>
                <w:i/>
                <w:iCs/>
                <w:sz w:val="20"/>
              </w:rPr>
              <w:t xml:space="preserve">Park Amendment Act, </w:t>
            </w:r>
            <w:r w:rsidRPr="005E0DD9">
              <w:rPr>
                <w:rFonts w:eastAsia="Calibri"/>
                <w:sz w:val="20"/>
              </w:rPr>
              <w:t xml:space="preserve">S.B.C. 1995, c. 54 – </w:t>
            </w:r>
            <w:r w:rsidRPr="005E0DD9">
              <w:rPr>
                <w:rFonts w:eastAsia="Calibri"/>
                <w:i/>
                <w:sz w:val="20"/>
              </w:rPr>
              <w:t>Expropriation</w:t>
            </w:r>
            <w:r w:rsidRPr="005E0DD9">
              <w:rPr>
                <w:rFonts w:eastAsia="Calibri"/>
                <w:i/>
                <w:iCs/>
                <w:sz w:val="20"/>
              </w:rPr>
              <w:t xml:space="preserve"> Act, </w:t>
            </w:r>
            <w:r w:rsidRPr="005E0DD9">
              <w:rPr>
                <w:rFonts w:eastAsia="Calibri"/>
                <w:sz w:val="20"/>
              </w:rPr>
              <w:t xml:space="preserve">R.S.B.C. 1996, c. 125 – </w:t>
            </w:r>
            <w:r w:rsidRPr="005E0DD9">
              <w:rPr>
                <w:rFonts w:eastAsia="Calibri"/>
                <w:i/>
                <w:iCs/>
                <w:sz w:val="20"/>
              </w:rPr>
              <w:t xml:space="preserve">Commercial Arbitration Act, </w:t>
            </w:r>
            <w:r w:rsidRPr="005E0DD9">
              <w:rPr>
                <w:rFonts w:eastAsia="Calibri"/>
                <w:sz w:val="20"/>
              </w:rPr>
              <w:t xml:space="preserve">R.S.B.C. 1996, c. 55, ss. 28, 31 – </w:t>
            </w:r>
            <w:r w:rsidRPr="005E0DD9">
              <w:rPr>
                <w:rFonts w:eastAsia="Calibri"/>
                <w:i/>
                <w:iCs/>
                <w:sz w:val="20"/>
              </w:rPr>
              <w:t xml:space="preserve">Court Order Interest Act, </w:t>
            </w:r>
            <w:r w:rsidRPr="005E0DD9">
              <w:rPr>
                <w:rFonts w:eastAsia="Calibri"/>
                <w:sz w:val="20"/>
              </w:rPr>
              <w:t>R.S.B.C. 1996, c. 79, ss. 1, 2.</w:t>
            </w:r>
          </w:p>
        </w:tc>
      </w:tr>
      <w:tr w:rsidR="003638D2" w:rsidRPr="005E0DD9" w:rsidTr="002244A0">
        <w:tc>
          <w:tcPr>
            <w:tcW w:w="5000" w:type="pct"/>
            <w:gridSpan w:val="3"/>
          </w:tcPr>
          <w:p w:rsidR="003638D2" w:rsidRPr="005E0DD9" w:rsidRDefault="003638D2" w:rsidP="002244A0">
            <w:pPr>
              <w:jc w:val="both"/>
              <w:rPr>
                <w:rFonts w:eastAsia="Calibri"/>
                <w:sz w:val="20"/>
              </w:rPr>
            </w:pPr>
          </w:p>
        </w:tc>
      </w:tr>
      <w:tr w:rsidR="003638D2" w:rsidRPr="005E0DD9" w:rsidTr="002244A0">
        <w:tc>
          <w:tcPr>
            <w:tcW w:w="5000" w:type="pct"/>
            <w:gridSpan w:val="3"/>
          </w:tcPr>
          <w:p w:rsidR="003638D2" w:rsidRPr="005E0DD9" w:rsidRDefault="003638D2" w:rsidP="002244A0">
            <w:pPr>
              <w:jc w:val="both"/>
              <w:rPr>
                <w:rFonts w:eastAsia="Calibri"/>
                <w:sz w:val="20"/>
              </w:rPr>
            </w:pPr>
            <w:r w:rsidRPr="005E0DD9">
              <w:rPr>
                <w:rFonts w:eastAsia="Calibri"/>
                <w:sz w:val="20"/>
              </w:rPr>
              <w:t>Teal Cedar Products Ltd. (the “Respondent”) held a forest licence entitling it to harvest annually a stipulated volume of timber from a specified area in British Columbia.  In 1993, Her Majesty the Queen in Right of the Province of British Columbia as represented by the Ministry of Forests (the “Applicant”) imposed a moratorium on harvesting for the purpose of considering the creation of a new provincial park.  In 1995, part of the area at issue was used to create a new provincial park and logging became prohibited within the park boundaries.  The Respondent’s allowable annual cut (the “AAC”) under its harvesting licence was ultimately reduced in 1999.  The Respondent’s claim for compensation for partial expropriation as a result of the AAC reduction was thereafter submitted to arbitration, which resulted in the Award (i) dismissing the Respondent’s claim for losses suffered prior to the reduction in its AAC and (ii) awarding compensation after that period totaling $6.35 million plus compound interest and actual reasonable legal costs agreed upon by the parties on an indemnity basis totaling $1.02 million.</w:t>
            </w:r>
          </w:p>
          <w:p w:rsidR="003638D2" w:rsidRPr="005E0DD9" w:rsidRDefault="003638D2" w:rsidP="002244A0">
            <w:pPr>
              <w:jc w:val="both"/>
              <w:rPr>
                <w:rFonts w:eastAsia="Calibri"/>
                <w:sz w:val="20"/>
              </w:rPr>
            </w:pPr>
          </w:p>
        </w:tc>
      </w:tr>
      <w:tr w:rsidR="003638D2" w:rsidRPr="005E0DD9" w:rsidTr="002244A0">
        <w:tc>
          <w:tcPr>
            <w:tcW w:w="2427" w:type="pct"/>
          </w:tcPr>
          <w:p w:rsidR="003638D2" w:rsidRPr="005E0DD9" w:rsidRDefault="003638D2" w:rsidP="002244A0">
            <w:pPr>
              <w:jc w:val="both"/>
              <w:rPr>
                <w:rFonts w:eastAsia="Calibri"/>
                <w:sz w:val="20"/>
              </w:rPr>
            </w:pPr>
            <w:r w:rsidRPr="005E0DD9">
              <w:rPr>
                <w:rFonts w:eastAsia="Calibri"/>
                <w:sz w:val="20"/>
              </w:rPr>
              <w:t>March 24, 2011</w:t>
            </w:r>
          </w:p>
          <w:p w:rsidR="003638D2" w:rsidRPr="005E0DD9" w:rsidRDefault="003638D2" w:rsidP="002244A0">
            <w:pPr>
              <w:jc w:val="both"/>
              <w:rPr>
                <w:rFonts w:eastAsia="Calibri"/>
                <w:sz w:val="20"/>
              </w:rPr>
            </w:pPr>
            <w:r w:rsidRPr="005E0DD9">
              <w:rPr>
                <w:rFonts w:eastAsia="Calibri"/>
                <w:sz w:val="20"/>
              </w:rPr>
              <w:t>Supreme Court of British Columbia</w:t>
            </w:r>
          </w:p>
          <w:p w:rsidR="003638D2" w:rsidRPr="005E0DD9" w:rsidRDefault="003638D2" w:rsidP="002244A0">
            <w:pPr>
              <w:jc w:val="both"/>
              <w:rPr>
                <w:rFonts w:eastAsia="Calibri"/>
                <w:sz w:val="20"/>
              </w:rPr>
            </w:pPr>
            <w:r w:rsidRPr="005E0DD9">
              <w:rPr>
                <w:rFonts w:eastAsia="Calibri"/>
                <w:sz w:val="20"/>
              </w:rPr>
              <w:t>(Macaulay J.)</w:t>
            </w:r>
          </w:p>
          <w:p w:rsidR="003638D2" w:rsidRPr="005E0DD9" w:rsidRDefault="003638D2" w:rsidP="002244A0">
            <w:pPr>
              <w:jc w:val="both"/>
              <w:rPr>
                <w:rFonts w:eastAsia="Calibri"/>
                <w:sz w:val="20"/>
              </w:rPr>
            </w:pPr>
            <w:r w:rsidRPr="005E0DD9">
              <w:rPr>
                <w:rFonts w:eastAsia="Calibri"/>
                <w:sz w:val="20"/>
              </w:rPr>
              <w:t>S106266; S106286</w:t>
            </w:r>
          </w:p>
          <w:p w:rsidR="003638D2" w:rsidRPr="005E0DD9" w:rsidRDefault="003638D2" w:rsidP="002244A0">
            <w:pPr>
              <w:jc w:val="both"/>
              <w:rPr>
                <w:rFonts w:eastAsia="Calibri"/>
                <w:sz w:val="20"/>
              </w:rPr>
            </w:pPr>
            <w:r w:rsidRPr="005E0DD9">
              <w:rPr>
                <w:rFonts w:eastAsia="Calibri"/>
                <w:sz w:val="20"/>
              </w:rPr>
              <w:t>2011 BCSC 360</w:t>
            </w:r>
          </w:p>
          <w:p w:rsidR="003638D2" w:rsidRPr="005E0DD9" w:rsidRDefault="003638D2" w:rsidP="002244A0">
            <w:pPr>
              <w:jc w:val="both"/>
              <w:rPr>
                <w:rFonts w:eastAsia="Calibri"/>
                <w:sz w:val="20"/>
              </w:rPr>
            </w:pPr>
          </w:p>
        </w:tc>
        <w:tc>
          <w:tcPr>
            <w:tcW w:w="243" w:type="pct"/>
          </w:tcPr>
          <w:p w:rsidR="003638D2" w:rsidRPr="005E0DD9" w:rsidRDefault="003638D2" w:rsidP="002244A0">
            <w:pPr>
              <w:jc w:val="both"/>
              <w:rPr>
                <w:rFonts w:eastAsia="Calibri"/>
                <w:sz w:val="20"/>
              </w:rPr>
            </w:pPr>
          </w:p>
        </w:tc>
        <w:tc>
          <w:tcPr>
            <w:tcW w:w="2330" w:type="pct"/>
          </w:tcPr>
          <w:p w:rsidR="003638D2" w:rsidRPr="005E0DD9" w:rsidRDefault="003638D2" w:rsidP="002244A0">
            <w:pPr>
              <w:jc w:val="both"/>
              <w:rPr>
                <w:rFonts w:eastAsia="Calibri"/>
                <w:sz w:val="20"/>
              </w:rPr>
            </w:pPr>
            <w:r w:rsidRPr="005E0DD9">
              <w:rPr>
                <w:rFonts w:eastAsia="Calibri"/>
                <w:sz w:val="20"/>
              </w:rPr>
              <w:t>The Respondent’s application for leave to appeal certain aspects of arbitration awards issued by the Honourable Allan Thackray, Q.C., dated June 15, 2010, July 19, 2010, August 9, 2010 and November 5, 2010  (collectively, the “Award”) allowed in part; the Applicant’s application for leave to appeal certain aspects of the Award dismissed.</w:t>
            </w:r>
          </w:p>
          <w:p w:rsidR="003638D2" w:rsidRPr="005E0DD9" w:rsidRDefault="003638D2" w:rsidP="002244A0">
            <w:pPr>
              <w:jc w:val="both"/>
              <w:rPr>
                <w:rFonts w:eastAsia="Calibri"/>
                <w:sz w:val="20"/>
              </w:rPr>
            </w:pPr>
          </w:p>
        </w:tc>
      </w:tr>
      <w:tr w:rsidR="003638D2" w:rsidRPr="005E0DD9" w:rsidTr="002244A0">
        <w:tc>
          <w:tcPr>
            <w:tcW w:w="2427" w:type="pct"/>
          </w:tcPr>
          <w:p w:rsidR="003638D2" w:rsidRPr="005E0DD9" w:rsidRDefault="003638D2" w:rsidP="002244A0">
            <w:pPr>
              <w:jc w:val="both"/>
              <w:rPr>
                <w:rFonts w:eastAsia="Calibri"/>
                <w:sz w:val="20"/>
              </w:rPr>
            </w:pPr>
            <w:r w:rsidRPr="005E0DD9">
              <w:rPr>
                <w:rFonts w:eastAsia="Calibri"/>
                <w:sz w:val="20"/>
              </w:rPr>
              <w:t>February 13, 2012</w:t>
            </w:r>
          </w:p>
          <w:p w:rsidR="003638D2" w:rsidRPr="005E0DD9" w:rsidRDefault="003638D2" w:rsidP="002244A0">
            <w:pPr>
              <w:jc w:val="both"/>
              <w:rPr>
                <w:rFonts w:eastAsia="Calibri"/>
                <w:sz w:val="20"/>
              </w:rPr>
            </w:pPr>
            <w:r w:rsidRPr="005E0DD9">
              <w:rPr>
                <w:rFonts w:eastAsia="Calibri"/>
                <w:sz w:val="20"/>
              </w:rPr>
              <w:t>Court of Appeal for British Columbia (Vancouver)</w:t>
            </w:r>
          </w:p>
          <w:p w:rsidR="003638D2" w:rsidRPr="005E0DD9" w:rsidRDefault="003638D2" w:rsidP="002244A0">
            <w:pPr>
              <w:jc w:val="both"/>
              <w:rPr>
                <w:rFonts w:eastAsia="Calibri"/>
                <w:sz w:val="20"/>
              </w:rPr>
            </w:pPr>
            <w:r w:rsidRPr="005E0DD9">
              <w:rPr>
                <w:rFonts w:eastAsia="Calibri"/>
                <w:sz w:val="20"/>
              </w:rPr>
              <w:t>(Saunders, Levine and Hinkson JJ.A.)</w:t>
            </w:r>
          </w:p>
          <w:p w:rsidR="003638D2" w:rsidRPr="005E0DD9" w:rsidRDefault="003638D2" w:rsidP="002244A0">
            <w:pPr>
              <w:jc w:val="both"/>
              <w:rPr>
                <w:rFonts w:eastAsia="Calibri"/>
                <w:sz w:val="20"/>
              </w:rPr>
            </w:pPr>
            <w:r w:rsidRPr="005E0DD9">
              <w:rPr>
                <w:rFonts w:eastAsia="Calibri"/>
                <w:sz w:val="20"/>
              </w:rPr>
              <w:t>CA038979; CA038980; CA038983</w:t>
            </w:r>
          </w:p>
          <w:p w:rsidR="003638D2" w:rsidRPr="005E0DD9" w:rsidRDefault="003638D2" w:rsidP="002244A0">
            <w:pPr>
              <w:jc w:val="both"/>
              <w:rPr>
                <w:rFonts w:eastAsia="Calibri"/>
                <w:sz w:val="20"/>
              </w:rPr>
            </w:pPr>
            <w:r w:rsidRPr="005E0DD9">
              <w:rPr>
                <w:rFonts w:eastAsia="Calibri"/>
                <w:sz w:val="20"/>
              </w:rPr>
              <w:t>2012 BCCA 70</w:t>
            </w:r>
          </w:p>
          <w:p w:rsidR="003638D2" w:rsidRPr="005E0DD9" w:rsidRDefault="003638D2" w:rsidP="002244A0">
            <w:pPr>
              <w:jc w:val="both"/>
              <w:rPr>
                <w:rFonts w:eastAsia="Calibri"/>
                <w:sz w:val="20"/>
              </w:rPr>
            </w:pPr>
          </w:p>
        </w:tc>
        <w:tc>
          <w:tcPr>
            <w:tcW w:w="243" w:type="pct"/>
          </w:tcPr>
          <w:p w:rsidR="003638D2" w:rsidRPr="005E0DD9" w:rsidRDefault="003638D2" w:rsidP="002244A0">
            <w:pPr>
              <w:jc w:val="both"/>
              <w:rPr>
                <w:rFonts w:eastAsia="Calibri"/>
                <w:sz w:val="20"/>
              </w:rPr>
            </w:pPr>
          </w:p>
        </w:tc>
        <w:tc>
          <w:tcPr>
            <w:tcW w:w="2330" w:type="pct"/>
          </w:tcPr>
          <w:p w:rsidR="003638D2" w:rsidRPr="005E0DD9" w:rsidRDefault="003638D2" w:rsidP="002244A0">
            <w:pPr>
              <w:jc w:val="both"/>
              <w:rPr>
                <w:rFonts w:eastAsia="Calibri"/>
                <w:sz w:val="20"/>
              </w:rPr>
            </w:pPr>
            <w:r w:rsidRPr="005E0DD9">
              <w:rPr>
                <w:rFonts w:eastAsia="Calibri"/>
                <w:sz w:val="20"/>
              </w:rPr>
              <w:t>The Applicant’s appeal allowed in part; the Respondent’s cross-appeal dismissed.</w:t>
            </w:r>
          </w:p>
          <w:p w:rsidR="003638D2" w:rsidRPr="005E0DD9" w:rsidRDefault="003638D2" w:rsidP="002244A0">
            <w:pPr>
              <w:jc w:val="both"/>
              <w:rPr>
                <w:rFonts w:eastAsia="Calibri"/>
                <w:sz w:val="20"/>
              </w:rPr>
            </w:pPr>
          </w:p>
        </w:tc>
      </w:tr>
      <w:tr w:rsidR="003638D2" w:rsidRPr="005E0DD9" w:rsidTr="002244A0">
        <w:tc>
          <w:tcPr>
            <w:tcW w:w="2427" w:type="pct"/>
          </w:tcPr>
          <w:p w:rsidR="003638D2" w:rsidRPr="005E0DD9" w:rsidRDefault="003638D2" w:rsidP="002244A0">
            <w:pPr>
              <w:jc w:val="both"/>
              <w:rPr>
                <w:rFonts w:eastAsia="Calibri"/>
                <w:sz w:val="20"/>
              </w:rPr>
            </w:pPr>
            <w:r w:rsidRPr="005E0DD9">
              <w:rPr>
                <w:rFonts w:eastAsia="Calibri"/>
                <w:sz w:val="20"/>
              </w:rPr>
              <w:t>April 11, 2012</w:t>
            </w:r>
          </w:p>
          <w:p w:rsidR="003638D2" w:rsidRPr="005E0DD9" w:rsidRDefault="003638D2" w:rsidP="002244A0">
            <w:pPr>
              <w:jc w:val="both"/>
              <w:rPr>
                <w:rFonts w:eastAsia="Calibri"/>
                <w:sz w:val="20"/>
              </w:rPr>
            </w:pPr>
            <w:r w:rsidRPr="005E0DD9">
              <w:rPr>
                <w:rFonts w:eastAsia="Calibri"/>
                <w:sz w:val="20"/>
              </w:rPr>
              <w:t>Supreme Court of Canada</w:t>
            </w:r>
          </w:p>
        </w:tc>
        <w:tc>
          <w:tcPr>
            <w:tcW w:w="243" w:type="pct"/>
          </w:tcPr>
          <w:p w:rsidR="003638D2" w:rsidRPr="005E0DD9" w:rsidRDefault="003638D2" w:rsidP="002244A0">
            <w:pPr>
              <w:jc w:val="both"/>
              <w:rPr>
                <w:rFonts w:eastAsia="Calibri"/>
                <w:sz w:val="20"/>
              </w:rPr>
            </w:pPr>
          </w:p>
        </w:tc>
        <w:tc>
          <w:tcPr>
            <w:tcW w:w="2330" w:type="pct"/>
          </w:tcPr>
          <w:p w:rsidR="003638D2" w:rsidRPr="005E0DD9" w:rsidRDefault="003638D2" w:rsidP="002244A0">
            <w:pPr>
              <w:jc w:val="both"/>
              <w:rPr>
                <w:rFonts w:eastAsia="Calibri"/>
                <w:sz w:val="20"/>
              </w:rPr>
            </w:pPr>
            <w:r w:rsidRPr="005E0DD9">
              <w:rPr>
                <w:rFonts w:eastAsia="Calibri"/>
                <w:sz w:val="20"/>
              </w:rPr>
              <w:t>Application for leave to appeal filed.</w:t>
            </w:r>
          </w:p>
        </w:tc>
      </w:tr>
    </w:tbl>
    <w:p w:rsidR="003638D2" w:rsidRPr="00C50A5C" w:rsidRDefault="003638D2" w:rsidP="003638D2">
      <w:pPr>
        <w:rPr>
          <w:sz w:val="20"/>
          <w:szCs w:val="20"/>
        </w:rPr>
      </w:pPr>
    </w:p>
    <w:p w:rsidR="003638D2" w:rsidRPr="00C50A5C" w:rsidRDefault="00B62B14" w:rsidP="003638D2">
      <w:pPr>
        <w:rPr>
          <w:sz w:val="20"/>
          <w:szCs w:val="20"/>
        </w:rPr>
      </w:pPr>
      <w:r w:rsidRPr="00B62B14">
        <w:rPr>
          <w:sz w:val="20"/>
          <w:szCs w:val="20"/>
          <w:lang w:val="fr-CA"/>
        </w:rPr>
        <w:pict>
          <v:rect id="_x0000_i1042" style="width:2in;height:1pt" o:hrpct="0" o:hralign="center" o:hrstd="t" o:hrnoshade="t" o:hr="t" fillcolor="black [3213]" stroked="f"/>
        </w:pict>
      </w:r>
    </w:p>
    <w:p w:rsidR="003638D2" w:rsidRDefault="003638D2" w:rsidP="003638D2">
      <w:pPr>
        <w:rPr>
          <w:sz w:val="20"/>
          <w:szCs w:val="20"/>
        </w:rPr>
      </w:pPr>
    </w:p>
    <w:p w:rsidR="003638D2" w:rsidRPr="001B157C" w:rsidRDefault="003638D2" w:rsidP="003638D2">
      <w:pPr>
        <w:rPr>
          <w:sz w:val="20"/>
          <w:szCs w:val="20"/>
          <w:u w:val="single"/>
          <w:lang w:val="fr-CA"/>
        </w:rPr>
      </w:pPr>
      <w:r w:rsidRPr="001B157C">
        <w:rPr>
          <w:sz w:val="20"/>
          <w:szCs w:val="20"/>
          <w:u w:val="single"/>
          <w:lang w:val="fr-CA"/>
        </w:rPr>
        <w:lastRenderedPageBreak/>
        <w:t>RÉSUMÉ DE L’AFFAIRE</w:t>
      </w:r>
    </w:p>
    <w:p w:rsidR="003638D2" w:rsidRDefault="003638D2" w:rsidP="003638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38D2" w:rsidRPr="00835818" w:rsidTr="002244A0">
        <w:tc>
          <w:tcPr>
            <w:tcW w:w="5000" w:type="pct"/>
            <w:gridSpan w:val="3"/>
          </w:tcPr>
          <w:p w:rsidR="003638D2" w:rsidRPr="005E0DD9" w:rsidRDefault="003638D2" w:rsidP="002244A0">
            <w:pPr>
              <w:jc w:val="both"/>
              <w:rPr>
                <w:rFonts w:eastAsia="Calibri"/>
                <w:sz w:val="20"/>
                <w:lang w:val="fr-FR"/>
              </w:rPr>
            </w:pPr>
            <w:r w:rsidRPr="005E0DD9">
              <w:rPr>
                <w:rFonts w:eastAsia="Calibri"/>
                <w:sz w:val="20"/>
                <w:lang w:val="fr-FR"/>
              </w:rPr>
              <w:t>Intérêts – Intérêts composés accordés par l’arbitre au titulaire d’un permis d’exploitation forestière comme partie de l’indemnité pour expropriation – Ordonnance de l’arbitre sur les intérêts composés confirmée par la Cour suprême de la Colombie-Britannique</w:t>
            </w:r>
            <w:r w:rsidRPr="005E0DD9">
              <w:rPr>
                <w:rFonts w:eastAsia="Calibri"/>
                <w:sz w:val="20"/>
                <w:lang w:val="fr-FR" w:eastAsia="fr-CA"/>
              </w:rPr>
              <w:t xml:space="preserve"> – Absence de raison, selon la Cour d’appel, d’intervenir à l’égard de la confirmation par le tribunal inférieur de l’ordonnance de l’arbitre sur les intérêts composés</w:t>
            </w:r>
            <w:r w:rsidRPr="005E0DD9">
              <w:rPr>
                <w:rFonts w:eastAsia="Calibri"/>
                <w:sz w:val="20"/>
                <w:lang w:val="fr-FR"/>
              </w:rPr>
              <w:t xml:space="preserve"> – Le tribunal peut-il attribuer des intérêts composés relativement à un jugement pécuniaire malgré l’existence d’une disposition législative limitant l’intérêt avant jugement à l’intérêt simple? – Dans l’affirmative, quelles considérations guident le tribunal dans l’exercice de son pouvoir discrétionnaire d’attribuer des intérêts composés en l’absence de directives législatives sur ce point? – Le pouvoir discrétionnaire permet-il d’accorder des intérêts composés dans d’autres cas que ceux de rupture de contrat? – Est-il possible d’attribuer des intérêts composés lorsque le droit du demandeur à une indemnité repose entièrement sur un texte législatif qui ne prévoit pas l’octroi d’intérêts composés? – </w:t>
            </w:r>
            <w:r w:rsidRPr="005E0DD9">
              <w:rPr>
                <w:rFonts w:eastAsia="Calibri"/>
                <w:i/>
                <w:iCs/>
                <w:sz w:val="20"/>
                <w:lang w:val="fr-FR"/>
              </w:rPr>
              <w:t>Protected Areas Forests Compensation Act</w:t>
            </w:r>
            <w:r w:rsidRPr="005E0DD9">
              <w:rPr>
                <w:rFonts w:eastAsia="Calibri"/>
                <w:sz w:val="20"/>
                <w:lang w:val="fr-FR"/>
              </w:rPr>
              <w:t>, S.B.C. 2002, ch. 51, art. 2(1), 7, 7(0.1), 7(1)</w:t>
            </w:r>
            <w:r w:rsidRPr="005E0DD9">
              <w:rPr>
                <w:rFonts w:eastAsia="Calibri"/>
                <w:i/>
                <w:sz w:val="20"/>
                <w:lang w:val="fr-FR"/>
              </w:rPr>
              <w:t>a</w:t>
            </w:r>
            <w:r w:rsidRPr="005E0DD9">
              <w:rPr>
                <w:rFonts w:eastAsia="Calibri"/>
                <w:sz w:val="20"/>
                <w:lang w:val="fr-FR"/>
              </w:rPr>
              <w:t>), 7(1)</w:t>
            </w:r>
            <w:r w:rsidRPr="005E0DD9">
              <w:rPr>
                <w:rFonts w:eastAsia="Calibri"/>
                <w:i/>
                <w:sz w:val="20"/>
                <w:lang w:val="fr-FR"/>
              </w:rPr>
              <w:t>b</w:t>
            </w:r>
            <w:r w:rsidRPr="005E0DD9">
              <w:rPr>
                <w:rFonts w:eastAsia="Calibri"/>
                <w:sz w:val="20"/>
                <w:lang w:val="fr-FR"/>
              </w:rPr>
              <w:t>), 7(1)</w:t>
            </w:r>
            <w:r w:rsidRPr="005E0DD9">
              <w:rPr>
                <w:rFonts w:eastAsia="Calibri"/>
                <w:i/>
                <w:sz w:val="20"/>
                <w:lang w:val="fr-FR"/>
              </w:rPr>
              <w:t>c</w:t>
            </w:r>
            <w:r w:rsidRPr="005E0DD9">
              <w:rPr>
                <w:rFonts w:eastAsia="Calibri"/>
                <w:sz w:val="20"/>
                <w:lang w:val="fr-FR"/>
              </w:rPr>
              <w:t xml:space="preserve">) – </w:t>
            </w:r>
            <w:r w:rsidRPr="005E0DD9">
              <w:rPr>
                <w:rFonts w:eastAsia="Calibri"/>
                <w:i/>
                <w:iCs/>
                <w:sz w:val="20"/>
                <w:lang w:val="fr-FR"/>
              </w:rPr>
              <w:t>Forest Act</w:t>
            </w:r>
            <w:r w:rsidRPr="005E0DD9">
              <w:rPr>
                <w:rFonts w:eastAsia="Calibri"/>
                <w:sz w:val="20"/>
                <w:lang w:val="fr-FR"/>
              </w:rPr>
              <w:t>, R.S.B.C. 1996, ch. 157, art. 14, 60, 60(1)</w:t>
            </w:r>
            <w:r w:rsidRPr="005E0DD9">
              <w:rPr>
                <w:rFonts w:eastAsia="Calibri"/>
                <w:i/>
                <w:sz w:val="20"/>
                <w:lang w:val="fr-FR"/>
              </w:rPr>
              <w:t>a</w:t>
            </w:r>
            <w:r w:rsidRPr="005E0DD9">
              <w:rPr>
                <w:rFonts w:eastAsia="Calibri"/>
                <w:sz w:val="20"/>
                <w:lang w:val="fr-FR"/>
              </w:rPr>
              <w:t>), 60(1)</w:t>
            </w:r>
            <w:r w:rsidRPr="005E0DD9">
              <w:rPr>
                <w:rFonts w:eastAsia="Calibri"/>
                <w:i/>
                <w:sz w:val="20"/>
                <w:lang w:val="fr-FR"/>
              </w:rPr>
              <w:t>b</w:t>
            </w:r>
            <w:r w:rsidRPr="005E0DD9">
              <w:rPr>
                <w:rFonts w:eastAsia="Calibri"/>
                <w:sz w:val="20"/>
                <w:lang w:val="fr-FR"/>
              </w:rPr>
              <w:t>), 60(1)</w:t>
            </w:r>
            <w:r w:rsidRPr="005E0DD9">
              <w:rPr>
                <w:rFonts w:eastAsia="Calibri"/>
                <w:i/>
                <w:sz w:val="20"/>
                <w:lang w:val="fr-FR"/>
              </w:rPr>
              <w:t>c</w:t>
            </w:r>
            <w:r w:rsidRPr="005E0DD9">
              <w:rPr>
                <w:rFonts w:eastAsia="Calibri"/>
                <w:sz w:val="20"/>
                <w:lang w:val="fr-FR"/>
              </w:rPr>
              <w:t xml:space="preserve">), 60(4) – </w:t>
            </w:r>
            <w:r w:rsidRPr="005E0DD9">
              <w:rPr>
                <w:rFonts w:eastAsia="Calibri"/>
                <w:i/>
                <w:iCs/>
                <w:sz w:val="20"/>
                <w:lang w:val="fr-FR"/>
              </w:rPr>
              <w:t xml:space="preserve">Park Amendment Act, </w:t>
            </w:r>
            <w:r w:rsidRPr="005E0DD9">
              <w:rPr>
                <w:rFonts w:eastAsia="Calibri"/>
                <w:sz w:val="20"/>
                <w:lang w:val="fr-FR"/>
              </w:rPr>
              <w:t xml:space="preserve">S.B.C. 1995, ch. 54 – </w:t>
            </w:r>
            <w:r w:rsidRPr="005E0DD9">
              <w:rPr>
                <w:rFonts w:eastAsia="Calibri"/>
                <w:i/>
                <w:sz w:val="20"/>
                <w:lang w:val="fr-FR"/>
              </w:rPr>
              <w:t>Expropriation</w:t>
            </w:r>
            <w:r w:rsidRPr="005E0DD9">
              <w:rPr>
                <w:rFonts w:eastAsia="Calibri"/>
                <w:i/>
                <w:iCs/>
                <w:sz w:val="20"/>
                <w:lang w:val="fr-FR"/>
              </w:rPr>
              <w:t xml:space="preserve"> Act, </w:t>
            </w:r>
            <w:r w:rsidRPr="005E0DD9">
              <w:rPr>
                <w:rFonts w:eastAsia="Calibri"/>
                <w:sz w:val="20"/>
                <w:lang w:val="fr-FR"/>
              </w:rPr>
              <w:t xml:space="preserve">R.S.B.C. 1996, ch. 125 – </w:t>
            </w:r>
            <w:r w:rsidRPr="005E0DD9">
              <w:rPr>
                <w:rFonts w:eastAsia="Calibri"/>
                <w:i/>
                <w:iCs/>
                <w:sz w:val="20"/>
                <w:lang w:val="fr-FR"/>
              </w:rPr>
              <w:t xml:space="preserve">Commercial Arbitration Act, </w:t>
            </w:r>
            <w:r w:rsidRPr="005E0DD9">
              <w:rPr>
                <w:rFonts w:eastAsia="Calibri"/>
                <w:sz w:val="20"/>
                <w:lang w:val="fr-FR"/>
              </w:rPr>
              <w:t xml:space="preserve">R.S.B.C. 1996, ch. 55, art. 28, 31 – </w:t>
            </w:r>
            <w:r w:rsidRPr="005E0DD9">
              <w:rPr>
                <w:rFonts w:eastAsia="Calibri"/>
                <w:i/>
                <w:iCs/>
                <w:sz w:val="20"/>
                <w:lang w:val="fr-FR"/>
              </w:rPr>
              <w:t xml:space="preserve">Court Order Interest Act, </w:t>
            </w:r>
            <w:r w:rsidRPr="005E0DD9">
              <w:rPr>
                <w:rFonts w:eastAsia="Calibri"/>
                <w:sz w:val="20"/>
                <w:lang w:val="fr-FR"/>
              </w:rPr>
              <w:t>R.S.B.C. 1996, ch. 79, art. 1, 2.</w:t>
            </w:r>
          </w:p>
        </w:tc>
      </w:tr>
      <w:tr w:rsidR="003638D2" w:rsidRPr="00835818" w:rsidTr="002244A0">
        <w:tc>
          <w:tcPr>
            <w:tcW w:w="5000" w:type="pct"/>
            <w:gridSpan w:val="3"/>
          </w:tcPr>
          <w:p w:rsidR="003638D2" w:rsidRPr="005E0DD9" w:rsidRDefault="003638D2" w:rsidP="002244A0">
            <w:pPr>
              <w:jc w:val="both"/>
              <w:rPr>
                <w:rFonts w:eastAsia="Calibri"/>
                <w:sz w:val="20"/>
                <w:lang w:val="fr-FR"/>
              </w:rPr>
            </w:pPr>
          </w:p>
        </w:tc>
      </w:tr>
      <w:tr w:rsidR="003638D2" w:rsidRPr="00835818" w:rsidTr="002244A0">
        <w:tc>
          <w:tcPr>
            <w:tcW w:w="5000" w:type="pct"/>
            <w:gridSpan w:val="3"/>
          </w:tcPr>
          <w:p w:rsidR="003638D2" w:rsidRPr="005E0DD9" w:rsidRDefault="003638D2" w:rsidP="002244A0">
            <w:pPr>
              <w:jc w:val="both"/>
              <w:rPr>
                <w:rFonts w:eastAsia="Calibri"/>
                <w:sz w:val="20"/>
                <w:lang w:val="fr-FR"/>
              </w:rPr>
            </w:pPr>
            <w:r w:rsidRPr="005E0DD9">
              <w:rPr>
                <w:rFonts w:eastAsia="Calibri"/>
                <w:sz w:val="20"/>
                <w:lang w:val="fr-FR"/>
              </w:rPr>
              <w:t>Teal Cedar Products Ltd. (l’« intimée ») détenait un permis d’exploitation forestière l’autorisant à récolter chaque année un volume prévu de bois dans une région donnée de la Colombie-Britannique. En 1993, Sa Majesté la Reine du chef de la province de la Colombie-Britannique, représentée par le ministère des Forêts (la « demanderesse ») a imposé un moratoire sur la récolte dans le but d’examiner la possibilité de créer un nouveau parc provincial. En 1995, une partie de la région en cause est devenue un nouveau parc provincial et l’exploitation forestière y a été interdite. La possibilité annuelle de coupe (la « PAC ») attribuée à l’intimée dans son permis de récolte a finalement été réduite en 1999. La demande d’indemnisation présentée par l’intimée pour l’expropriation partielle en raison de la réduction de sa PAC a donc été soumise à l’arbitrage, qui a donné lieu à une décision (i) rejetant la demande de l’intimée visant à se faire indemniser des pertes subies avant la réduction de sa PAC et (ii) octroyant une indemnité totale de 6,35 millions de dollars pour les pertes subies après la réduction de sa PAC, plus les intérêts composés et les dépens raisonnables effectivement engagés dont ont convenu les parties sur une base d’indemnisation, dépens qui s’élèvent à 1,02 million de dollars.</w:t>
            </w:r>
          </w:p>
          <w:p w:rsidR="003638D2" w:rsidRPr="005E0DD9" w:rsidRDefault="003638D2" w:rsidP="002244A0">
            <w:pPr>
              <w:jc w:val="both"/>
              <w:rPr>
                <w:rFonts w:eastAsia="Calibri"/>
                <w:sz w:val="20"/>
                <w:lang w:val="fr-FR"/>
              </w:rPr>
            </w:pPr>
          </w:p>
        </w:tc>
      </w:tr>
      <w:tr w:rsidR="003638D2" w:rsidRPr="008F355F" w:rsidTr="002244A0">
        <w:tc>
          <w:tcPr>
            <w:tcW w:w="2427" w:type="pct"/>
          </w:tcPr>
          <w:p w:rsidR="003638D2" w:rsidRPr="005E0DD9" w:rsidRDefault="003638D2" w:rsidP="002244A0">
            <w:pPr>
              <w:jc w:val="both"/>
              <w:rPr>
                <w:rFonts w:eastAsia="Calibri"/>
                <w:sz w:val="20"/>
                <w:lang w:val="fr-FR"/>
              </w:rPr>
            </w:pPr>
            <w:r w:rsidRPr="005E0DD9">
              <w:rPr>
                <w:rFonts w:eastAsia="Calibri"/>
                <w:sz w:val="20"/>
                <w:lang w:val="fr-FR"/>
              </w:rPr>
              <w:t>24 mars 2011</w:t>
            </w:r>
          </w:p>
          <w:p w:rsidR="003638D2" w:rsidRPr="005E0DD9" w:rsidRDefault="003638D2" w:rsidP="002244A0">
            <w:pPr>
              <w:jc w:val="both"/>
              <w:rPr>
                <w:rFonts w:eastAsia="Calibri"/>
                <w:sz w:val="20"/>
                <w:lang w:val="fr-FR"/>
              </w:rPr>
            </w:pPr>
            <w:r w:rsidRPr="005E0DD9">
              <w:rPr>
                <w:rFonts w:eastAsia="Calibri"/>
                <w:sz w:val="20"/>
                <w:lang w:val="fr-FR"/>
              </w:rPr>
              <w:t>Cour suprême de la Colombie-Britannique</w:t>
            </w:r>
          </w:p>
          <w:p w:rsidR="003638D2" w:rsidRPr="005E0DD9" w:rsidRDefault="003638D2" w:rsidP="002244A0">
            <w:pPr>
              <w:jc w:val="both"/>
              <w:rPr>
                <w:rFonts w:eastAsia="Calibri"/>
                <w:sz w:val="20"/>
              </w:rPr>
            </w:pPr>
            <w:r w:rsidRPr="005E0DD9">
              <w:rPr>
                <w:rFonts w:eastAsia="Calibri"/>
                <w:sz w:val="20"/>
              </w:rPr>
              <w:t>(Juge Macaulay)</w:t>
            </w:r>
          </w:p>
          <w:p w:rsidR="003638D2" w:rsidRPr="005E0DD9" w:rsidRDefault="003638D2" w:rsidP="002244A0">
            <w:pPr>
              <w:jc w:val="both"/>
              <w:rPr>
                <w:rFonts w:eastAsia="Calibri"/>
                <w:sz w:val="20"/>
              </w:rPr>
            </w:pPr>
            <w:r w:rsidRPr="005E0DD9">
              <w:rPr>
                <w:rFonts w:eastAsia="Calibri"/>
                <w:sz w:val="20"/>
              </w:rPr>
              <w:t>S106266; S106286</w:t>
            </w:r>
          </w:p>
          <w:p w:rsidR="003638D2" w:rsidRPr="005E0DD9" w:rsidRDefault="003638D2" w:rsidP="002244A0">
            <w:pPr>
              <w:jc w:val="both"/>
              <w:rPr>
                <w:rFonts w:eastAsia="Calibri"/>
                <w:sz w:val="20"/>
              </w:rPr>
            </w:pPr>
            <w:r w:rsidRPr="005E0DD9">
              <w:rPr>
                <w:rFonts w:eastAsia="Calibri"/>
                <w:sz w:val="20"/>
              </w:rPr>
              <w:t>2011 BCSC 360</w:t>
            </w:r>
          </w:p>
          <w:p w:rsidR="003638D2" w:rsidRPr="005E0DD9" w:rsidRDefault="003638D2" w:rsidP="002244A0">
            <w:pPr>
              <w:jc w:val="both"/>
              <w:rPr>
                <w:rFonts w:eastAsia="Calibri"/>
                <w:sz w:val="20"/>
              </w:rPr>
            </w:pPr>
          </w:p>
        </w:tc>
        <w:tc>
          <w:tcPr>
            <w:tcW w:w="243" w:type="pct"/>
          </w:tcPr>
          <w:p w:rsidR="003638D2" w:rsidRPr="005E0DD9" w:rsidRDefault="003638D2" w:rsidP="002244A0">
            <w:pPr>
              <w:jc w:val="both"/>
              <w:rPr>
                <w:rFonts w:eastAsia="Calibri"/>
                <w:sz w:val="20"/>
              </w:rPr>
            </w:pPr>
          </w:p>
        </w:tc>
        <w:tc>
          <w:tcPr>
            <w:tcW w:w="2330" w:type="pct"/>
          </w:tcPr>
          <w:p w:rsidR="003638D2" w:rsidRPr="005E0DD9" w:rsidRDefault="003638D2" w:rsidP="002244A0">
            <w:pPr>
              <w:jc w:val="both"/>
              <w:rPr>
                <w:rFonts w:eastAsia="Calibri"/>
                <w:sz w:val="20"/>
                <w:lang w:val="fr-FR"/>
              </w:rPr>
            </w:pPr>
            <w:r w:rsidRPr="005E0DD9">
              <w:rPr>
                <w:rFonts w:eastAsia="Calibri"/>
                <w:sz w:val="20"/>
                <w:lang w:val="fr-FR"/>
              </w:rPr>
              <w:t>Demande de l’intimée en vue d’obtenir l’autorisation d’interjeter appel de certains aspects des décisions arbitrales de l’honorable Allan Thackray, c.r., datées respectivement des 15 juin, 19 juillet, 9 août et 5 novembre 2010 (appelées collectivement la « décision ») accueillie en partie; demande de la demanderesse visant à obtenir l’autorisation de porter en appel certains aspects de la décision rejetée.</w:t>
            </w:r>
          </w:p>
          <w:p w:rsidR="003638D2" w:rsidRPr="005E0DD9" w:rsidRDefault="003638D2" w:rsidP="002244A0">
            <w:pPr>
              <w:jc w:val="both"/>
              <w:rPr>
                <w:rFonts w:eastAsia="Calibri"/>
                <w:sz w:val="20"/>
                <w:lang w:val="fr-FR"/>
              </w:rPr>
            </w:pPr>
          </w:p>
        </w:tc>
      </w:tr>
      <w:tr w:rsidR="003638D2" w:rsidRPr="00835818" w:rsidTr="002244A0">
        <w:tc>
          <w:tcPr>
            <w:tcW w:w="2427" w:type="pct"/>
          </w:tcPr>
          <w:p w:rsidR="003638D2" w:rsidRPr="005E0DD9" w:rsidRDefault="003638D2" w:rsidP="002244A0">
            <w:pPr>
              <w:jc w:val="both"/>
              <w:rPr>
                <w:rFonts w:eastAsia="Calibri"/>
                <w:sz w:val="20"/>
                <w:lang w:val="fr-FR"/>
              </w:rPr>
            </w:pPr>
            <w:r w:rsidRPr="005E0DD9">
              <w:rPr>
                <w:rFonts w:eastAsia="Calibri"/>
                <w:sz w:val="20"/>
                <w:lang w:val="fr-FR"/>
              </w:rPr>
              <w:t>13 février 2012</w:t>
            </w:r>
          </w:p>
          <w:p w:rsidR="003638D2" w:rsidRPr="005E0DD9" w:rsidRDefault="003638D2" w:rsidP="002244A0">
            <w:pPr>
              <w:jc w:val="both"/>
              <w:rPr>
                <w:rFonts w:eastAsia="Calibri"/>
                <w:sz w:val="20"/>
                <w:lang w:val="fr-FR"/>
              </w:rPr>
            </w:pPr>
            <w:r w:rsidRPr="005E0DD9">
              <w:rPr>
                <w:rFonts w:eastAsia="Calibri"/>
                <w:sz w:val="20"/>
                <w:lang w:val="fr-FR"/>
              </w:rPr>
              <w:t>Cour d’appel de la Colombie-Britannique  (Vancouver)</w:t>
            </w:r>
          </w:p>
          <w:p w:rsidR="003638D2" w:rsidRPr="005E0DD9" w:rsidRDefault="003638D2" w:rsidP="002244A0">
            <w:pPr>
              <w:jc w:val="both"/>
              <w:rPr>
                <w:rFonts w:eastAsia="Calibri"/>
                <w:sz w:val="20"/>
                <w:lang w:val="fr-FR"/>
              </w:rPr>
            </w:pPr>
            <w:r w:rsidRPr="005E0DD9">
              <w:rPr>
                <w:rFonts w:eastAsia="Calibri"/>
                <w:sz w:val="20"/>
                <w:lang w:val="fr-FR"/>
              </w:rPr>
              <w:t>(Juges Saunders, Levine et Hinkson)</w:t>
            </w:r>
          </w:p>
          <w:p w:rsidR="003638D2" w:rsidRPr="005E0DD9" w:rsidRDefault="003638D2" w:rsidP="002244A0">
            <w:pPr>
              <w:jc w:val="both"/>
              <w:rPr>
                <w:rFonts w:eastAsia="Calibri"/>
                <w:sz w:val="20"/>
              </w:rPr>
            </w:pPr>
            <w:r w:rsidRPr="005E0DD9">
              <w:rPr>
                <w:rFonts w:eastAsia="Calibri"/>
                <w:sz w:val="20"/>
              </w:rPr>
              <w:t>CA038979; CA038980; CA038983</w:t>
            </w:r>
          </w:p>
          <w:p w:rsidR="003638D2" w:rsidRPr="005E0DD9" w:rsidRDefault="003638D2" w:rsidP="002244A0">
            <w:pPr>
              <w:jc w:val="both"/>
              <w:rPr>
                <w:rFonts w:eastAsia="Calibri"/>
                <w:sz w:val="20"/>
              </w:rPr>
            </w:pPr>
            <w:r w:rsidRPr="005E0DD9">
              <w:rPr>
                <w:rFonts w:eastAsia="Calibri"/>
                <w:sz w:val="20"/>
              </w:rPr>
              <w:t>2012 BCCA 70</w:t>
            </w:r>
          </w:p>
          <w:p w:rsidR="003638D2" w:rsidRPr="005E0DD9" w:rsidRDefault="003638D2" w:rsidP="002244A0">
            <w:pPr>
              <w:jc w:val="both"/>
              <w:rPr>
                <w:rFonts w:eastAsia="Calibri"/>
                <w:sz w:val="20"/>
              </w:rPr>
            </w:pPr>
          </w:p>
        </w:tc>
        <w:tc>
          <w:tcPr>
            <w:tcW w:w="243" w:type="pct"/>
          </w:tcPr>
          <w:p w:rsidR="003638D2" w:rsidRPr="005E0DD9" w:rsidRDefault="003638D2" w:rsidP="002244A0">
            <w:pPr>
              <w:jc w:val="both"/>
              <w:rPr>
                <w:rFonts w:eastAsia="Calibri"/>
                <w:sz w:val="20"/>
              </w:rPr>
            </w:pPr>
          </w:p>
        </w:tc>
        <w:tc>
          <w:tcPr>
            <w:tcW w:w="2330" w:type="pct"/>
          </w:tcPr>
          <w:p w:rsidR="003638D2" w:rsidRPr="005E0DD9" w:rsidRDefault="003638D2" w:rsidP="002244A0">
            <w:pPr>
              <w:jc w:val="both"/>
              <w:rPr>
                <w:rFonts w:eastAsia="Calibri"/>
                <w:sz w:val="20"/>
                <w:lang w:val="fr-FR"/>
              </w:rPr>
            </w:pPr>
            <w:r w:rsidRPr="005E0DD9">
              <w:rPr>
                <w:rFonts w:eastAsia="Calibri"/>
                <w:sz w:val="20"/>
                <w:lang w:val="fr-FR"/>
              </w:rPr>
              <w:t>Appel de la demanderesse accueilli en partie; appel incident de l’intimée rejeté.</w:t>
            </w:r>
          </w:p>
          <w:p w:rsidR="003638D2" w:rsidRPr="005E0DD9" w:rsidRDefault="003638D2" w:rsidP="002244A0">
            <w:pPr>
              <w:jc w:val="both"/>
              <w:rPr>
                <w:rFonts w:eastAsia="Calibri"/>
                <w:sz w:val="20"/>
                <w:lang w:val="fr-FR"/>
              </w:rPr>
            </w:pPr>
          </w:p>
        </w:tc>
      </w:tr>
      <w:tr w:rsidR="003638D2" w:rsidRPr="005E0DD9" w:rsidTr="002244A0">
        <w:tc>
          <w:tcPr>
            <w:tcW w:w="2427" w:type="pct"/>
          </w:tcPr>
          <w:p w:rsidR="003638D2" w:rsidRPr="005E0DD9" w:rsidRDefault="003638D2" w:rsidP="002244A0">
            <w:pPr>
              <w:jc w:val="both"/>
              <w:rPr>
                <w:rFonts w:eastAsia="Calibri"/>
                <w:sz w:val="20"/>
                <w:lang w:val="fr-FR"/>
              </w:rPr>
            </w:pPr>
            <w:r w:rsidRPr="005E0DD9">
              <w:rPr>
                <w:rFonts w:eastAsia="Calibri"/>
                <w:sz w:val="20"/>
                <w:lang w:val="fr-FR"/>
              </w:rPr>
              <w:t>11 avril 2012</w:t>
            </w:r>
          </w:p>
          <w:p w:rsidR="003638D2" w:rsidRPr="005E0DD9" w:rsidRDefault="003638D2" w:rsidP="002244A0">
            <w:pPr>
              <w:jc w:val="both"/>
              <w:rPr>
                <w:rFonts w:eastAsia="Calibri"/>
                <w:sz w:val="20"/>
                <w:lang w:val="fr-FR"/>
              </w:rPr>
            </w:pPr>
            <w:r w:rsidRPr="005E0DD9">
              <w:rPr>
                <w:rFonts w:eastAsia="Calibri"/>
                <w:sz w:val="20"/>
                <w:lang w:val="fr-FR"/>
              </w:rPr>
              <w:t>Cour suprême du Canada</w:t>
            </w:r>
          </w:p>
        </w:tc>
        <w:tc>
          <w:tcPr>
            <w:tcW w:w="243" w:type="pct"/>
          </w:tcPr>
          <w:p w:rsidR="003638D2" w:rsidRPr="005E0DD9" w:rsidRDefault="003638D2" w:rsidP="002244A0">
            <w:pPr>
              <w:jc w:val="both"/>
              <w:rPr>
                <w:rFonts w:eastAsia="Calibri"/>
                <w:sz w:val="20"/>
                <w:lang w:val="fr-FR"/>
              </w:rPr>
            </w:pPr>
          </w:p>
        </w:tc>
        <w:tc>
          <w:tcPr>
            <w:tcW w:w="2330" w:type="pct"/>
          </w:tcPr>
          <w:p w:rsidR="003638D2" w:rsidRPr="005E0DD9" w:rsidRDefault="003638D2" w:rsidP="002244A0">
            <w:pPr>
              <w:jc w:val="both"/>
              <w:rPr>
                <w:rFonts w:eastAsia="Calibri"/>
                <w:sz w:val="20"/>
              </w:rPr>
            </w:pPr>
            <w:r w:rsidRPr="005E0DD9">
              <w:rPr>
                <w:rFonts w:eastAsia="Calibri"/>
                <w:sz w:val="20"/>
              </w:rPr>
              <w:t>Demande d’autorisation d’appel déposée.</w:t>
            </w:r>
          </w:p>
        </w:tc>
      </w:tr>
    </w:tbl>
    <w:p w:rsidR="003638D2" w:rsidRDefault="003638D2" w:rsidP="003638D2">
      <w:pPr>
        <w:rPr>
          <w:sz w:val="20"/>
          <w:szCs w:val="20"/>
        </w:rPr>
      </w:pPr>
    </w:p>
    <w:p w:rsidR="003638D2" w:rsidRDefault="00B62B14" w:rsidP="003638D2">
      <w:pPr>
        <w:rPr>
          <w:sz w:val="20"/>
          <w:szCs w:val="20"/>
          <w:lang w:val="fr-CA"/>
        </w:rPr>
      </w:pPr>
      <w:r w:rsidRPr="00B62B14">
        <w:rPr>
          <w:sz w:val="20"/>
          <w:szCs w:val="20"/>
          <w:lang w:val="fr-CA"/>
        </w:rPr>
        <w:pict>
          <v:rect id="_x0000_i1043" style="width:2in;height:1pt" o:hrpct="0" o:hralign="center" o:hrstd="t" o:hrnoshade="t" o:hr="t" fillcolor="black [3213]" stroked="f"/>
        </w:pict>
      </w:r>
    </w:p>
    <w:p w:rsidR="003638D2" w:rsidRDefault="003638D2" w:rsidP="003638D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E697B" w:rsidRPr="00722CAA" w:rsidTr="00CE697B">
        <w:trPr>
          <w:cantSplit/>
        </w:trPr>
        <w:tc>
          <w:tcPr>
            <w:tcW w:w="1458" w:type="dxa"/>
          </w:tcPr>
          <w:p w:rsidR="00CE697B" w:rsidRPr="00722CAA" w:rsidRDefault="00CE697B" w:rsidP="00CE697B">
            <w:pPr>
              <w:rPr>
                <w:sz w:val="20"/>
                <w:szCs w:val="20"/>
              </w:rPr>
            </w:pPr>
            <w:r w:rsidRPr="00722CAA">
              <w:rPr>
                <w:rStyle w:val="SCCFileNumberChar"/>
                <w:sz w:val="20"/>
                <w:szCs w:val="20"/>
              </w:rPr>
              <w:lastRenderedPageBreak/>
              <w:t>34773</w:t>
            </w:r>
          </w:p>
          <w:p w:rsidR="00CE697B" w:rsidRPr="00722CAA" w:rsidRDefault="00CE697B" w:rsidP="00CE697B">
            <w:pPr>
              <w:rPr>
                <w:b/>
                <w:sz w:val="20"/>
                <w:szCs w:val="20"/>
                <w:lang w:val="fr-CA"/>
              </w:rPr>
            </w:pPr>
          </w:p>
        </w:tc>
        <w:tc>
          <w:tcPr>
            <w:tcW w:w="8118" w:type="dxa"/>
          </w:tcPr>
          <w:p w:rsidR="00CE697B" w:rsidRPr="00722CAA" w:rsidRDefault="00CE697B" w:rsidP="00CE697B">
            <w:pPr>
              <w:jc w:val="both"/>
              <w:rPr>
                <w:sz w:val="20"/>
                <w:szCs w:val="20"/>
              </w:rPr>
            </w:pPr>
            <w:r w:rsidRPr="00722CAA">
              <w:rPr>
                <w:rStyle w:val="SCCLsocChar"/>
                <w:sz w:val="20"/>
                <w:szCs w:val="20"/>
                <w:lang w:val="en-CA"/>
              </w:rPr>
              <w:t>Teal Cedar Products Ltd. v. Her Majesty the Queen in Right of the Province of British Columbia as represented by the Ministry of Forests AND BETWEEN Teal Cedar Products Ltd. v. Her Majesty the Queen in Right of the Province of British Columbia as represented by the Ministry of Forests</w:t>
            </w:r>
            <w:r w:rsidRPr="00722CAA">
              <w:rPr>
                <w:sz w:val="20"/>
                <w:szCs w:val="20"/>
              </w:rPr>
              <w:t xml:space="preserve"> (B.C.) (Civil) (By Leave)</w:t>
            </w:r>
          </w:p>
          <w:p w:rsidR="00CE697B" w:rsidRPr="00722CAA" w:rsidRDefault="00CE697B" w:rsidP="00CE697B">
            <w:pPr>
              <w:rPr>
                <w:sz w:val="20"/>
                <w:szCs w:val="20"/>
              </w:rPr>
            </w:pPr>
          </w:p>
        </w:tc>
      </w:tr>
      <w:tr w:rsidR="00CE697B" w:rsidRPr="00722CAA" w:rsidTr="00CE697B">
        <w:trPr>
          <w:cantSplit/>
        </w:trPr>
        <w:tc>
          <w:tcPr>
            <w:tcW w:w="1458" w:type="dxa"/>
          </w:tcPr>
          <w:p w:rsidR="00CE697B" w:rsidRPr="00722CAA" w:rsidRDefault="00CE697B" w:rsidP="00CE697B">
            <w:pPr>
              <w:rPr>
                <w:sz w:val="20"/>
                <w:szCs w:val="20"/>
              </w:rPr>
            </w:pPr>
            <w:r w:rsidRPr="00722CAA">
              <w:rPr>
                <w:sz w:val="20"/>
                <w:szCs w:val="20"/>
              </w:rPr>
              <w:t>Coram :</w:t>
            </w:r>
          </w:p>
        </w:tc>
        <w:tc>
          <w:tcPr>
            <w:tcW w:w="8118" w:type="dxa"/>
          </w:tcPr>
          <w:p w:rsidR="00CE697B" w:rsidRPr="00722CAA" w:rsidRDefault="00CE697B" w:rsidP="00CE697B">
            <w:pPr>
              <w:rPr>
                <w:sz w:val="20"/>
                <w:szCs w:val="20"/>
              </w:rPr>
            </w:pPr>
            <w:r w:rsidRPr="00722CAA">
              <w:rPr>
                <w:rStyle w:val="SCCCoramChar"/>
                <w:sz w:val="20"/>
                <w:szCs w:val="20"/>
                <w:lang w:val="en-CA"/>
              </w:rPr>
              <w:t>McLachlin C.J. and Rothstein and Moldaver JJ.</w:t>
            </w:r>
          </w:p>
          <w:p w:rsidR="00CE697B" w:rsidRPr="00722CAA" w:rsidRDefault="00CE697B" w:rsidP="00CE697B">
            <w:pPr>
              <w:rPr>
                <w:sz w:val="20"/>
                <w:szCs w:val="20"/>
                <w:u w:val="single"/>
              </w:rPr>
            </w:pPr>
          </w:p>
        </w:tc>
      </w:tr>
      <w:tr w:rsidR="00CE697B" w:rsidRPr="00835818" w:rsidTr="00CE697B">
        <w:trPr>
          <w:cantSplit/>
        </w:trPr>
        <w:tc>
          <w:tcPr>
            <w:tcW w:w="9576" w:type="dxa"/>
            <w:gridSpan w:val="2"/>
          </w:tcPr>
          <w:p w:rsidR="00CE697B" w:rsidRPr="00722CAA" w:rsidRDefault="00CE697B" w:rsidP="00CE697B">
            <w:pPr>
              <w:pStyle w:val="SCCShortJudgment"/>
              <w:rPr>
                <w:szCs w:val="20"/>
              </w:rPr>
            </w:pPr>
            <w:r w:rsidRPr="00722CAA">
              <w:rPr>
                <w:szCs w:val="20"/>
              </w:rPr>
              <w:t>The application for leave to appeal from the judgment of the Court of Appeal for British Columbia (Vancouver), Numbers CA038979 and CA038983, 2012 BCCA 70, dated February 13, 2012, is dismissed with costs.</w:t>
            </w:r>
          </w:p>
          <w:p w:rsidR="00CE697B" w:rsidRPr="00722CAA" w:rsidRDefault="00CE697B" w:rsidP="00CE697B">
            <w:pPr>
              <w:pStyle w:val="SCCShortJudgment"/>
              <w:ind w:firstLine="0"/>
              <w:rPr>
                <w:szCs w:val="20"/>
              </w:rPr>
            </w:pPr>
          </w:p>
          <w:p w:rsidR="00CE697B" w:rsidRPr="00722CAA" w:rsidRDefault="00CE697B" w:rsidP="00CE697B">
            <w:pPr>
              <w:pStyle w:val="SCCShortJudgment"/>
              <w:rPr>
                <w:szCs w:val="20"/>
                <w:lang w:val="fr-CA"/>
              </w:rPr>
            </w:pPr>
            <w:r w:rsidRPr="00722CAA">
              <w:rPr>
                <w:szCs w:val="20"/>
                <w:lang w:val="fr-CA"/>
              </w:rPr>
              <w:t>La demande d’autorisation d’appel de l’arrêt de la Cour d’appel de la Colombie-Britannique (Vancouver), numéros CA038979 et CA038983, 2012 BCCA 70, daté du 13 février 2012, est rejetée avec dépens.</w:t>
            </w:r>
          </w:p>
        </w:tc>
      </w:tr>
    </w:tbl>
    <w:p w:rsidR="003638D2" w:rsidRPr="00CE697B" w:rsidRDefault="003638D2" w:rsidP="003638D2">
      <w:pPr>
        <w:rPr>
          <w:sz w:val="20"/>
          <w:szCs w:val="20"/>
          <w:lang w:val="fr-CA"/>
        </w:rPr>
      </w:pPr>
    </w:p>
    <w:p w:rsidR="003638D2" w:rsidRPr="001B157C" w:rsidRDefault="003638D2" w:rsidP="003638D2">
      <w:pPr>
        <w:rPr>
          <w:sz w:val="20"/>
          <w:szCs w:val="20"/>
          <w:u w:val="single"/>
        </w:rPr>
      </w:pPr>
      <w:r w:rsidRPr="001B157C">
        <w:rPr>
          <w:sz w:val="20"/>
          <w:szCs w:val="20"/>
          <w:u w:val="single"/>
        </w:rPr>
        <w:t>CASE SUMMARY</w:t>
      </w:r>
    </w:p>
    <w:p w:rsidR="003638D2" w:rsidRDefault="003638D2" w:rsidP="003638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38D2" w:rsidRPr="005E0DD9" w:rsidTr="002244A0">
        <w:tc>
          <w:tcPr>
            <w:tcW w:w="5000" w:type="pct"/>
            <w:gridSpan w:val="3"/>
          </w:tcPr>
          <w:p w:rsidR="003638D2" w:rsidRPr="005E0DD9" w:rsidRDefault="003638D2" w:rsidP="002244A0">
            <w:pPr>
              <w:jc w:val="both"/>
              <w:rPr>
                <w:rFonts w:eastAsia="Calibri"/>
                <w:sz w:val="20"/>
                <w:lang w:eastAsia="fr-CA"/>
              </w:rPr>
            </w:pPr>
            <w:r w:rsidRPr="005E0DD9">
              <w:rPr>
                <w:rFonts w:eastAsia="Calibri"/>
                <w:sz w:val="20"/>
              </w:rPr>
              <w:t>Expropriation – Compensation – Arbitrator dismissing claim for pre-taking damages made by holder of forest licence – British Columbia Supreme Court reversing arbitrator’s findings on pre-taking damages</w:t>
            </w:r>
            <w:r w:rsidRPr="005E0DD9">
              <w:rPr>
                <w:rFonts w:eastAsia="Calibri"/>
                <w:sz w:val="20"/>
                <w:lang w:eastAsia="fr-CA"/>
              </w:rPr>
              <w:t xml:space="preserve"> – Court of Appeal restoring arbitrator’s award</w:t>
            </w:r>
            <w:r w:rsidRPr="005E0DD9">
              <w:rPr>
                <w:rFonts w:eastAsia="Calibri"/>
                <w:sz w:val="20"/>
              </w:rPr>
              <w:t xml:space="preserve"> – Is legislation which does not state the basis for determining compensation sufficient to rebut the presumption of full compensation for a government taking? – </w:t>
            </w:r>
            <w:r w:rsidRPr="005E0DD9">
              <w:rPr>
                <w:rFonts w:eastAsia="Calibri"/>
                <w:i/>
                <w:iCs/>
                <w:sz w:val="20"/>
              </w:rPr>
              <w:t>Protected Areas Forests Compensation Act</w:t>
            </w:r>
            <w:r w:rsidRPr="005E0DD9">
              <w:rPr>
                <w:rFonts w:eastAsia="Calibri"/>
                <w:sz w:val="20"/>
              </w:rPr>
              <w:t xml:space="preserve">, S.B.C. 2002, c. 51, ss. 2(1), 7, 7(0.1), 7(1)(a), 7(1)(b), 7(1)(c) – </w:t>
            </w:r>
            <w:r w:rsidRPr="005E0DD9">
              <w:rPr>
                <w:rFonts w:eastAsia="Calibri"/>
                <w:i/>
                <w:iCs/>
                <w:sz w:val="20"/>
              </w:rPr>
              <w:t>Forest Act</w:t>
            </w:r>
            <w:r w:rsidRPr="005E0DD9">
              <w:rPr>
                <w:rFonts w:eastAsia="Calibri"/>
                <w:sz w:val="20"/>
              </w:rPr>
              <w:t xml:space="preserve">, R.S.B.C. 1996, c. 157, ss. 14, 60, 60(1)(a), 60(1)(b), 60(1)(c), 60(4) – </w:t>
            </w:r>
            <w:r w:rsidRPr="005E0DD9">
              <w:rPr>
                <w:rFonts w:eastAsia="Calibri"/>
                <w:i/>
                <w:iCs/>
                <w:sz w:val="20"/>
              </w:rPr>
              <w:t xml:space="preserve">Park Amendment Act, </w:t>
            </w:r>
            <w:r w:rsidRPr="005E0DD9">
              <w:rPr>
                <w:rFonts w:eastAsia="Calibri"/>
                <w:sz w:val="20"/>
              </w:rPr>
              <w:t xml:space="preserve">S.B.C. 1995, c. 54 – </w:t>
            </w:r>
            <w:r w:rsidRPr="005E0DD9">
              <w:rPr>
                <w:rFonts w:eastAsia="Calibri"/>
                <w:i/>
                <w:sz w:val="20"/>
              </w:rPr>
              <w:t>Expropriation</w:t>
            </w:r>
            <w:r w:rsidRPr="005E0DD9">
              <w:rPr>
                <w:rFonts w:eastAsia="Calibri"/>
                <w:i/>
                <w:iCs/>
                <w:sz w:val="20"/>
              </w:rPr>
              <w:t xml:space="preserve"> Act, </w:t>
            </w:r>
            <w:r w:rsidRPr="005E0DD9">
              <w:rPr>
                <w:rFonts w:eastAsia="Calibri"/>
                <w:sz w:val="20"/>
              </w:rPr>
              <w:t xml:space="preserve">R.S.B.C. 1996, c. 125 – </w:t>
            </w:r>
            <w:r w:rsidRPr="005E0DD9">
              <w:rPr>
                <w:rFonts w:eastAsia="Calibri"/>
                <w:i/>
                <w:iCs/>
                <w:sz w:val="20"/>
              </w:rPr>
              <w:t xml:space="preserve">Commercial Arbitration Act, </w:t>
            </w:r>
            <w:r w:rsidRPr="005E0DD9">
              <w:rPr>
                <w:rFonts w:eastAsia="Calibri"/>
                <w:sz w:val="20"/>
              </w:rPr>
              <w:t xml:space="preserve">R.S.B.C. 1996, c. 55, ss. 28, 31 – </w:t>
            </w:r>
            <w:r w:rsidRPr="005E0DD9">
              <w:rPr>
                <w:rFonts w:eastAsia="Calibri"/>
                <w:i/>
                <w:iCs/>
                <w:sz w:val="20"/>
              </w:rPr>
              <w:t xml:space="preserve">Court Order Interest Act, </w:t>
            </w:r>
            <w:r w:rsidRPr="005E0DD9">
              <w:rPr>
                <w:rFonts w:eastAsia="Calibri"/>
                <w:sz w:val="20"/>
              </w:rPr>
              <w:t>R.S.B.C. 1996, c. 79, ss. 1, 2.</w:t>
            </w:r>
          </w:p>
        </w:tc>
      </w:tr>
      <w:tr w:rsidR="003638D2" w:rsidRPr="005E0DD9" w:rsidTr="002244A0">
        <w:tc>
          <w:tcPr>
            <w:tcW w:w="5000" w:type="pct"/>
            <w:gridSpan w:val="3"/>
          </w:tcPr>
          <w:p w:rsidR="003638D2" w:rsidRPr="005E0DD9" w:rsidRDefault="003638D2" w:rsidP="002244A0">
            <w:pPr>
              <w:jc w:val="both"/>
              <w:rPr>
                <w:rFonts w:eastAsia="Calibri"/>
                <w:sz w:val="20"/>
              </w:rPr>
            </w:pPr>
          </w:p>
        </w:tc>
      </w:tr>
      <w:tr w:rsidR="003638D2" w:rsidRPr="005E0DD9" w:rsidTr="002244A0">
        <w:tc>
          <w:tcPr>
            <w:tcW w:w="5000" w:type="pct"/>
            <w:gridSpan w:val="3"/>
          </w:tcPr>
          <w:p w:rsidR="003638D2" w:rsidRPr="005E0DD9" w:rsidRDefault="003638D2" w:rsidP="002244A0">
            <w:pPr>
              <w:jc w:val="both"/>
              <w:rPr>
                <w:rFonts w:eastAsia="Calibri"/>
                <w:sz w:val="20"/>
              </w:rPr>
            </w:pPr>
            <w:r w:rsidRPr="005E0DD9">
              <w:rPr>
                <w:rFonts w:eastAsia="Calibri"/>
                <w:sz w:val="20"/>
              </w:rPr>
              <w:t>Teal Cedar Products Ltd. (the “Applicant”) held a forest licence entitling it to harvest annually a stipulated volume of timber from a specified area in British Columbia.  In 1993, Her Majesty the Queen in Right of the Province of British Columbia as represented by the Ministry of Forests (the “Respondent”) imposed a moratorium on harvesting for the purpose of considering the creation of a new provincial park.  In 1995, part of the area at issue was used to create a new provincial park and logging became prohibited within the park boundaries.  The Applicant’s allowable annual cut (the “AAC”) under its harvesting licence was ultimately reduced in 1999.  The Applicant’s claim for compensation for partial expropriation as a result of the AAC reduction was thereafter submitted to arbitration, which resulted in the Award (i) dismissing the Applicant’s claim for losses suffered prior to the reduction in its AAC and (ii) awarding compensation after that period totalling $6.35 million plus compound interest and actual reasonable legal costs agreed upon by the parties on an indemnity basis totalling $1.02 million.</w:t>
            </w:r>
          </w:p>
          <w:p w:rsidR="003638D2" w:rsidRPr="005E0DD9" w:rsidRDefault="003638D2" w:rsidP="002244A0">
            <w:pPr>
              <w:jc w:val="both"/>
              <w:rPr>
                <w:rFonts w:eastAsia="Calibri"/>
                <w:sz w:val="20"/>
              </w:rPr>
            </w:pPr>
          </w:p>
        </w:tc>
      </w:tr>
      <w:tr w:rsidR="003638D2" w:rsidRPr="005E0DD9" w:rsidTr="002244A0">
        <w:tc>
          <w:tcPr>
            <w:tcW w:w="2427" w:type="pct"/>
          </w:tcPr>
          <w:p w:rsidR="003638D2" w:rsidRPr="005E0DD9" w:rsidRDefault="003638D2" w:rsidP="002244A0">
            <w:pPr>
              <w:jc w:val="both"/>
              <w:rPr>
                <w:rFonts w:eastAsia="Calibri"/>
                <w:sz w:val="20"/>
              </w:rPr>
            </w:pPr>
            <w:r w:rsidRPr="005E0DD9">
              <w:rPr>
                <w:rFonts w:eastAsia="Calibri"/>
                <w:sz w:val="20"/>
              </w:rPr>
              <w:t>March 24, 2011</w:t>
            </w:r>
          </w:p>
          <w:p w:rsidR="003638D2" w:rsidRPr="005E0DD9" w:rsidRDefault="003638D2" w:rsidP="002244A0">
            <w:pPr>
              <w:jc w:val="both"/>
              <w:rPr>
                <w:rFonts w:eastAsia="Calibri"/>
                <w:sz w:val="20"/>
              </w:rPr>
            </w:pPr>
            <w:r w:rsidRPr="005E0DD9">
              <w:rPr>
                <w:rFonts w:eastAsia="Calibri"/>
                <w:sz w:val="20"/>
              </w:rPr>
              <w:t>Supreme Court of British Columbia</w:t>
            </w:r>
          </w:p>
          <w:p w:rsidR="003638D2" w:rsidRPr="005E0DD9" w:rsidRDefault="003638D2" w:rsidP="002244A0">
            <w:pPr>
              <w:jc w:val="both"/>
              <w:rPr>
                <w:rFonts w:eastAsia="Calibri"/>
                <w:sz w:val="20"/>
              </w:rPr>
            </w:pPr>
            <w:r w:rsidRPr="005E0DD9">
              <w:rPr>
                <w:rFonts w:eastAsia="Calibri"/>
                <w:sz w:val="20"/>
              </w:rPr>
              <w:t>(Macaulay J.)</w:t>
            </w:r>
          </w:p>
          <w:p w:rsidR="003638D2" w:rsidRPr="005E0DD9" w:rsidRDefault="003638D2" w:rsidP="002244A0">
            <w:pPr>
              <w:jc w:val="both"/>
              <w:rPr>
                <w:rFonts w:eastAsia="Calibri"/>
                <w:sz w:val="20"/>
              </w:rPr>
            </w:pPr>
          </w:p>
        </w:tc>
        <w:tc>
          <w:tcPr>
            <w:tcW w:w="243" w:type="pct"/>
          </w:tcPr>
          <w:p w:rsidR="003638D2" w:rsidRPr="005E0DD9" w:rsidRDefault="003638D2" w:rsidP="002244A0">
            <w:pPr>
              <w:jc w:val="both"/>
              <w:rPr>
                <w:rFonts w:eastAsia="Calibri"/>
                <w:sz w:val="20"/>
              </w:rPr>
            </w:pPr>
          </w:p>
        </w:tc>
        <w:tc>
          <w:tcPr>
            <w:tcW w:w="2330" w:type="pct"/>
          </w:tcPr>
          <w:p w:rsidR="003638D2" w:rsidRPr="005E0DD9" w:rsidRDefault="003638D2" w:rsidP="002244A0">
            <w:pPr>
              <w:jc w:val="both"/>
              <w:rPr>
                <w:rFonts w:eastAsia="Calibri"/>
                <w:sz w:val="20"/>
              </w:rPr>
            </w:pPr>
            <w:r w:rsidRPr="005E0DD9">
              <w:rPr>
                <w:rFonts w:eastAsia="Calibri"/>
                <w:sz w:val="20"/>
              </w:rPr>
              <w:t>The Applicant’s application for leave to appeal certain aspects of arbitration awards issued by the Honourable Allan Thackray, Q.C., dated June 15, 2010, July 19, 2010, August 9, 2010 and November 5, 2010  (collectively, the “Award”) allowed in part; the Respondent’s application for leave to appeal certain aspects of the Award dismissed.</w:t>
            </w:r>
          </w:p>
          <w:p w:rsidR="003638D2" w:rsidRPr="005E0DD9" w:rsidRDefault="003638D2" w:rsidP="002244A0">
            <w:pPr>
              <w:jc w:val="both"/>
              <w:rPr>
                <w:rFonts w:eastAsia="Calibri"/>
                <w:sz w:val="20"/>
              </w:rPr>
            </w:pPr>
          </w:p>
        </w:tc>
      </w:tr>
      <w:tr w:rsidR="003638D2" w:rsidRPr="005E0DD9" w:rsidTr="002244A0">
        <w:tc>
          <w:tcPr>
            <w:tcW w:w="2427" w:type="pct"/>
          </w:tcPr>
          <w:p w:rsidR="003638D2" w:rsidRPr="005E0DD9" w:rsidRDefault="003638D2" w:rsidP="002244A0">
            <w:pPr>
              <w:jc w:val="both"/>
              <w:rPr>
                <w:rFonts w:eastAsia="Calibri"/>
                <w:sz w:val="20"/>
              </w:rPr>
            </w:pPr>
            <w:r w:rsidRPr="005E0DD9">
              <w:rPr>
                <w:rFonts w:eastAsia="Calibri"/>
                <w:sz w:val="20"/>
              </w:rPr>
              <w:t>February 13, 2012</w:t>
            </w:r>
          </w:p>
          <w:p w:rsidR="003638D2" w:rsidRPr="005E0DD9" w:rsidRDefault="003638D2" w:rsidP="002244A0">
            <w:pPr>
              <w:jc w:val="both"/>
              <w:rPr>
                <w:rFonts w:eastAsia="Calibri"/>
                <w:sz w:val="20"/>
              </w:rPr>
            </w:pPr>
            <w:r w:rsidRPr="005E0DD9">
              <w:rPr>
                <w:rFonts w:eastAsia="Calibri"/>
                <w:sz w:val="20"/>
              </w:rPr>
              <w:t>Court of Appeal for British Columbia (Vancouver)</w:t>
            </w:r>
          </w:p>
          <w:p w:rsidR="003638D2" w:rsidRPr="005E0DD9" w:rsidRDefault="003638D2" w:rsidP="002244A0">
            <w:pPr>
              <w:jc w:val="both"/>
              <w:rPr>
                <w:rFonts w:eastAsia="Calibri"/>
                <w:sz w:val="20"/>
              </w:rPr>
            </w:pPr>
            <w:r w:rsidRPr="005E0DD9">
              <w:rPr>
                <w:rFonts w:eastAsia="Calibri"/>
                <w:sz w:val="20"/>
              </w:rPr>
              <w:t>(Saunders, Levine and Hinkson JJ.A.)</w:t>
            </w:r>
          </w:p>
          <w:p w:rsidR="003638D2" w:rsidRPr="005E0DD9" w:rsidRDefault="003638D2" w:rsidP="002244A0">
            <w:pPr>
              <w:jc w:val="both"/>
              <w:rPr>
                <w:rFonts w:eastAsia="Calibri"/>
                <w:sz w:val="20"/>
              </w:rPr>
            </w:pPr>
            <w:r w:rsidRPr="005E0DD9">
              <w:rPr>
                <w:rFonts w:eastAsia="Calibri"/>
                <w:sz w:val="20"/>
              </w:rPr>
              <w:t>CA038979; CA038980; CA038983</w:t>
            </w:r>
          </w:p>
          <w:p w:rsidR="003638D2" w:rsidRPr="005E0DD9" w:rsidRDefault="003638D2" w:rsidP="002244A0">
            <w:pPr>
              <w:jc w:val="both"/>
              <w:rPr>
                <w:rFonts w:eastAsia="Calibri"/>
                <w:sz w:val="20"/>
              </w:rPr>
            </w:pPr>
            <w:r w:rsidRPr="005E0DD9">
              <w:rPr>
                <w:rFonts w:eastAsia="Calibri"/>
                <w:sz w:val="20"/>
              </w:rPr>
              <w:t>2012 BCCA 70</w:t>
            </w:r>
          </w:p>
        </w:tc>
        <w:tc>
          <w:tcPr>
            <w:tcW w:w="243" w:type="pct"/>
          </w:tcPr>
          <w:p w:rsidR="003638D2" w:rsidRPr="005E0DD9" w:rsidRDefault="003638D2" w:rsidP="002244A0">
            <w:pPr>
              <w:jc w:val="both"/>
              <w:rPr>
                <w:rFonts w:eastAsia="Calibri"/>
                <w:sz w:val="20"/>
              </w:rPr>
            </w:pPr>
          </w:p>
        </w:tc>
        <w:tc>
          <w:tcPr>
            <w:tcW w:w="2330" w:type="pct"/>
          </w:tcPr>
          <w:p w:rsidR="003638D2" w:rsidRPr="005E0DD9" w:rsidRDefault="003638D2" w:rsidP="002244A0">
            <w:pPr>
              <w:jc w:val="both"/>
              <w:rPr>
                <w:rFonts w:eastAsia="Calibri"/>
                <w:sz w:val="20"/>
              </w:rPr>
            </w:pPr>
            <w:r w:rsidRPr="005E0DD9">
              <w:rPr>
                <w:rFonts w:eastAsia="Calibri"/>
                <w:sz w:val="20"/>
              </w:rPr>
              <w:t>The Respondent’s appeal allowed in part; the Applicant’s cross-appeal dismissed.</w:t>
            </w:r>
          </w:p>
          <w:p w:rsidR="003638D2" w:rsidRPr="005E0DD9" w:rsidRDefault="003638D2" w:rsidP="002244A0">
            <w:pPr>
              <w:jc w:val="both"/>
              <w:rPr>
                <w:rFonts w:eastAsia="Calibri"/>
                <w:sz w:val="20"/>
              </w:rPr>
            </w:pPr>
          </w:p>
        </w:tc>
      </w:tr>
    </w:tbl>
    <w:p w:rsidR="00CE697B" w:rsidRDefault="00CE697B"/>
    <w:p w:rsidR="00CE697B" w:rsidRDefault="00CE697B">
      <w:r>
        <w:br w:type="page"/>
      </w:r>
    </w:p>
    <w:tbl>
      <w:tblPr>
        <w:tblW w:w="4952" w:type="pct"/>
        <w:tblLayout w:type="fixed"/>
        <w:tblCellMar>
          <w:left w:w="0" w:type="dxa"/>
          <w:bottom w:w="99" w:type="dxa"/>
          <w:right w:w="0" w:type="dxa"/>
        </w:tblCellMar>
        <w:tblLook w:val="04A0"/>
      </w:tblPr>
      <w:tblGrid>
        <w:gridCol w:w="4624"/>
        <w:gridCol w:w="463"/>
        <w:gridCol w:w="4440"/>
      </w:tblGrid>
      <w:tr w:rsidR="003638D2" w:rsidRPr="005E0DD9" w:rsidTr="002244A0">
        <w:tc>
          <w:tcPr>
            <w:tcW w:w="2427" w:type="pct"/>
          </w:tcPr>
          <w:p w:rsidR="003638D2" w:rsidRPr="005E0DD9" w:rsidRDefault="003638D2" w:rsidP="002244A0">
            <w:pPr>
              <w:jc w:val="both"/>
              <w:rPr>
                <w:rFonts w:eastAsia="Calibri"/>
                <w:sz w:val="20"/>
              </w:rPr>
            </w:pPr>
            <w:r w:rsidRPr="005E0DD9">
              <w:rPr>
                <w:rFonts w:eastAsia="Calibri"/>
                <w:sz w:val="20"/>
              </w:rPr>
              <w:lastRenderedPageBreak/>
              <w:t>April 12, 2012</w:t>
            </w:r>
          </w:p>
          <w:p w:rsidR="003638D2" w:rsidRPr="005E0DD9" w:rsidRDefault="003638D2" w:rsidP="002244A0">
            <w:pPr>
              <w:jc w:val="both"/>
              <w:rPr>
                <w:rFonts w:eastAsia="Calibri"/>
                <w:sz w:val="20"/>
              </w:rPr>
            </w:pPr>
            <w:r w:rsidRPr="005E0DD9">
              <w:rPr>
                <w:rFonts w:eastAsia="Calibri"/>
                <w:sz w:val="20"/>
              </w:rPr>
              <w:t>Supreme Court of Canada</w:t>
            </w:r>
          </w:p>
        </w:tc>
        <w:tc>
          <w:tcPr>
            <w:tcW w:w="243" w:type="pct"/>
          </w:tcPr>
          <w:p w:rsidR="003638D2" w:rsidRPr="005E0DD9" w:rsidRDefault="003638D2" w:rsidP="002244A0">
            <w:pPr>
              <w:jc w:val="both"/>
              <w:rPr>
                <w:rFonts w:eastAsia="Calibri"/>
                <w:sz w:val="20"/>
              </w:rPr>
            </w:pPr>
          </w:p>
        </w:tc>
        <w:tc>
          <w:tcPr>
            <w:tcW w:w="2330" w:type="pct"/>
          </w:tcPr>
          <w:p w:rsidR="003638D2" w:rsidRPr="005E0DD9" w:rsidRDefault="003638D2" w:rsidP="002244A0">
            <w:pPr>
              <w:jc w:val="both"/>
              <w:rPr>
                <w:rFonts w:eastAsia="Calibri"/>
                <w:sz w:val="20"/>
              </w:rPr>
            </w:pPr>
            <w:r w:rsidRPr="005E0DD9">
              <w:rPr>
                <w:rFonts w:eastAsia="Calibri"/>
                <w:sz w:val="20"/>
              </w:rPr>
              <w:t>Application for leave to appeal filed.</w:t>
            </w:r>
          </w:p>
          <w:p w:rsidR="003638D2" w:rsidRPr="005E0DD9" w:rsidRDefault="003638D2" w:rsidP="002244A0">
            <w:pPr>
              <w:jc w:val="both"/>
              <w:rPr>
                <w:rFonts w:eastAsia="Calibri"/>
                <w:sz w:val="20"/>
              </w:rPr>
            </w:pPr>
          </w:p>
        </w:tc>
      </w:tr>
    </w:tbl>
    <w:p w:rsidR="003638D2" w:rsidRPr="00C50A5C" w:rsidRDefault="003638D2" w:rsidP="003638D2">
      <w:pPr>
        <w:rPr>
          <w:sz w:val="20"/>
          <w:szCs w:val="20"/>
        </w:rPr>
      </w:pPr>
    </w:p>
    <w:p w:rsidR="003638D2" w:rsidRPr="00C50A5C" w:rsidRDefault="00B62B14" w:rsidP="003638D2">
      <w:pPr>
        <w:rPr>
          <w:sz w:val="20"/>
          <w:szCs w:val="20"/>
        </w:rPr>
      </w:pPr>
      <w:r w:rsidRPr="00B62B14">
        <w:rPr>
          <w:sz w:val="20"/>
          <w:szCs w:val="20"/>
          <w:lang w:val="fr-CA"/>
        </w:rPr>
        <w:pict>
          <v:rect id="_x0000_i1044" style="width:2in;height:1pt" o:hrpct="0" o:hralign="center" o:hrstd="t" o:hrnoshade="t" o:hr="t" fillcolor="black [3213]" stroked="f"/>
        </w:pict>
      </w:r>
    </w:p>
    <w:p w:rsidR="003638D2" w:rsidRDefault="003638D2" w:rsidP="003638D2">
      <w:pPr>
        <w:rPr>
          <w:sz w:val="20"/>
          <w:szCs w:val="20"/>
        </w:rPr>
      </w:pPr>
    </w:p>
    <w:p w:rsidR="003638D2" w:rsidRPr="001B157C" w:rsidRDefault="003638D2" w:rsidP="003638D2">
      <w:pPr>
        <w:rPr>
          <w:sz w:val="20"/>
          <w:szCs w:val="20"/>
          <w:u w:val="single"/>
          <w:lang w:val="fr-CA"/>
        </w:rPr>
      </w:pPr>
      <w:r w:rsidRPr="001B157C">
        <w:rPr>
          <w:sz w:val="20"/>
          <w:szCs w:val="20"/>
          <w:u w:val="single"/>
          <w:lang w:val="fr-CA"/>
        </w:rPr>
        <w:t>RÉSUMÉ DE L’AFFAIRE</w:t>
      </w:r>
    </w:p>
    <w:p w:rsidR="003638D2" w:rsidRDefault="003638D2" w:rsidP="003638D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38D2" w:rsidRPr="00835818" w:rsidTr="002244A0">
        <w:tc>
          <w:tcPr>
            <w:tcW w:w="5000" w:type="pct"/>
            <w:gridSpan w:val="3"/>
          </w:tcPr>
          <w:p w:rsidR="003638D2" w:rsidRPr="005E0DD9" w:rsidRDefault="003638D2" w:rsidP="002244A0">
            <w:pPr>
              <w:jc w:val="both"/>
              <w:rPr>
                <w:rFonts w:eastAsia="Calibri"/>
                <w:sz w:val="20"/>
                <w:lang w:val="fr-FR" w:eastAsia="fr-CA"/>
              </w:rPr>
            </w:pPr>
            <w:r w:rsidRPr="005E0DD9">
              <w:rPr>
                <w:rFonts w:eastAsia="Calibri"/>
                <w:sz w:val="20"/>
                <w:lang w:val="fr-FR"/>
              </w:rPr>
              <w:t>Expropriation – Indemnisation – Rejet par l’arbitre de la demande d’indemnisation présentée par le titulaire d’un permis d’exploitation forestière pour les dommages subis avant l’expropriation – Infirmation par la Cour suprême de la Colombie-Britannique des conclusions de l’arbitre relatives aux dommages subis avant l’expropriation</w:t>
            </w:r>
            <w:r w:rsidRPr="005E0DD9">
              <w:rPr>
                <w:rFonts w:eastAsia="Calibri"/>
                <w:sz w:val="20"/>
                <w:lang w:val="fr-FR" w:eastAsia="fr-CA"/>
              </w:rPr>
              <w:t xml:space="preserve"> – Rétablissement de la décision de l’arbitre par la Cour d’appel </w:t>
            </w:r>
            <w:r w:rsidRPr="005E0DD9">
              <w:rPr>
                <w:rFonts w:eastAsia="Calibri"/>
                <w:sz w:val="20"/>
                <w:lang w:val="fr-FR"/>
              </w:rPr>
              <w:t xml:space="preserve">– Une loi qui n’établit pas le fondement de la détermination de l’indemnité suffit-elle à réfuter la présomption d’indemnisation totale en cas d’expropriation par un gouvernement? – </w:t>
            </w:r>
            <w:r w:rsidRPr="005E0DD9">
              <w:rPr>
                <w:rFonts w:eastAsia="Calibri"/>
                <w:i/>
                <w:iCs/>
                <w:sz w:val="20"/>
                <w:lang w:val="fr-FR"/>
              </w:rPr>
              <w:t>Protected Areas Forests Compensation Act</w:t>
            </w:r>
            <w:r w:rsidRPr="005E0DD9">
              <w:rPr>
                <w:rFonts w:eastAsia="Calibri"/>
                <w:sz w:val="20"/>
                <w:lang w:val="fr-FR"/>
              </w:rPr>
              <w:t>, S.B.C. 2002, ch. 51, art. 2(1), 7, 7(0.1), 7(1)</w:t>
            </w:r>
            <w:r w:rsidRPr="005E0DD9">
              <w:rPr>
                <w:rFonts w:eastAsia="Calibri"/>
                <w:i/>
                <w:sz w:val="20"/>
                <w:lang w:val="fr-FR"/>
              </w:rPr>
              <w:t>a</w:t>
            </w:r>
            <w:r w:rsidRPr="005E0DD9">
              <w:rPr>
                <w:rFonts w:eastAsia="Calibri"/>
                <w:sz w:val="20"/>
                <w:lang w:val="fr-FR"/>
              </w:rPr>
              <w:t>), 7(1)</w:t>
            </w:r>
            <w:r w:rsidRPr="005E0DD9">
              <w:rPr>
                <w:rFonts w:eastAsia="Calibri"/>
                <w:i/>
                <w:sz w:val="20"/>
                <w:lang w:val="fr-FR"/>
              </w:rPr>
              <w:t>b</w:t>
            </w:r>
            <w:r w:rsidRPr="005E0DD9">
              <w:rPr>
                <w:rFonts w:eastAsia="Calibri"/>
                <w:sz w:val="20"/>
                <w:lang w:val="fr-FR"/>
              </w:rPr>
              <w:t>), 7(1)</w:t>
            </w:r>
            <w:r w:rsidRPr="005E0DD9">
              <w:rPr>
                <w:rFonts w:eastAsia="Calibri"/>
                <w:i/>
                <w:sz w:val="20"/>
                <w:lang w:val="fr-FR"/>
              </w:rPr>
              <w:t>c</w:t>
            </w:r>
            <w:r w:rsidRPr="005E0DD9">
              <w:rPr>
                <w:rFonts w:eastAsia="Calibri"/>
                <w:sz w:val="20"/>
                <w:lang w:val="fr-FR"/>
              </w:rPr>
              <w:t xml:space="preserve">) – </w:t>
            </w:r>
            <w:r w:rsidRPr="005E0DD9">
              <w:rPr>
                <w:rFonts w:eastAsia="Calibri"/>
                <w:i/>
                <w:iCs/>
                <w:sz w:val="20"/>
                <w:lang w:val="fr-FR"/>
              </w:rPr>
              <w:t>Forest Act</w:t>
            </w:r>
            <w:r w:rsidRPr="005E0DD9">
              <w:rPr>
                <w:rFonts w:eastAsia="Calibri"/>
                <w:sz w:val="20"/>
                <w:lang w:val="fr-FR"/>
              </w:rPr>
              <w:t>, R.S.B.C. 1996, ch. 157, art. 14, 60, 60(1)</w:t>
            </w:r>
            <w:r w:rsidRPr="005E0DD9">
              <w:rPr>
                <w:rFonts w:eastAsia="Calibri"/>
                <w:i/>
                <w:sz w:val="20"/>
                <w:lang w:val="fr-FR"/>
              </w:rPr>
              <w:t>a</w:t>
            </w:r>
            <w:r w:rsidRPr="005E0DD9">
              <w:rPr>
                <w:rFonts w:eastAsia="Calibri"/>
                <w:sz w:val="20"/>
                <w:lang w:val="fr-FR"/>
              </w:rPr>
              <w:t>), 60(1)</w:t>
            </w:r>
            <w:r w:rsidRPr="005E0DD9">
              <w:rPr>
                <w:rFonts w:eastAsia="Calibri"/>
                <w:i/>
                <w:sz w:val="20"/>
                <w:lang w:val="fr-FR"/>
              </w:rPr>
              <w:t>b</w:t>
            </w:r>
            <w:r w:rsidRPr="005E0DD9">
              <w:rPr>
                <w:rFonts w:eastAsia="Calibri"/>
                <w:sz w:val="20"/>
                <w:lang w:val="fr-FR"/>
              </w:rPr>
              <w:t>), 60(1)</w:t>
            </w:r>
            <w:r w:rsidRPr="005E0DD9">
              <w:rPr>
                <w:rFonts w:eastAsia="Calibri"/>
                <w:i/>
                <w:sz w:val="20"/>
                <w:lang w:val="fr-FR"/>
              </w:rPr>
              <w:t>c</w:t>
            </w:r>
            <w:r w:rsidRPr="005E0DD9">
              <w:rPr>
                <w:rFonts w:eastAsia="Calibri"/>
                <w:sz w:val="20"/>
                <w:lang w:val="fr-FR"/>
              </w:rPr>
              <w:t xml:space="preserve">), 60(4) – </w:t>
            </w:r>
            <w:r w:rsidRPr="005E0DD9">
              <w:rPr>
                <w:rFonts w:eastAsia="Calibri"/>
                <w:i/>
                <w:iCs/>
                <w:sz w:val="20"/>
                <w:lang w:val="fr-FR"/>
              </w:rPr>
              <w:t xml:space="preserve">Park Amendment Act, </w:t>
            </w:r>
            <w:r w:rsidRPr="005E0DD9">
              <w:rPr>
                <w:rFonts w:eastAsia="Calibri"/>
                <w:sz w:val="20"/>
                <w:lang w:val="fr-FR"/>
              </w:rPr>
              <w:t xml:space="preserve">S.B.C. 1995, ch. 54 – </w:t>
            </w:r>
            <w:r w:rsidRPr="005E0DD9">
              <w:rPr>
                <w:rFonts w:eastAsia="Calibri"/>
                <w:i/>
                <w:sz w:val="20"/>
                <w:lang w:val="fr-FR"/>
              </w:rPr>
              <w:t>Expropriation</w:t>
            </w:r>
            <w:r w:rsidRPr="005E0DD9">
              <w:rPr>
                <w:rFonts w:eastAsia="Calibri"/>
                <w:i/>
                <w:iCs/>
                <w:sz w:val="20"/>
                <w:lang w:val="fr-FR"/>
              </w:rPr>
              <w:t xml:space="preserve"> Act, </w:t>
            </w:r>
            <w:r w:rsidRPr="005E0DD9">
              <w:rPr>
                <w:rFonts w:eastAsia="Calibri"/>
                <w:sz w:val="20"/>
                <w:lang w:val="fr-FR"/>
              </w:rPr>
              <w:t xml:space="preserve">R.S.B.C. 1996, ch. 125 – </w:t>
            </w:r>
            <w:r w:rsidRPr="005E0DD9">
              <w:rPr>
                <w:rFonts w:eastAsia="Calibri"/>
                <w:i/>
                <w:iCs/>
                <w:sz w:val="20"/>
                <w:lang w:val="fr-FR"/>
              </w:rPr>
              <w:t xml:space="preserve">Commercial Arbitration Act, </w:t>
            </w:r>
            <w:r w:rsidRPr="005E0DD9">
              <w:rPr>
                <w:rFonts w:eastAsia="Calibri"/>
                <w:sz w:val="20"/>
                <w:lang w:val="fr-FR"/>
              </w:rPr>
              <w:t xml:space="preserve">R.S.B.C. 1996, ch. 55, art. 28, 31 – </w:t>
            </w:r>
            <w:r w:rsidRPr="005E0DD9">
              <w:rPr>
                <w:rFonts w:eastAsia="Calibri"/>
                <w:i/>
                <w:iCs/>
                <w:sz w:val="20"/>
                <w:lang w:val="fr-FR"/>
              </w:rPr>
              <w:t xml:space="preserve">Court Order Interest Act, </w:t>
            </w:r>
            <w:r w:rsidRPr="005E0DD9">
              <w:rPr>
                <w:rFonts w:eastAsia="Calibri"/>
                <w:sz w:val="20"/>
                <w:lang w:val="fr-FR"/>
              </w:rPr>
              <w:t>R.S.B.C. 1996, ch. 79, art. 1, 2.</w:t>
            </w:r>
          </w:p>
        </w:tc>
      </w:tr>
      <w:tr w:rsidR="003638D2" w:rsidRPr="00835818" w:rsidTr="002244A0">
        <w:tc>
          <w:tcPr>
            <w:tcW w:w="5000" w:type="pct"/>
            <w:gridSpan w:val="3"/>
          </w:tcPr>
          <w:p w:rsidR="003638D2" w:rsidRPr="005E0DD9" w:rsidRDefault="003638D2" w:rsidP="002244A0">
            <w:pPr>
              <w:jc w:val="both"/>
              <w:rPr>
                <w:rFonts w:eastAsia="Calibri"/>
                <w:sz w:val="20"/>
                <w:lang w:val="fr-FR"/>
              </w:rPr>
            </w:pPr>
          </w:p>
        </w:tc>
      </w:tr>
      <w:tr w:rsidR="003638D2" w:rsidRPr="00835818" w:rsidTr="002244A0">
        <w:tc>
          <w:tcPr>
            <w:tcW w:w="5000" w:type="pct"/>
            <w:gridSpan w:val="3"/>
          </w:tcPr>
          <w:p w:rsidR="003638D2" w:rsidRPr="005E0DD9" w:rsidRDefault="003638D2" w:rsidP="002244A0">
            <w:pPr>
              <w:jc w:val="both"/>
              <w:rPr>
                <w:rFonts w:eastAsia="Calibri"/>
                <w:sz w:val="20"/>
                <w:lang w:val="fr-FR"/>
              </w:rPr>
            </w:pPr>
            <w:r w:rsidRPr="005E0DD9">
              <w:rPr>
                <w:rFonts w:eastAsia="Calibri"/>
                <w:sz w:val="20"/>
                <w:lang w:val="fr-FR"/>
              </w:rPr>
              <w:t>Teal Cedar Products Ltd. (la « demanderesse ») détenait un permis d’exploitation forestière l’autorisant à récolter chaque année un volume prévu de bois dans une région donnée de la Colombie-Britannique. En 1993, Sa Majesté la Reine du chef de la province de la Colombie-Britannique, représentée par le ministère des Forêts (l’« intimée ») a imposé un moratoire sur la récolte dans le but d’examiner la possibilité de créer un nouveau parc provincial. En 1995, une partie de la région en cause est devenue un parc provincial et l’exploitation forestière y a été interdite. La possibilité annuelle de coupe (la « PAC ») attribuée à la demanderesse dans son permis de récolte a finalement été réduite en 1999.  La demande d’indemnisation présentée par la demanderesse pour l’expropriation partielle en raison de la réduction de sa PAC a donc été soumise à l’arbitrage, qui a donné lieu à une décision (i) rejetant la demande de la demanderesse visant à se faire indemniser des pertes subies avant la réduction de sa PAC et (ii) octroyant une indemnité totale de 6,35 millions de dollars pour les pertes subies après la réduction de sa PAC, plus les intérêts composés et les dépens raisonnables effectivement engagés dont ont convenu les parties sur une base d’indemnisation, dépens qui s’élèvent à 1,02 million de dollars.</w:t>
            </w:r>
          </w:p>
          <w:p w:rsidR="003638D2" w:rsidRPr="005E0DD9" w:rsidRDefault="003638D2" w:rsidP="002244A0">
            <w:pPr>
              <w:jc w:val="both"/>
              <w:rPr>
                <w:rFonts w:eastAsia="Calibri"/>
                <w:sz w:val="20"/>
                <w:lang w:val="fr-FR"/>
              </w:rPr>
            </w:pPr>
          </w:p>
        </w:tc>
      </w:tr>
      <w:tr w:rsidR="003638D2" w:rsidRPr="008F355F" w:rsidTr="002244A0">
        <w:tc>
          <w:tcPr>
            <w:tcW w:w="2427" w:type="pct"/>
          </w:tcPr>
          <w:p w:rsidR="003638D2" w:rsidRPr="005E0DD9" w:rsidRDefault="003638D2" w:rsidP="002244A0">
            <w:pPr>
              <w:jc w:val="both"/>
              <w:rPr>
                <w:rFonts w:eastAsia="Calibri"/>
                <w:sz w:val="20"/>
                <w:lang w:val="fr-FR"/>
              </w:rPr>
            </w:pPr>
            <w:r w:rsidRPr="005E0DD9">
              <w:rPr>
                <w:rFonts w:eastAsia="Calibri"/>
                <w:sz w:val="20"/>
                <w:lang w:val="fr-FR"/>
              </w:rPr>
              <w:t>24 mars 2011</w:t>
            </w:r>
          </w:p>
          <w:p w:rsidR="003638D2" w:rsidRPr="005E0DD9" w:rsidRDefault="003638D2" w:rsidP="002244A0">
            <w:pPr>
              <w:jc w:val="both"/>
              <w:rPr>
                <w:rFonts w:eastAsia="Calibri"/>
                <w:sz w:val="20"/>
                <w:lang w:val="fr-FR"/>
              </w:rPr>
            </w:pPr>
            <w:r w:rsidRPr="005E0DD9">
              <w:rPr>
                <w:rFonts w:eastAsia="Calibri"/>
                <w:sz w:val="20"/>
                <w:lang w:val="fr-FR"/>
              </w:rPr>
              <w:t>Cour suprême de la Colombie-Britannique</w:t>
            </w:r>
          </w:p>
          <w:p w:rsidR="003638D2" w:rsidRPr="005E0DD9" w:rsidRDefault="003638D2" w:rsidP="002244A0">
            <w:pPr>
              <w:jc w:val="both"/>
              <w:rPr>
                <w:rFonts w:eastAsia="Calibri"/>
                <w:sz w:val="20"/>
              </w:rPr>
            </w:pPr>
            <w:r w:rsidRPr="005E0DD9">
              <w:rPr>
                <w:rFonts w:eastAsia="Calibri"/>
                <w:sz w:val="20"/>
              </w:rPr>
              <w:t>(Juge Macaulay)</w:t>
            </w:r>
          </w:p>
          <w:p w:rsidR="003638D2" w:rsidRPr="005E0DD9" w:rsidRDefault="003638D2" w:rsidP="002244A0">
            <w:pPr>
              <w:jc w:val="both"/>
              <w:rPr>
                <w:rFonts w:eastAsia="Calibri"/>
                <w:sz w:val="20"/>
              </w:rPr>
            </w:pPr>
          </w:p>
        </w:tc>
        <w:tc>
          <w:tcPr>
            <w:tcW w:w="243" w:type="pct"/>
          </w:tcPr>
          <w:p w:rsidR="003638D2" w:rsidRPr="005E0DD9" w:rsidRDefault="003638D2" w:rsidP="002244A0">
            <w:pPr>
              <w:jc w:val="both"/>
              <w:rPr>
                <w:rFonts w:eastAsia="Calibri"/>
                <w:sz w:val="20"/>
              </w:rPr>
            </w:pPr>
          </w:p>
        </w:tc>
        <w:tc>
          <w:tcPr>
            <w:tcW w:w="2330" w:type="pct"/>
          </w:tcPr>
          <w:p w:rsidR="003638D2" w:rsidRPr="005E0DD9" w:rsidRDefault="003638D2" w:rsidP="002244A0">
            <w:pPr>
              <w:jc w:val="both"/>
              <w:rPr>
                <w:rFonts w:eastAsia="Calibri"/>
                <w:sz w:val="20"/>
                <w:lang w:val="fr-FR"/>
              </w:rPr>
            </w:pPr>
            <w:r w:rsidRPr="005E0DD9">
              <w:rPr>
                <w:rFonts w:eastAsia="Calibri"/>
                <w:sz w:val="20"/>
                <w:lang w:val="fr-FR"/>
              </w:rPr>
              <w:t>Demande de la demanderesse en vue d’obtenir l’autorisation d’interjeter appel de certains  aspects des décisions arbitrales de l’honorable Allan Thackray, c.r., datées respectivement des 15 juin, 19 juillet, 9 août et 5 novembre 2010  (appelées collectivement la « décision ») accueillie en partie; demande de l’intimée visant à obtenir l’autorisation de porter en appel certains aspects de la décision.</w:t>
            </w:r>
          </w:p>
          <w:p w:rsidR="003638D2" w:rsidRPr="005E0DD9" w:rsidRDefault="003638D2" w:rsidP="002244A0">
            <w:pPr>
              <w:jc w:val="both"/>
              <w:rPr>
                <w:rFonts w:eastAsia="Calibri"/>
                <w:sz w:val="20"/>
                <w:lang w:val="fr-FR"/>
              </w:rPr>
            </w:pPr>
          </w:p>
        </w:tc>
      </w:tr>
      <w:tr w:rsidR="003638D2" w:rsidRPr="00835818" w:rsidTr="002244A0">
        <w:tc>
          <w:tcPr>
            <w:tcW w:w="2427" w:type="pct"/>
          </w:tcPr>
          <w:p w:rsidR="003638D2" w:rsidRPr="005E0DD9" w:rsidRDefault="003638D2" w:rsidP="002244A0">
            <w:pPr>
              <w:jc w:val="both"/>
              <w:rPr>
                <w:rFonts w:eastAsia="Calibri"/>
                <w:sz w:val="20"/>
                <w:lang w:val="fr-CA"/>
              </w:rPr>
            </w:pPr>
            <w:r w:rsidRPr="005E0DD9">
              <w:rPr>
                <w:rFonts w:eastAsia="Calibri"/>
                <w:sz w:val="20"/>
                <w:lang w:val="fr-CA"/>
              </w:rPr>
              <w:t>13 février 2012</w:t>
            </w:r>
          </w:p>
          <w:p w:rsidR="003638D2" w:rsidRPr="005E0DD9" w:rsidRDefault="003638D2" w:rsidP="002244A0">
            <w:pPr>
              <w:jc w:val="both"/>
              <w:rPr>
                <w:rFonts w:eastAsia="Calibri"/>
                <w:sz w:val="20"/>
                <w:lang w:val="fr-CA"/>
              </w:rPr>
            </w:pPr>
            <w:r w:rsidRPr="005E0DD9">
              <w:rPr>
                <w:rFonts w:eastAsia="Calibri"/>
                <w:sz w:val="20"/>
                <w:lang w:val="fr-CA"/>
              </w:rPr>
              <w:t>Cour d’appel de la Colombie-Britannique  (Vancouver)</w:t>
            </w:r>
          </w:p>
          <w:p w:rsidR="003638D2" w:rsidRPr="005E0DD9" w:rsidRDefault="003638D2" w:rsidP="002244A0">
            <w:pPr>
              <w:jc w:val="both"/>
              <w:rPr>
                <w:rFonts w:eastAsia="Calibri"/>
                <w:sz w:val="20"/>
                <w:lang w:val="fr-CA"/>
              </w:rPr>
            </w:pPr>
            <w:r w:rsidRPr="005E0DD9">
              <w:rPr>
                <w:rFonts w:eastAsia="Calibri"/>
                <w:sz w:val="20"/>
                <w:lang w:val="fr-CA"/>
              </w:rPr>
              <w:t>(Juges Saunders, Levine et Hinkson)</w:t>
            </w:r>
          </w:p>
          <w:p w:rsidR="003638D2" w:rsidRPr="005E0DD9" w:rsidRDefault="003638D2" w:rsidP="002244A0">
            <w:pPr>
              <w:jc w:val="both"/>
              <w:rPr>
                <w:rFonts w:eastAsia="Calibri"/>
                <w:sz w:val="20"/>
              </w:rPr>
            </w:pPr>
            <w:r w:rsidRPr="005E0DD9">
              <w:rPr>
                <w:rFonts w:eastAsia="Calibri"/>
                <w:sz w:val="20"/>
              </w:rPr>
              <w:t>CA038979; CA038980; CA038983</w:t>
            </w:r>
          </w:p>
          <w:p w:rsidR="003638D2" w:rsidRPr="005E0DD9" w:rsidRDefault="003638D2" w:rsidP="002244A0">
            <w:pPr>
              <w:jc w:val="both"/>
              <w:rPr>
                <w:rFonts w:eastAsia="Calibri"/>
                <w:sz w:val="20"/>
              </w:rPr>
            </w:pPr>
            <w:r w:rsidRPr="005E0DD9">
              <w:rPr>
                <w:rFonts w:eastAsia="Calibri"/>
                <w:sz w:val="20"/>
              </w:rPr>
              <w:t>2012 BCCA 70</w:t>
            </w:r>
          </w:p>
          <w:p w:rsidR="003638D2" w:rsidRPr="005E0DD9" w:rsidRDefault="003638D2" w:rsidP="002244A0">
            <w:pPr>
              <w:jc w:val="both"/>
              <w:rPr>
                <w:rFonts w:eastAsia="Calibri"/>
                <w:sz w:val="20"/>
              </w:rPr>
            </w:pPr>
          </w:p>
        </w:tc>
        <w:tc>
          <w:tcPr>
            <w:tcW w:w="243" w:type="pct"/>
          </w:tcPr>
          <w:p w:rsidR="003638D2" w:rsidRPr="005E0DD9" w:rsidRDefault="003638D2" w:rsidP="002244A0">
            <w:pPr>
              <w:jc w:val="both"/>
              <w:rPr>
                <w:rFonts w:eastAsia="Calibri"/>
                <w:sz w:val="20"/>
              </w:rPr>
            </w:pPr>
          </w:p>
        </w:tc>
        <w:tc>
          <w:tcPr>
            <w:tcW w:w="2330" w:type="pct"/>
          </w:tcPr>
          <w:p w:rsidR="003638D2" w:rsidRPr="005E0DD9" w:rsidRDefault="003638D2" w:rsidP="002244A0">
            <w:pPr>
              <w:jc w:val="both"/>
              <w:rPr>
                <w:rFonts w:eastAsia="Calibri"/>
                <w:sz w:val="20"/>
                <w:lang w:val="fr-FR"/>
              </w:rPr>
            </w:pPr>
            <w:r w:rsidRPr="005E0DD9">
              <w:rPr>
                <w:rFonts w:eastAsia="Calibri"/>
                <w:sz w:val="20"/>
                <w:lang w:val="fr-FR"/>
              </w:rPr>
              <w:t>Appel de l’intimée accueilli en partie; appel incident de la demanderesse rejeté.</w:t>
            </w:r>
          </w:p>
          <w:p w:rsidR="003638D2" w:rsidRPr="005E0DD9" w:rsidRDefault="003638D2" w:rsidP="002244A0">
            <w:pPr>
              <w:jc w:val="both"/>
              <w:rPr>
                <w:rFonts w:eastAsia="Calibri"/>
                <w:sz w:val="20"/>
                <w:lang w:val="fr-FR"/>
              </w:rPr>
            </w:pPr>
          </w:p>
        </w:tc>
      </w:tr>
      <w:tr w:rsidR="003638D2" w:rsidRPr="005E0DD9" w:rsidTr="002244A0">
        <w:tc>
          <w:tcPr>
            <w:tcW w:w="2427" w:type="pct"/>
          </w:tcPr>
          <w:p w:rsidR="003638D2" w:rsidRPr="005E0DD9" w:rsidRDefault="003638D2" w:rsidP="002244A0">
            <w:pPr>
              <w:jc w:val="both"/>
              <w:rPr>
                <w:rFonts w:eastAsia="Calibri"/>
                <w:sz w:val="20"/>
                <w:lang w:val="fr-FR"/>
              </w:rPr>
            </w:pPr>
            <w:r w:rsidRPr="005E0DD9">
              <w:rPr>
                <w:rFonts w:eastAsia="Calibri"/>
                <w:sz w:val="20"/>
                <w:lang w:val="fr-FR"/>
              </w:rPr>
              <w:t>12 avril 2012</w:t>
            </w:r>
          </w:p>
          <w:p w:rsidR="003638D2" w:rsidRPr="005E0DD9" w:rsidRDefault="003638D2" w:rsidP="002244A0">
            <w:pPr>
              <w:jc w:val="both"/>
              <w:rPr>
                <w:rFonts w:eastAsia="Calibri"/>
                <w:sz w:val="20"/>
                <w:lang w:val="fr-FR"/>
              </w:rPr>
            </w:pPr>
            <w:r w:rsidRPr="005E0DD9">
              <w:rPr>
                <w:rFonts w:eastAsia="Calibri"/>
                <w:sz w:val="20"/>
                <w:lang w:val="fr-FR"/>
              </w:rPr>
              <w:t>Cour suprême du Canada</w:t>
            </w:r>
          </w:p>
        </w:tc>
        <w:tc>
          <w:tcPr>
            <w:tcW w:w="243" w:type="pct"/>
          </w:tcPr>
          <w:p w:rsidR="003638D2" w:rsidRPr="005E0DD9" w:rsidRDefault="003638D2" w:rsidP="002244A0">
            <w:pPr>
              <w:jc w:val="both"/>
              <w:rPr>
                <w:rFonts w:eastAsia="Calibri"/>
                <w:sz w:val="20"/>
                <w:lang w:val="fr-FR"/>
              </w:rPr>
            </w:pPr>
          </w:p>
        </w:tc>
        <w:tc>
          <w:tcPr>
            <w:tcW w:w="2330" w:type="pct"/>
          </w:tcPr>
          <w:p w:rsidR="003638D2" w:rsidRPr="005E0DD9" w:rsidRDefault="003638D2" w:rsidP="002244A0">
            <w:pPr>
              <w:jc w:val="both"/>
              <w:rPr>
                <w:rFonts w:eastAsia="Calibri"/>
                <w:sz w:val="20"/>
              </w:rPr>
            </w:pPr>
            <w:r w:rsidRPr="005E0DD9">
              <w:rPr>
                <w:rFonts w:eastAsia="Calibri"/>
                <w:sz w:val="20"/>
              </w:rPr>
              <w:t>Demande d’autorisation d’appel déposée.</w:t>
            </w:r>
          </w:p>
          <w:p w:rsidR="003638D2" w:rsidRPr="005E0DD9" w:rsidRDefault="003638D2" w:rsidP="002244A0">
            <w:pPr>
              <w:jc w:val="both"/>
              <w:rPr>
                <w:rFonts w:eastAsia="Calibri"/>
                <w:sz w:val="20"/>
              </w:rPr>
            </w:pPr>
          </w:p>
        </w:tc>
      </w:tr>
    </w:tbl>
    <w:p w:rsidR="003638D2" w:rsidRDefault="003638D2" w:rsidP="003638D2">
      <w:pPr>
        <w:rPr>
          <w:sz w:val="20"/>
          <w:szCs w:val="20"/>
        </w:rPr>
      </w:pPr>
    </w:p>
    <w:p w:rsidR="008D292F" w:rsidRDefault="00B62B14" w:rsidP="008D292F">
      <w:pPr>
        <w:rPr>
          <w:sz w:val="20"/>
          <w:szCs w:val="20"/>
          <w:lang w:val="fr-CA"/>
        </w:rPr>
      </w:pPr>
      <w:r w:rsidRPr="00B62B14">
        <w:rPr>
          <w:sz w:val="20"/>
          <w:szCs w:val="20"/>
          <w:lang w:val="fr-CA"/>
        </w:rPr>
        <w:pict>
          <v:rect id="_x0000_i1045" style="width:2in;height:1pt" o:hrpct="0" o:hralign="center" o:hrstd="t" o:hrnoshade="t" o:hr="t" fillcolor="black [3213]" stroked="f"/>
        </w:pict>
      </w:r>
    </w:p>
    <w:p w:rsidR="003638D2" w:rsidRDefault="003638D2"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484C9D" w:rsidRPr="003662F0" w:rsidRDefault="00484C9D" w:rsidP="00484C9D">
      <w:pPr>
        <w:tabs>
          <w:tab w:val="left" w:pos="-1440"/>
          <w:tab w:val="left" w:pos="-720"/>
        </w:tabs>
        <w:jc w:val="both"/>
        <w:rPr>
          <w:sz w:val="20"/>
          <w:szCs w:val="20"/>
          <w:lang w:val="fr-CA"/>
        </w:rPr>
      </w:pPr>
      <w:r w:rsidRPr="003662F0">
        <w:rPr>
          <w:sz w:val="20"/>
          <w:szCs w:val="20"/>
          <w:lang w:val="fr-CA"/>
        </w:rPr>
        <w:t>18.07.2012</w:t>
      </w:r>
    </w:p>
    <w:p w:rsidR="00484C9D" w:rsidRPr="003662F0" w:rsidRDefault="00484C9D" w:rsidP="00484C9D">
      <w:pPr>
        <w:tabs>
          <w:tab w:val="left" w:pos="-1440"/>
          <w:tab w:val="left" w:pos="-720"/>
        </w:tabs>
        <w:jc w:val="both"/>
        <w:rPr>
          <w:sz w:val="20"/>
          <w:szCs w:val="20"/>
          <w:lang w:val="fr-CA"/>
        </w:rPr>
      </w:pPr>
    </w:p>
    <w:p w:rsidR="00484C9D" w:rsidRPr="003662F0" w:rsidRDefault="00484C9D" w:rsidP="00484C9D">
      <w:pPr>
        <w:tabs>
          <w:tab w:val="left" w:pos="-1440"/>
          <w:tab w:val="left" w:pos="-720"/>
        </w:tabs>
        <w:jc w:val="both"/>
        <w:rPr>
          <w:sz w:val="20"/>
          <w:szCs w:val="20"/>
          <w:lang w:val="fr-CA"/>
        </w:rPr>
      </w:pPr>
      <w:r w:rsidRPr="003662F0">
        <w:rPr>
          <w:sz w:val="20"/>
          <w:szCs w:val="20"/>
          <w:lang w:val="fr-CA"/>
        </w:rPr>
        <w:t>Before / Devant :   DESCHAMPS J. / LA JUGE DESCHAMPS</w:t>
      </w:r>
    </w:p>
    <w:p w:rsidR="00484C9D" w:rsidRPr="003662F0" w:rsidRDefault="00484C9D" w:rsidP="00484C9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84C9D" w:rsidRPr="003662F0" w:rsidTr="002244A0">
        <w:tc>
          <w:tcPr>
            <w:tcW w:w="4338" w:type="dxa"/>
            <w:gridSpan w:val="2"/>
          </w:tcPr>
          <w:p w:rsidR="00484C9D" w:rsidRPr="003662F0" w:rsidRDefault="00484C9D" w:rsidP="002244A0">
            <w:pPr>
              <w:rPr>
                <w:b/>
                <w:sz w:val="20"/>
                <w:szCs w:val="20"/>
              </w:rPr>
            </w:pPr>
            <w:r w:rsidRPr="003662F0">
              <w:rPr>
                <w:b/>
                <w:sz w:val="20"/>
                <w:szCs w:val="20"/>
              </w:rPr>
              <w:t>Motions for leave to intervene</w:t>
            </w:r>
            <w:r w:rsidRPr="003662F0">
              <w:rPr>
                <w:sz w:val="20"/>
                <w:szCs w:val="20"/>
              </w:rPr>
              <w:t xml:space="preserve"> </w:t>
            </w:r>
            <w:r w:rsidR="00B62B14" w:rsidRPr="003662F0">
              <w:rPr>
                <w:sz w:val="20"/>
                <w:szCs w:val="20"/>
              </w:rPr>
              <w:fldChar w:fldCharType="begin"/>
            </w:r>
            <w:r w:rsidRPr="003662F0">
              <w:rPr>
                <w:sz w:val="20"/>
                <w:szCs w:val="20"/>
              </w:rPr>
              <w:instrText xml:space="preserve"> SEQ CHAPTER \h \r 1</w:instrText>
            </w:r>
            <w:r w:rsidR="00B62B14" w:rsidRPr="003662F0">
              <w:rPr>
                <w:sz w:val="20"/>
                <w:szCs w:val="20"/>
              </w:rPr>
              <w:fldChar w:fldCharType="end"/>
            </w:r>
          </w:p>
        </w:tc>
        <w:tc>
          <w:tcPr>
            <w:tcW w:w="1170" w:type="dxa"/>
          </w:tcPr>
          <w:p w:rsidR="00484C9D" w:rsidRPr="003662F0" w:rsidRDefault="00484C9D" w:rsidP="002244A0">
            <w:pPr>
              <w:rPr>
                <w:sz w:val="20"/>
                <w:szCs w:val="20"/>
              </w:rPr>
            </w:pPr>
          </w:p>
          <w:p w:rsidR="00484C9D" w:rsidRPr="003662F0" w:rsidRDefault="00484C9D" w:rsidP="002244A0">
            <w:pPr>
              <w:rPr>
                <w:sz w:val="20"/>
                <w:szCs w:val="20"/>
              </w:rPr>
            </w:pPr>
          </w:p>
        </w:tc>
        <w:tc>
          <w:tcPr>
            <w:tcW w:w="4327" w:type="dxa"/>
          </w:tcPr>
          <w:p w:rsidR="00484C9D" w:rsidRPr="003662F0" w:rsidRDefault="00484C9D" w:rsidP="002244A0">
            <w:pPr>
              <w:rPr>
                <w:b/>
                <w:sz w:val="20"/>
                <w:szCs w:val="20"/>
              </w:rPr>
            </w:pPr>
            <w:r w:rsidRPr="003662F0">
              <w:rPr>
                <w:b/>
                <w:bCs/>
                <w:sz w:val="20"/>
                <w:szCs w:val="20"/>
                <w:lang w:val="fr-CA"/>
              </w:rPr>
              <w:t>Requêtes en autorisation d’intervenir</w:t>
            </w:r>
            <w:r w:rsidRPr="003662F0">
              <w:rPr>
                <w:sz w:val="20"/>
                <w:szCs w:val="20"/>
              </w:rPr>
              <w:t xml:space="preserve"> </w:t>
            </w:r>
            <w:r w:rsidR="00B62B14" w:rsidRPr="003662F0">
              <w:rPr>
                <w:sz w:val="20"/>
                <w:szCs w:val="20"/>
              </w:rPr>
              <w:fldChar w:fldCharType="begin"/>
            </w:r>
            <w:r w:rsidRPr="003662F0">
              <w:rPr>
                <w:sz w:val="20"/>
                <w:szCs w:val="20"/>
              </w:rPr>
              <w:instrText xml:space="preserve"> SEQ CHAPTER \h \r 1</w:instrText>
            </w:r>
            <w:r w:rsidR="00B62B14" w:rsidRPr="003662F0">
              <w:rPr>
                <w:sz w:val="20"/>
                <w:szCs w:val="20"/>
              </w:rPr>
              <w:fldChar w:fldCharType="end"/>
            </w:r>
          </w:p>
        </w:tc>
      </w:tr>
      <w:tr w:rsidR="00484C9D" w:rsidRPr="003662F0" w:rsidTr="002244A0">
        <w:tc>
          <w:tcPr>
            <w:tcW w:w="1368" w:type="dxa"/>
          </w:tcPr>
          <w:p w:rsidR="00484C9D" w:rsidRPr="003662F0" w:rsidRDefault="00484C9D" w:rsidP="002244A0">
            <w:pPr>
              <w:rPr>
                <w:sz w:val="20"/>
                <w:szCs w:val="20"/>
              </w:rPr>
            </w:pPr>
            <w:r w:rsidRPr="003662F0">
              <w:rPr>
                <w:sz w:val="20"/>
                <w:szCs w:val="20"/>
              </w:rPr>
              <w:t>BY / PAR</w:t>
            </w:r>
          </w:p>
        </w:tc>
        <w:tc>
          <w:tcPr>
            <w:tcW w:w="2970" w:type="dxa"/>
          </w:tcPr>
          <w:p w:rsidR="00484C9D" w:rsidRPr="003662F0" w:rsidRDefault="00484C9D" w:rsidP="002244A0">
            <w:pPr>
              <w:rPr>
                <w:sz w:val="20"/>
                <w:szCs w:val="20"/>
              </w:rPr>
            </w:pPr>
            <w:r w:rsidRPr="003662F0">
              <w:rPr>
                <w:sz w:val="20"/>
                <w:szCs w:val="20"/>
              </w:rPr>
              <w:t>British Columbia Civil Liberties Association;</w:t>
            </w:r>
          </w:p>
        </w:tc>
        <w:tc>
          <w:tcPr>
            <w:tcW w:w="117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r w:rsidR="00484C9D" w:rsidRPr="003662F0" w:rsidTr="002244A0">
        <w:tc>
          <w:tcPr>
            <w:tcW w:w="1368" w:type="dxa"/>
          </w:tcPr>
          <w:p w:rsidR="00484C9D" w:rsidRPr="003662F0" w:rsidRDefault="00484C9D" w:rsidP="002244A0">
            <w:pPr>
              <w:rPr>
                <w:sz w:val="20"/>
                <w:szCs w:val="20"/>
              </w:rPr>
            </w:pPr>
          </w:p>
        </w:tc>
        <w:tc>
          <w:tcPr>
            <w:tcW w:w="2970" w:type="dxa"/>
          </w:tcPr>
          <w:p w:rsidR="00484C9D" w:rsidRPr="003662F0" w:rsidRDefault="00484C9D" w:rsidP="002244A0">
            <w:pPr>
              <w:rPr>
                <w:sz w:val="20"/>
                <w:szCs w:val="20"/>
              </w:rPr>
            </w:pPr>
            <w:r w:rsidRPr="003662F0">
              <w:rPr>
                <w:sz w:val="20"/>
                <w:szCs w:val="20"/>
              </w:rPr>
              <w:t>Ahmad Daud Maqsudi;</w:t>
            </w:r>
          </w:p>
        </w:tc>
        <w:tc>
          <w:tcPr>
            <w:tcW w:w="117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r w:rsidR="00484C9D" w:rsidRPr="003662F0" w:rsidTr="002244A0">
        <w:tc>
          <w:tcPr>
            <w:tcW w:w="1368" w:type="dxa"/>
          </w:tcPr>
          <w:p w:rsidR="00484C9D" w:rsidRPr="003662F0" w:rsidRDefault="00484C9D" w:rsidP="002244A0">
            <w:pPr>
              <w:rPr>
                <w:sz w:val="20"/>
                <w:szCs w:val="20"/>
              </w:rPr>
            </w:pPr>
          </w:p>
        </w:tc>
        <w:tc>
          <w:tcPr>
            <w:tcW w:w="2970" w:type="dxa"/>
          </w:tcPr>
          <w:p w:rsidR="00484C9D" w:rsidRPr="003662F0" w:rsidRDefault="00484C9D" w:rsidP="002244A0">
            <w:pPr>
              <w:rPr>
                <w:sz w:val="20"/>
                <w:szCs w:val="20"/>
              </w:rPr>
            </w:pPr>
            <w:r w:rsidRPr="003662F0">
              <w:rPr>
                <w:sz w:val="20"/>
                <w:szCs w:val="20"/>
              </w:rPr>
              <w:t>Canadian Council for Refugees and Canadian Association of Refugee Lawyers;</w:t>
            </w:r>
          </w:p>
        </w:tc>
        <w:tc>
          <w:tcPr>
            <w:tcW w:w="117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r w:rsidR="00484C9D" w:rsidRPr="003662F0" w:rsidTr="002244A0">
        <w:tc>
          <w:tcPr>
            <w:tcW w:w="1368" w:type="dxa"/>
          </w:tcPr>
          <w:p w:rsidR="00484C9D" w:rsidRPr="003662F0" w:rsidRDefault="00484C9D" w:rsidP="002244A0">
            <w:pPr>
              <w:rPr>
                <w:sz w:val="20"/>
                <w:szCs w:val="20"/>
              </w:rPr>
            </w:pPr>
          </w:p>
        </w:tc>
        <w:tc>
          <w:tcPr>
            <w:tcW w:w="2970" w:type="dxa"/>
          </w:tcPr>
          <w:p w:rsidR="00484C9D" w:rsidRPr="003662F0" w:rsidRDefault="00484C9D" w:rsidP="002244A0">
            <w:pPr>
              <w:rPr>
                <w:sz w:val="20"/>
                <w:szCs w:val="20"/>
              </w:rPr>
            </w:pPr>
            <w:r w:rsidRPr="003662F0">
              <w:rPr>
                <w:sz w:val="20"/>
                <w:szCs w:val="20"/>
              </w:rPr>
              <w:t>Canadian Arab Federation and Canadian Tamil Congress</w:t>
            </w:r>
          </w:p>
        </w:tc>
        <w:tc>
          <w:tcPr>
            <w:tcW w:w="117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r w:rsidR="00484C9D" w:rsidRPr="003662F0" w:rsidTr="002244A0">
        <w:tc>
          <w:tcPr>
            <w:tcW w:w="1368" w:type="dxa"/>
          </w:tcPr>
          <w:p w:rsidR="00484C9D" w:rsidRPr="003662F0" w:rsidRDefault="00484C9D" w:rsidP="002244A0">
            <w:pPr>
              <w:rPr>
                <w:sz w:val="20"/>
                <w:szCs w:val="20"/>
              </w:rPr>
            </w:pPr>
          </w:p>
        </w:tc>
        <w:tc>
          <w:tcPr>
            <w:tcW w:w="2970" w:type="dxa"/>
          </w:tcPr>
          <w:p w:rsidR="00484C9D" w:rsidRPr="003662F0" w:rsidRDefault="00484C9D" w:rsidP="002244A0">
            <w:pPr>
              <w:rPr>
                <w:sz w:val="20"/>
                <w:szCs w:val="20"/>
              </w:rPr>
            </w:pPr>
          </w:p>
        </w:tc>
        <w:tc>
          <w:tcPr>
            <w:tcW w:w="117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r w:rsidR="00484C9D" w:rsidRPr="003662F0" w:rsidTr="002244A0">
        <w:tc>
          <w:tcPr>
            <w:tcW w:w="1368" w:type="dxa"/>
          </w:tcPr>
          <w:p w:rsidR="00484C9D" w:rsidRPr="003662F0" w:rsidRDefault="00484C9D" w:rsidP="002244A0">
            <w:pPr>
              <w:rPr>
                <w:sz w:val="20"/>
                <w:szCs w:val="20"/>
              </w:rPr>
            </w:pPr>
            <w:r w:rsidRPr="003662F0">
              <w:rPr>
                <w:sz w:val="20"/>
                <w:szCs w:val="20"/>
              </w:rPr>
              <w:t>IN / DANS :</w:t>
            </w:r>
          </w:p>
        </w:tc>
        <w:tc>
          <w:tcPr>
            <w:tcW w:w="2970" w:type="dxa"/>
          </w:tcPr>
          <w:p w:rsidR="00484C9D" w:rsidRPr="003662F0" w:rsidRDefault="00484C9D" w:rsidP="002244A0">
            <w:pPr>
              <w:rPr>
                <w:sz w:val="20"/>
                <w:szCs w:val="20"/>
              </w:rPr>
            </w:pPr>
            <w:r w:rsidRPr="003662F0">
              <w:rPr>
                <w:sz w:val="20"/>
                <w:szCs w:val="20"/>
              </w:rPr>
              <w:t>Muhsen Ahemed Ramadan Agraira</w:t>
            </w:r>
          </w:p>
          <w:p w:rsidR="00484C9D" w:rsidRPr="003662F0" w:rsidRDefault="00484C9D" w:rsidP="002244A0">
            <w:pPr>
              <w:rPr>
                <w:sz w:val="20"/>
                <w:szCs w:val="20"/>
              </w:rPr>
            </w:pPr>
          </w:p>
        </w:tc>
        <w:tc>
          <w:tcPr>
            <w:tcW w:w="117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r w:rsidR="00484C9D" w:rsidRPr="003662F0" w:rsidTr="002244A0">
        <w:tc>
          <w:tcPr>
            <w:tcW w:w="1368" w:type="dxa"/>
          </w:tcPr>
          <w:p w:rsidR="00484C9D" w:rsidRPr="003662F0" w:rsidRDefault="00484C9D" w:rsidP="002244A0">
            <w:pPr>
              <w:rPr>
                <w:sz w:val="20"/>
                <w:szCs w:val="20"/>
              </w:rPr>
            </w:pPr>
          </w:p>
        </w:tc>
        <w:tc>
          <w:tcPr>
            <w:tcW w:w="2970" w:type="dxa"/>
          </w:tcPr>
          <w:p w:rsidR="00484C9D" w:rsidRPr="003662F0" w:rsidRDefault="00484C9D" w:rsidP="002244A0">
            <w:pPr>
              <w:rPr>
                <w:sz w:val="20"/>
                <w:szCs w:val="20"/>
              </w:rPr>
            </w:pPr>
            <w:r w:rsidRPr="003662F0">
              <w:rPr>
                <w:sz w:val="20"/>
                <w:szCs w:val="20"/>
              </w:rPr>
              <w:tab/>
              <w:t>v. (34258)</w:t>
            </w:r>
          </w:p>
          <w:p w:rsidR="00484C9D" w:rsidRPr="003662F0" w:rsidRDefault="00484C9D" w:rsidP="002244A0">
            <w:pPr>
              <w:rPr>
                <w:sz w:val="20"/>
                <w:szCs w:val="20"/>
              </w:rPr>
            </w:pPr>
          </w:p>
        </w:tc>
        <w:tc>
          <w:tcPr>
            <w:tcW w:w="117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r w:rsidR="00484C9D" w:rsidRPr="003662F0" w:rsidTr="002244A0">
        <w:tc>
          <w:tcPr>
            <w:tcW w:w="1368" w:type="dxa"/>
          </w:tcPr>
          <w:p w:rsidR="00484C9D" w:rsidRPr="003662F0" w:rsidRDefault="00484C9D" w:rsidP="002244A0">
            <w:pPr>
              <w:rPr>
                <w:sz w:val="20"/>
                <w:szCs w:val="20"/>
              </w:rPr>
            </w:pPr>
          </w:p>
        </w:tc>
        <w:tc>
          <w:tcPr>
            <w:tcW w:w="2970" w:type="dxa"/>
          </w:tcPr>
          <w:p w:rsidR="00484C9D" w:rsidRPr="003662F0" w:rsidRDefault="00484C9D" w:rsidP="002244A0">
            <w:pPr>
              <w:jc w:val="both"/>
              <w:rPr>
                <w:sz w:val="20"/>
                <w:szCs w:val="20"/>
              </w:rPr>
            </w:pPr>
            <w:r w:rsidRPr="003662F0">
              <w:rPr>
                <w:sz w:val="20"/>
                <w:szCs w:val="20"/>
              </w:rPr>
              <w:t>Minister of Public Safety and Emergency Preparedness (F.C.)</w:t>
            </w:r>
          </w:p>
        </w:tc>
        <w:tc>
          <w:tcPr>
            <w:tcW w:w="117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bl>
    <w:p w:rsidR="00484C9D" w:rsidRPr="003662F0" w:rsidRDefault="00484C9D" w:rsidP="00484C9D">
      <w:pPr>
        <w:tabs>
          <w:tab w:val="left" w:pos="-1440"/>
          <w:tab w:val="left" w:pos="-720"/>
        </w:tabs>
        <w:jc w:val="both"/>
        <w:rPr>
          <w:sz w:val="20"/>
          <w:szCs w:val="20"/>
        </w:rPr>
      </w:pPr>
    </w:p>
    <w:p w:rsidR="00484C9D" w:rsidRPr="003662F0" w:rsidRDefault="00484C9D" w:rsidP="00484C9D">
      <w:pPr>
        <w:tabs>
          <w:tab w:val="left" w:pos="-1440"/>
          <w:tab w:val="left" w:pos="-720"/>
        </w:tabs>
        <w:jc w:val="both"/>
        <w:rPr>
          <w:sz w:val="20"/>
          <w:szCs w:val="20"/>
        </w:rPr>
      </w:pPr>
      <w:r w:rsidRPr="003662F0">
        <w:rPr>
          <w:b/>
          <w:sz w:val="20"/>
          <w:szCs w:val="20"/>
        </w:rPr>
        <w:t>GRANTED / ACCORDÉES</w:t>
      </w:r>
    </w:p>
    <w:p w:rsidR="00484C9D" w:rsidRPr="003662F0" w:rsidRDefault="00484C9D" w:rsidP="00484C9D">
      <w:pPr>
        <w:tabs>
          <w:tab w:val="left" w:pos="-1440"/>
          <w:tab w:val="left" w:pos="-720"/>
        </w:tabs>
        <w:jc w:val="both"/>
        <w:rPr>
          <w:sz w:val="20"/>
          <w:szCs w:val="20"/>
        </w:rPr>
      </w:pPr>
    </w:p>
    <w:p w:rsidR="00484C9D" w:rsidRPr="003662F0" w:rsidRDefault="00484C9D" w:rsidP="00484C9D">
      <w:pPr>
        <w:spacing w:line="233" w:lineRule="auto"/>
        <w:jc w:val="both"/>
        <w:rPr>
          <w:b/>
          <w:sz w:val="20"/>
          <w:szCs w:val="20"/>
        </w:rPr>
      </w:pPr>
      <w:r w:rsidRPr="003662F0">
        <w:rPr>
          <w:b/>
          <w:sz w:val="20"/>
          <w:szCs w:val="20"/>
        </w:rPr>
        <w:t xml:space="preserve">UPON APPLICATIONS </w:t>
      </w:r>
      <w:r w:rsidRPr="003662F0">
        <w:rPr>
          <w:sz w:val="20"/>
          <w:szCs w:val="20"/>
        </w:rPr>
        <w:t>by the British Columbia Civil Liberties Association, Ahmad Daud Maqsudi, the Canadian Council for Refugees and Canadian Association of Refugee Lawyers and the Canadian Arab Federation and Canadian Tamil Congress for leave to intervene in the above appeal;</w:t>
      </w:r>
    </w:p>
    <w:p w:rsidR="00484C9D" w:rsidRPr="003662F0" w:rsidRDefault="00484C9D" w:rsidP="00484C9D">
      <w:pPr>
        <w:spacing w:line="233" w:lineRule="auto"/>
        <w:jc w:val="both"/>
        <w:rPr>
          <w:sz w:val="20"/>
          <w:szCs w:val="20"/>
        </w:rPr>
      </w:pPr>
    </w:p>
    <w:p w:rsidR="00484C9D" w:rsidRPr="003662F0" w:rsidRDefault="00484C9D" w:rsidP="00484C9D">
      <w:pPr>
        <w:spacing w:line="233" w:lineRule="auto"/>
        <w:jc w:val="both"/>
        <w:rPr>
          <w:sz w:val="20"/>
          <w:szCs w:val="20"/>
        </w:rPr>
      </w:pPr>
      <w:r w:rsidRPr="003662F0">
        <w:rPr>
          <w:b/>
          <w:bCs/>
          <w:sz w:val="20"/>
          <w:szCs w:val="20"/>
        </w:rPr>
        <w:t>AND THE MATERIAL FILED</w:t>
      </w:r>
      <w:r w:rsidRPr="003662F0">
        <w:rPr>
          <w:sz w:val="20"/>
          <w:szCs w:val="20"/>
        </w:rPr>
        <w:t xml:space="preserve"> having been read;</w:t>
      </w:r>
    </w:p>
    <w:p w:rsidR="00484C9D" w:rsidRPr="003662F0" w:rsidRDefault="00484C9D" w:rsidP="00484C9D">
      <w:pPr>
        <w:spacing w:line="233" w:lineRule="auto"/>
        <w:jc w:val="center"/>
        <w:rPr>
          <w:sz w:val="20"/>
          <w:szCs w:val="20"/>
        </w:rPr>
      </w:pPr>
    </w:p>
    <w:p w:rsidR="00484C9D" w:rsidRPr="003662F0" w:rsidRDefault="00484C9D" w:rsidP="00484C9D">
      <w:pPr>
        <w:spacing w:line="233" w:lineRule="auto"/>
        <w:jc w:val="both"/>
        <w:rPr>
          <w:sz w:val="20"/>
          <w:szCs w:val="20"/>
        </w:rPr>
      </w:pPr>
      <w:r w:rsidRPr="003662F0">
        <w:rPr>
          <w:b/>
          <w:bCs/>
          <w:sz w:val="20"/>
          <w:szCs w:val="20"/>
        </w:rPr>
        <w:t>IT IS HEREBY ORDERED THAT:</w:t>
      </w:r>
    </w:p>
    <w:p w:rsidR="00484C9D" w:rsidRPr="003662F0" w:rsidRDefault="00484C9D" w:rsidP="00484C9D">
      <w:pPr>
        <w:spacing w:line="233" w:lineRule="auto"/>
        <w:jc w:val="both"/>
        <w:rPr>
          <w:sz w:val="20"/>
          <w:szCs w:val="20"/>
        </w:rPr>
      </w:pPr>
    </w:p>
    <w:p w:rsidR="00484C9D" w:rsidRPr="003662F0" w:rsidRDefault="00484C9D" w:rsidP="00484C9D">
      <w:pPr>
        <w:spacing w:line="233" w:lineRule="auto"/>
        <w:jc w:val="both"/>
        <w:rPr>
          <w:sz w:val="20"/>
          <w:szCs w:val="20"/>
        </w:rPr>
      </w:pPr>
      <w:r w:rsidRPr="003662F0">
        <w:rPr>
          <w:sz w:val="20"/>
          <w:szCs w:val="20"/>
        </w:rPr>
        <w:t xml:space="preserve">The motions for leave to intervene of the British Columbia Civil Liberties Association, Ahmad Daud Maqsudi, the Canadian Council for Refugees and Canadian Association of Refugee Lawyers and the Canadian Arab Federation and Canadian Tamil Congress are granted and the said four groups of interveners shall be entitled to each serve and file a factum not to exceed 10 pages in length on or before September 12, 2012. </w:t>
      </w:r>
    </w:p>
    <w:p w:rsidR="00484C9D" w:rsidRPr="003662F0" w:rsidRDefault="00484C9D" w:rsidP="00484C9D">
      <w:pPr>
        <w:spacing w:line="233" w:lineRule="auto"/>
        <w:jc w:val="both"/>
        <w:rPr>
          <w:sz w:val="20"/>
          <w:szCs w:val="20"/>
        </w:rPr>
      </w:pPr>
    </w:p>
    <w:p w:rsidR="00484C9D" w:rsidRPr="003662F0" w:rsidRDefault="00484C9D" w:rsidP="00484C9D">
      <w:pPr>
        <w:spacing w:line="233" w:lineRule="auto"/>
        <w:jc w:val="both"/>
        <w:rPr>
          <w:sz w:val="20"/>
          <w:szCs w:val="20"/>
        </w:rPr>
      </w:pPr>
      <w:r w:rsidRPr="003662F0">
        <w:rPr>
          <w:sz w:val="20"/>
          <w:szCs w:val="20"/>
        </w:rPr>
        <w:t>The requests to present oral argument are deferred to a date following receipt and consideration of the written arguments of the parties and the interveners.</w:t>
      </w:r>
    </w:p>
    <w:p w:rsidR="00484C9D" w:rsidRPr="003662F0" w:rsidRDefault="00484C9D" w:rsidP="00484C9D">
      <w:pPr>
        <w:spacing w:line="233" w:lineRule="auto"/>
        <w:jc w:val="both"/>
        <w:rPr>
          <w:sz w:val="20"/>
          <w:szCs w:val="20"/>
        </w:rPr>
      </w:pPr>
    </w:p>
    <w:p w:rsidR="00484C9D" w:rsidRPr="003662F0" w:rsidRDefault="00B62B14" w:rsidP="00484C9D">
      <w:pPr>
        <w:jc w:val="both"/>
        <w:rPr>
          <w:bCs/>
          <w:sz w:val="20"/>
          <w:szCs w:val="20"/>
        </w:rPr>
      </w:pPr>
      <w:r w:rsidRPr="003662F0">
        <w:rPr>
          <w:sz w:val="20"/>
          <w:szCs w:val="20"/>
        </w:rPr>
        <w:fldChar w:fldCharType="begin"/>
      </w:r>
      <w:r w:rsidR="00484C9D" w:rsidRPr="003662F0">
        <w:rPr>
          <w:sz w:val="20"/>
          <w:szCs w:val="20"/>
        </w:rPr>
        <w:instrText xml:space="preserve"> SEQ CHAPTER \h \r 1</w:instrText>
      </w:r>
      <w:r w:rsidRPr="003662F0">
        <w:rPr>
          <w:sz w:val="20"/>
          <w:szCs w:val="20"/>
        </w:rPr>
        <w:fldChar w:fldCharType="end"/>
      </w:r>
      <w:r w:rsidR="00484C9D" w:rsidRPr="003662F0">
        <w:rPr>
          <w:bCs/>
          <w:sz w:val="20"/>
          <w:szCs w:val="20"/>
        </w:rPr>
        <w:t>The interveners are not entitled to raise new issues or to adduce further evidence or otherwise to supplement the record of the parties.</w:t>
      </w:r>
    </w:p>
    <w:p w:rsidR="00484C9D" w:rsidRPr="003662F0" w:rsidRDefault="00484C9D" w:rsidP="00484C9D">
      <w:pPr>
        <w:spacing w:line="233" w:lineRule="auto"/>
        <w:rPr>
          <w:sz w:val="20"/>
          <w:szCs w:val="20"/>
        </w:rPr>
      </w:pPr>
    </w:p>
    <w:p w:rsidR="00484C9D" w:rsidRPr="003662F0" w:rsidRDefault="00484C9D" w:rsidP="00484C9D">
      <w:pPr>
        <w:spacing w:line="233" w:lineRule="auto"/>
        <w:jc w:val="both"/>
        <w:rPr>
          <w:sz w:val="20"/>
          <w:szCs w:val="20"/>
        </w:rPr>
      </w:pPr>
      <w:r w:rsidRPr="003662F0">
        <w:rPr>
          <w:sz w:val="20"/>
          <w:szCs w:val="20"/>
        </w:rPr>
        <w:t>Pursuant to Rule 59(1)(</w:t>
      </w:r>
      <w:r w:rsidRPr="003662F0">
        <w:rPr>
          <w:i/>
          <w:iCs/>
          <w:sz w:val="20"/>
          <w:szCs w:val="20"/>
        </w:rPr>
        <w:t>a</w:t>
      </w:r>
      <w:r w:rsidRPr="003662F0">
        <w:rPr>
          <w:sz w:val="20"/>
          <w:szCs w:val="20"/>
        </w:rPr>
        <w:t xml:space="preserve">) of the </w:t>
      </w:r>
      <w:r w:rsidRPr="003662F0">
        <w:rPr>
          <w:i/>
          <w:iCs/>
          <w:sz w:val="20"/>
          <w:szCs w:val="20"/>
        </w:rPr>
        <w:t>Rules of the Supreme Court of Canada</w:t>
      </w:r>
      <w:r w:rsidRPr="003662F0">
        <w:rPr>
          <w:sz w:val="20"/>
          <w:szCs w:val="20"/>
        </w:rPr>
        <w:t>, the interveners shall pay to the appellant and respondent any additional disbursements occasioned to the appellant and respondent by their interventions.</w:t>
      </w:r>
    </w:p>
    <w:p w:rsidR="00484C9D" w:rsidRPr="003662F0" w:rsidRDefault="00484C9D" w:rsidP="00484C9D">
      <w:pPr>
        <w:tabs>
          <w:tab w:val="left" w:pos="-1440"/>
          <w:tab w:val="left" w:pos="-720"/>
        </w:tabs>
        <w:jc w:val="both"/>
        <w:rPr>
          <w:sz w:val="20"/>
          <w:szCs w:val="20"/>
        </w:rPr>
      </w:pPr>
    </w:p>
    <w:p w:rsidR="00484C9D" w:rsidRPr="003662F0" w:rsidRDefault="00484C9D" w:rsidP="00484C9D">
      <w:pPr>
        <w:tabs>
          <w:tab w:val="left" w:pos="-1440"/>
          <w:tab w:val="left" w:pos="-720"/>
        </w:tabs>
        <w:jc w:val="both"/>
        <w:rPr>
          <w:sz w:val="20"/>
          <w:szCs w:val="20"/>
        </w:rPr>
      </w:pPr>
    </w:p>
    <w:p w:rsidR="00484C9D" w:rsidRPr="003662F0" w:rsidRDefault="00484C9D" w:rsidP="00484C9D">
      <w:pPr>
        <w:tabs>
          <w:tab w:val="left" w:pos="-1440"/>
          <w:tab w:val="left" w:pos="-720"/>
        </w:tabs>
        <w:jc w:val="both"/>
        <w:rPr>
          <w:sz w:val="20"/>
          <w:szCs w:val="20"/>
        </w:rPr>
      </w:pPr>
    </w:p>
    <w:p w:rsidR="00484C9D" w:rsidRPr="003662F0" w:rsidRDefault="00484C9D" w:rsidP="00484C9D">
      <w:pPr>
        <w:spacing w:line="233" w:lineRule="auto"/>
        <w:jc w:val="both"/>
        <w:rPr>
          <w:sz w:val="20"/>
          <w:szCs w:val="20"/>
          <w:lang w:val="fr-FR"/>
        </w:rPr>
      </w:pPr>
      <w:r w:rsidRPr="003662F0">
        <w:rPr>
          <w:b/>
          <w:sz w:val="20"/>
          <w:szCs w:val="20"/>
          <w:lang w:val="fr-FR"/>
        </w:rPr>
        <w:t>À LA SUITE DES REQUÊTES</w:t>
      </w:r>
      <w:r w:rsidRPr="003662F0">
        <w:rPr>
          <w:sz w:val="20"/>
          <w:szCs w:val="20"/>
          <w:lang w:val="fr-FR"/>
        </w:rPr>
        <w:t xml:space="preserve"> présentées par l’Association des libertés civiles de la Colombie</w:t>
      </w:r>
      <w:r w:rsidRPr="003662F0">
        <w:rPr>
          <w:rFonts w:ascii="MS Mincho" w:eastAsia="MS Mincho" w:hAnsi="MS Mincho" w:cs="MS Mincho" w:hint="eastAsia"/>
          <w:sz w:val="20"/>
          <w:szCs w:val="20"/>
          <w:lang w:val="fr-FR"/>
        </w:rPr>
        <w:t>‑</w:t>
      </w:r>
      <w:r w:rsidRPr="003662F0">
        <w:rPr>
          <w:sz w:val="20"/>
          <w:szCs w:val="20"/>
          <w:lang w:val="fr-FR"/>
        </w:rPr>
        <w:t xml:space="preserve">Britannique, par Ahmad Daud Maqsudi, par le Conseil canadien pour les réfugiés et l’Association canadienne des avocats et avocates en droit des réfugiés, et par la Fédération canado-arabe et le Congrès Tamoul Canadien en vue d'intervenir dans l'appel; </w:t>
      </w:r>
    </w:p>
    <w:p w:rsidR="00484C9D" w:rsidRPr="003662F0" w:rsidRDefault="00484C9D" w:rsidP="00484C9D">
      <w:pPr>
        <w:spacing w:line="233" w:lineRule="auto"/>
        <w:jc w:val="both"/>
        <w:rPr>
          <w:sz w:val="20"/>
          <w:szCs w:val="20"/>
          <w:lang w:val="fr-FR"/>
        </w:rPr>
      </w:pPr>
    </w:p>
    <w:p w:rsidR="00484C9D" w:rsidRPr="003662F0" w:rsidRDefault="00484C9D" w:rsidP="00484C9D">
      <w:pPr>
        <w:spacing w:line="233" w:lineRule="auto"/>
        <w:jc w:val="both"/>
        <w:rPr>
          <w:sz w:val="20"/>
          <w:szCs w:val="20"/>
          <w:lang w:val="fr-FR"/>
        </w:rPr>
      </w:pPr>
      <w:r w:rsidRPr="003662F0">
        <w:rPr>
          <w:b/>
          <w:sz w:val="20"/>
          <w:szCs w:val="20"/>
          <w:lang w:val="fr-FR"/>
        </w:rPr>
        <w:t>ET APRÈS EXAMEN</w:t>
      </w:r>
      <w:r w:rsidRPr="003662F0">
        <w:rPr>
          <w:sz w:val="20"/>
          <w:szCs w:val="20"/>
          <w:lang w:val="fr-FR"/>
        </w:rPr>
        <w:t xml:space="preserve"> des documents déposés </w:t>
      </w:r>
    </w:p>
    <w:p w:rsidR="00484C9D" w:rsidRPr="003662F0" w:rsidRDefault="00484C9D" w:rsidP="00484C9D">
      <w:pPr>
        <w:spacing w:line="233" w:lineRule="auto"/>
        <w:jc w:val="both"/>
        <w:rPr>
          <w:sz w:val="20"/>
          <w:szCs w:val="20"/>
          <w:lang w:val="fr-FR"/>
        </w:rPr>
      </w:pPr>
    </w:p>
    <w:p w:rsidR="00484C9D" w:rsidRPr="003662F0" w:rsidRDefault="00484C9D" w:rsidP="00484C9D">
      <w:pPr>
        <w:spacing w:line="233" w:lineRule="auto"/>
        <w:jc w:val="both"/>
        <w:rPr>
          <w:b/>
          <w:sz w:val="20"/>
          <w:szCs w:val="20"/>
          <w:lang w:val="fr-FR"/>
        </w:rPr>
      </w:pPr>
      <w:r w:rsidRPr="003662F0">
        <w:rPr>
          <w:b/>
          <w:sz w:val="20"/>
          <w:szCs w:val="20"/>
          <w:lang w:val="fr-FR"/>
        </w:rPr>
        <w:t xml:space="preserve">IL EST ORDONNÉ CE QUI SUIT : </w:t>
      </w:r>
    </w:p>
    <w:p w:rsidR="00484C9D" w:rsidRPr="003662F0" w:rsidRDefault="00484C9D" w:rsidP="00484C9D">
      <w:pPr>
        <w:spacing w:line="233" w:lineRule="auto"/>
        <w:jc w:val="both"/>
        <w:rPr>
          <w:sz w:val="20"/>
          <w:szCs w:val="20"/>
          <w:lang w:val="fr-FR"/>
        </w:rPr>
      </w:pPr>
    </w:p>
    <w:p w:rsidR="00484C9D" w:rsidRPr="003662F0" w:rsidRDefault="00484C9D" w:rsidP="00484C9D">
      <w:pPr>
        <w:spacing w:line="233" w:lineRule="auto"/>
        <w:jc w:val="both"/>
        <w:rPr>
          <w:sz w:val="20"/>
          <w:szCs w:val="20"/>
          <w:lang w:val="fr-FR"/>
        </w:rPr>
      </w:pPr>
      <w:r w:rsidRPr="003662F0">
        <w:rPr>
          <w:sz w:val="20"/>
          <w:szCs w:val="20"/>
          <w:lang w:val="fr-FR"/>
        </w:rPr>
        <w:t>Les requêtes en autorisation d'intervenir présentées par l’Association des libertés civiles de la Colombie</w:t>
      </w:r>
      <w:r w:rsidRPr="003662F0">
        <w:rPr>
          <w:rFonts w:ascii="MS Mincho" w:eastAsia="MS Mincho" w:hAnsi="MS Mincho" w:cs="MS Mincho" w:hint="eastAsia"/>
          <w:sz w:val="20"/>
          <w:szCs w:val="20"/>
          <w:lang w:val="fr-FR"/>
        </w:rPr>
        <w:t>‑</w:t>
      </w:r>
      <w:r w:rsidRPr="003662F0">
        <w:rPr>
          <w:sz w:val="20"/>
          <w:szCs w:val="20"/>
          <w:lang w:val="fr-FR"/>
        </w:rPr>
        <w:t xml:space="preserve">Britannique, par Ahmad Daud Maqsudi, par le Conseil canadien pour les réfugiés et l’Association canadienne des avocats et avocates en droit des réfugiés, et par la Fédération canado-arabe et le Congrès Tamoul Canadien sont accueillies et chacun de ces quatre groupes d’intervenants pourra déposer un mémoire d'au plus 10 pages au plus tard le 12 septembre 2012. </w:t>
      </w:r>
    </w:p>
    <w:p w:rsidR="00484C9D" w:rsidRPr="003662F0" w:rsidRDefault="00484C9D" w:rsidP="00484C9D">
      <w:pPr>
        <w:spacing w:line="233" w:lineRule="auto"/>
        <w:jc w:val="both"/>
        <w:rPr>
          <w:sz w:val="20"/>
          <w:szCs w:val="20"/>
          <w:lang w:val="fr-FR"/>
        </w:rPr>
      </w:pPr>
    </w:p>
    <w:p w:rsidR="00484C9D" w:rsidRPr="003662F0" w:rsidRDefault="00484C9D" w:rsidP="00484C9D">
      <w:pPr>
        <w:spacing w:line="233" w:lineRule="auto"/>
        <w:jc w:val="both"/>
        <w:rPr>
          <w:sz w:val="20"/>
          <w:szCs w:val="20"/>
          <w:lang w:val="fr-FR"/>
        </w:rPr>
      </w:pPr>
      <w:r w:rsidRPr="003662F0">
        <w:rPr>
          <w:sz w:val="20"/>
          <w:szCs w:val="20"/>
          <w:lang w:val="fr-FR"/>
        </w:rPr>
        <w:t>La décision sur les demandes en vue de présenter une plaidoirie orale sera rendue après réception et examen des arguments écrits des parties et des intervenants.</w:t>
      </w:r>
    </w:p>
    <w:p w:rsidR="00484C9D" w:rsidRPr="003662F0" w:rsidRDefault="00484C9D" w:rsidP="00484C9D">
      <w:pPr>
        <w:spacing w:line="233" w:lineRule="auto"/>
        <w:jc w:val="both"/>
        <w:rPr>
          <w:sz w:val="20"/>
          <w:szCs w:val="20"/>
          <w:lang w:val="fr-FR"/>
        </w:rPr>
      </w:pPr>
    </w:p>
    <w:p w:rsidR="00484C9D" w:rsidRPr="003662F0" w:rsidRDefault="00484C9D" w:rsidP="00484C9D">
      <w:pPr>
        <w:spacing w:line="233" w:lineRule="auto"/>
        <w:jc w:val="both"/>
        <w:rPr>
          <w:sz w:val="20"/>
          <w:szCs w:val="20"/>
          <w:lang w:val="fr-FR"/>
        </w:rPr>
      </w:pPr>
      <w:r w:rsidRPr="003662F0">
        <w:rPr>
          <w:sz w:val="20"/>
          <w:szCs w:val="20"/>
          <w:lang w:val="fr-FR"/>
        </w:rPr>
        <w:t>Les intervenants n'ont pas le droit de soulever de nouvelles questions, de produire d'autres éléments de preuve ni de compléter de quelque autre façon le dossier des parties.</w:t>
      </w:r>
    </w:p>
    <w:p w:rsidR="00484C9D" w:rsidRPr="003662F0" w:rsidRDefault="00484C9D" w:rsidP="00484C9D">
      <w:pPr>
        <w:spacing w:line="233" w:lineRule="auto"/>
        <w:jc w:val="both"/>
        <w:rPr>
          <w:sz w:val="20"/>
          <w:szCs w:val="20"/>
          <w:lang w:val="fr-FR"/>
        </w:rPr>
      </w:pPr>
    </w:p>
    <w:p w:rsidR="00484C9D" w:rsidRPr="003662F0" w:rsidRDefault="00484C9D" w:rsidP="00484C9D">
      <w:pPr>
        <w:spacing w:line="233" w:lineRule="auto"/>
        <w:jc w:val="both"/>
        <w:rPr>
          <w:sz w:val="20"/>
          <w:szCs w:val="20"/>
          <w:lang w:val="fr-FR"/>
        </w:rPr>
      </w:pPr>
      <w:r w:rsidRPr="003662F0">
        <w:rPr>
          <w:sz w:val="20"/>
          <w:szCs w:val="20"/>
          <w:lang w:val="fr-FR"/>
        </w:rPr>
        <w:t>Conformément à l'alinéa 59(1)</w:t>
      </w:r>
      <w:r w:rsidRPr="003662F0">
        <w:rPr>
          <w:i/>
          <w:sz w:val="20"/>
          <w:szCs w:val="20"/>
          <w:lang w:val="fr-FR"/>
        </w:rPr>
        <w:t>a</w:t>
      </w:r>
      <w:r w:rsidRPr="003662F0">
        <w:rPr>
          <w:sz w:val="20"/>
          <w:szCs w:val="20"/>
          <w:lang w:val="fr-FR"/>
        </w:rPr>
        <w:t xml:space="preserve">) des </w:t>
      </w:r>
      <w:r w:rsidRPr="003662F0">
        <w:rPr>
          <w:i/>
          <w:sz w:val="20"/>
          <w:szCs w:val="20"/>
          <w:lang w:val="fr-FR"/>
        </w:rPr>
        <w:t>Règles de la Cour suprême du Canada</w:t>
      </w:r>
      <w:r w:rsidRPr="003662F0">
        <w:rPr>
          <w:sz w:val="20"/>
          <w:szCs w:val="20"/>
          <w:lang w:val="fr-FR"/>
        </w:rPr>
        <w:t>, les intervenants paieront à l'appelant et à l'intimé tous débours supplémentaires résultant de leur intervention.</w:t>
      </w:r>
    </w:p>
    <w:p w:rsidR="00484C9D" w:rsidRPr="003662F0" w:rsidRDefault="00484C9D" w:rsidP="00484C9D">
      <w:pPr>
        <w:tabs>
          <w:tab w:val="left" w:pos="-1440"/>
          <w:tab w:val="left" w:pos="-720"/>
        </w:tabs>
        <w:jc w:val="both"/>
        <w:rPr>
          <w:sz w:val="20"/>
          <w:szCs w:val="20"/>
          <w:lang w:val="fr-CA"/>
        </w:rPr>
      </w:pPr>
    </w:p>
    <w:p w:rsidR="00484C9D" w:rsidRPr="003662F0" w:rsidRDefault="00B62B14" w:rsidP="00484C9D">
      <w:pPr>
        <w:tabs>
          <w:tab w:val="left" w:pos="-1440"/>
          <w:tab w:val="left" w:pos="-720"/>
        </w:tabs>
        <w:jc w:val="both"/>
        <w:rPr>
          <w:sz w:val="20"/>
          <w:szCs w:val="20"/>
          <w:lang w:val="fr-CA"/>
        </w:rPr>
      </w:pPr>
      <w:r w:rsidRPr="00B62B14">
        <w:rPr>
          <w:sz w:val="20"/>
          <w:szCs w:val="20"/>
          <w:lang w:val="fr-CA"/>
        </w:rPr>
        <w:pict>
          <v:rect id="_x0000_i1048" style="width:2in;height:1pt" o:hrpct="0" o:hralign="center" o:hrstd="t" o:hrnoshade="t" o:hr="t" fillcolor="black [3213]" stroked="f"/>
        </w:pict>
      </w:r>
    </w:p>
    <w:p w:rsidR="00484C9D" w:rsidRPr="003662F0" w:rsidRDefault="00484C9D" w:rsidP="00484C9D">
      <w:pPr>
        <w:tabs>
          <w:tab w:val="left" w:pos="-1440"/>
          <w:tab w:val="left" w:pos="-720"/>
        </w:tabs>
        <w:jc w:val="both"/>
        <w:rPr>
          <w:sz w:val="20"/>
          <w:szCs w:val="20"/>
          <w:lang w:val="fr-CA"/>
        </w:rPr>
      </w:pPr>
    </w:p>
    <w:p w:rsidR="00484C9D" w:rsidRPr="003662F0" w:rsidRDefault="00484C9D" w:rsidP="00484C9D">
      <w:pPr>
        <w:tabs>
          <w:tab w:val="left" w:pos="-1440"/>
          <w:tab w:val="left" w:pos="-720"/>
        </w:tabs>
        <w:jc w:val="both"/>
        <w:rPr>
          <w:sz w:val="20"/>
          <w:szCs w:val="20"/>
          <w:lang w:val="fr-CA"/>
        </w:rPr>
      </w:pPr>
      <w:r w:rsidRPr="003662F0">
        <w:rPr>
          <w:sz w:val="20"/>
          <w:szCs w:val="20"/>
          <w:lang w:val="fr-CA"/>
        </w:rPr>
        <w:t>18.07.2012</w:t>
      </w:r>
    </w:p>
    <w:p w:rsidR="00484C9D" w:rsidRPr="003662F0" w:rsidRDefault="00484C9D" w:rsidP="00484C9D">
      <w:pPr>
        <w:tabs>
          <w:tab w:val="left" w:pos="-1440"/>
          <w:tab w:val="left" w:pos="-720"/>
        </w:tabs>
        <w:jc w:val="both"/>
        <w:rPr>
          <w:sz w:val="20"/>
          <w:szCs w:val="20"/>
          <w:lang w:val="fr-CA"/>
        </w:rPr>
      </w:pPr>
    </w:p>
    <w:p w:rsidR="00484C9D" w:rsidRPr="003662F0" w:rsidRDefault="00484C9D" w:rsidP="00484C9D">
      <w:pPr>
        <w:jc w:val="both"/>
        <w:rPr>
          <w:sz w:val="20"/>
          <w:szCs w:val="20"/>
          <w:lang w:val="fr-CA"/>
        </w:rPr>
      </w:pPr>
      <w:r w:rsidRPr="003662F0">
        <w:rPr>
          <w:sz w:val="20"/>
          <w:szCs w:val="20"/>
          <w:lang w:val="fr-CA"/>
        </w:rPr>
        <w:t>Before / Devant:   DESCHAMPS J. / LA JUGE DESCHAMPS</w:t>
      </w:r>
    </w:p>
    <w:p w:rsidR="00484C9D" w:rsidRPr="003662F0" w:rsidRDefault="00484C9D" w:rsidP="00484C9D">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3060"/>
        <w:gridCol w:w="1080"/>
        <w:gridCol w:w="4327"/>
      </w:tblGrid>
      <w:tr w:rsidR="00484C9D" w:rsidRPr="003662F0" w:rsidTr="002244A0">
        <w:tc>
          <w:tcPr>
            <w:tcW w:w="4428" w:type="dxa"/>
            <w:gridSpan w:val="2"/>
          </w:tcPr>
          <w:p w:rsidR="00484C9D" w:rsidRPr="003662F0" w:rsidRDefault="00484C9D" w:rsidP="002244A0">
            <w:pPr>
              <w:rPr>
                <w:b/>
                <w:sz w:val="20"/>
                <w:szCs w:val="20"/>
              </w:rPr>
            </w:pPr>
            <w:r w:rsidRPr="003662F0">
              <w:rPr>
                <w:b/>
                <w:sz w:val="20"/>
                <w:szCs w:val="20"/>
              </w:rPr>
              <w:t>Motions for leave to intervene</w:t>
            </w:r>
            <w:r w:rsidRPr="003662F0">
              <w:rPr>
                <w:sz w:val="20"/>
                <w:szCs w:val="20"/>
              </w:rPr>
              <w:t xml:space="preserve"> </w:t>
            </w:r>
            <w:r w:rsidR="00B62B14" w:rsidRPr="003662F0">
              <w:rPr>
                <w:sz w:val="20"/>
                <w:szCs w:val="20"/>
              </w:rPr>
              <w:fldChar w:fldCharType="begin"/>
            </w:r>
            <w:r w:rsidRPr="003662F0">
              <w:rPr>
                <w:sz w:val="20"/>
                <w:szCs w:val="20"/>
              </w:rPr>
              <w:instrText xml:space="preserve"> SEQ CHAPTER \h \r 1</w:instrText>
            </w:r>
            <w:r w:rsidR="00B62B14" w:rsidRPr="003662F0">
              <w:rPr>
                <w:sz w:val="20"/>
                <w:szCs w:val="20"/>
              </w:rPr>
              <w:fldChar w:fldCharType="end"/>
            </w:r>
          </w:p>
        </w:tc>
        <w:tc>
          <w:tcPr>
            <w:tcW w:w="1080" w:type="dxa"/>
          </w:tcPr>
          <w:p w:rsidR="00484C9D" w:rsidRPr="003662F0" w:rsidRDefault="00484C9D" w:rsidP="002244A0">
            <w:pPr>
              <w:rPr>
                <w:sz w:val="20"/>
                <w:szCs w:val="20"/>
              </w:rPr>
            </w:pPr>
          </w:p>
          <w:p w:rsidR="00484C9D" w:rsidRPr="003662F0" w:rsidRDefault="00484C9D" w:rsidP="002244A0">
            <w:pPr>
              <w:rPr>
                <w:sz w:val="20"/>
                <w:szCs w:val="20"/>
              </w:rPr>
            </w:pPr>
          </w:p>
        </w:tc>
        <w:tc>
          <w:tcPr>
            <w:tcW w:w="4327" w:type="dxa"/>
          </w:tcPr>
          <w:p w:rsidR="00484C9D" w:rsidRPr="003662F0" w:rsidRDefault="00484C9D" w:rsidP="002244A0">
            <w:pPr>
              <w:rPr>
                <w:b/>
                <w:sz w:val="20"/>
                <w:szCs w:val="20"/>
              </w:rPr>
            </w:pPr>
            <w:r w:rsidRPr="003662F0">
              <w:rPr>
                <w:b/>
                <w:bCs/>
                <w:sz w:val="20"/>
                <w:szCs w:val="20"/>
                <w:lang w:val="fr-CA"/>
              </w:rPr>
              <w:t>Requêtes en autorisation d’intervenir</w:t>
            </w:r>
            <w:r w:rsidRPr="003662F0">
              <w:rPr>
                <w:sz w:val="20"/>
                <w:szCs w:val="20"/>
              </w:rPr>
              <w:t xml:space="preserve"> </w:t>
            </w:r>
            <w:r w:rsidR="00B62B14" w:rsidRPr="003662F0">
              <w:rPr>
                <w:sz w:val="20"/>
                <w:szCs w:val="20"/>
              </w:rPr>
              <w:fldChar w:fldCharType="begin"/>
            </w:r>
            <w:r w:rsidRPr="003662F0">
              <w:rPr>
                <w:sz w:val="20"/>
                <w:szCs w:val="20"/>
              </w:rPr>
              <w:instrText xml:space="preserve"> SEQ CHAPTER \h \r 1</w:instrText>
            </w:r>
            <w:r w:rsidR="00B62B14" w:rsidRPr="003662F0">
              <w:rPr>
                <w:sz w:val="20"/>
                <w:szCs w:val="20"/>
              </w:rPr>
              <w:fldChar w:fldCharType="end"/>
            </w:r>
          </w:p>
        </w:tc>
      </w:tr>
      <w:tr w:rsidR="00484C9D" w:rsidRPr="003662F0" w:rsidTr="002244A0">
        <w:tc>
          <w:tcPr>
            <w:tcW w:w="1368" w:type="dxa"/>
          </w:tcPr>
          <w:p w:rsidR="00484C9D" w:rsidRPr="003662F0" w:rsidRDefault="00484C9D" w:rsidP="002244A0">
            <w:pPr>
              <w:rPr>
                <w:sz w:val="20"/>
                <w:szCs w:val="20"/>
              </w:rPr>
            </w:pPr>
            <w:r w:rsidRPr="003662F0">
              <w:rPr>
                <w:sz w:val="20"/>
                <w:szCs w:val="20"/>
              </w:rPr>
              <w:t>BY / PAR</w:t>
            </w:r>
          </w:p>
        </w:tc>
        <w:tc>
          <w:tcPr>
            <w:tcW w:w="3060" w:type="dxa"/>
          </w:tcPr>
          <w:p w:rsidR="00484C9D" w:rsidRPr="003662F0" w:rsidRDefault="00484C9D" w:rsidP="002244A0">
            <w:pPr>
              <w:rPr>
                <w:sz w:val="20"/>
                <w:szCs w:val="20"/>
              </w:rPr>
            </w:pPr>
            <w:r w:rsidRPr="003662F0">
              <w:rPr>
                <w:sz w:val="20"/>
                <w:szCs w:val="20"/>
              </w:rPr>
              <w:t>Attorney General of Canada;</w:t>
            </w:r>
          </w:p>
        </w:tc>
        <w:tc>
          <w:tcPr>
            <w:tcW w:w="108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r w:rsidR="00484C9D" w:rsidRPr="003662F0" w:rsidTr="002244A0">
        <w:tc>
          <w:tcPr>
            <w:tcW w:w="1368" w:type="dxa"/>
          </w:tcPr>
          <w:p w:rsidR="00484C9D" w:rsidRPr="003662F0" w:rsidRDefault="00484C9D" w:rsidP="002244A0">
            <w:pPr>
              <w:rPr>
                <w:sz w:val="20"/>
                <w:szCs w:val="20"/>
              </w:rPr>
            </w:pPr>
          </w:p>
        </w:tc>
        <w:tc>
          <w:tcPr>
            <w:tcW w:w="3060" w:type="dxa"/>
          </w:tcPr>
          <w:p w:rsidR="00484C9D" w:rsidRPr="003662F0" w:rsidRDefault="00484C9D" w:rsidP="002244A0">
            <w:pPr>
              <w:rPr>
                <w:sz w:val="20"/>
                <w:szCs w:val="20"/>
              </w:rPr>
            </w:pPr>
            <w:r w:rsidRPr="003662F0">
              <w:rPr>
                <w:sz w:val="20"/>
                <w:szCs w:val="20"/>
              </w:rPr>
              <w:t>Canadian Chamber of Commerce</w:t>
            </w:r>
          </w:p>
        </w:tc>
        <w:tc>
          <w:tcPr>
            <w:tcW w:w="108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r w:rsidR="00484C9D" w:rsidRPr="003662F0" w:rsidTr="002244A0">
        <w:tc>
          <w:tcPr>
            <w:tcW w:w="1368" w:type="dxa"/>
          </w:tcPr>
          <w:p w:rsidR="00484C9D" w:rsidRPr="003662F0" w:rsidRDefault="00484C9D" w:rsidP="002244A0">
            <w:pPr>
              <w:rPr>
                <w:sz w:val="20"/>
                <w:szCs w:val="20"/>
              </w:rPr>
            </w:pPr>
          </w:p>
        </w:tc>
        <w:tc>
          <w:tcPr>
            <w:tcW w:w="3060" w:type="dxa"/>
          </w:tcPr>
          <w:p w:rsidR="00484C9D" w:rsidRPr="003662F0" w:rsidRDefault="00484C9D" w:rsidP="002244A0">
            <w:pPr>
              <w:rPr>
                <w:sz w:val="20"/>
                <w:szCs w:val="20"/>
              </w:rPr>
            </w:pPr>
          </w:p>
        </w:tc>
        <w:tc>
          <w:tcPr>
            <w:tcW w:w="108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r w:rsidR="00484C9D" w:rsidRPr="00835818" w:rsidTr="002244A0">
        <w:tc>
          <w:tcPr>
            <w:tcW w:w="1368" w:type="dxa"/>
          </w:tcPr>
          <w:p w:rsidR="00484C9D" w:rsidRPr="003662F0" w:rsidRDefault="00484C9D" w:rsidP="002244A0">
            <w:pPr>
              <w:rPr>
                <w:sz w:val="20"/>
                <w:szCs w:val="20"/>
              </w:rPr>
            </w:pPr>
            <w:r w:rsidRPr="003662F0">
              <w:rPr>
                <w:sz w:val="20"/>
                <w:szCs w:val="20"/>
              </w:rPr>
              <w:t>IN / DANS :</w:t>
            </w:r>
          </w:p>
        </w:tc>
        <w:tc>
          <w:tcPr>
            <w:tcW w:w="3060" w:type="dxa"/>
          </w:tcPr>
          <w:p w:rsidR="00484C9D" w:rsidRPr="003662F0" w:rsidRDefault="00484C9D" w:rsidP="002244A0">
            <w:pPr>
              <w:rPr>
                <w:sz w:val="20"/>
                <w:szCs w:val="20"/>
                <w:lang w:val="fr-CA"/>
              </w:rPr>
            </w:pPr>
            <w:r w:rsidRPr="003662F0">
              <w:rPr>
                <w:sz w:val="20"/>
                <w:szCs w:val="20"/>
                <w:lang w:val="fr-CA"/>
              </w:rPr>
              <w:t>Pro-Sys Consultants Ltd. et al.</w:t>
            </w:r>
          </w:p>
          <w:p w:rsidR="00484C9D" w:rsidRPr="003662F0" w:rsidRDefault="00484C9D" w:rsidP="002244A0">
            <w:pPr>
              <w:rPr>
                <w:sz w:val="20"/>
                <w:szCs w:val="20"/>
                <w:lang w:val="fr-CA"/>
              </w:rPr>
            </w:pPr>
          </w:p>
        </w:tc>
        <w:tc>
          <w:tcPr>
            <w:tcW w:w="1080" w:type="dxa"/>
          </w:tcPr>
          <w:p w:rsidR="00484C9D" w:rsidRPr="003662F0" w:rsidRDefault="00484C9D" w:rsidP="002244A0">
            <w:pPr>
              <w:rPr>
                <w:sz w:val="20"/>
                <w:szCs w:val="20"/>
                <w:lang w:val="fr-CA"/>
              </w:rPr>
            </w:pPr>
          </w:p>
        </w:tc>
        <w:tc>
          <w:tcPr>
            <w:tcW w:w="4327" w:type="dxa"/>
          </w:tcPr>
          <w:p w:rsidR="00484C9D" w:rsidRPr="003662F0" w:rsidRDefault="00484C9D" w:rsidP="002244A0">
            <w:pPr>
              <w:rPr>
                <w:sz w:val="20"/>
                <w:szCs w:val="20"/>
                <w:lang w:val="fr-CA"/>
              </w:rPr>
            </w:pPr>
          </w:p>
        </w:tc>
      </w:tr>
      <w:tr w:rsidR="00484C9D" w:rsidRPr="003662F0" w:rsidTr="002244A0">
        <w:tc>
          <w:tcPr>
            <w:tcW w:w="1368" w:type="dxa"/>
          </w:tcPr>
          <w:p w:rsidR="00484C9D" w:rsidRPr="003662F0" w:rsidRDefault="00484C9D" w:rsidP="002244A0">
            <w:pPr>
              <w:rPr>
                <w:sz w:val="20"/>
                <w:szCs w:val="20"/>
                <w:lang w:val="fr-CA"/>
              </w:rPr>
            </w:pPr>
          </w:p>
        </w:tc>
        <w:tc>
          <w:tcPr>
            <w:tcW w:w="3060" w:type="dxa"/>
          </w:tcPr>
          <w:p w:rsidR="00484C9D" w:rsidRPr="003662F0" w:rsidRDefault="00484C9D" w:rsidP="002244A0">
            <w:pPr>
              <w:rPr>
                <w:sz w:val="20"/>
                <w:szCs w:val="20"/>
              </w:rPr>
            </w:pPr>
            <w:r w:rsidRPr="003662F0">
              <w:rPr>
                <w:sz w:val="20"/>
                <w:szCs w:val="20"/>
                <w:lang w:val="fr-CA"/>
              </w:rPr>
              <w:tab/>
            </w:r>
            <w:r w:rsidRPr="003662F0">
              <w:rPr>
                <w:sz w:val="20"/>
                <w:szCs w:val="20"/>
              </w:rPr>
              <w:t>v. (34282)</w:t>
            </w:r>
          </w:p>
          <w:p w:rsidR="00484C9D" w:rsidRPr="003662F0" w:rsidRDefault="00484C9D" w:rsidP="002244A0">
            <w:pPr>
              <w:rPr>
                <w:sz w:val="20"/>
                <w:szCs w:val="20"/>
              </w:rPr>
            </w:pPr>
          </w:p>
        </w:tc>
        <w:tc>
          <w:tcPr>
            <w:tcW w:w="108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r w:rsidR="00484C9D" w:rsidRPr="00835818" w:rsidTr="002244A0">
        <w:tc>
          <w:tcPr>
            <w:tcW w:w="1368" w:type="dxa"/>
          </w:tcPr>
          <w:p w:rsidR="00484C9D" w:rsidRPr="003662F0" w:rsidRDefault="00484C9D" w:rsidP="002244A0">
            <w:pPr>
              <w:rPr>
                <w:sz w:val="20"/>
                <w:szCs w:val="20"/>
              </w:rPr>
            </w:pPr>
          </w:p>
        </w:tc>
        <w:tc>
          <w:tcPr>
            <w:tcW w:w="3060" w:type="dxa"/>
          </w:tcPr>
          <w:p w:rsidR="00484C9D" w:rsidRPr="003662F0" w:rsidRDefault="00484C9D" w:rsidP="002244A0">
            <w:pPr>
              <w:jc w:val="both"/>
              <w:rPr>
                <w:sz w:val="20"/>
                <w:szCs w:val="20"/>
                <w:lang w:val="fr-CA"/>
              </w:rPr>
            </w:pPr>
            <w:r w:rsidRPr="003662F0">
              <w:rPr>
                <w:sz w:val="20"/>
                <w:szCs w:val="20"/>
                <w:lang w:val="fr-CA"/>
              </w:rPr>
              <w:t>Microsoft Corporation et al.</w:t>
            </w:r>
          </w:p>
          <w:p w:rsidR="00484C9D" w:rsidRPr="003662F0" w:rsidRDefault="00484C9D" w:rsidP="002244A0">
            <w:pPr>
              <w:jc w:val="both"/>
              <w:rPr>
                <w:sz w:val="20"/>
                <w:szCs w:val="20"/>
                <w:lang w:val="fr-CA"/>
              </w:rPr>
            </w:pPr>
            <w:r w:rsidRPr="003662F0">
              <w:rPr>
                <w:sz w:val="20"/>
                <w:szCs w:val="20"/>
                <w:lang w:val="fr-CA"/>
              </w:rPr>
              <w:t>(B.C.)</w:t>
            </w:r>
          </w:p>
        </w:tc>
        <w:tc>
          <w:tcPr>
            <w:tcW w:w="1080" w:type="dxa"/>
          </w:tcPr>
          <w:p w:rsidR="00484C9D" w:rsidRPr="003662F0" w:rsidRDefault="00484C9D" w:rsidP="002244A0">
            <w:pPr>
              <w:rPr>
                <w:sz w:val="20"/>
                <w:szCs w:val="20"/>
                <w:lang w:val="fr-CA"/>
              </w:rPr>
            </w:pPr>
          </w:p>
        </w:tc>
        <w:tc>
          <w:tcPr>
            <w:tcW w:w="4327" w:type="dxa"/>
          </w:tcPr>
          <w:p w:rsidR="00484C9D" w:rsidRPr="003662F0" w:rsidRDefault="00484C9D" w:rsidP="002244A0">
            <w:pPr>
              <w:rPr>
                <w:sz w:val="20"/>
                <w:szCs w:val="20"/>
                <w:lang w:val="fr-CA"/>
              </w:rPr>
            </w:pPr>
          </w:p>
        </w:tc>
      </w:tr>
      <w:tr w:rsidR="00484C9D" w:rsidRPr="00835818" w:rsidTr="002244A0">
        <w:tc>
          <w:tcPr>
            <w:tcW w:w="1368" w:type="dxa"/>
          </w:tcPr>
          <w:p w:rsidR="00484C9D" w:rsidRPr="003662F0" w:rsidRDefault="00484C9D" w:rsidP="002244A0">
            <w:pPr>
              <w:rPr>
                <w:sz w:val="20"/>
                <w:szCs w:val="20"/>
                <w:lang w:val="fr-CA"/>
              </w:rPr>
            </w:pPr>
          </w:p>
        </w:tc>
        <w:tc>
          <w:tcPr>
            <w:tcW w:w="3060" w:type="dxa"/>
          </w:tcPr>
          <w:p w:rsidR="00484C9D" w:rsidRPr="003662F0" w:rsidRDefault="00484C9D" w:rsidP="002244A0">
            <w:pPr>
              <w:jc w:val="both"/>
              <w:rPr>
                <w:sz w:val="20"/>
                <w:szCs w:val="20"/>
                <w:lang w:val="fr-CA"/>
              </w:rPr>
            </w:pPr>
          </w:p>
        </w:tc>
        <w:tc>
          <w:tcPr>
            <w:tcW w:w="1080" w:type="dxa"/>
          </w:tcPr>
          <w:p w:rsidR="00484C9D" w:rsidRPr="003662F0" w:rsidRDefault="00484C9D" w:rsidP="002244A0">
            <w:pPr>
              <w:rPr>
                <w:sz w:val="20"/>
                <w:szCs w:val="20"/>
                <w:lang w:val="fr-CA"/>
              </w:rPr>
            </w:pPr>
          </w:p>
        </w:tc>
        <w:tc>
          <w:tcPr>
            <w:tcW w:w="4327" w:type="dxa"/>
          </w:tcPr>
          <w:p w:rsidR="00484C9D" w:rsidRPr="003662F0" w:rsidRDefault="00484C9D" w:rsidP="002244A0">
            <w:pPr>
              <w:rPr>
                <w:sz w:val="20"/>
                <w:szCs w:val="20"/>
                <w:lang w:val="fr-CA"/>
              </w:rPr>
            </w:pPr>
          </w:p>
        </w:tc>
      </w:tr>
      <w:tr w:rsidR="00484C9D" w:rsidRPr="003662F0" w:rsidTr="002244A0">
        <w:tc>
          <w:tcPr>
            <w:tcW w:w="1368" w:type="dxa"/>
          </w:tcPr>
          <w:p w:rsidR="00484C9D" w:rsidRPr="003662F0" w:rsidRDefault="00484C9D" w:rsidP="002244A0">
            <w:pPr>
              <w:rPr>
                <w:sz w:val="20"/>
                <w:szCs w:val="20"/>
                <w:lang w:val="fr-CA"/>
              </w:rPr>
            </w:pPr>
          </w:p>
        </w:tc>
        <w:tc>
          <w:tcPr>
            <w:tcW w:w="3060" w:type="dxa"/>
          </w:tcPr>
          <w:p w:rsidR="00484C9D" w:rsidRPr="003662F0" w:rsidRDefault="00484C9D" w:rsidP="002244A0">
            <w:pPr>
              <w:jc w:val="both"/>
              <w:rPr>
                <w:sz w:val="20"/>
                <w:szCs w:val="20"/>
              </w:rPr>
            </w:pPr>
            <w:r w:rsidRPr="003662F0">
              <w:rPr>
                <w:sz w:val="20"/>
                <w:szCs w:val="20"/>
              </w:rPr>
              <w:t>- and between -</w:t>
            </w:r>
          </w:p>
        </w:tc>
        <w:tc>
          <w:tcPr>
            <w:tcW w:w="108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r w:rsidR="00484C9D" w:rsidRPr="003662F0" w:rsidTr="002244A0">
        <w:tc>
          <w:tcPr>
            <w:tcW w:w="1368" w:type="dxa"/>
          </w:tcPr>
          <w:p w:rsidR="00484C9D" w:rsidRPr="003662F0" w:rsidRDefault="00484C9D" w:rsidP="002244A0">
            <w:pPr>
              <w:rPr>
                <w:sz w:val="20"/>
                <w:szCs w:val="20"/>
              </w:rPr>
            </w:pPr>
          </w:p>
        </w:tc>
        <w:tc>
          <w:tcPr>
            <w:tcW w:w="3060" w:type="dxa"/>
          </w:tcPr>
          <w:p w:rsidR="00484C9D" w:rsidRPr="003662F0" w:rsidRDefault="00484C9D" w:rsidP="002244A0">
            <w:pPr>
              <w:jc w:val="both"/>
              <w:rPr>
                <w:sz w:val="20"/>
                <w:szCs w:val="20"/>
              </w:rPr>
            </w:pPr>
          </w:p>
        </w:tc>
        <w:tc>
          <w:tcPr>
            <w:tcW w:w="108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r w:rsidR="00484C9D" w:rsidRPr="00835818" w:rsidTr="002244A0">
        <w:tc>
          <w:tcPr>
            <w:tcW w:w="1368" w:type="dxa"/>
          </w:tcPr>
          <w:p w:rsidR="00484C9D" w:rsidRPr="003662F0" w:rsidRDefault="00484C9D" w:rsidP="002244A0">
            <w:pPr>
              <w:rPr>
                <w:sz w:val="20"/>
                <w:szCs w:val="20"/>
              </w:rPr>
            </w:pPr>
          </w:p>
        </w:tc>
        <w:tc>
          <w:tcPr>
            <w:tcW w:w="3060" w:type="dxa"/>
          </w:tcPr>
          <w:p w:rsidR="00484C9D" w:rsidRPr="003662F0" w:rsidRDefault="00484C9D" w:rsidP="002244A0">
            <w:pPr>
              <w:rPr>
                <w:sz w:val="20"/>
                <w:szCs w:val="20"/>
                <w:lang w:val="fr-CA"/>
              </w:rPr>
            </w:pPr>
            <w:r w:rsidRPr="003662F0">
              <w:rPr>
                <w:sz w:val="20"/>
                <w:szCs w:val="20"/>
                <w:lang w:val="fr-CA"/>
              </w:rPr>
              <w:t>Sun-Rype Products Ltd et al.</w:t>
            </w:r>
          </w:p>
          <w:p w:rsidR="00484C9D" w:rsidRPr="003662F0" w:rsidRDefault="00484C9D" w:rsidP="002244A0">
            <w:pPr>
              <w:jc w:val="both"/>
              <w:rPr>
                <w:sz w:val="20"/>
                <w:szCs w:val="20"/>
                <w:lang w:val="fr-CA"/>
              </w:rPr>
            </w:pPr>
          </w:p>
        </w:tc>
        <w:tc>
          <w:tcPr>
            <w:tcW w:w="1080" w:type="dxa"/>
          </w:tcPr>
          <w:p w:rsidR="00484C9D" w:rsidRPr="003662F0" w:rsidRDefault="00484C9D" w:rsidP="002244A0">
            <w:pPr>
              <w:rPr>
                <w:sz w:val="20"/>
                <w:szCs w:val="20"/>
                <w:lang w:val="fr-CA"/>
              </w:rPr>
            </w:pPr>
          </w:p>
        </w:tc>
        <w:tc>
          <w:tcPr>
            <w:tcW w:w="4327" w:type="dxa"/>
          </w:tcPr>
          <w:p w:rsidR="00484C9D" w:rsidRPr="003662F0" w:rsidRDefault="00484C9D" w:rsidP="002244A0">
            <w:pPr>
              <w:rPr>
                <w:sz w:val="20"/>
                <w:szCs w:val="20"/>
                <w:lang w:val="fr-CA"/>
              </w:rPr>
            </w:pPr>
          </w:p>
        </w:tc>
      </w:tr>
      <w:tr w:rsidR="00484C9D" w:rsidRPr="003662F0" w:rsidTr="002244A0">
        <w:tc>
          <w:tcPr>
            <w:tcW w:w="1368" w:type="dxa"/>
          </w:tcPr>
          <w:p w:rsidR="00484C9D" w:rsidRPr="003662F0" w:rsidRDefault="00484C9D" w:rsidP="002244A0">
            <w:pPr>
              <w:rPr>
                <w:sz w:val="20"/>
                <w:szCs w:val="20"/>
                <w:lang w:val="fr-CA"/>
              </w:rPr>
            </w:pPr>
          </w:p>
        </w:tc>
        <w:tc>
          <w:tcPr>
            <w:tcW w:w="3060" w:type="dxa"/>
          </w:tcPr>
          <w:p w:rsidR="00484C9D" w:rsidRPr="003662F0" w:rsidRDefault="00484C9D" w:rsidP="002244A0">
            <w:pPr>
              <w:jc w:val="both"/>
              <w:rPr>
                <w:sz w:val="20"/>
                <w:szCs w:val="20"/>
              </w:rPr>
            </w:pPr>
            <w:r w:rsidRPr="003662F0">
              <w:rPr>
                <w:sz w:val="20"/>
                <w:szCs w:val="20"/>
                <w:lang w:val="fr-CA"/>
              </w:rPr>
              <w:tab/>
              <w:t>v</w:t>
            </w:r>
            <w:r w:rsidRPr="003662F0">
              <w:rPr>
                <w:sz w:val="20"/>
                <w:szCs w:val="20"/>
              </w:rPr>
              <w:t>. (34283)</w:t>
            </w:r>
          </w:p>
          <w:p w:rsidR="00484C9D" w:rsidRPr="003662F0" w:rsidRDefault="00484C9D" w:rsidP="002244A0">
            <w:pPr>
              <w:jc w:val="both"/>
              <w:rPr>
                <w:sz w:val="20"/>
                <w:szCs w:val="20"/>
              </w:rPr>
            </w:pPr>
          </w:p>
        </w:tc>
        <w:tc>
          <w:tcPr>
            <w:tcW w:w="108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r w:rsidR="00484C9D" w:rsidRPr="003662F0" w:rsidTr="002244A0">
        <w:tc>
          <w:tcPr>
            <w:tcW w:w="1368" w:type="dxa"/>
          </w:tcPr>
          <w:p w:rsidR="00484C9D" w:rsidRPr="003662F0" w:rsidRDefault="00484C9D" w:rsidP="002244A0">
            <w:pPr>
              <w:rPr>
                <w:sz w:val="20"/>
                <w:szCs w:val="20"/>
              </w:rPr>
            </w:pPr>
          </w:p>
        </w:tc>
        <w:tc>
          <w:tcPr>
            <w:tcW w:w="3060" w:type="dxa"/>
          </w:tcPr>
          <w:p w:rsidR="00484C9D" w:rsidRPr="003662F0" w:rsidRDefault="00484C9D" w:rsidP="002244A0">
            <w:pPr>
              <w:jc w:val="both"/>
              <w:rPr>
                <w:sz w:val="20"/>
                <w:szCs w:val="20"/>
              </w:rPr>
            </w:pPr>
            <w:r w:rsidRPr="003662F0">
              <w:rPr>
                <w:sz w:val="20"/>
                <w:szCs w:val="20"/>
              </w:rPr>
              <w:t>Archer Daniels Midland Company et al. (B.C.)</w:t>
            </w:r>
          </w:p>
        </w:tc>
        <w:tc>
          <w:tcPr>
            <w:tcW w:w="1080" w:type="dxa"/>
          </w:tcPr>
          <w:p w:rsidR="00484C9D" w:rsidRPr="003662F0" w:rsidRDefault="00484C9D" w:rsidP="002244A0">
            <w:pPr>
              <w:rPr>
                <w:sz w:val="20"/>
                <w:szCs w:val="20"/>
              </w:rPr>
            </w:pPr>
          </w:p>
        </w:tc>
        <w:tc>
          <w:tcPr>
            <w:tcW w:w="4327" w:type="dxa"/>
          </w:tcPr>
          <w:p w:rsidR="00484C9D" w:rsidRPr="003662F0" w:rsidRDefault="00484C9D" w:rsidP="002244A0">
            <w:pPr>
              <w:rPr>
                <w:sz w:val="20"/>
                <w:szCs w:val="20"/>
              </w:rPr>
            </w:pPr>
          </w:p>
        </w:tc>
      </w:tr>
    </w:tbl>
    <w:p w:rsidR="00484C9D" w:rsidRPr="003662F0" w:rsidRDefault="00484C9D" w:rsidP="00484C9D">
      <w:pPr>
        <w:jc w:val="both"/>
        <w:rPr>
          <w:sz w:val="20"/>
          <w:szCs w:val="20"/>
        </w:rPr>
      </w:pPr>
    </w:p>
    <w:p w:rsidR="00484C9D" w:rsidRPr="003662F0" w:rsidRDefault="00484C9D" w:rsidP="00484C9D">
      <w:pPr>
        <w:tabs>
          <w:tab w:val="left" w:pos="-1440"/>
          <w:tab w:val="left" w:pos="-720"/>
        </w:tabs>
        <w:jc w:val="both"/>
        <w:rPr>
          <w:sz w:val="20"/>
          <w:szCs w:val="20"/>
        </w:rPr>
      </w:pPr>
      <w:r w:rsidRPr="003662F0">
        <w:rPr>
          <w:b/>
          <w:sz w:val="20"/>
          <w:szCs w:val="20"/>
        </w:rPr>
        <w:t>GRANTED / ACCORDÉES</w:t>
      </w:r>
    </w:p>
    <w:p w:rsidR="00484C9D" w:rsidRPr="003662F0" w:rsidRDefault="00484C9D" w:rsidP="00484C9D">
      <w:pPr>
        <w:tabs>
          <w:tab w:val="left" w:pos="-1440"/>
          <w:tab w:val="left" w:pos="-720"/>
        </w:tabs>
        <w:jc w:val="both"/>
        <w:rPr>
          <w:sz w:val="20"/>
          <w:szCs w:val="20"/>
        </w:rPr>
      </w:pPr>
    </w:p>
    <w:p w:rsidR="00484C9D" w:rsidRPr="003662F0" w:rsidRDefault="00484C9D" w:rsidP="00484C9D">
      <w:pPr>
        <w:spacing w:line="233" w:lineRule="auto"/>
        <w:jc w:val="both"/>
        <w:rPr>
          <w:sz w:val="20"/>
          <w:szCs w:val="20"/>
        </w:rPr>
      </w:pPr>
      <w:r w:rsidRPr="003662F0">
        <w:rPr>
          <w:b/>
          <w:bCs/>
          <w:sz w:val="20"/>
          <w:szCs w:val="20"/>
        </w:rPr>
        <w:t xml:space="preserve">UPON APPLICATIONS </w:t>
      </w:r>
      <w:r w:rsidRPr="003662F0">
        <w:rPr>
          <w:sz w:val="20"/>
          <w:szCs w:val="20"/>
        </w:rPr>
        <w:t>by the Attorney General of Canada for leave to intervene in the above appeals;</w:t>
      </w:r>
    </w:p>
    <w:p w:rsidR="00484C9D" w:rsidRPr="003662F0" w:rsidRDefault="00484C9D" w:rsidP="00484C9D">
      <w:pPr>
        <w:spacing w:line="233" w:lineRule="auto"/>
        <w:jc w:val="both"/>
        <w:rPr>
          <w:sz w:val="20"/>
          <w:szCs w:val="20"/>
        </w:rPr>
      </w:pPr>
    </w:p>
    <w:p w:rsidR="00484C9D" w:rsidRPr="003662F0" w:rsidRDefault="00484C9D" w:rsidP="00484C9D">
      <w:pPr>
        <w:spacing w:line="211" w:lineRule="auto"/>
        <w:jc w:val="both"/>
        <w:rPr>
          <w:i/>
          <w:sz w:val="20"/>
          <w:szCs w:val="20"/>
        </w:rPr>
      </w:pPr>
      <w:r w:rsidRPr="003662F0">
        <w:rPr>
          <w:b/>
          <w:sz w:val="20"/>
          <w:szCs w:val="20"/>
        </w:rPr>
        <w:t>AND</w:t>
      </w:r>
      <w:r w:rsidRPr="003662F0">
        <w:rPr>
          <w:sz w:val="20"/>
          <w:szCs w:val="20"/>
        </w:rPr>
        <w:t xml:space="preserve"> </w:t>
      </w:r>
      <w:r w:rsidRPr="003662F0">
        <w:rPr>
          <w:b/>
          <w:bCs/>
          <w:sz w:val="20"/>
          <w:szCs w:val="20"/>
        </w:rPr>
        <w:t xml:space="preserve">UPON APPLICATION </w:t>
      </w:r>
      <w:r w:rsidRPr="003662F0">
        <w:rPr>
          <w:sz w:val="20"/>
          <w:szCs w:val="20"/>
        </w:rPr>
        <w:t xml:space="preserve">by the Canadian Chamber of Commerce for leave to intervene in the appeal of </w:t>
      </w:r>
      <w:r w:rsidRPr="003662F0">
        <w:rPr>
          <w:i/>
          <w:sz w:val="20"/>
          <w:szCs w:val="20"/>
        </w:rPr>
        <w:t xml:space="preserve">Sun-Rype Products Ltd., et al. v. Archer Daniels Midland Company, et al. </w:t>
      </w:r>
      <w:r w:rsidRPr="003662F0">
        <w:rPr>
          <w:sz w:val="20"/>
          <w:szCs w:val="20"/>
        </w:rPr>
        <w:t>(34283);</w:t>
      </w:r>
    </w:p>
    <w:p w:rsidR="00484C9D" w:rsidRPr="003662F0" w:rsidRDefault="00484C9D" w:rsidP="00484C9D">
      <w:pPr>
        <w:spacing w:line="233" w:lineRule="auto"/>
        <w:jc w:val="both"/>
        <w:rPr>
          <w:b/>
          <w:bCs/>
          <w:sz w:val="20"/>
          <w:szCs w:val="20"/>
        </w:rPr>
      </w:pPr>
    </w:p>
    <w:p w:rsidR="00484C9D" w:rsidRPr="003662F0" w:rsidRDefault="00484C9D" w:rsidP="00484C9D">
      <w:pPr>
        <w:spacing w:line="233" w:lineRule="auto"/>
        <w:jc w:val="both"/>
        <w:rPr>
          <w:sz w:val="20"/>
          <w:szCs w:val="20"/>
        </w:rPr>
      </w:pPr>
      <w:r w:rsidRPr="003662F0">
        <w:rPr>
          <w:b/>
          <w:bCs/>
          <w:sz w:val="20"/>
          <w:szCs w:val="20"/>
        </w:rPr>
        <w:t>AND THE MATERIAL FILED</w:t>
      </w:r>
      <w:r w:rsidRPr="003662F0">
        <w:rPr>
          <w:sz w:val="20"/>
          <w:szCs w:val="20"/>
        </w:rPr>
        <w:t xml:space="preserve"> having been read;</w:t>
      </w:r>
    </w:p>
    <w:p w:rsidR="00484C9D" w:rsidRPr="003662F0" w:rsidRDefault="00484C9D" w:rsidP="00484C9D">
      <w:pPr>
        <w:spacing w:line="233" w:lineRule="auto"/>
        <w:jc w:val="both"/>
        <w:rPr>
          <w:sz w:val="20"/>
          <w:szCs w:val="20"/>
        </w:rPr>
      </w:pPr>
    </w:p>
    <w:p w:rsidR="00484C9D" w:rsidRPr="003662F0" w:rsidRDefault="00484C9D" w:rsidP="00484C9D">
      <w:pPr>
        <w:spacing w:line="233" w:lineRule="auto"/>
        <w:jc w:val="both"/>
        <w:rPr>
          <w:sz w:val="20"/>
          <w:szCs w:val="20"/>
        </w:rPr>
      </w:pPr>
      <w:r w:rsidRPr="003662F0">
        <w:rPr>
          <w:b/>
          <w:bCs/>
          <w:sz w:val="20"/>
          <w:szCs w:val="20"/>
        </w:rPr>
        <w:t>IT IS HEREBY ORDERED THAT:</w:t>
      </w:r>
    </w:p>
    <w:p w:rsidR="00484C9D" w:rsidRPr="003662F0" w:rsidRDefault="00484C9D" w:rsidP="00484C9D">
      <w:pPr>
        <w:spacing w:line="233" w:lineRule="auto"/>
        <w:jc w:val="both"/>
        <w:rPr>
          <w:sz w:val="20"/>
          <w:szCs w:val="20"/>
        </w:rPr>
      </w:pPr>
    </w:p>
    <w:p w:rsidR="00484C9D" w:rsidRPr="003662F0" w:rsidRDefault="00484C9D" w:rsidP="00484C9D">
      <w:pPr>
        <w:spacing w:line="233" w:lineRule="auto"/>
        <w:jc w:val="both"/>
        <w:rPr>
          <w:sz w:val="20"/>
          <w:szCs w:val="20"/>
        </w:rPr>
      </w:pPr>
      <w:r w:rsidRPr="003662F0">
        <w:rPr>
          <w:sz w:val="20"/>
          <w:szCs w:val="20"/>
        </w:rPr>
        <w:lastRenderedPageBreak/>
        <w:t>The motions for leave to intervene of the Attorney General of Canada are granted and the said intervener shall be entitled to serve and file a single factum not to exceed 10 pages in length in these appeals on or before September 12, 2012.</w:t>
      </w:r>
    </w:p>
    <w:p w:rsidR="00484C9D" w:rsidRPr="003662F0" w:rsidRDefault="00484C9D" w:rsidP="00484C9D">
      <w:pPr>
        <w:spacing w:line="233" w:lineRule="auto"/>
        <w:jc w:val="both"/>
        <w:rPr>
          <w:sz w:val="20"/>
          <w:szCs w:val="20"/>
        </w:rPr>
      </w:pPr>
    </w:p>
    <w:p w:rsidR="00484C9D" w:rsidRPr="003662F0" w:rsidRDefault="00484C9D" w:rsidP="00484C9D">
      <w:pPr>
        <w:spacing w:line="233" w:lineRule="auto"/>
        <w:jc w:val="both"/>
        <w:rPr>
          <w:sz w:val="20"/>
          <w:szCs w:val="20"/>
        </w:rPr>
      </w:pPr>
      <w:r w:rsidRPr="003662F0">
        <w:rPr>
          <w:sz w:val="20"/>
          <w:szCs w:val="20"/>
        </w:rPr>
        <w:t xml:space="preserve">The motion for leave to intervene of the Canadian Chamber of Commerce is granted and the said intervener shall be entitled to serve and file a factum not to exceed 10 pages in length in the appeal of </w:t>
      </w:r>
      <w:r w:rsidRPr="003662F0">
        <w:rPr>
          <w:i/>
          <w:sz w:val="20"/>
          <w:szCs w:val="20"/>
        </w:rPr>
        <w:t xml:space="preserve">Sun-Rype Products Ltd., et al. v. Archer Daniels Midland Company, et al. </w:t>
      </w:r>
      <w:r w:rsidRPr="003662F0">
        <w:rPr>
          <w:sz w:val="20"/>
          <w:szCs w:val="20"/>
        </w:rPr>
        <w:t>(34283) on or before September 12, 2012.</w:t>
      </w:r>
    </w:p>
    <w:p w:rsidR="00484C9D" w:rsidRPr="003662F0" w:rsidRDefault="00484C9D" w:rsidP="00484C9D">
      <w:pPr>
        <w:spacing w:line="233" w:lineRule="auto"/>
        <w:jc w:val="both"/>
        <w:rPr>
          <w:sz w:val="20"/>
          <w:szCs w:val="20"/>
        </w:rPr>
      </w:pPr>
    </w:p>
    <w:p w:rsidR="00484C9D" w:rsidRPr="003662F0" w:rsidRDefault="00484C9D" w:rsidP="00484C9D">
      <w:pPr>
        <w:spacing w:line="233" w:lineRule="auto"/>
        <w:jc w:val="both"/>
        <w:rPr>
          <w:sz w:val="20"/>
          <w:szCs w:val="20"/>
        </w:rPr>
      </w:pPr>
      <w:r w:rsidRPr="003662F0">
        <w:rPr>
          <w:sz w:val="20"/>
          <w:szCs w:val="20"/>
        </w:rPr>
        <w:t>The requests to present oral argument are deferred to a date following receipt and consideration of the written arguments of the parties and the interveners.</w:t>
      </w:r>
    </w:p>
    <w:p w:rsidR="00484C9D" w:rsidRPr="003662F0" w:rsidRDefault="00484C9D" w:rsidP="00484C9D">
      <w:pPr>
        <w:spacing w:line="233" w:lineRule="auto"/>
        <w:jc w:val="both"/>
        <w:rPr>
          <w:sz w:val="20"/>
          <w:szCs w:val="20"/>
        </w:rPr>
      </w:pPr>
    </w:p>
    <w:p w:rsidR="00484C9D" w:rsidRPr="003662F0" w:rsidRDefault="00B62B14" w:rsidP="00484C9D">
      <w:pPr>
        <w:spacing w:line="233" w:lineRule="auto"/>
        <w:jc w:val="both"/>
        <w:rPr>
          <w:sz w:val="20"/>
          <w:szCs w:val="20"/>
        </w:rPr>
      </w:pPr>
      <w:r w:rsidRPr="003662F0">
        <w:rPr>
          <w:sz w:val="20"/>
          <w:szCs w:val="20"/>
        </w:rPr>
        <w:fldChar w:fldCharType="begin"/>
      </w:r>
      <w:r w:rsidR="00484C9D" w:rsidRPr="003662F0">
        <w:rPr>
          <w:sz w:val="20"/>
          <w:szCs w:val="20"/>
        </w:rPr>
        <w:instrText xml:space="preserve"> SEQ CHAPTER \h \r 1</w:instrText>
      </w:r>
      <w:r w:rsidRPr="003662F0">
        <w:rPr>
          <w:sz w:val="20"/>
          <w:szCs w:val="20"/>
        </w:rPr>
        <w:fldChar w:fldCharType="end"/>
      </w:r>
      <w:r w:rsidR="00484C9D" w:rsidRPr="003662F0">
        <w:rPr>
          <w:bCs/>
          <w:sz w:val="20"/>
          <w:szCs w:val="20"/>
        </w:rPr>
        <w:t>The interveners are not entitled to raise new issues or to adduce further evidence or otherwise to supplement the record of the parties.</w:t>
      </w:r>
    </w:p>
    <w:p w:rsidR="00484C9D" w:rsidRPr="003662F0" w:rsidRDefault="00484C9D" w:rsidP="00484C9D">
      <w:pPr>
        <w:spacing w:line="233" w:lineRule="auto"/>
        <w:jc w:val="both"/>
        <w:rPr>
          <w:sz w:val="20"/>
          <w:szCs w:val="20"/>
        </w:rPr>
      </w:pPr>
    </w:p>
    <w:p w:rsidR="00484C9D" w:rsidRPr="003662F0" w:rsidRDefault="00484C9D" w:rsidP="00484C9D">
      <w:pPr>
        <w:spacing w:line="233" w:lineRule="auto"/>
        <w:jc w:val="both"/>
        <w:rPr>
          <w:sz w:val="20"/>
          <w:szCs w:val="20"/>
        </w:rPr>
      </w:pPr>
      <w:r w:rsidRPr="003662F0">
        <w:rPr>
          <w:sz w:val="20"/>
          <w:szCs w:val="20"/>
        </w:rPr>
        <w:t>Pursuant to Rule 59(1)(</w:t>
      </w:r>
      <w:r w:rsidRPr="003662F0">
        <w:rPr>
          <w:i/>
          <w:iCs/>
          <w:sz w:val="20"/>
          <w:szCs w:val="20"/>
        </w:rPr>
        <w:t>a</w:t>
      </w:r>
      <w:r w:rsidRPr="003662F0">
        <w:rPr>
          <w:sz w:val="20"/>
          <w:szCs w:val="20"/>
        </w:rPr>
        <w:t xml:space="preserve">) of the </w:t>
      </w:r>
      <w:r w:rsidRPr="003662F0">
        <w:rPr>
          <w:i/>
          <w:iCs/>
          <w:sz w:val="20"/>
          <w:szCs w:val="20"/>
        </w:rPr>
        <w:t>Rules of the Supreme Court of Canada</w:t>
      </w:r>
      <w:r w:rsidRPr="003662F0">
        <w:rPr>
          <w:sz w:val="20"/>
          <w:szCs w:val="20"/>
        </w:rPr>
        <w:t>, the interveners shall pay to the appellants and respondents any additional disbursements occasioned to the appellants and respondents by their interventions.</w:t>
      </w:r>
    </w:p>
    <w:p w:rsidR="00484C9D" w:rsidRPr="003662F0" w:rsidRDefault="00484C9D" w:rsidP="00484C9D">
      <w:pPr>
        <w:tabs>
          <w:tab w:val="left" w:pos="-1440"/>
          <w:tab w:val="left" w:pos="-720"/>
        </w:tabs>
        <w:jc w:val="both"/>
        <w:rPr>
          <w:sz w:val="20"/>
          <w:szCs w:val="20"/>
        </w:rPr>
      </w:pPr>
    </w:p>
    <w:p w:rsidR="00484C9D" w:rsidRPr="003662F0" w:rsidRDefault="00484C9D" w:rsidP="00484C9D">
      <w:pPr>
        <w:tabs>
          <w:tab w:val="left" w:pos="-1440"/>
          <w:tab w:val="left" w:pos="-720"/>
        </w:tabs>
        <w:jc w:val="both"/>
        <w:rPr>
          <w:sz w:val="20"/>
          <w:szCs w:val="20"/>
        </w:rPr>
      </w:pPr>
    </w:p>
    <w:p w:rsidR="00484C9D" w:rsidRPr="003662F0" w:rsidRDefault="00484C9D" w:rsidP="00484C9D">
      <w:pPr>
        <w:tabs>
          <w:tab w:val="left" w:pos="-1440"/>
          <w:tab w:val="left" w:pos="-720"/>
        </w:tabs>
        <w:jc w:val="both"/>
        <w:rPr>
          <w:sz w:val="20"/>
          <w:szCs w:val="20"/>
        </w:rPr>
      </w:pPr>
    </w:p>
    <w:p w:rsidR="00484C9D" w:rsidRPr="003662F0" w:rsidRDefault="00484C9D" w:rsidP="00484C9D">
      <w:pPr>
        <w:spacing w:line="233" w:lineRule="auto"/>
        <w:jc w:val="both"/>
        <w:rPr>
          <w:sz w:val="20"/>
          <w:szCs w:val="20"/>
          <w:lang w:val="fr-FR"/>
        </w:rPr>
      </w:pPr>
      <w:r w:rsidRPr="003662F0">
        <w:rPr>
          <w:b/>
          <w:sz w:val="20"/>
          <w:szCs w:val="20"/>
          <w:lang w:val="fr-FR"/>
        </w:rPr>
        <w:t>À LA SUITE DE REQUÊTES</w:t>
      </w:r>
      <w:r w:rsidRPr="003662F0">
        <w:rPr>
          <w:sz w:val="20"/>
          <w:szCs w:val="20"/>
          <w:lang w:val="fr-FR"/>
        </w:rPr>
        <w:t xml:space="preserve"> présentées par le procureur général du Canada en autorisation d'intervenir dans les appels dont les intitulés figurent ci-dessus;</w:t>
      </w:r>
    </w:p>
    <w:p w:rsidR="00484C9D" w:rsidRPr="003662F0" w:rsidRDefault="00484C9D" w:rsidP="00484C9D">
      <w:pPr>
        <w:spacing w:line="233" w:lineRule="auto"/>
        <w:jc w:val="both"/>
        <w:rPr>
          <w:sz w:val="20"/>
          <w:szCs w:val="20"/>
          <w:lang w:val="fr-FR"/>
        </w:rPr>
      </w:pPr>
    </w:p>
    <w:p w:rsidR="00484C9D" w:rsidRPr="003662F0" w:rsidRDefault="00484C9D" w:rsidP="00484C9D">
      <w:pPr>
        <w:spacing w:line="233" w:lineRule="auto"/>
        <w:jc w:val="both"/>
        <w:rPr>
          <w:sz w:val="20"/>
          <w:szCs w:val="20"/>
          <w:lang w:val="fr-FR"/>
        </w:rPr>
      </w:pPr>
      <w:r w:rsidRPr="003662F0">
        <w:rPr>
          <w:b/>
          <w:sz w:val="20"/>
          <w:szCs w:val="20"/>
          <w:lang w:val="fr-FR"/>
        </w:rPr>
        <w:t>ET À LA SUITE DE LA REQUÊTE</w:t>
      </w:r>
      <w:r w:rsidRPr="003662F0">
        <w:rPr>
          <w:sz w:val="20"/>
          <w:szCs w:val="20"/>
          <w:lang w:val="fr-FR"/>
        </w:rPr>
        <w:t xml:space="preserve"> présentée par la Chambre de commerce du Canada en autorisation d’intervenir dans l’appel interjeté dans l’affaire </w:t>
      </w:r>
      <w:r w:rsidRPr="003662F0">
        <w:rPr>
          <w:i/>
          <w:sz w:val="20"/>
          <w:szCs w:val="20"/>
          <w:lang w:val="fr-FR"/>
        </w:rPr>
        <w:t>Sun-Rype Products Ltd., et al. c. Archer Daniels Midland Company, et al.</w:t>
      </w:r>
      <w:r w:rsidRPr="003662F0">
        <w:rPr>
          <w:sz w:val="20"/>
          <w:szCs w:val="20"/>
          <w:lang w:val="fr-FR"/>
        </w:rPr>
        <w:t xml:space="preserve"> (34283);  </w:t>
      </w:r>
    </w:p>
    <w:p w:rsidR="00484C9D" w:rsidRPr="003662F0" w:rsidRDefault="00484C9D" w:rsidP="00484C9D">
      <w:pPr>
        <w:spacing w:line="233" w:lineRule="auto"/>
        <w:jc w:val="both"/>
        <w:rPr>
          <w:sz w:val="20"/>
          <w:szCs w:val="20"/>
          <w:lang w:val="fr-FR"/>
        </w:rPr>
      </w:pPr>
    </w:p>
    <w:p w:rsidR="00484C9D" w:rsidRPr="003662F0" w:rsidRDefault="00484C9D" w:rsidP="00484C9D">
      <w:pPr>
        <w:spacing w:line="233" w:lineRule="auto"/>
        <w:jc w:val="both"/>
        <w:rPr>
          <w:sz w:val="20"/>
          <w:szCs w:val="20"/>
          <w:lang w:val="fr-FR"/>
        </w:rPr>
      </w:pPr>
      <w:r w:rsidRPr="003662F0">
        <w:rPr>
          <w:b/>
          <w:sz w:val="20"/>
          <w:szCs w:val="20"/>
          <w:lang w:val="fr-FR"/>
        </w:rPr>
        <w:t>ET APRÈS EXAMEN</w:t>
      </w:r>
      <w:r w:rsidRPr="003662F0">
        <w:rPr>
          <w:sz w:val="20"/>
          <w:szCs w:val="20"/>
          <w:lang w:val="fr-FR"/>
        </w:rPr>
        <w:t xml:space="preserve"> des documents déposés; </w:t>
      </w:r>
    </w:p>
    <w:p w:rsidR="00484C9D" w:rsidRPr="003662F0" w:rsidRDefault="00484C9D" w:rsidP="00484C9D">
      <w:pPr>
        <w:spacing w:line="233" w:lineRule="auto"/>
        <w:jc w:val="both"/>
        <w:rPr>
          <w:sz w:val="20"/>
          <w:szCs w:val="20"/>
          <w:lang w:val="fr-FR"/>
        </w:rPr>
      </w:pPr>
    </w:p>
    <w:p w:rsidR="00484C9D" w:rsidRPr="003662F0" w:rsidRDefault="00484C9D" w:rsidP="00484C9D">
      <w:pPr>
        <w:spacing w:line="233" w:lineRule="auto"/>
        <w:jc w:val="both"/>
        <w:rPr>
          <w:b/>
          <w:sz w:val="20"/>
          <w:szCs w:val="20"/>
          <w:lang w:val="fr-FR"/>
        </w:rPr>
      </w:pPr>
      <w:r w:rsidRPr="003662F0">
        <w:rPr>
          <w:b/>
          <w:sz w:val="20"/>
          <w:szCs w:val="20"/>
          <w:lang w:val="fr-FR"/>
        </w:rPr>
        <w:t xml:space="preserve">IL EST ORDONNÉ CE QUI SUIT : </w:t>
      </w:r>
    </w:p>
    <w:p w:rsidR="00484C9D" w:rsidRPr="003662F0" w:rsidRDefault="00484C9D" w:rsidP="00484C9D">
      <w:pPr>
        <w:spacing w:line="233" w:lineRule="auto"/>
        <w:jc w:val="both"/>
        <w:rPr>
          <w:sz w:val="20"/>
          <w:szCs w:val="20"/>
          <w:lang w:val="fr-FR"/>
        </w:rPr>
      </w:pPr>
    </w:p>
    <w:p w:rsidR="00484C9D" w:rsidRPr="003662F0" w:rsidRDefault="00484C9D" w:rsidP="00484C9D">
      <w:pPr>
        <w:spacing w:line="233" w:lineRule="auto"/>
        <w:jc w:val="both"/>
        <w:rPr>
          <w:sz w:val="20"/>
          <w:szCs w:val="20"/>
          <w:lang w:val="fr-FR"/>
        </w:rPr>
      </w:pPr>
      <w:r w:rsidRPr="003662F0">
        <w:rPr>
          <w:sz w:val="20"/>
          <w:szCs w:val="20"/>
          <w:lang w:val="fr-FR"/>
        </w:rPr>
        <w:t xml:space="preserve">Les requêtes en autorisation d'intervenir présentées par le procureur général du Canada sont accordées et le requérant pourra signifier et déposer un mémoire d'au plus dix (10) pages au plus tard le 12 septembre 2012. </w:t>
      </w:r>
    </w:p>
    <w:p w:rsidR="00484C9D" w:rsidRPr="003662F0" w:rsidRDefault="00484C9D" w:rsidP="00484C9D">
      <w:pPr>
        <w:spacing w:line="233" w:lineRule="auto"/>
        <w:jc w:val="both"/>
        <w:rPr>
          <w:sz w:val="20"/>
          <w:szCs w:val="20"/>
          <w:lang w:val="fr-FR"/>
        </w:rPr>
      </w:pPr>
    </w:p>
    <w:p w:rsidR="00484C9D" w:rsidRPr="003662F0" w:rsidRDefault="00484C9D" w:rsidP="00484C9D">
      <w:pPr>
        <w:spacing w:line="233" w:lineRule="auto"/>
        <w:jc w:val="both"/>
        <w:rPr>
          <w:sz w:val="20"/>
          <w:szCs w:val="20"/>
          <w:lang w:val="fr-FR"/>
        </w:rPr>
      </w:pPr>
      <w:r w:rsidRPr="003662F0">
        <w:rPr>
          <w:sz w:val="20"/>
          <w:szCs w:val="20"/>
          <w:lang w:val="fr-FR"/>
        </w:rPr>
        <w:t xml:space="preserve">La requête en autorisation d'intervenir présentée par la Chambre de commerce du Canada est accordée et la requérante pourra signifier et déposer un mémoire d'au plus dix (10) pages dans l’affaire </w:t>
      </w:r>
      <w:r w:rsidRPr="003662F0">
        <w:rPr>
          <w:i/>
          <w:sz w:val="20"/>
          <w:szCs w:val="20"/>
          <w:lang w:val="fr-FR"/>
        </w:rPr>
        <w:t>Sun-Rype Products Ltd., et al. c. Archer Daniels Midland Company, et al.</w:t>
      </w:r>
      <w:r w:rsidRPr="003662F0">
        <w:rPr>
          <w:sz w:val="20"/>
          <w:szCs w:val="20"/>
          <w:lang w:val="fr-FR"/>
        </w:rPr>
        <w:t xml:space="preserve"> (34283) au plus tard le 12 septembre 2012. </w:t>
      </w:r>
    </w:p>
    <w:p w:rsidR="00484C9D" w:rsidRPr="003662F0" w:rsidRDefault="00484C9D" w:rsidP="00484C9D">
      <w:pPr>
        <w:spacing w:line="233" w:lineRule="auto"/>
        <w:jc w:val="both"/>
        <w:rPr>
          <w:sz w:val="20"/>
          <w:szCs w:val="20"/>
          <w:lang w:val="fr-FR"/>
        </w:rPr>
      </w:pPr>
    </w:p>
    <w:p w:rsidR="00484C9D" w:rsidRPr="003662F0" w:rsidRDefault="00484C9D" w:rsidP="00484C9D">
      <w:pPr>
        <w:spacing w:line="233" w:lineRule="auto"/>
        <w:jc w:val="both"/>
        <w:rPr>
          <w:sz w:val="20"/>
          <w:szCs w:val="20"/>
          <w:lang w:val="fr-FR"/>
        </w:rPr>
      </w:pPr>
      <w:r w:rsidRPr="003662F0">
        <w:rPr>
          <w:sz w:val="20"/>
          <w:szCs w:val="20"/>
          <w:lang w:val="fr-FR"/>
        </w:rPr>
        <w:t xml:space="preserve">La décision sur les demandes en vue de présenter des plaidoiries orales sera rendue après réception et examen des arguments écrits des parties et des intervenants. </w:t>
      </w:r>
    </w:p>
    <w:p w:rsidR="00484C9D" w:rsidRPr="003662F0" w:rsidRDefault="00484C9D" w:rsidP="00484C9D">
      <w:pPr>
        <w:spacing w:line="233" w:lineRule="auto"/>
        <w:jc w:val="both"/>
        <w:rPr>
          <w:sz w:val="20"/>
          <w:szCs w:val="20"/>
          <w:lang w:val="fr-FR"/>
        </w:rPr>
      </w:pPr>
    </w:p>
    <w:p w:rsidR="00484C9D" w:rsidRPr="003662F0" w:rsidRDefault="00484C9D" w:rsidP="00484C9D">
      <w:pPr>
        <w:spacing w:line="233" w:lineRule="auto"/>
        <w:jc w:val="both"/>
        <w:rPr>
          <w:sz w:val="20"/>
          <w:szCs w:val="20"/>
          <w:lang w:val="fr-FR"/>
        </w:rPr>
      </w:pPr>
      <w:r w:rsidRPr="003662F0">
        <w:rPr>
          <w:sz w:val="20"/>
          <w:szCs w:val="20"/>
          <w:lang w:val="fr-FR"/>
        </w:rPr>
        <w:t>Les intervenants n'ont pas le droit de soulever de nouvelles questions, de produire d'autres éléments de preuve ni de compléter de quelque autre façon le dossier des parties.</w:t>
      </w:r>
    </w:p>
    <w:p w:rsidR="00484C9D" w:rsidRPr="003662F0" w:rsidRDefault="00484C9D" w:rsidP="00484C9D">
      <w:pPr>
        <w:spacing w:line="233" w:lineRule="auto"/>
        <w:jc w:val="both"/>
        <w:rPr>
          <w:sz w:val="20"/>
          <w:szCs w:val="20"/>
          <w:lang w:val="fr-FR"/>
        </w:rPr>
      </w:pPr>
    </w:p>
    <w:p w:rsidR="00484C9D" w:rsidRPr="003662F0" w:rsidRDefault="00484C9D" w:rsidP="00484C9D">
      <w:pPr>
        <w:spacing w:line="233" w:lineRule="auto"/>
        <w:jc w:val="both"/>
        <w:rPr>
          <w:sz w:val="20"/>
          <w:szCs w:val="20"/>
          <w:lang w:val="fr-FR"/>
        </w:rPr>
      </w:pPr>
      <w:r w:rsidRPr="003662F0">
        <w:rPr>
          <w:sz w:val="20"/>
          <w:szCs w:val="20"/>
          <w:lang w:val="fr-FR"/>
        </w:rPr>
        <w:t>Conformément à l'alinéa 59(1)</w:t>
      </w:r>
      <w:r w:rsidRPr="003662F0">
        <w:rPr>
          <w:i/>
          <w:sz w:val="20"/>
          <w:szCs w:val="20"/>
          <w:lang w:val="fr-FR"/>
        </w:rPr>
        <w:t>a</w:t>
      </w:r>
      <w:r w:rsidRPr="003662F0">
        <w:rPr>
          <w:sz w:val="20"/>
          <w:szCs w:val="20"/>
          <w:lang w:val="fr-FR"/>
        </w:rPr>
        <w:t xml:space="preserve">) des </w:t>
      </w:r>
      <w:r w:rsidRPr="003662F0">
        <w:rPr>
          <w:i/>
          <w:sz w:val="20"/>
          <w:szCs w:val="20"/>
          <w:lang w:val="fr-FR"/>
        </w:rPr>
        <w:t>Règles de la Cour suprême du Canada</w:t>
      </w:r>
      <w:r w:rsidRPr="003662F0">
        <w:rPr>
          <w:sz w:val="20"/>
          <w:szCs w:val="20"/>
          <w:lang w:val="fr-FR"/>
        </w:rPr>
        <w:t>, les intervenants paieront à l’appelante et aux intimés tous débours supplémentaires résultant de leur intervention.</w:t>
      </w:r>
    </w:p>
    <w:p w:rsidR="00484C9D" w:rsidRPr="003662F0" w:rsidRDefault="00484C9D" w:rsidP="00484C9D">
      <w:pPr>
        <w:tabs>
          <w:tab w:val="left" w:pos="-1440"/>
          <w:tab w:val="left" w:pos="-720"/>
        </w:tabs>
        <w:jc w:val="both"/>
        <w:rPr>
          <w:sz w:val="20"/>
          <w:szCs w:val="20"/>
          <w:lang w:val="fr-FR"/>
        </w:rPr>
      </w:pPr>
    </w:p>
    <w:p w:rsidR="00484C9D" w:rsidRPr="003662F0" w:rsidRDefault="00484C9D" w:rsidP="00484C9D">
      <w:pPr>
        <w:tabs>
          <w:tab w:val="left" w:pos="-1440"/>
          <w:tab w:val="left" w:pos="-720"/>
        </w:tabs>
        <w:spacing w:line="-19" w:lineRule="auto"/>
        <w:jc w:val="both"/>
        <w:rPr>
          <w:sz w:val="20"/>
          <w:szCs w:val="20"/>
          <w:lang w:val="fr-CA"/>
        </w:rPr>
      </w:pPr>
    </w:p>
    <w:p w:rsidR="00484C9D" w:rsidRPr="003662F0" w:rsidRDefault="00B62B14" w:rsidP="00484C9D">
      <w:pPr>
        <w:tabs>
          <w:tab w:val="left" w:pos="-1440"/>
          <w:tab w:val="left" w:pos="-720"/>
        </w:tabs>
        <w:jc w:val="both"/>
        <w:rPr>
          <w:sz w:val="20"/>
          <w:szCs w:val="20"/>
        </w:rPr>
      </w:pPr>
      <w:r w:rsidRPr="00B62B14">
        <w:rPr>
          <w:sz w:val="20"/>
          <w:szCs w:val="20"/>
          <w:lang w:val="fr-CA"/>
        </w:rPr>
        <w:pict>
          <v:rect id="_x0000_i1049" style="width:2in;height:1pt" o:hrpct="0" o:hralign="center" o:hrstd="t" o:hrnoshade="t" o:hr="t" fillcolor="black [3213]" stroked="f"/>
        </w:pict>
      </w:r>
    </w:p>
    <w:p w:rsidR="00484C9D" w:rsidRDefault="00484C9D" w:rsidP="0010587F">
      <w:pPr>
        <w:tabs>
          <w:tab w:val="left" w:pos="-1440"/>
          <w:tab w:val="left" w:pos="-720"/>
        </w:tabs>
        <w:jc w:val="both"/>
        <w:rPr>
          <w:sz w:val="20"/>
          <w:szCs w:val="20"/>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4740D" w:rsidRPr="00835818" w:rsidTr="00BA6468">
        <w:tc>
          <w:tcPr>
            <w:tcW w:w="4200" w:type="dxa"/>
            <w:shd w:val="clear" w:color="auto" w:fill="auto"/>
            <w:tcMar>
              <w:left w:w="0" w:type="dxa"/>
              <w:right w:w="0" w:type="dxa"/>
            </w:tcMar>
          </w:tcPr>
          <w:p w:rsidR="00B4740D" w:rsidRPr="00C1697B" w:rsidRDefault="00B4740D" w:rsidP="00096BD9">
            <w:pPr>
              <w:rPr>
                <w:b/>
                <w:szCs w:val="24"/>
              </w:rPr>
            </w:pPr>
            <w:r w:rsidRPr="00C1697B">
              <w:rPr>
                <w:b/>
                <w:szCs w:val="24"/>
              </w:rPr>
              <w:lastRenderedPageBreak/>
              <w:t>NOTICES OF INTERVENTION FILED SINCE LAST ISSUE</w:t>
            </w:r>
          </w:p>
        </w:tc>
        <w:tc>
          <w:tcPr>
            <w:tcW w:w="1200" w:type="dxa"/>
            <w:shd w:val="clear" w:color="auto" w:fill="auto"/>
            <w:tcMar>
              <w:left w:w="0" w:type="dxa"/>
              <w:right w:w="0" w:type="dxa"/>
            </w:tcMar>
          </w:tcPr>
          <w:p w:rsidR="00B4740D" w:rsidRPr="00C1697B" w:rsidRDefault="00B4740D" w:rsidP="00B4740D">
            <w:pPr>
              <w:jc w:val="center"/>
              <w:rPr>
                <w:b/>
                <w:szCs w:val="24"/>
              </w:rPr>
            </w:pPr>
          </w:p>
          <w:p w:rsidR="00B4740D" w:rsidRPr="00C1697B" w:rsidRDefault="00B4740D" w:rsidP="00B4740D">
            <w:pPr>
              <w:jc w:val="center"/>
              <w:rPr>
                <w:b/>
                <w:szCs w:val="24"/>
              </w:rPr>
            </w:pPr>
          </w:p>
          <w:p w:rsidR="00B4740D" w:rsidRPr="00C1697B" w:rsidRDefault="00B4740D" w:rsidP="00B4740D">
            <w:pPr>
              <w:jc w:val="center"/>
              <w:rPr>
                <w:b/>
                <w:szCs w:val="24"/>
              </w:rPr>
            </w:pPr>
          </w:p>
        </w:tc>
        <w:tc>
          <w:tcPr>
            <w:tcW w:w="4080" w:type="dxa"/>
            <w:shd w:val="clear" w:color="auto" w:fill="auto"/>
            <w:tcMar>
              <w:left w:w="0" w:type="dxa"/>
              <w:right w:w="0" w:type="dxa"/>
            </w:tcMar>
          </w:tcPr>
          <w:p w:rsidR="00B4740D" w:rsidRPr="00C1697B" w:rsidRDefault="00B4740D" w:rsidP="00096BD9">
            <w:pPr>
              <w:rPr>
                <w:b/>
                <w:szCs w:val="24"/>
                <w:lang w:val="fr-CA"/>
              </w:rPr>
            </w:pPr>
            <w:r w:rsidRPr="00C1697B">
              <w:rPr>
                <w:b/>
                <w:szCs w:val="24"/>
                <w:lang w:val="fr-CA"/>
              </w:rPr>
              <w:t>AVIS D’INTERVENTION DÉPOSÉS DEPUIS LA DERNIÈRE PARUTION</w:t>
            </w:r>
          </w:p>
        </w:tc>
      </w:tr>
    </w:tbl>
    <w:p w:rsidR="00B4740D" w:rsidRPr="00C50A5C" w:rsidRDefault="00B4740D" w:rsidP="00B4740D">
      <w:pPr>
        <w:rPr>
          <w:sz w:val="20"/>
          <w:szCs w:val="20"/>
          <w:u w:val="single"/>
          <w:lang w:val="fr-CA"/>
        </w:rPr>
      </w:pPr>
    </w:p>
    <w:p w:rsidR="00B4740D" w:rsidRPr="007C6357" w:rsidRDefault="007C6357" w:rsidP="00B4740D">
      <w:pPr>
        <w:rPr>
          <w:sz w:val="20"/>
          <w:szCs w:val="20"/>
        </w:rPr>
      </w:pPr>
      <w:r w:rsidRPr="007C6357">
        <w:rPr>
          <w:sz w:val="20"/>
          <w:szCs w:val="20"/>
        </w:rPr>
        <w:t>19</w:t>
      </w:r>
      <w:r w:rsidR="00B4740D" w:rsidRPr="007C6357">
        <w:rPr>
          <w:sz w:val="20"/>
          <w:szCs w:val="20"/>
        </w:rPr>
        <w:t>.0</w:t>
      </w:r>
      <w:r w:rsidRPr="007C6357">
        <w:rPr>
          <w:sz w:val="20"/>
          <w:szCs w:val="20"/>
        </w:rPr>
        <w:t>7</w:t>
      </w:r>
      <w:r w:rsidR="00B4740D" w:rsidRPr="007C6357">
        <w:rPr>
          <w:sz w:val="20"/>
          <w:szCs w:val="20"/>
        </w:rPr>
        <w:t>.20</w:t>
      </w:r>
      <w:r w:rsidRPr="007C6357">
        <w:rPr>
          <w:sz w:val="20"/>
          <w:szCs w:val="20"/>
        </w:rPr>
        <w:t>12</w:t>
      </w:r>
    </w:p>
    <w:p w:rsidR="00B4740D" w:rsidRPr="007C6357" w:rsidRDefault="00B4740D" w:rsidP="00B4740D">
      <w:pPr>
        <w:rPr>
          <w:sz w:val="20"/>
          <w:szCs w:val="20"/>
        </w:rPr>
      </w:pPr>
    </w:p>
    <w:p w:rsidR="00B4740D" w:rsidRPr="007C6357" w:rsidRDefault="00B4740D" w:rsidP="00B4740D">
      <w:pPr>
        <w:rPr>
          <w:sz w:val="20"/>
          <w:szCs w:val="20"/>
        </w:rPr>
      </w:pPr>
      <w:r w:rsidRPr="007C6357">
        <w:rPr>
          <w:sz w:val="20"/>
          <w:szCs w:val="20"/>
        </w:rPr>
        <w:t>BY / PAR:</w:t>
      </w:r>
      <w:r w:rsidRPr="007C6357">
        <w:rPr>
          <w:sz w:val="20"/>
          <w:szCs w:val="20"/>
        </w:rPr>
        <w:tab/>
      </w:r>
      <w:r w:rsidR="007C6357" w:rsidRPr="007C6357">
        <w:rPr>
          <w:sz w:val="20"/>
          <w:szCs w:val="20"/>
        </w:rPr>
        <w:t>Attorney General of Nova Scotia</w:t>
      </w:r>
    </w:p>
    <w:p w:rsidR="00B4740D" w:rsidRPr="007C6357" w:rsidRDefault="00B4740D" w:rsidP="00B4740D">
      <w:pPr>
        <w:rPr>
          <w:sz w:val="20"/>
          <w:szCs w:val="20"/>
        </w:rPr>
      </w:pPr>
    </w:p>
    <w:p w:rsidR="00B4740D" w:rsidRPr="007C6357" w:rsidRDefault="00B4740D" w:rsidP="00B4740D">
      <w:pPr>
        <w:rPr>
          <w:sz w:val="20"/>
          <w:szCs w:val="20"/>
        </w:rPr>
      </w:pPr>
    </w:p>
    <w:p w:rsidR="00B4740D" w:rsidRPr="00270729" w:rsidRDefault="00B4740D" w:rsidP="00B4740D">
      <w:pPr>
        <w:rPr>
          <w:b/>
          <w:sz w:val="20"/>
          <w:szCs w:val="20"/>
          <w:lang w:val="fr-CA"/>
        </w:rPr>
      </w:pPr>
      <w:r w:rsidRPr="00270729">
        <w:rPr>
          <w:sz w:val="20"/>
          <w:szCs w:val="20"/>
          <w:lang w:val="fr-CA"/>
        </w:rPr>
        <w:t>IN / DANS:</w:t>
      </w:r>
      <w:r w:rsidRPr="00270729">
        <w:rPr>
          <w:sz w:val="20"/>
          <w:szCs w:val="20"/>
          <w:lang w:val="fr-CA"/>
        </w:rPr>
        <w:tab/>
      </w:r>
      <w:r w:rsidR="00270729" w:rsidRPr="00270729">
        <w:rPr>
          <w:b/>
          <w:sz w:val="20"/>
          <w:szCs w:val="20"/>
          <w:lang w:val="fr-CA"/>
        </w:rPr>
        <w:t>Mar</w:t>
      </w:r>
      <w:r w:rsidRPr="00270729">
        <w:rPr>
          <w:b/>
          <w:sz w:val="20"/>
          <w:szCs w:val="20"/>
          <w:lang w:val="fr-CA"/>
        </w:rPr>
        <w:t>i</w:t>
      </w:r>
      <w:r w:rsidR="00270729" w:rsidRPr="00270729">
        <w:rPr>
          <w:b/>
          <w:sz w:val="20"/>
          <w:szCs w:val="20"/>
          <w:lang w:val="fr-CA"/>
        </w:rPr>
        <w:t>ne Services I</w:t>
      </w:r>
      <w:r w:rsidRPr="00270729">
        <w:rPr>
          <w:b/>
          <w:sz w:val="20"/>
          <w:szCs w:val="20"/>
          <w:lang w:val="fr-CA"/>
        </w:rPr>
        <w:t>n</w:t>
      </w:r>
      <w:r w:rsidR="00270729" w:rsidRPr="00270729">
        <w:rPr>
          <w:b/>
          <w:sz w:val="20"/>
          <w:szCs w:val="20"/>
          <w:lang w:val="fr-CA"/>
        </w:rPr>
        <w:t>tern</w:t>
      </w:r>
      <w:r w:rsidRPr="00270729">
        <w:rPr>
          <w:b/>
          <w:sz w:val="20"/>
          <w:szCs w:val="20"/>
          <w:lang w:val="fr-CA"/>
        </w:rPr>
        <w:t>a</w:t>
      </w:r>
      <w:r w:rsidR="00270729" w:rsidRPr="00270729">
        <w:rPr>
          <w:b/>
          <w:sz w:val="20"/>
          <w:szCs w:val="20"/>
          <w:lang w:val="fr-CA"/>
        </w:rPr>
        <w:t>t</w:t>
      </w:r>
      <w:r w:rsidRPr="00270729">
        <w:rPr>
          <w:b/>
          <w:sz w:val="20"/>
          <w:szCs w:val="20"/>
          <w:lang w:val="fr-CA"/>
        </w:rPr>
        <w:t>i</w:t>
      </w:r>
      <w:r w:rsidR="00270729" w:rsidRPr="00270729">
        <w:rPr>
          <w:b/>
          <w:sz w:val="20"/>
          <w:szCs w:val="20"/>
          <w:lang w:val="fr-CA"/>
        </w:rPr>
        <w:t>o</w:t>
      </w:r>
      <w:r w:rsidRPr="00270729">
        <w:rPr>
          <w:b/>
          <w:sz w:val="20"/>
          <w:szCs w:val="20"/>
          <w:lang w:val="fr-CA"/>
        </w:rPr>
        <w:t>na</w:t>
      </w:r>
      <w:r w:rsidR="00270729" w:rsidRPr="00270729">
        <w:rPr>
          <w:b/>
          <w:sz w:val="20"/>
          <w:szCs w:val="20"/>
          <w:lang w:val="fr-CA"/>
        </w:rPr>
        <w:t>l Limi</w:t>
      </w:r>
      <w:r w:rsidRPr="00270729">
        <w:rPr>
          <w:b/>
          <w:sz w:val="20"/>
          <w:szCs w:val="20"/>
          <w:lang w:val="fr-CA"/>
        </w:rPr>
        <w:t>t</w:t>
      </w:r>
      <w:r w:rsidR="00270729" w:rsidRPr="00270729">
        <w:rPr>
          <w:b/>
          <w:sz w:val="20"/>
          <w:szCs w:val="20"/>
          <w:lang w:val="fr-CA"/>
        </w:rPr>
        <w:t>ed et al.</w:t>
      </w:r>
    </w:p>
    <w:p w:rsidR="00B4740D" w:rsidRPr="00270729" w:rsidRDefault="00B4740D" w:rsidP="00B4740D">
      <w:pPr>
        <w:rPr>
          <w:b/>
          <w:sz w:val="20"/>
          <w:szCs w:val="20"/>
          <w:lang w:val="fr-CA"/>
        </w:rPr>
      </w:pPr>
    </w:p>
    <w:p w:rsidR="00B4740D" w:rsidRPr="00270729" w:rsidRDefault="00B4740D" w:rsidP="00B4740D">
      <w:pPr>
        <w:rPr>
          <w:b/>
          <w:sz w:val="20"/>
          <w:szCs w:val="20"/>
        </w:rPr>
      </w:pPr>
      <w:r w:rsidRPr="00270729">
        <w:rPr>
          <w:b/>
          <w:sz w:val="20"/>
          <w:szCs w:val="20"/>
          <w:lang w:val="fr-CA"/>
        </w:rPr>
        <w:tab/>
      </w:r>
      <w:r w:rsidRPr="00270729">
        <w:rPr>
          <w:b/>
          <w:sz w:val="20"/>
          <w:szCs w:val="20"/>
          <w:lang w:val="fr-CA"/>
        </w:rPr>
        <w:tab/>
      </w:r>
      <w:r w:rsidRPr="00270729">
        <w:rPr>
          <w:b/>
          <w:sz w:val="20"/>
          <w:szCs w:val="20"/>
          <w:lang w:val="fr-CA"/>
        </w:rPr>
        <w:tab/>
      </w:r>
      <w:r w:rsidR="00270729" w:rsidRPr="00270729">
        <w:rPr>
          <w:b/>
          <w:sz w:val="20"/>
          <w:szCs w:val="20"/>
        </w:rPr>
        <w:t>v</w:t>
      </w:r>
      <w:r w:rsidRPr="00270729">
        <w:rPr>
          <w:b/>
          <w:sz w:val="20"/>
          <w:szCs w:val="20"/>
        </w:rPr>
        <w:t>. (3</w:t>
      </w:r>
      <w:r w:rsidR="00270729" w:rsidRPr="00270729">
        <w:rPr>
          <w:b/>
          <w:sz w:val="20"/>
          <w:szCs w:val="20"/>
        </w:rPr>
        <w:t>4429</w:t>
      </w:r>
      <w:r w:rsidRPr="00270729">
        <w:rPr>
          <w:b/>
          <w:sz w:val="20"/>
          <w:szCs w:val="20"/>
        </w:rPr>
        <w:t>)</w:t>
      </w:r>
    </w:p>
    <w:p w:rsidR="00B4740D" w:rsidRPr="00270729" w:rsidRDefault="00B4740D" w:rsidP="00B4740D">
      <w:pPr>
        <w:rPr>
          <w:b/>
          <w:sz w:val="20"/>
          <w:szCs w:val="20"/>
        </w:rPr>
      </w:pPr>
    </w:p>
    <w:p w:rsidR="00B4740D" w:rsidRPr="00C50A5C" w:rsidRDefault="00B4740D" w:rsidP="00B4740D">
      <w:pPr>
        <w:rPr>
          <w:b/>
          <w:sz w:val="20"/>
          <w:szCs w:val="20"/>
          <w:lang w:val="fr-CA"/>
        </w:rPr>
      </w:pPr>
      <w:r w:rsidRPr="00270729">
        <w:rPr>
          <w:b/>
          <w:sz w:val="20"/>
          <w:szCs w:val="20"/>
        </w:rPr>
        <w:tab/>
      </w:r>
      <w:r w:rsidRPr="00270729">
        <w:rPr>
          <w:b/>
          <w:sz w:val="20"/>
          <w:szCs w:val="20"/>
        </w:rPr>
        <w:tab/>
      </w:r>
      <w:r w:rsidR="00270729" w:rsidRPr="00270729">
        <w:rPr>
          <w:b/>
          <w:sz w:val="20"/>
          <w:szCs w:val="20"/>
        </w:rPr>
        <w:t>Estate of Joseph Ryan, by its administratrix, Yvonne Ryan et al.</w:t>
      </w:r>
      <w:r w:rsidRPr="00270729">
        <w:rPr>
          <w:b/>
          <w:sz w:val="20"/>
          <w:szCs w:val="20"/>
        </w:rPr>
        <w:t xml:space="preserve"> </w:t>
      </w:r>
      <w:r w:rsidRPr="00C50A5C">
        <w:rPr>
          <w:b/>
          <w:sz w:val="20"/>
          <w:szCs w:val="20"/>
          <w:lang w:val="fr-CA"/>
        </w:rPr>
        <w:t>(</w:t>
      </w:r>
      <w:r w:rsidR="00270729">
        <w:rPr>
          <w:b/>
          <w:sz w:val="20"/>
          <w:szCs w:val="20"/>
          <w:lang w:val="fr-CA"/>
        </w:rPr>
        <w:t>N.L.</w:t>
      </w:r>
      <w:r w:rsidRPr="00C50A5C">
        <w:rPr>
          <w:b/>
          <w:sz w:val="20"/>
          <w:szCs w:val="20"/>
          <w:lang w:val="fr-CA"/>
        </w:rPr>
        <w:t>)</w:t>
      </w:r>
    </w:p>
    <w:p w:rsidR="00B4740D" w:rsidRPr="00C50A5C" w:rsidRDefault="00B4740D" w:rsidP="00B4740D">
      <w:pPr>
        <w:rPr>
          <w:sz w:val="20"/>
          <w:szCs w:val="20"/>
          <w:lang w:val="fr-CA"/>
        </w:rPr>
      </w:pPr>
    </w:p>
    <w:p w:rsidR="00B4740D" w:rsidRPr="00C50A5C" w:rsidRDefault="00B62B14" w:rsidP="00B4740D">
      <w:pPr>
        <w:rPr>
          <w:sz w:val="20"/>
          <w:szCs w:val="20"/>
          <w:lang w:val="fr-CA"/>
        </w:rPr>
      </w:pPr>
      <w:r w:rsidRPr="00B62B14">
        <w:rPr>
          <w:sz w:val="20"/>
          <w:szCs w:val="20"/>
          <w:lang w:val="fr-CA"/>
        </w:rPr>
        <w:pict>
          <v:rect id="_x0000_i1052" style="width:2in;height:1pt" o:hrpct="0" o:hralign="center" o:hrstd="t" o:hrnoshade="t" o:hr="t" fillcolor="black [3213]" stroked="f"/>
        </w:pict>
      </w:r>
    </w:p>
    <w:p w:rsidR="00B4740D" w:rsidRPr="00C50A5C" w:rsidRDefault="00B4740D" w:rsidP="00B4740D">
      <w:pPr>
        <w:rPr>
          <w:sz w:val="20"/>
          <w:szCs w:val="20"/>
          <w:lang w:val="fr-CA"/>
        </w:rPr>
      </w:pPr>
    </w:p>
    <w:p w:rsidR="00B4740D" w:rsidRPr="00C50A5C" w:rsidRDefault="00B4740D" w:rsidP="00B4740D">
      <w:pPr>
        <w:rPr>
          <w:sz w:val="20"/>
          <w:szCs w:val="20"/>
          <w:lang w:val="fr-CA"/>
        </w:rPr>
      </w:pPr>
    </w:p>
    <w:p w:rsidR="00B4740D" w:rsidRPr="00C50A5C" w:rsidRDefault="00B4740D" w:rsidP="00831CA9">
      <w:pPr>
        <w:jc w:val="both"/>
        <w:rPr>
          <w:sz w:val="20"/>
          <w:szCs w:val="20"/>
        </w:rPr>
        <w:sectPr w:rsidR="00B4740D" w:rsidRPr="00C50A5C" w:rsidSect="00B4740D">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83581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564DD3" w:rsidRDefault="00FF6EEC" w:rsidP="00FF6EEC">
      <w:pPr>
        <w:rPr>
          <w:sz w:val="20"/>
          <w:szCs w:val="20"/>
          <w:lang w:val="fr-CA"/>
        </w:rPr>
      </w:pPr>
    </w:p>
    <w:p w:rsidR="00564DD3" w:rsidRPr="00484C9D" w:rsidRDefault="00564DD3" w:rsidP="00AF1715">
      <w:pPr>
        <w:rPr>
          <w:b/>
          <w:sz w:val="20"/>
          <w:szCs w:val="20"/>
          <w:lang w:val="fr-CA"/>
        </w:rPr>
      </w:pPr>
      <w:r w:rsidRPr="00484C9D">
        <w:rPr>
          <w:b/>
          <w:sz w:val="20"/>
          <w:szCs w:val="20"/>
          <w:lang w:val="fr-CA"/>
        </w:rPr>
        <w:t>JULY 26, 2012 / LE 26 JUILLET 2012</w:t>
      </w:r>
    </w:p>
    <w:p w:rsidR="00564DD3" w:rsidRPr="00484C9D" w:rsidRDefault="00564DD3" w:rsidP="00AF1715">
      <w:pPr>
        <w:rPr>
          <w:sz w:val="20"/>
          <w:szCs w:val="20"/>
          <w:lang w:val="fr-CA"/>
        </w:rPr>
      </w:pPr>
    </w:p>
    <w:p w:rsidR="0076424E" w:rsidRPr="0076424E" w:rsidRDefault="0076424E" w:rsidP="0076424E">
      <w:pPr>
        <w:pStyle w:val="SCCLsocParty"/>
        <w:jc w:val="left"/>
        <w:rPr>
          <w:rStyle w:val="Hyperlink"/>
          <w:color w:val="auto"/>
          <w:sz w:val="20"/>
          <w:lang w:val="en-US"/>
        </w:rPr>
      </w:pPr>
      <w:r w:rsidRPr="00C67DC2">
        <w:rPr>
          <w:b/>
          <w:sz w:val="20"/>
          <w:lang w:val="en-US"/>
        </w:rPr>
        <w:t>34286</w:t>
      </w:r>
      <w:r w:rsidRPr="00C67DC2">
        <w:rPr>
          <w:b/>
          <w:sz w:val="20"/>
          <w:lang w:val="en-US"/>
        </w:rPr>
        <w:tab/>
      </w:r>
      <w:r w:rsidRPr="00C67DC2">
        <w:rPr>
          <w:b/>
          <w:sz w:val="20"/>
          <w:lang w:val="en-US"/>
        </w:rPr>
        <w:tab/>
      </w:r>
      <w:r w:rsidRPr="00C67DC2">
        <w:rPr>
          <w:b/>
          <w:iCs/>
          <w:sz w:val="20"/>
          <w:u w:val="single"/>
          <w:lang w:val="en-US"/>
        </w:rPr>
        <w:t>Sam Tuan Vu v. Her Majesty The Queen</w:t>
      </w:r>
      <w:r w:rsidRPr="00C67DC2">
        <w:rPr>
          <w:b/>
          <w:iCs/>
          <w:sz w:val="20"/>
          <w:lang w:val="en-US"/>
        </w:rPr>
        <w:t xml:space="preserve"> </w:t>
      </w:r>
      <w:r w:rsidRPr="00C67DC2">
        <w:rPr>
          <w:sz w:val="20"/>
          <w:lang w:val="en-US"/>
        </w:rPr>
        <w:t>(</w:t>
      </w:r>
      <w:r>
        <w:rPr>
          <w:sz w:val="20"/>
          <w:lang w:val="en-US"/>
        </w:rPr>
        <w:t>B</w:t>
      </w:r>
      <w:r w:rsidRPr="00C67DC2">
        <w:rPr>
          <w:sz w:val="20"/>
          <w:lang w:val="en-US"/>
        </w:rPr>
        <w:t>.C.)</w:t>
      </w:r>
    </w:p>
    <w:p w:rsidR="0076424E" w:rsidRPr="008C6E68" w:rsidRDefault="0076424E" w:rsidP="0076424E">
      <w:pPr>
        <w:ind w:left="1440"/>
        <w:jc w:val="both"/>
        <w:rPr>
          <w:rFonts w:eastAsia="Calibri" w:cs="Times New Roman"/>
          <w:b/>
          <w:sz w:val="20"/>
        </w:rPr>
      </w:pPr>
      <w:r w:rsidRPr="008C6E68">
        <w:rPr>
          <w:rFonts w:eastAsia="Calibri" w:cs="Times New Roman"/>
          <w:b/>
          <w:sz w:val="20"/>
        </w:rPr>
        <w:t>2012 SCC 4</w:t>
      </w:r>
      <w:r>
        <w:rPr>
          <w:rFonts w:eastAsia="Calibri" w:cs="Times New Roman"/>
          <w:b/>
          <w:sz w:val="20"/>
        </w:rPr>
        <w:t>0</w:t>
      </w:r>
      <w:r w:rsidRPr="008C6E68">
        <w:rPr>
          <w:rFonts w:eastAsia="Calibri" w:cs="Times New Roman"/>
          <w:b/>
          <w:sz w:val="20"/>
        </w:rPr>
        <w:t xml:space="preserve"> / 2012 CSC 4</w:t>
      </w:r>
      <w:r>
        <w:rPr>
          <w:rFonts w:eastAsia="Calibri" w:cs="Times New Roman"/>
          <w:b/>
          <w:sz w:val="20"/>
        </w:rPr>
        <w:t>0</w:t>
      </w:r>
    </w:p>
    <w:p w:rsidR="0076424E" w:rsidRPr="008C6E68" w:rsidRDefault="0076424E" w:rsidP="0076424E">
      <w:pPr>
        <w:ind w:left="1440" w:hanging="1440"/>
        <w:jc w:val="both"/>
        <w:rPr>
          <w:rFonts w:eastAsia="Calibri" w:cs="Times New Roman"/>
          <w:b/>
          <w:sz w:val="20"/>
        </w:rPr>
      </w:pPr>
    </w:p>
    <w:p w:rsidR="0076424E" w:rsidRPr="008C6E68" w:rsidRDefault="0076424E" w:rsidP="0076424E">
      <w:pPr>
        <w:ind w:left="1440" w:hanging="1440"/>
        <w:jc w:val="both"/>
        <w:rPr>
          <w:rFonts w:eastAsia="Calibri" w:cs="Times New Roman"/>
          <w:sz w:val="20"/>
          <w:u w:val="single"/>
        </w:rPr>
      </w:pPr>
      <w:r w:rsidRPr="008C6E68">
        <w:rPr>
          <w:rFonts w:eastAsia="Calibri" w:cs="Times New Roman"/>
          <w:sz w:val="20"/>
        </w:rPr>
        <w:t>Coram:</w:t>
      </w:r>
      <w:r>
        <w:rPr>
          <w:sz w:val="20"/>
        </w:rPr>
        <w:tab/>
      </w:r>
      <w:r w:rsidRPr="00C67DC2">
        <w:rPr>
          <w:rFonts w:eastAsia="Calibri" w:cs="Times New Roman"/>
          <w:sz w:val="20"/>
          <w:u w:val="single"/>
        </w:rPr>
        <w:t>McLachlin C.J. and LeBel, Deschamps, Fish, Rothstein, Cromwell and Moldaver JJ.</w:t>
      </w:r>
      <w:r w:rsidRPr="008C6E68">
        <w:rPr>
          <w:rFonts w:eastAsia="Calibri" w:cs="Times New Roman"/>
          <w:sz w:val="20"/>
          <w:u w:val="single"/>
        </w:rPr>
        <w:t xml:space="preserve"> </w:t>
      </w:r>
    </w:p>
    <w:p w:rsidR="0076424E" w:rsidRPr="008C6E68" w:rsidRDefault="0076424E" w:rsidP="0076424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rPr>
      </w:pPr>
    </w:p>
    <w:p w:rsidR="0076424E" w:rsidRPr="00C67DC2" w:rsidRDefault="0076424E" w:rsidP="0076424E">
      <w:pPr>
        <w:jc w:val="both"/>
        <w:rPr>
          <w:rFonts w:eastAsia="Calibri" w:cs="Times New Roman"/>
          <w:sz w:val="20"/>
        </w:rPr>
      </w:pPr>
      <w:r w:rsidRPr="00C67DC2">
        <w:rPr>
          <w:rFonts w:eastAsia="Calibri" w:cs="Times New Roman"/>
          <w:sz w:val="20"/>
        </w:rPr>
        <w:t>The appeal from the judgment of the Court of Appeal for British Columbia (Vancouver), Number CA036584, 2011 BCCA 112, dated March 11, 2011, heard on February 15, 2012, is dismissed.</w:t>
      </w:r>
    </w:p>
    <w:p w:rsidR="0076424E" w:rsidRPr="00C67DC2" w:rsidRDefault="0076424E" w:rsidP="0076424E">
      <w:pPr>
        <w:jc w:val="both"/>
        <w:rPr>
          <w:rFonts w:eastAsia="Calibri" w:cs="Times New Roman"/>
          <w:sz w:val="20"/>
        </w:rPr>
      </w:pPr>
    </w:p>
    <w:p w:rsidR="0076424E" w:rsidRPr="00C67DC2" w:rsidRDefault="0076424E" w:rsidP="0076424E">
      <w:pPr>
        <w:jc w:val="both"/>
        <w:rPr>
          <w:rFonts w:eastAsia="Calibri" w:cs="Times New Roman"/>
          <w:sz w:val="20"/>
          <w:lang w:val="fr-CA"/>
        </w:rPr>
      </w:pPr>
      <w:r w:rsidRPr="00C67DC2">
        <w:rPr>
          <w:rFonts w:eastAsia="Calibri" w:cs="Times New Roman"/>
          <w:sz w:val="20"/>
          <w:lang w:val="fr-CA"/>
        </w:rPr>
        <w:t>L’appel interjeté contre l’arrêt de la Cour d’appel de la Colombie-Britannique (Vancouver), numéro CA036584, 2011 BCCA 112, en date du 11 mars 2011, entendu le 15 février 2012, est rejeté.</w:t>
      </w:r>
    </w:p>
    <w:p w:rsidR="00564DD3" w:rsidRDefault="00564DD3" w:rsidP="00AF1715">
      <w:pPr>
        <w:rPr>
          <w:sz w:val="20"/>
          <w:szCs w:val="20"/>
          <w:lang w:val="fr-CA"/>
        </w:rPr>
      </w:pPr>
    </w:p>
    <w:p w:rsidR="0076424E" w:rsidRDefault="00B62B14" w:rsidP="00AF1715">
      <w:pPr>
        <w:rPr>
          <w:rFonts w:cs="Times New Roman"/>
          <w:b/>
          <w:sz w:val="20"/>
          <w:szCs w:val="20"/>
        </w:rPr>
      </w:pPr>
      <w:r w:rsidRPr="00B62B14">
        <w:rPr>
          <w:rFonts w:cs="Times New Roman"/>
          <w:b/>
          <w:sz w:val="20"/>
          <w:szCs w:val="20"/>
        </w:rPr>
        <w:pict>
          <v:rect id="_x0000_i1055" style="width:144.3pt;height:1pt" o:hrpct="300" o:hralign="center" o:hrstd="t" o:hrnoshade="t" o:hr="t" fillcolor="black [3213]" stroked="f"/>
        </w:pict>
      </w:r>
    </w:p>
    <w:p w:rsidR="003C2A31" w:rsidRPr="00484C9D" w:rsidRDefault="003C2A31" w:rsidP="00AF1715">
      <w:pPr>
        <w:rPr>
          <w:sz w:val="20"/>
          <w:szCs w:val="20"/>
          <w:lang w:val="fr-CA"/>
        </w:rPr>
      </w:pPr>
    </w:p>
    <w:p w:rsidR="00AF1715" w:rsidRPr="00484C9D" w:rsidRDefault="003C2A31" w:rsidP="00AF1715">
      <w:pPr>
        <w:rPr>
          <w:b/>
          <w:sz w:val="20"/>
          <w:szCs w:val="20"/>
          <w:lang w:val="fr-CA"/>
        </w:rPr>
      </w:pPr>
      <w:r>
        <w:rPr>
          <w:b/>
          <w:sz w:val="20"/>
          <w:szCs w:val="20"/>
          <w:lang w:val="fr-CA"/>
        </w:rPr>
        <w:t xml:space="preserve">JULY 27, </w:t>
      </w:r>
      <w:r w:rsidR="00AF1715" w:rsidRPr="00484C9D">
        <w:rPr>
          <w:b/>
          <w:sz w:val="20"/>
          <w:szCs w:val="20"/>
          <w:lang w:val="fr-CA"/>
        </w:rPr>
        <w:t>201</w:t>
      </w:r>
      <w:r>
        <w:rPr>
          <w:b/>
          <w:sz w:val="20"/>
          <w:szCs w:val="20"/>
          <w:lang w:val="fr-CA"/>
        </w:rPr>
        <w:t>2</w:t>
      </w:r>
      <w:r w:rsidR="00AF1715" w:rsidRPr="00484C9D">
        <w:rPr>
          <w:b/>
          <w:sz w:val="20"/>
          <w:szCs w:val="20"/>
          <w:lang w:val="fr-CA"/>
        </w:rPr>
        <w:t xml:space="preserve"> / LE </w:t>
      </w:r>
      <w:r>
        <w:rPr>
          <w:b/>
          <w:sz w:val="20"/>
          <w:szCs w:val="20"/>
          <w:lang w:val="fr-CA"/>
        </w:rPr>
        <w:t xml:space="preserve">27 JUILLET </w:t>
      </w:r>
      <w:r w:rsidR="00AF1715" w:rsidRPr="00484C9D">
        <w:rPr>
          <w:b/>
          <w:sz w:val="20"/>
          <w:szCs w:val="20"/>
          <w:lang w:val="fr-CA"/>
        </w:rPr>
        <w:t>201</w:t>
      </w:r>
      <w:r>
        <w:rPr>
          <w:b/>
          <w:sz w:val="20"/>
          <w:szCs w:val="20"/>
          <w:lang w:val="fr-CA"/>
        </w:rPr>
        <w:t>2</w:t>
      </w:r>
    </w:p>
    <w:p w:rsidR="00AF1715" w:rsidRDefault="00AF1715" w:rsidP="00AF1715">
      <w:pPr>
        <w:rPr>
          <w:sz w:val="20"/>
          <w:szCs w:val="20"/>
          <w:lang w:val="fr-CA"/>
        </w:rPr>
      </w:pPr>
    </w:p>
    <w:p w:rsidR="00910E82" w:rsidRPr="00804EFE" w:rsidRDefault="00910E82" w:rsidP="00910E82">
      <w:pPr>
        <w:ind w:left="1440" w:hanging="1440"/>
        <w:jc w:val="both"/>
        <w:rPr>
          <w:rFonts w:eastAsia="Calibri" w:cs="Times New Roman"/>
          <w:sz w:val="20"/>
          <w:szCs w:val="20"/>
        </w:rPr>
      </w:pPr>
      <w:r w:rsidRPr="00804EFE">
        <w:rPr>
          <w:rFonts w:eastAsia="Calibri" w:cs="Times New Roman"/>
          <w:b/>
          <w:sz w:val="20"/>
          <w:szCs w:val="20"/>
        </w:rPr>
        <w:t>34080</w:t>
      </w:r>
      <w:r w:rsidRPr="00804EFE">
        <w:rPr>
          <w:rFonts w:eastAsia="Calibri" w:cs="Times New Roman"/>
          <w:b/>
          <w:sz w:val="20"/>
          <w:szCs w:val="20"/>
        </w:rPr>
        <w:tab/>
      </w:r>
      <w:r w:rsidRPr="00804EFE">
        <w:rPr>
          <w:rFonts w:eastAsia="Calibri" w:cs="Times New Roman"/>
          <w:b/>
          <w:sz w:val="20"/>
          <w:szCs w:val="20"/>
          <w:u w:val="single"/>
        </w:rPr>
        <w:t>Adrian John Walle v. Her Majesty the Queen – and – Criminal Lawyers’ Association of Ontario</w:t>
      </w:r>
      <w:r w:rsidRPr="00804EFE">
        <w:rPr>
          <w:rFonts w:eastAsia="Calibri" w:cs="Times New Roman"/>
          <w:b/>
          <w:sz w:val="20"/>
          <w:szCs w:val="20"/>
        </w:rPr>
        <w:t xml:space="preserve"> </w:t>
      </w:r>
      <w:r w:rsidRPr="00804EFE">
        <w:rPr>
          <w:rFonts w:eastAsia="Calibri" w:cs="Times New Roman"/>
          <w:sz w:val="20"/>
          <w:szCs w:val="20"/>
        </w:rPr>
        <w:t xml:space="preserve">(Alta.) </w:t>
      </w:r>
    </w:p>
    <w:p w:rsidR="00910E82" w:rsidRPr="00804EFE" w:rsidRDefault="00910E82" w:rsidP="00910E82">
      <w:pPr>
        <w:ind w:left="1440"/>
        <w:jc w:val="both"/>
        <w:rPr>
          <w:rFonts w:eastAsia="Calibri" w:cs="Times New Roman"/>
          <w:b/>
          <w:sz w:val="20"/>
          <w:szCs w:val="20"/>
        </w:rPr>
      </w:pPr>
      <w:r w:rsidRPr="00804EFE">
        <w:rPr>
          <w:rFonts w:eastAsia="Calibri" w:cs="Times New Roman"/>
          <w:b/>
          <w:sz w:val="20"/>
          <w:szCs w:val="20"/>
        </w:rPr>
        <w:t>2012 SCC 41 / 2012 CSC 41</w:t>
      </w:r>
    </w:p>
    <w:p w:rsidR="00910E82" w:rsidRPr="00804EFE" w:rsidRDefault="00910E82" w:rsidP="00910E82">
      <w:pPr>
        <w:ind w:left="1440" w:hanging="1440"/>
        <w:jc w:val="both"/>
        <w:rPr>
          <w:rFonts w:eastAsia="Calibri" w:cs="Times New Roman"/>
          <w:b/>
          <w:sz w:val="20"/>
          <w:szCs w:val="20"/>
        </w:rPr>
      </w:pPr>
    </w:p>
    <w:p w:rsidR="00910E82" w:rsidRPr="00804EFE" w:rsidRDefault="00910E82" w:rsidP="00910E82">
      <w:pPr>
        <w:ind w:left="1440" w:hanging="1440"/>
        <w:jc w:val="both"/>
        <w:rPr>
          <w:rFonts w:eastAsia="Calibri" w:cs="Times New Roman"/>
          <w:sz w:val="20"/>
          <w:szCs w:val="20"/>
          <w:u w:val="single"/>
        </w:rPr>
      </w:pPr>
      <w:r w:rsidRPr="00804EFE">
        <w:rPr>
          <w:rFonts w:eastAsia="Calibri" w:cs="Times New Roman"/>
          <w:sz w:val="20"/>
          <w:szCs w:val="20"/>
        </w:rPr>
        <w:t>Coram:</w:t>
      </w:r>
      <w:r>
        <w:rPr>
          <w:sz w:val="20"/>
          <w:szCs w:val="20"/>
        </w:rPr>
        <w:tab/>
      </w:r>
      <w:r w:rsidRPr="00804EFE">
        <w:rPr>
          <w:rFonts w:eastAsia="Calibri" w:cs="Times New Roman"/>
          <w:sz w:val="20"/>
          <w:szCs w:val="20"/>
          <w:u w:val="single"/>
        </w:rPr>
        <w:t xml:space="preserve">McLachlin C.J. and Deschamps, Fish, Rothstein, Cromwell, Moldaver and Karakatsanis JJ. </w:t>
      </w:r>
    </w:p>
    <w:p w:rsidR="00910E82" w:rsidRPr="00804EFE" w:rsidRDefault="00910E82" w:rsidP="00910E8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910E82" w:rsidRPr="00804EFE" w:rsidRDefault="00910E82" w:rsidP="00910E82">
      <w:pPr>
        <w:jc w:val="both"/>
        <w:rPr>
          <w:rFonts w:eastAsia="Calibri" w:cs="Times New Roman"/>
          <w:sz w:val="20"/>
          <w:szCs w:val="20"/>
        </w:rPr>
      </w:pPr>
      <w:r w:rsidRPr="00804EFE">
        <w:rPr>
          <w:rFonts w:eastAsia="Calibri" w:cs="Times New Roman"/>
          <w:sz w:val="20"/>
          <w:szCs w:val="20"/>
        </w:rPr>
        <w:t xml:space="preserve">The motion to adduce fresh evidence and the appeal from the judgment </w:t>
      </w:r>
      <w:bookmarkStart w:id="1" w:name="BM_1_"/>
      <w:bookmarkEnd w:id="1"/>
      <w:r w:rsidRPr="00804EFE">
        <w:rPr>
          <w:rFonts w:eastAsia="Calibri" w:cs="Times New Roman"/>
          <w:sz w:val="20"/>
          <w:szCs w:val="20"/>
        </w:rPr>
        <w:t>of the Court of Appeal of Alberta (Calgary), Number 0801-0350-A, 2010 ABCA 384, dated December 13, 2010, heard on April 13, 2012, are dismissed.</w:t>
      </w:r>
    </w:p>
    <w:p w:rsidR="00910E82" w:rsidRPr="00804EFE" w:rsidRDefault="00910E82" w:rsidP="00910E82">
      <w:pPr>
        <w:jc w:val="both"/>
        <w:rPr>
          <w:rFonts w:eastAsia="Calibri" w:cs="Times New Roman"/>
          <w:sz w:val="20"/>
          <w:szCs w:val="20"/>
        </w:rPr>
      </w:pPr>
    </w:p>
    <w:p w:rsidR="00910E82" w:rsidRPr="00804EFE" w:rsidRDefault="00910E82" w:rsidP="00910E82">
      <w:pPr>
        <w:jc w:val="both"/>
        <w:rPr>
          <w:rFonts w:eastAsia="Calibri" w:cs="Times New Roman"/>
          <w:sz w:val="20"/>
          <w:szCs w:val="20"/>
          <w:lang w:val="fr-CA"/>
        </w:rPr>
      </w:pPr>
      <w:r w:rsidRPr="00804EFE">
        <w:rPr>
          <w:rFonts w:eastAsia="Calibri" w:cs="Times New Roman"/>
          <w:sz w:val="20"/>
          <w:szCs w:val="20"/>
          <w:lang w:val="fr-CA"/>
        </w:rPr>
        <w:t>La requête pour production d’une nouvelle preuve et l’appel interjeté contre l’arrêt de la Cour d’appel de l’Alberta (Calgary), numéro 0801-0350-A, 2010 ABCA 384, en date du 13 décembre 2010, entendu le 13 avril 2012, sont rejetés.</w:t>
      </w:r>
    </w:p>
    <w:p w:rsidR="00AF1715" w:rsidRPr="003B3977" w:rsidRDefault="00AF1715" w:rsidP="00AF1715">
      <w:pPr>
        <w:rPr>
          <w:sz w:val="20"/>
          <w:szCs w:val="20"/>
          <w:lang w:val="fr-CA"/>
        </w:rPr>
      </w:pPr>
    </w:p>
    <w:p w:rsidR="00AF1715" w:rsidRPr="003B3977" w:rsidRDefault="00B62B14" w:rsidP="00AF1715">
      <w:pPr>
        <w:spacing w:line="0" w:lineRule="atLeast"/>
        <w:rPr>
          <w:sz w:val="20"/>
          <w:szCs w:val="20"/>
        </w:rPr>
      </w:pPr>
      <w:r w:rsidRPr="00B62B14">
        <w:rPr>
          <w:b/>
          <w:sz w:val="20"/>
          <w:szCs w:val="20"/>
        </w:rPr>
        <w:pict>
          <v:rect id="_x0000_i1056"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3C2A31" w:rsidRDefault="00AF1715" w:rsidP="00AF1715">
      <w:pPr>
        <w:spacing w:line="0" w:lineRule="atLeast"/>
        <w:rPr>
          <w:rFonts w:cs="Times New Roman"/>
          <w:b/>
          <w:sz w:val="20"/>
          <w:szCs w:val="20"/>
          <w:lang w:val="fr-CA"/>
        </w:rPr>
      </w:pPr>
    </w:p>
    <w:p w:rsidR="00AF1715" w:rsidRPr="003C2A31"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lang w:val="fr-CA"/>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3C2A31" w:rsidRDefault="00732DB7" w:rsidP="00732DB7">
      <w:pPr>
        <w:widowControl w:val="0"/>
        <w:rPr>
          <w:sz w:val="20"/>
          <w:szCs w:val="20"/>
          <w:lang w:val="fr-CA"/>
        </w:rPr>
      </w:pPr>
    </w:p>
    <w:p w:rsidR="00697C62" w:rsidRPr="003C2A31" w:rsidRDefault="00697C62" w:rsidP="00732DB7">
      <w:pPr>
        <w:widowControl w:val="0"/>
        <w:rPr>
          <w:sz w:val="20"/>
          <w:szCs w:val="20"/>
          <w:lang w:val="fr-CA"/>
        </w:rPr>
        <w:sectPr w:rsidR="00697C62" w:rsidRPr="003C2A31"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425292" w:rsidRPr="00EE4418" w:rsidRDefault="00425292" w:rsidP="00425292">
      <w:pPr>
        <w:ind w:left="720" w:hanging="720"/>
        <w:rPr>
          <w:rFonts w:eastAsia="Calibri" w:cs="Times New Roman"/>
          <w:sz w:val="20"/>
          <w:szCs w:val="20"/>
        </w:rPr>
      </w:pPr>
      <w:r w:rsidRPr="00EE4418">
        <w:rPr>
          <w:rFonts w:eastAsia="Calibri" w:cs="Times New Roman"/>
          <w:i/>
          <w:sz w:val="20"/>
          <w:szCs w:val="20"/>
        </w:rPr>
        <w:t>Sam Tuan Vu v. Her Majesty the Queen</w:t>
      </w:r>
      <w:r w:rsidRPr="00EE4418">
        <w:rPr>
          <w:rFonts w:eastAsia="Calibri" w:cs="Times New Roman"/>
          <w:sz w:val="20"/>
          <w:szCs w:val="20"/>
        </w:rPr>
        <w:t xml:space="preserve"> (B.C.) (34286)</w:t>
      </w:r>
    </w:p>
    <w:p w:rsidR="00773CF9" w:rsidRPr="00773CF9" w:rsidRDefault="00773CF9" w:rsidP="00773CF9">
      <w:pPr>
        <w:jc w:val="both"/>
        <w:rPr>
          <w:b/>
          <w:sz w:val="20"/>
          <w:szCs w:val="20"/>
          <w:lang w:val="fr-CA"/>
        </w:rPr>
      </w:pPr>
      <w:r w:rsidRPr="00773CF9">
        <w:rPr>
          <w:b/>
          <w:sz w:val="20"/>
          <w:szCs w:val="20"/>
          <w:lang w:val="fr-CA"/>
        </w:rPr>
        <w:t xml:space="preserve">Indexed as:  </w:t>
      </w:r>
      <w:r w:rsidRPr="00773CF9">
        <w:rPr>
          <w:rStyle w:val="SCCRespondentForIndexChar"/>
          <w:rFonts w:eastAsiaTheme="minorHAnsi"/>
          <w:sz w:val="20"/>
          <w:lang w:val="fr-CA"/>
        </w:rPr>
        <w:t>R.</w:t>
      </w:r>
      <w:r w:rsidRPr="00773CF9">
        <w:rPr>
          <w:b/>
          <w:sz w:val="20"/>
          <w:szCs w:val="20"/>
          <w:lang w:val="fr-CA"/>
        </w:rPr>
        <w:t xml:space="preserve"> </w:t>
      </w:r>
      <w:r w:rsidRPr="00773CF9">
        <w:rPr>
          <w:b/>
          <w:i/>
          <w:sz w:val="20"/>
          <w:szCs w:val="20"/>
          <w:lang w:val="fr-CA"/>
        </w:rPr>
        <w:t>v.</w:t>
      </w:r>
      <w:r w:rsidRPr="00773CF9">
        <w:rPr>
          <w:b/>
          <w:sz w:val="20"/>
          <w:szCs w:val="20"/>
          <w:lang w:val="fr-CA"/>
        </w:rPr>
        <w:t xml:space="preserve"> </w:t>
      </w:r>
      <w:r w:rsidRPr="00773CF9">
        <w:rPr>
          <w:rStyle w:val="SCCAppellantForIndexChar"/>
          <w:rFonts w:eastAsia="Calibri"/>
          <w:sz w:val="20"/>
        </w:rPr>
        <w:t xml:space="preserve">Vu / </w:t>
      </w:r>
      <w:r w:rsidRPr="00773CF9">
        <w:rPr>
          <w:b/>
          <w:sz w:val="20"/>
          <w:szCs w:val="20"/>
          <w:lang w:val="fr-CA"/>
        </w:rPr>
        <w:t xml:space="preserve">Répertorié : R. </w:t>
      </w:r>
      <w:r w:rsidRPr="00773CF9">
        <w:rPr>
          <w:b/>
          <w:i/>
          <w:sz w:val="20"/>
          <w:szCs w:val="20"/>
          <w:lang w:val="fr-CA"/>
        </w:rPr>
        <w:t>c.</w:t>
      </w:r>
      <w:r w:rsidRPr="00773CF9">
        <w:rPr>
          <w:b/>
          <w:sz w:val="20"/>
          <w:szCs w:val="20"/>
          <w:lang w:val="fr-CA"/>
        </w:rPr>
        <w:t xml:space="preserve"> </w:t>
      </w:r>
      <w:r w:rsidRPr="009853E1">
        <w:rPr>
          <w:rStyle w:val="SCCAppellantForIndexChar"/>
          <w:rFonts w:eastAsia="Calibri"/>
          <w:sz w:val="20"/>
        </w:rPr>
        <w:t>Vu</w:t>
      </w:r>
    </w:p>
    <w:p w:rsidR="005C6840" w:rsidRPr="003B3977" w:rsidRDefault="005C6840" w:rsidP="005C6840">
      <w:pPr>
        <w:pStyle w:val="SCCSystemYear"/>
        <w:jc w:val="both"/>
        <w:rPr>
          <w:sz w:val="20"/>
        </w:rPr>
      </w:pPr>
      <w:r w:rsidRPr="003B3977">
        <w:rPr>
          <w:sz w:val="20"/>
        </w:rPr>
        <w:t>Neutral citation:  201</w:t>
      </w:r>
      <w:r w:rsidR="00425292">
        <w:rPr>
          <w:sz w:val="20"/>
        </w:rPr>
        <w:t>2</w:t>
      </w:r>
      <w:r w:rsidRPr="003B3977">
        <w:rPr>
          <w:sz w:val="20"/>
        </w:rPr>
        <w:t xml:space="preserve"> SCC </w:t>
      </w:r>
      <w:r w:rsidR="00425292">
        <w:rPr>
          <w:sz w:val="20"/>
        </w:rPr>
        <w:t>40</w:t>
      </w:r>
      <w:r w:rsidRPr="003B3977">
        <w:rPr>
          <w:sz w:val="20"/>
        </w:rPr>
        <w:t xml:space="preserve"> / Référence neutre : 201</w:t>
      </w:r>
      <w:r w:rsidR="00425292">
        <w:rPr>
          <w:sz w:val="20"/>
        </w:rPr>
        <w:t>2</w:t>
      </w:r>
      <w:r w:rsidRPr="003B3977">
        <w:rPr>
          <w:sz w:val="20"/>
        </w:rPr>
        <w:t xml:space="preserve"> CSC </w:t>
      </w:r>
      <w:r w:rsidR="00425292">
        <w:rPr>
          <w:sz w:val="20"/>
        </w:rPr>
        <w:t>40</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773CF9">
        <w:rPr>
          <w:rFonts w:cs="Times New Roman"/>
          <w:sz w:val="20"/>
          <w:szCs w:val="20"/>
          <w:lang w:val="fr-CA"/>
        </w:rPr>
        <w:t>February 15</w:t>
      </w:r>
      <w:r w:rsidRPr="003B3977">
        <w:rPr>
          <w:rFonts w:cs="Times New Roman"/>
          <w:sz w:val="20"/>
          <w:szCs w:val="20"/>
          <w:lang w:val="fr-CA"/>
        </w:rPr>
        <w:t>, 201</w:t>
      </w:r>
      <w:r w:rsidR="00773CF9">
        <w:rPr>
          <w:rFonts w:cs="Times New Roman"/>
          <w:sz w:val="20"/>
          <w:szCs w:val="20"/>
          <w:lang w:val="fr-CA"/>
        </w:rPr>
        <w:t>2</w:t>
      </w:r>
      <w:r w:rsidRPr="003B3977">
        <w:rPr>
          <w:rFonts w:cs="Times New Roman"/>
          <w:sz w:val="20"/>
          <w:szCs w:val="20"/>
          <w:lang w:val="fr-CA"/>
        </w:rPr>
        <w:t xml:space="preserve"> / Judgment:  </w:t>
      </w:r>
      <w:r w:rsidR="00425292">
        <w:rPr>
          <w:rFonts w:cs="Times New Roman"/>
          <w:sz w:val="20"/>
          <w:szCs w:val="20"/>
          <w:lang w:val="fr-CA"/>
        </w:rPr>
        <w:t>July</w:t>
      </w:r>
      <w:r w:rsidRPr="003B3977">
        <w:rPr>
          <w:rFonts w:cs="Times New Roman"/>
          <w:sz w:val="20"/>
          <w:szCs w:val="20"/>
          <w:lang w:val="fr-CA"/>
        </w:rPr>
        <w:t xml:space="preserve"> 2</w:t>
      </w:r>
      <w:r w:rsidR="00425292">
        <w:rPr>
          <w:rFonts w:cs="Times New Roman"/>
          <w:sz w:val="20"/>
          <w:szCs w:val="20"/>
          <w:lang w:val="fr-CA"/>
        </w:rPr>
        <w:t>6</w:t>
      </w:r>
      <w:r w:rsidRPr="003B3977">
        <w:rPr>
          <w:rFonts w:cs="Times New Roman"/>
          <w:sz w:val="20"/>
          <w:szCs w:val="20"/>
          <w:lang w:val="fr-CA"/>
        </w:rPr>
        <w:t>, 201</w:t>
      </w:r>
      <w:r w:rsidR="00425292">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773CF9">
        <w:rPr>
          <w:rFonts w:cs="Times New Roman"/>
          <w:sz w:val="20"/>
          <w:szCs w:val="20"/>
          <w:lang w:val="fr-CA"/>
        </w:rPr>
        <w:t>15 fév</w:t>
      </w:r>
      <w:r w:rsidRPr="003B3977">
        <w:rPr>
          <w:rFonts w:cs="Times New Roman"/>
          <w:sz w:val="20"/>
          <w:szCs w:val="20"/>
          <w:lang w:val="fr-CA"/>
        </w:rPr>
        <w:t>r</w:t>
      </w:r>
      <w:r w:rsidR="00773CF9">
        <w:rPr>
          <w:rFonts w:cs="Times New Roman"/>
          <w:sz w:val="20"/>
          <w:szCs w:val="20"/>
          <w:lang w:val="fr-CA"/>
        </w:rPr>
        <w:t>i</w:t>
      </w:r>
      <w:r w:rsidRPr="003B3977">
        <w:rPr>
          <w:rFonts w:cs="Times New Roman"/>
          <w:sz w:val="20"/>
          <w:szCs w:val="20"/>
          <w:lang w:val="fr-CA"/>
        </w:rPr>
        <w:t>e</w:t>
      </w:r>
      <w:r w:rsidR="00773CF9">
        <w:rPr>
          <w:rFonts w:cs="Times New Roman"/>
          <w:sz w:val="20"/>
          <w:szCs w:val="20"/>
          <w:lang w:val="fr-CA"/>
        </w:rPr>
        <w:t>r</w:t>
      </w:r>
      <w:r w:rsidRPr="003B3977">
        <w:rPr>
          <w:rFonts w:cs="Times New Roman"/>
          <w:sz w:val="20"/>
          <w:szCs w:val="20"/>
          <w:lang w:val="fr-CA"/>
        </w:rPr>
        <w:t xml:space="preserve"> 201</w:t>
      </w:r>
      <w:r w:rsidR="00773CF9">
        <w:rPr>
          <w:rFonts w:cs="Times New Roman"/>
          <w:sz w:val="20"/>
          <w:szCs w:val="20"/>
          <w:lang w:val="fr-CA"/>
        </w:rPr>
        <w:t>2</w:t>
      </w:r>
      <w:r w:rsidRPr="003B3977">
        <w:rPr>
          <w:rFonts w:cs="Times New Roman"/>
          <w:sz w:val="20"/>
          <w:szCs w:val="20"/>
          <w:lang w:val="fr-CA"/>
        </w:rPr>
        <w:t xml:space="preserve"> / Jugement : Le 2</w:t>
      </w:r>
      <w:r w:rsidR="00425292">
        <w:rPr>
          <w:rFonts w:cs="Times New Roman"/>
          <w:sz w:val="20"/>
          <w:szCs w:val="20"/>
          <w:lang w:val="fr-CA"/>
        </w:rPr>
        <w:t>6 juillet</w:t>
      </w:r>
      <w:r w:rsidRPr="003B3977">
        <w:rPr>
          <w:rFonts w:cs="Times New Roman"/>
          <w:sz w:val="20"/>
          <w:szCs w:val="20"/>
          <w:lang w:val="fr-CA"/>
        </w:rPr>
        <w:t xml:space="preserve"> 201</w:t>
      </w:r>
      <w:r w:rsidR="00425292">
        <w:rPr>
          <w:rFonts w:cs="Times New Roman"/>
          <w:sz w:val="20"/>
          <w:szCs w:val="20"/>
          <w:lang w:val="fr-CA"/>
        </w:rPr>
        <w:t>2</w:t>
      </w:r>
    </w:p>
    <w:p w:rsidR="005C6840" w:rsidRPr="003B3977" w:rsidRDefault="00B62B14" w:rsidP="005C6840">
      <w:pPr>
        <w:rPr>
          <w:rFonts w:cs="Times New Roman"/>
          <w:sz w:val="20"/>
          <w:szCs w:val="20"/>
          <w:lang w:val="fr-CA"/>
        </w:rPr>
      </w:pPr>
      <w:r w:rsidRPr="00B62B14">
        <w:rPr>
          <w:rFonts w:cs="Times New Roman"/>
          <w:i/>
          <w:sz w:val="20"/>
          <w:szCs w:val="20"/>
        </w:rPr>
        <w:pict>
          <v:rect id="_x0000_i105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773CF9" w:rsidRPr="00852A77" w:rsidRDefault="00773CF9" w:rsidP="00773CF9">
      <w:pPr>
        <w:jc w:val="both"/>
        <w:rPr>
          <w:sz w:val="20"/>
          <w:szCs w:val="20"/>
        </w:rPr>
      </w:pPr>
      <w:r w:rsidRPr="00852A77">
        <w:rPr>
          <w:sz w:val="20"/>
          <w:szCs w:val="20"/>
        </w:rPr>
        <w:t>Present:  McLachlin C.J. and LeBel, Deschamps, Fish, Rothstein, Cromwell and Moldaver JJ.</w:t>
      </w:r>
    </w:p>
    <w:p w:rsidR="00773CF9" w:rsidRDefault="00773CF9" w:rsidP="00773CF9">
      <w:pPr>
        <w:pStyle w:val="SCCLowerCourtNameLowercase"/>
        <w:spacing w:line="240" w:lineRule="auto"/>
        <w:rPr>
          <w:sz w:val="20"/>
        </w:rPr>
      </w:pPr>
    </w:p>
    <w:p w:rsidR="00773CF9" w:rsidRPr="00852A77" w:rsidRDefault="00773CF9" w:rsidP="00773CF9">
      <w:pPr>
        <w:pStyle w:val="SCCNormalDoubleSpacing"/>
        <w:spacing w:line="240" w:lineRule="auto"/>
        <w:rPr>
          <w:sz w:val="20"/>
        </w:rPr>
      </w:pPr>
      <w:r w:rsidRPr="00852A77">
        <w:rPr>
          <w:i/>
          <w:sz w:val="20"/>
        </w:rPr>
        <w:tab/>
        <w:t>Criminal law — Offences — Kidnapping — Whether kidnapping is a continuing offence encompassing subsequent confinement of victim — Whether persons who willingly or knowingly choose to participate in subsequent confinement become parties to the offence of kidnapping — Criminal Code, R.S.C. 1985, c. C</w:t>
      </w:r>
      <w:r w:rsidRPr="00852A77">
        <w:rPr>
          <w:i/>
          <w:sz w:val="20"/>
        </w:rPr>
        <w:noBreakHyphen/>
        <w:t>46, s. 21(1), 279(1)</w:t>
      </w:r>
      <w:r w:rsidRPr="00852A77">
        <w:rPr>
          <w:sz w:val="20"/>
        </w:rPr>
        <w:t>.</w:t>
      </w:r>
    </w:p>
    <w:p w:rsidR="00773CF9" w:rsidRDefault="00773CF9" w:rsidP="00773CF9">
      <w:pPr>
        <w:pStyle w:val="SCCNormalDoubleSpacing"/>
        <w:spacing w:line="240" w:lineRule="auto"/>
        <w:rPr>
          <w:sz w:val="20"/>
        </w:rPr>
      </w:pPr>
    </w:p>
    <w:p w:rsidR="00773CF9" w:rsidRPr="00852A77" w:rsidRDefault="00773CF9" w:rsidP="00773CF9">
      <w:pPr>
        <w:pStyle w:val="SCCNormalDoubleSpacing"/>
        <w:spacing w:line="240" w:lineRule="auto"/>
        <w:rPr>
          <w:sz w:val="20"/>
        </w:rPr>
      </w:pPr>
      <w:r w:rsidRPr="00852A77">
        <w:rPr>
          <w:sz w:val="20"/>
        </w:rPr>
        <w:tab/>
        <w:t xml:space="preserve">M was abducted and held for eight days in three different houses.  There was circumstantial evidence which connected the appellant V to all three houses where M was confined, but based on the trial judge’s findings, it is accepted that V neither participated in M’s initial taking nor knew of it at the time it occurred.  At trial, the appellant was convicted of unlawful confinement and acquitted of kidnapping.  The Court of Appeal held that the appellant was liable as a party to kidnapping under s. 21(1) of the </w:t>
      </w:r>
      <w:r w:rsidRPr="00852A77">
        <w:rPr>
          <w:i/>
          <w:sz w:val="20"/>
        </w:rPr>
        <w:t>Criminal Code</w:t>
      </w:r>
      <w:r w:rsidRPr="00852A77">
        <w:rPr>
          <w:sz w:val="20"/>
        </w:rPr>
        <w:t xml:space="preserve"> and substituted a conviction for that offence.</w:t>
      </w:r>
    </w:p>
    <w:p w:rsidR="00773CF9" w:rsidRDefault="00773CF9" w:rsidP="00773CF9">
      <w:pPr>
        <w:pStyle w:val="SCCNormalDoubleSpacing"/>
        <w:spacing w:line="240" w:lineRule="auto"/>
        <w:rPr>
          <w:sz w:val="20"/>
        </w:rPr>
      </w:pPr>
    </w:p>
    <w:p w:rsidR="00773CF9" w:rsidRPr="00852A77" w:rsidRDefault="00773CF9" w:rsidP="00773CF9">
      <w:pPr>
        <w:pStyle w:val="SCCNormalDoubleSpacing"/>
        <w:spacing w:line="240" w:lineRule="auto"/>
        <w:rPr>
          <w:sz w:val="20"/>
        </w:rPr>
      </w:pPr>
      <w:r w:rsidRPr="00852A77">
        <w:rPr>
          <w:sz w:val="20"/>
        </w:rPr>
        <w:tab/>
      </w:r>
      <w:r w:rsidRPr="00852A77">
        <w:rPr>
          <w:rStyle w:val="QuoteChar"/>
          <w:sz w:val="20"/>
        </w:rPr>
        <w:t>Held:</w:t>
      </w:r>
      <w:r w:rsidRPr="00852A77">
        <w:rPr>
          <w:sz w:val="20"/>
        </w:rPr>
        <w:t xml:space="preserve">  The appeal should be dismissed.</w:t>
      </w:r>
    </w:p>
    <w:p w:rsidR="00773CF9" w:rsidRDefault="00773CF9" w:rsidP="00773CF9">
      <w:pPr>
        <w:pStyle w:val="SCCNormalDoubleSpacing"/>
        <w:spacing w:line="240" w:lineRule="auto"/>
        <w:rPr>
          <w:sz w:val="20"/>
        </w:rPr>
      </w:pPr>
    </w:p>
    <w:p w:rsidR="00773CF9" w:rsidRPr="00852A77" w:rsidRDefault="00773CF9" w:rsidP="00773CF9">
      <w:pPr>
        <w:pStyle w:val="SCCNormalDoubleSpacing"/>
        <w:spacing w:line="240" w:lineRule="auto"/>
        <w:rPr>
          <w:sz w:val="20"/>
        </w:rPr>
      </w:pPr>
      <w:r w:rsidRPr="00852A77">
        <w:rPr>
          <w:sz w:val="20"/>
        </w:rPr>
        <w:tab/>
        <w:t xml:space="preserve">Kidnapping is a continuing offence that includes the victim’s ensuing confinement.  So long as the victim of the kidnapping remains unlawfully confined, the crime of kidnapping continues.  Here, M’s unlawful confinement following the taking continued for the next eight days.  The kidnapping came to an end only when M was set free by the police.  Parliament has never defined the word “kidnapping” in the </w:t>
      </w:r>
      <w:r w:rsidRPr="00852A77">
        <w:rPr>
          <w:i/>
          <w:sz w:val="20"/>
        </w:rPr>
        <w:t>Criminal Code</w:t>
      </w:r>
      <w:r w:rsidRPr="00852A77">
        <w:rPr>
          <w:sz w:val="20"/>
        </w:rPr>
        <w:t xml:space="preserve">.  There is nothing in the legislative history to suggest that Parliament intended to abandon the common law definition of kidnapping which remained an aggravated form of unlawful confinement.  It was aggravated by the additional element of movement, which increased the risk of harm to the victim by isolating him or her from a place where  detection and rescue were more likely.  It is the element of movement that differentiated kidnapping from the lesser included offence of false imprisonment and made kidnapping an aggravated form of false imprisonment.  This interpretation is consonant with the intention of Parliament as expressed in the </w:t>
      </w:r>
      <w:r w:rsidRPr="00852A77">
        <w:rPr>
          <w:i/>
          <w:sz w:val="20"/>
        </w:rPr>
        <w:t>Code</w:t>
      </w:r>
      <w:r w:rsidRPr="00852A77">
        <w:rPr>
          <w:sz w:val="20"/>
        </w:rPr>
        <w:t xml:space="preserve">, the crime’s common law origins and legislative history, modern jurisprudence of Canadian appellate courts, and common sense.  Parliament did not  intend to restrict the offence of kidnapping to the victim’s initial taking and movement, while leaving the victim’s ensuing captivity to the comparably less serious crime of unlawful confinement.  Parliament intended to include the offence of unlawful confinement in the offence of kidnapping so as to capture, under the crime of kidnapping, the victim’s ensuing captivity.  The penalty scheme reflects Parliament’s view that kidnapping is a much more serious offence than unlawful confinement.  </w:t>
      </w:r>
    </w:p>
    <w:p w:rsidR="00773CF9" w:rsidRDefault="00773CF9" w:rsidP="00773CF9">
      <w:pPr>
        <w:pStyle w:val="SCCNormalDoubleSpacing"/>
        <w:spacing w:line="240" w:lineRule="auto"/>
        <w:rPr>
          <w:sz w:val="20"/>
        </w:rPr>
      </w:pPr>
    </w:p>
    <w:p w:rsidR="00773CF9" w:rsidRDefault="00773CF9" w:rsidP="00773CF9">
      <w:pPr>
        <w:pStyle w:val="SCCNormalDoubleSpacing"/>
        <w:spacing w:line="240" w:lineRule="auto"/>
        <w:rPr>
          <w:sz w:val="20"/>
        </w:rPr>
      </w:pPr>
      <w:r w:rsidRPr="00852A77">
        <w:rPr>
          <w:sz w:val="20"/>
        </w:rPr>
        <w:tab/>
        <w:t>Where an accused — with knowledge of the principal’s intention to see a continuing offence through to its completion — does (or omits to do) something, with the intention of aiding or abetting the commission of the ongoing offence, party liability is established.  The well</w:t>
      </w:r>
      <w:r w:rsidRPr="00852A77">
        <w:rPr>
          <w:sz w:val="20"/>
        </w:rPr>
        <w:noBreakHyphen/>
        <w:t xml:space="preserve">established principles of s. 21(1) of the </w:t>
      </w:r>
      <w:r w:rsidRPr="00852A77">
        <w:rPr>
          <w:i/>
          <w:sz w:val="20"/>
        </w:rPr>
        <w:t>Criminal Code</w:t>
      </w:r>
      <w:r w:rsidRPr="00852A77">
        <w:rPr>
          <w:sz w:val="20"/>
        </w:rPr>
        <w:t xml:space="preserve"> party liability apply with equal force to continuing offences that have been completed in law but not in fact.  The crime of kidnapping continues until the victim is freed, and a person who chooses to participate in the victim’s confinement — after having learned that the victim has been kidnapped — may be held responsible for the offence of kidnapping under s. 21(1) of the </w:t>
      </w:r>
      <w:r w:rsidRPr="00852A77">
        <w:rPr>
          <w:i/>
          <w:sz w:val="20"/>
        </w:rPr>
        <w:t>Code</w:t>
      </w:r>
      <w:r w:rsidRPr="00852A77">
        <w:rPr>
          <w:sz w:val="20"/>
        </w:rPr>
        <w:t xml:space="preserve">.  Here, V was a party to the offence of kidnapping under s. 21(1) of the </w:t>
      </w:r>
      <w:r w:rsidRPr="00852A77">
        <w:rPr>
          <w:i/>
          <w:sz w:val="20"/>
        </w:rPr>
        <w:t>Code</w:t>
      </w:r>
      <w:r w:rsidRPr="00852A77">
        <w:rPr>
          <w:sz w:val="20"/>
        </w:rPr>
        <w:t xml:space="preserve">.  V participated in the confinement of M.  Accepting that V was initially unaware of and took no part in the taking and carrying away of M, he became aware of it while M remained confined against his will and chose thereafter to take part in the kidnapping enterprise.  V joined the kidnapping enterprise with the intent to aid the kidnappers and with the knowledge that M was a victim of kidnapping — or, at a minimum, he was wilfully blind to that fact.  V took steps, of his own free will, to assist the kidnappers and further their objectives. </w:t>
      </w:r>
    </w:p>
    <w:p w:rsidR="00773CF9" w:rsidRDefault="00773CF9" w:rsidP="00773CF9">
      <w:pPr>
        <w:pStyle w:val="SCCNormalDoubleSpacing"/>
        <w:spacing w:line="240" w:lineRule="auto"/>
        <w:rPr>
          <w:sz w:val="20"/>
        </w:rPr>
      </w:pPr>
    </w:p>
    <w:p w:rsidR="00773CF9" w:rsidRPr="00852A77" w:rsidRDefault="00773CF9" w:rsidP="00773CF9">
      <w:pPr>
        <w:pStyle w:val="SCCNormalDoubleSpacing"/>
        <w:spacing w:line="240" w:lineRule="auto"/>
        <w:rPr>
          <w:sz w:val="20"/>
        </w:rPr>
      </w:pPr>
      <w:r w:rsidRPr="00852A77">
        <w:rPr>
          <w:sz w:val="20"/>
        </w:rPr>
        <w:tab/>
        <w:t>APPEAL from a judgment of the British Columbia Court of Appeal (Finch C.J.B.C. and Prowse and Saunders JJ.A.), 2011 BCCA 112, 302 B.C.A.C. 187 (</w:t>
      </w:r>
      <w:r w:rsidRPr="00852A77">
        <w:rPr>
          <w:i/>
          <w:sz w:val="20"/>
        </w:rPr>
        <w:t>sub nom.</w:t>
      </w:r>
      <w:r w:rsidRPr="00852A77">
        <w:rPr>
          <w:sz w:val="20"/>
        </w:rPr>
        <w:t xml:space="preserve"> </w:t>
      </w:r>
      <w:r w:rsidRPr="00852A77">
        <w:rPr>
          <w:i/>
          <w:sz w:val="20"/>
        </w:rPr>
        <w:t>R. v. Hernandez</w:t>
      </w:r>
      <w:r w:rsidRPr="00852A77">
        <w:rPr>
          <w:sz w:val="20"/>
        </w:rPr>
        <w:t xml:space="preserve">), 270 C.C.C. (3d) 546, 83 C.R. (6th) 162, 511 W.A.C. 187, [2011] B.C.J. No. 399 (QL), 2011 CarswellBC 541, setting aside the acquittal entered by Silverman J., </w:t>
      </w:r>
      <w:r w:rsidRPr="00852A77">
        <w:rPr>
          <w:sz w:val="20"/>
        </w:rPr>
        <w:lastRenderedPageBreak/>
        <w:t>2008 BCSC 1376 (CanLII), [2008] B.C.J. No. 1953 (QL), 2008 CarswellBC 2200, and entering a conviction.  Appeal dismissed.</w:t>
      </w:r>
    </w:p>
    <w:p w:rsidR="00773CF9" w:rsidRDefault="00773CF9" w:rsidP="00773CF9">
      <w:pPr>
        <w:pStyle w:val="SCCNormalDoubleSpacing"/>
        <w:spacing w:line="240" w:lineRule="auto"/>
        <w:rPr>
          <w:rStyle w:val="SCCCounselNameChar"/>
          <w:sz w:val="20"/>
        </w:rPr>
      </w:pPr>
    </w:p>
    <w:p w:rsidR="00773CF9" w:rsidRPr="00852A77" w:rsidRDefault="00773CF9" w:rsidP="00773CF9">
      <w:pPr>
        <w:pStyle w:val="SCCNormalDoubleSpacing"/>
        <w:spacing w:line="240" w:lineRule="auto"/>
        <w:rPr>
          <w:sz w:val="20"/>
        </w:rPr>
      </w:pPr>
      <w:r w:rsidRPr="00852A77">
        <w:rPr>
          <w:rStyle w:val="SCCCounselNameChar"/>
          <w:sz w:val="20"/>
        </w:rPr>
        <w:tab/>
        <w:t>Howard Rubin, Q.C.</w:t>
      </w:r>
      <w:r w:rsidRPr="00852A77">
        <w:rPr>
          <w:rStyle w:val="SCCCounselPartyRoleChar"/>
          <w:sz w:val="20"/>
        </w:rPr>
        <w:t xml:space="preserve">, </w:t>
      </w:r>
      <w:r w:rsidRPr="00773CF9">
        <w:rPr>
          <w:rStyle w:val="SCCCounselSeparatorChar"/>
          <w:sz w:val="20"/>
          <w:lang w:val="en-CA"/>
        </w:rPr>
        <w:t xml:space="preserve">and </w:t>
      </w:r>
      <w:r w:rsidRPr="00852A77">
        <w:rPr>
          <w:rStyle w:val="SCCCounselNameChar"/>
          <w:sz w:val="20"/>
        </w:rPr>
        <w:t>Chandra L. Corriveau</w:t>
      </w:r>
      <w:r w:rsidRPr="00773CF9">
        <w:rPr>
          <w:rStyle w:val="SCCCounselSeparatorChar"/>
          <w:sz w:val="20"/>
          <w:lang w:val="en-CA"/>
        </w:rPr>
        <w:t xml:space="preserve">, </w:t>
      </w:r>
      <w:r w:rsidRPr="00852A77">
        <w:rPr>
          <w:rStyle w:val="SCCCounselPartyRoleChar"/>
          <w:sz w:val="20"/>
        </w:rPr>
        <w:t>for the appellant.</w:t>
      </w:r>
    </w:p>
    <w:p w:rsidR="00773CF9" w:rsidRDefault="00773CF9" w:rsidP="00773CF9">
      <w:pPr>
        <w:pStyle w:val="SCCNormalDoubleSpacing"/>
        <w:spacing w:line="240" w:lineRule="auto"/>
        <w:rPr>
          <w:rStyle w:val="SCCCounselNameChar"/>
          <w:sz w:val="20"/>
        </w:rPr>
      </w:pPr>
    </w:p>
    <w:p w:rsidR="00773CF9" w:rsidRPr="00852A77" w:rsidRDefault="00773CF9" w:rsidP="00773CF9">
      <w:pPr>
        <w:pStyle w:val="SCCNormalDoubleSpacing"/>
        <w:spacing w:line="240" w:lineRule="auto"/>
        <w:rPr>
          <w:sz w:val="20"/>
        </w:rPr>
      </w:pPr>
      <w:r w:rsidRPr="00852A77">
        <w:rPr>
          <w:rStyle w:val="SCCCounselNameChar"/>
          <w:sz w:val="20"/>
        </w:rPr>
        <w:tab/>
        <w:t>Jennifer Duncan</w:t>
      </w:r>
      <w:r w:rsidRPr="00773CF9">
        <w:rPr>
          <w:rStyle w:val="SCCCounselSeparatorChar"/>
          <w:sz w:val="20"/>
          <w:lang w:val="en-CA"/>
        </w:rPr>
        <w:t xml:space="preserve"> and </w:t>
      </w:r>
      <w:r w:rsidRPr="00852A77">
        <w:rPr>
          <w:rStyle w:val="SCCCounselNameChar"/>
          <w:sz w:val="20"/>
        </w:rPr>
        <w:t>Kathleen Murphy</w:t>
      </w:r>
      <w:r w:rsidRPr="00852A77">
        <w:rPr>
          <w:rStyle w:val="SCCCounselPartyRoleChar"/>
          <w:sz w:val="20"/>
        </w:rPr>
        <w:t>, for the respondent.</w:t>
      </w:r>
    </w:p>
    <w:p w:rsidR="00773CF9" w:rsidRDefault="00773CF9" w:rsidP="00773CF9">
      <w:pPr>
        <w:pStyle w:val="SCCLawFirm"/>
        <w:spacing w:line="240" w:lineRule="auto"/>
        <w:rPr>
          <w:sz w:val="20"/>
        </w:rPr>
      </w:pPr>
    </w:p>
    <w:p w:rsidR="00773CF9" w:rsidRPr="00852A77" w:rsidRDefault="00773CF9" w:rsidP="00773CF9">
      <w:pPr>
        <w:pStyle w:val="SCCLawFirm"/>
        <w:spacing w:line="240" w:lineRule="auto"/>
        <w:rPr>
          <w:sz w:val="20"/>
        </w:rPr>
      </w:pPr>
      <w:r w:rsidRPr="00852A77">
        <w:rPr>
          <w:sz w:val="20"/>
        </w:rPr>
        <w:tab/>
        <w:t>Solicitors for the appellant:  Howard Rubin, Q.C., North Vancouver; Chandra L. Corriveau, Burnaby.</w:t>
      </w:r>
    </w:p>
    <w:p w:rsidR="00773CF9" w:rsidRDefault="00773CF9" w:rsidP="00773CF9">
      <w:pPr>
        <w:pStyle w:val="SCCLawFirm"/>
        <w:spacing w:line="240" w:lineRule="auto"/>
        <w:rPr>
          <w:sz w:val="20"/>
        </w:rPr>
      </w:pPr>
    </w:p>
    <w:p w:rsidR="00773CF9" w:rsidRDefault="00773CF9" w:rsidP="00773CF9">
      <w:pPr>
        <w:pStyle w:val="SCCLawFirm"/>
        <w:spacing w:line="240" w:lineRule="auto"/>
        <w:rPr>
          <w:sz w:val="20"/>
        </w:rPr>
      </w:pPr>
      <w:r w:rsidRPr="00852A77">
        <w:rPr>
          <w:sz w:val="20"/>
        </w:rPr>
        <w:tab/>
        <w:t>Solicitor for the respondent:  Attorney General of British Columbia, Vancouver.</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773CF9" w:rsidRPr="00773CF9" w:rsidRDefault="00773CF9" w:rsidP="00773CF9">
      <w:pPr>
        <w:jc w:val="both"/>
        <w:rPr>
          <w:sz w:val="20"/>
          <w:szCs w:val="20"/>
          <w:lang w:val="fr-CA"/>
        </w:rPr>
      </w:pPr>
      <w:r w:rsidRPr="00773CF9">
        <w:rPr>
          <w:sz w:val="20"/>
          <w:szCs w:val="20"/>
          <w:lang w:val="fr-CA"/>
        </w:rPr>
        <w:t>Présents : La juge en chef McLachlin et les juges LeBel, Deschamps, Fish, Rothstein, Cromwell et Moldaver.</w:t>
      </w:r>
    </w:p>
    <w:p w:rsidR="00773CF9" w:rsidRPr="00773CF9" w:rsidRDefault="00773CF9" w:rsidP="00773CF9">
      <w:pPr>
        <w:pStyle w:val="SCCLowerCourtNameLowercase"/>
        <w:spacing w:line="240" w:lineRule="auto"/>
        <w:rPr>
          <w:sz w:val="20"/>
          <w:lang w:val="fr-CA"/>
        </w:rPr>
      </w:pPr>
    </w:p>
    <w:p w:rsidR="00773CF9" w:rsidRPr="00773CF9" w:rsidRDefault="00773CF9" w:rsidP="00773CF9">
      <w:pPr>
        <w:pStyle w:val="SCCNormalDoubleSpacing"/>
        <w:spacing w:line="240" w:lineRule="auto"/>
        <w:rPr>
          <w:sz w:val="20"/>
          <w:lang w:val="fr-CA"/>
        </w:rPr>
      </w:pPr>
      <w:r w:rsidRPr="00773CF9">
        <w:rPr>
          <w:sz w:val="20"/>
          <w:lang w:val="fr-CA"/>
        </w:rPr>
        <w:tab/>
      </w:r>
      <w:r w:rsidRPr="00773CF9">
        <w:rPr>
          <w:i/>
          <w:sz w:val="20"/>
          <w:lang w:val="fr-CA"/>
        </w:rPr>
        <w:t>Droit criminel — Infractions — Enlèvement — L’infraction d’enlèvement est</w:t>
      </w:r>
      <w:r w:rsidRPr="00773CF9">
        <w:rPr>
          <w:i/>
          <w:sz w:val="20"/>
          <w:lang w:val="fr-CA"/>
        </w:rPr>
        <w:noBreakHyphen/>
        <w:t>elle une infraction continue qui englobe la séquestration subséquente de la victime? — Les personnes qui choisissent volontairement et sciemment de prendre part à la séquestration subséquente participent</w:t>
      </w:r>
      <w:r w:rsidRPr="00773CF9">
        <w:rPr>
          <w:i/>
          <w:sz w:val="20"/>
          <w:lang w:val="fr-CA"/>
        </w:rPr>
        <w:noBreakHyphen/>
        <w:t>elles à l’infraction d’enlèvement? — Code criminel, L.R.C. 1985, ch. C</w:t>
      </w:r>
      <w:r w:rsidRPr="00773CF9">
        <w:rPr>
          <w:i/>
          <w:sz w:val="20"/>
          <w:lang w:val="fr-CA"/>
        </w:rPr>
        <w:noBreakHyphen/>
        <w:t>46, art. 21(1), 279(1).</w:t>
      </w:r>
    </w:p>
    <w:p w:rsidR="00773CF9" w:rsidRPr="00773CF9" w:rsidRDefault="00773CF9" w:rsidP="00773CF9">
      <w:pPr>
        <w:pStyle w:val="SCCNormalDoubleSpacing"/>
        <w:spacing w:line="240" w:lineRule="auto"/>
        <w:rPr>
          <w:sz w:val="20"/>
          <w:lang w:val="fr-CA"/>
        </w:rPr>
      </w:pPr>
    </w:p>
    <w:p w:rsidR="00773CF9" w:rsidRPr="009853E1" w:rsidRDefault="00773CF9" w:rsidP="00773CF9">
      <w:pPr>
        <w:pStyle w:val="SCCNormalDoubleSpacing"/>
        <w:spacing w:line="240" w:lineRule="auto"/>
        <w:rPr>
          <w:sz w:val="20"/>
          <w:lang w:val="fr-FR"/>
        </w:rPr>
      </w:pPr>
      <w:r w:rsidRPr="00773CF9">
        <w:rPr>
          <w:sz w:val="20"/>
          <w:lang w:val="fr-CA"/>
        </w:rPr>
        <w:tab/>
      </w:r>
      <w:r w:rsidRPr="009853E1">
        <w:rPr>
          <w:sz w:val="20"/>
          <w:lang w:val="fr-FR"/>
        </w:rPr>
        <w:t xml:space="preserve">M a été enlevé puis séquestré durant huit jours dans trois différentes maisons.  Des éléments de preuve circonstancielle reliaient l’appelant V aux trois maisons où M a été séquestré.  Cependant, compte tenu des conclusions du juge du procès, tous conviennent que V n’a ni participé au rapt initial ni été au courant du fait qu’il se déroulait au moment où il est survenu.  Au procès, l’appelant a été déclaré coupable de séquestration et acquitté d’enlèvement.  La Cour d’appel a conclu que l’appelant a été coupable d’enlèvement à titre de partie en application du par. 21(1) du </w:t>
      </w:r>
      <w:r w:rsidRPr="009853E1">
        <w:rPr>
          <w:i/>
          <w:sz w:val="20"/>
          <w:lang w:val="fr-FR"/>
        </w:rPr>
        <w:t>Code criminel</w:t>
      </w:r>
      <w:r w:rsidRPr="009853E1">
        <w:rPr>
          <w:sz w:val="20"/>
          <w:lang w:val="fr-FR"/>
        </w:rPr>
        <w:t xml:space="preserve"> et a substitué une déclaration de culpabilité à l’acquittement pour ce crime.  </w:t>
      </w:r>
    </w:p>
    <w:p w:rsidR="00773CF9" w:rsidRDefault="00773CF9" w:rsidP="00773CF9">
      <w:pPr>
        <w:pStyle w:val="SCCNormalDoubleSpacing"/>
        <w:spacing w:line="240" w:lineRule="auto"/>
        <w:rPr>
          <w:sz w:val="20"/>
          <w:lang w:val="fr-FR"/>
        </w:rPr>
      </w:pPr>
    </w:p>
    <w:p w:rsidR="00773CF9" w:rsidRPr="009853E1" w:rsidRDefault="00773CF9" w:rsidP="00773CF9">
      <w:pPr>
        <w:pStyle w:val="SCCNormalDoubleSpacing"/>
        <w:spacing w:line="240" w:lineRule="auto"/>
        <w:rPr>
          <w:sz w:val="20"/>
          <w:lang w:val="fr-FR"/>
        </w:rPr>
      </w:pPr>
      <w:r w:rsidRPr="009853E1">
        <w:rPr>
          <w:sz w:val="20"/>
          <w:lang w:val="fr-FR"/>
        </w:rPr>
        <w:tab/>
      </w:r>
      <w:r w:rsidRPr="009853E1">
        <w:rPr>
          <w:rStyle w:val="QuoteChar"/>
          <w:sz w:val="20"/>
          <w:lang w:val="fr-FR"/>
        </w:rPr>
        <w:t>Arrêt :</w:t>
      </w:r>
      <w:r w:rsidRPr="009853E1">
        <w:rPr>
          <w:sz w:val="20"/>
          <w:lang w:val="fr-FR"/>
        </w:rPr>
        <w:t xml:space="preserve"> Le pourvoi est rejeté.</w:t>
      </w:r>
    </w:p>
    <w:p w:rsidR="00773CF9" w:rsidRDefault="00773CF9" w:rsidP="00773CF9">
      <w:pPr>
        <w:pStyle w:val="SCCNormalDoubleSpacing"/>
        <w:spacing w:line="240" w:lineRule="auto"/>
        <w:rPr>
          <w:sz w:val="20"/>
          <w:lang w:val="fr-FR"/>
        </w:rPr>
      </w:pPr>
    </w:p>
    <w:p w:rsidR="00773CF9" w:rsidRPr="009853E1" w:rsidRDefault="00773CF9" w:rsidP="00773CF9">
      <w:pPr>
        <w:pStyle w:val="SCCNormalDoubleSpacing"/>
        <w:spacing w:line="240" w:lineRule="auto"/>
        <w:rPr>
          <w:sz w:val="20"/>
          <w:lang w:val="fr-FR"/>
        </w:rPr>
      </w:pPr>
      <w:r w:rsidRPr="009853E1">
        <w:rPr>
          <w:sz w:val="20"/>
          <w:lang w:val="fr-FR"/>
        </w:rPr>
        <w:tab/>
        <w:t xml:space="preserve">L’enlèvement est une infraction continue qui englobe la séquestration subséquente de la victime.  </w:t>
      </w:r>
      <w:r w:rsidRPr="00773CF9">
        <w:rPr>
          <w:sz w:val="20"/>
          <w:lang w:val="fr-CA"/>
        </w:rPr>
        <w:t>Tant que la victime est séquestrée, le crime d’enlèvement se poursuit</w:t>
      </w:r>
      <w:r w:rsidRPr="009853E1">
        <w:rPr>
          <w:sz w:val="20"/>
          <w:lang w:val="fr-FR"/>
        </w:rPr>
        <w:t>.  En l’espèce, l</w:t>
      </w:r>
      <w:r w:rsidRPr="00773CF9">
        <w:rPr>
          <w:sz w:val="20"/>
          <w:lang w:val="fr-CA"/>
        </w:rPr>
        <w:t xml:space="preserve">a séquestration de M, après le rapt initial, s’est poursuivie pendant les huit jours suivants.  L’enlèvement a pris fin uniquement lorsque la police l’a libéré.  </w:t>
      </w:r>
      <w:r w:rsidRPr="009853E1">
        <w:rPr>
          <w:sz w:val="20"/>
          <w:lang w:val="fr-FR"/>
        </w:rPr>
        <w:t xml:space="preserve">Le législateur n’a jamais défini le terme « enlèvement » dans le </w:t>
      </w:r>
      <w:r w:rsidRPr="009853E1">
        <w:rPr>
          <w:i/>
          <w:sz w:val="20"/>
          <w:lang w:val="fr-FR"/>
        </w:rPr>
        <w:t>Code criminel</w:t>
      </w:r>
      <w:r w:rsidRPr="009853E1">
        <w:rPr>
          <w:sz w:val="20"/>
          <w:lang w:val="fr-FR"/>
        </w:rPr>
        <w:t>.  L</w:t>
      </w:r>
      <w:r w:rsidRPr="00773CF9">
        <w:rPr>
          <w:sz w:val="20"/>
          <w:lang w:val="fr-CA"/>
        </w:rPr>
        <w:t xml:space="preserve">’historique législatif ne renferme rien qui permette de penser que le législateur a voulu abandonner la définition d’enlèvement — établie par la common law — qui est restée une forme aggravée d’emprisonnement illégal.  L’aggravation découle de l’élément de déplacement qui s’y ajoute et qui fait croître le risque de préjudice pour la victime en l’isolant de tout lieu où elle aurait plus de chances d’être secourue.  C’est l’élément de déplacement qui différencie l’enlèvement de l’infraction moindre et incluse d’emprisonnement illégal et qui en fait une forme aggravée de cette dernière infraction.  Cette interprétation est conforme à l’intention du législateur telle qu’elle s’exprime dans le </w:t>
      </w:r>
      <w:r w:rsidRPr="00773CF9">
        <w:rPr>
          <w:i/>
          <w:iCs/>
          <w:sz w:val="20"/>
          <w:lang w:val="fr-CA"/>
        </w:rPr>
        <w:t>C.cr.</w:t>
      </w:r>
      <w:r w:rsidRPr="00773CF9">
        <w:rPr>
          <w:sz w:val="20"/>
          <w:lang w:val="fr-CA"/>
        </w:rPr>
        <w:t xml:space="preserve">, à l’origine de ce crime dans la common law, à l’historique législatif, à la jurisprudence moderne des juridictions d’appel et au bon sens.  </w:t>
      </w:r>
      <w:r w:rsidRPr="009853E1">
        <w:rPr>
          <w:sz w:val="20"/>
          <w:lang w:val="fr-FR"/>
        </w:rPr>
        <w:t xml:space="preserve">Le législateur ne voulait pas limiter l’infraction d’enlèvement à la capture initiale et au déplacement de la victime, tout en faisant en sorte que la captivité subséquente de la victime devienne l’objet du crime relativement moins grave qu’est la séquestration.  Le législateur voulait inclure l’infraction de séquestration dans celle d’enlèvement de sorte que le crime d’enlèvement comprend la captivité subséquente de la victime.  Le régime de peines </w:t>
      </w:r>
      <w:r w:rsidRPr="00773CF9">
        <w:rPr>
          <w:sz w:val="20"/>
          <w:lang w:val="fr-CA"/>
        </w:rPr>
        <w:t>indique que, pour le législateur, l’enlèvement est une infraction beaucoup plus grave que la séquestration.</w:t>
      </w:r>
    </w:p>
    <w:p w:rsidR="00773CF9" w:rsidRDefault="00773CF9" w:rsidP="00773CF9">
      <w:pPr>
        <w:pStyle w:val="SCCNormalDoubleSpacing"/>
        <w:spacing w:line="240" w:lineRule="auto"/>
        <w:rPr>
          <w:sz w:val="20"/>
          <w:lang w:val="fr-FR"/>
        </w:rPr>
      </w:pPr>
    </w:p>
    <w:p w:rsidR="00773CF9" w:rsidRPr="00773CF9" w:rsidRDefault="00773CF9" w:rsidP="00773CF9">
      <w:pPr>
        <w:pStyle w:val="SCCNormalDoubleSpacing"/>
        <w:spacing w:line="240" w:lineRule="auto"/>
        <w:rPr>
          <w:sz w:val="20"/>
          <w:lang w:val="fr-CA"/>
        </w:rPr>
      </w:pPr>
      <w:r w:rsidRPr="009853E1">
        <w:rPr>
          <w:sz w:val="20"/>
          <w:lang w:val="fr-FR"/>
        </w:rPr>
        <w:tab/>
        <w:t>L</w:t>
      </w:r>
      <w:r w:rsidRPr="00773CF9">
        <w:rPr>
          <w:sz w:val="20"/>
          <w:lang w:val="fr-CA"/>
        </w:rPr>
        <w:t>a responsabilité en tant que participant est établie lorsqu’un accusé, connaissant l’intention de l’auteur principal de mener une infraction continue à son terme, accomplit quelque chose (ou omet de l’accomplir), en vue d’aider ou d’encourager la perpétration de l’infraction continue en question.</w:t>
      </w:r>
      <w:r w:rsidRPr="009853E1">
        <w:rPr>
          <w:sz w:val="20"/>
          <w:lang w:val="fr-FR"/>
        </w:rPr>
        <w:tab/>
        <w:t xml:space="preserve">  Les</w:t>
      </w:r>
      <w:r w:rsidRPr="00773CF9">
        <w:rPr>
          <w:sz w:val="20"/>
          <w:lang w:val="fr-CA"/>
        </w:rPr>
        <w:t xml:space="preserve"> principes bien établis de la responsabilité criminelle à titre de partie au sens du par. 21(1) du </w:t>
      </w:r>
      <w:r w:rsidRPr="00773CF9">
        <w:rPr>
          <w:i/>
          <w:sz w:val="20"/>
          <w:lang w:val="fr-CA"/>
        </w:rPr>
        <w:t>Code criminel</w:t>
      </w:r>
      <w:r w:rsidRPr="00773CF9">
        <w:rPr>
          <w:sz w:val="20"/>
          <w:lang w:val="fr-CA"/>
        </w:rPr>
        <w:t xml:space="preserve"> s’appliquent avec la même force aux infractions continues qui sont complètes en droit, mais non en fait.  Étant entendu que le crime d’enlèvement se poursuit tant que la victime n’est pas libérée, la personne qui décide de participer à la séquestration de la victime, après avoir appris que celle</w:t>
      </w:r>
      <w:r w:rsidRPr="00773CF9">
        <w:rPr>
          <w:sz w:val="20"/>
          <w:lang w:val="fr-CA"/>
        </w:rPr>
        <w:noBreakHyphen/>
        <w:t xml:space="preserve">ci a été enlevée, peut être tenue responsable de l’infraction d’enlèvement en application du par. 21(1) du </w:t>
      </w:r>
      <w:r w:rsidRPr="00773CF9">
        <w:rPr>
          <w:i/>
          <w:sz w:val="20"/>
          <w:lang w:val="fr-CA"/>
        </w:rPr>
        <w:t>Code</w:t>
      </w:r>
      <w:r w:rsidRPr="00773CF9">
        <w:rPr>
          <w:sz w:val="20"/>
          <w:lang w:val="fr-CA"/>
        </w:rPr>
        <w:t xml:space="preserve">.  En l’espèce, V a participé, au sens du par. 21(1) du </w:t>
      </w:r>
      <w:r w:rsidRPr="00773CF9">
        <w:rPr>
          <w:i/>
          <w:sz w:val="20"/>
          <w:lang w:val="fr-CA"/>
        </w:rPr>
        <w:t>Code</w:t>
      </w:r>
      <w:r w:rsidRPr="00773CF9">
        <w:rPr>
          <w:sz w:val="20"/>
          <w:lang w:val="fr-CA"/>
        </w:rPr>
        <w:t xml:space="preserve">, à l’infraction d’enlèvement.  V a aussi participé à la séquestration de M.  En supposant que V n’ait pris aucune part au rapt et au déplacement initiaux de M et qu’il en ait été ignorant, il en a appris l’existence lorsque M est demeuré séquestré contre son gré.  Il a néanmoins </w:t>
      </w:r>
      <w:r w:rsidRPr="00773CF9">
        <w:rPr>
          <w:sz w:val="20"/>
          <w:lang w:val="fr-CA"/>
        </w:rPr>
        <w:lastRenderedPageBreak/>
        <w:t xml:space="preserve">décidé de participer à l’entreprise d’enlèvement dans l’intention d’aider les ravisseurs, en sachant que M avait été enlevé ou, à tout le moins, en s’aveuglant volontairement à cet égard.  De son propre gré, V a posé des gestes pour aider les </w:t>
      </w:r>
      <w:r w:rsidRPr="009853E1">
        <w:rPr>
          <w:sz w:val="20"/>
          <w:lang w:val="fr-FR"/>
        </w:rPr>
        <w:t>ravisseurs</w:t>
      </w:r>
      <w:r w:rsidRPr="00773CF9">
        <w:rPr>
          <w:sz w:val="20"/>
          <w:lang w:val="fr-CA"/>
        </w:rPr>
        <w:t xml:space="preserve"> et favoriser l’atteinte de leurs objectifs.  </w:t>
      </w:r>
    </w:p>
    <w:p w:rsidR="00773CF9" w:rsidRPr="00773CF9" w:rsidRDefault="00773CF9" w:rsidP="00773CF9">
      <w:pPr>
        <w:pStyle w:val="SCCNormalDoubleSpacing"/>
        <w:spacing w:line="240" w:lineRule="auto"/>
        <w:rPr>
          <w:sz w:val="20"/>
          <w:lang w:val="fr-CA"/>
        </w:rPr>
      </w:pPr>
    </w:p>
    <w:p w:rsidR="00773CF9" w:rsidRPr="00773CF9" w:rsidRDefault="00773CF9" w:rsidP="00773CF9">
      <w:pPr>
        <w:pStyle w:val="SCCNormalDoubleSpacing"/>
        <w:spacing w:line="240" w:lineRule="auto"/>
        <w:rPr>
          <w:sz w:val="20"/>
          <w:lang w:val="fr-CA"/>
        </w:rPr>
      </w:pPr>
      <w:r w:rsidRPr="00773CF9">
        <w:rPr>
          <w:sz w:val="20"/>
          <w:lang w:val="fr-CA"/>
        </w:rPr>
        <w:tab/>
        <w:t>POURVOI contre un arrêt de la Cour d’appel de la Colombie</w:t>
      </w:r>
      <w:r w:rsidRPr="00773CF9">
        <w:rPr>
          <w:sz w:val="20"/>
          <w:lang w:val="fr-CA"/>
        </w:rPr>
        <w:noBreakHyphen/>
        <w:t>Britannique (le juge en chef Finch et les juges Prowse et Saunders), 2011 BCCA 112, 302 B.C.A.C. 187 (</w:t>
      </w:r>
      <w:r w:rsidRPr="00773CF9">
        <w:rPr>
          <w:i/>
          <w:sz w:val="20"/>
          <w:lang w:val="fr-CA"/>
        </w:rPr>
        <w:t>sub nom.</w:t>
      </w:r>
      <w:r w:rsidRPr="00773CF9">
        <w:rPr>
          <w:sz w:val="20"/>
          <w:lang w:val="fr-CA"/>
        </w:rPr>
        <w:t xml:space="preserve"> </w:t>
      </w:r>
      <w:r w:rsidRPr="00773CF9">
        <w:rPr>
          <w:i/>
          <w:sz w:val="20"/>
          <w:lang w:val="fr-CA"/>
        </w:rPr>
        <w:t>R. c. Hernandez</w:t>
      </w:r>
      <w:r w:rsidRPr="00773CF9">
        <w:rPr>
          <w:sz w:val="20"/>
          <w:lang w:val="fr-CA"/>
        </w:rPr>
        <w:t>), 270 C.C.C. (3d) 546, 83 C.R. (6th) 162, 511 W.A.C. 187, [2011] B.C.J. No. 399 (QL), 2011 CarswellBC 541, qui a infirmé l’acquittement prononcé par le juge Silverman, 2008 BCSC 1376 (CanLII), [2008] B.C.J. No. 1953 (QL), 2008 CarswellBC 2200, et consigné une déclaration de culpabilité.  Pourvoi rejeté.</w:t>
      </w:r>
    </w:p>
    <w:p w:rsidR="00773CF9" w:rsidRPr="00773CF9" w:rsidRDefault="00773CF9" w:rsidP="00773CF9">
      <w:pPr>
        <w:pStyle w:val="SCCNormalDoubleSpacing"/>
        <w:spacing w:line="240" w:lineRule="auto"/>
        <w:rPr>
          <w:rStyle w:val="SCCCounselNameChar"/>
          <w:sz w:val="20"/>
          <w:lang w:val="fr-CA"/>
        </w:rPr>
      </w:pPr>
    </w:p>
    <w:p w:rsidR="00773CF9" w:rsidRPr="00773CF9" w:rsidRDefault="00773CF9" w:rsidP="00773CF9">
      <w:pPr>
        <w:pStyle w:val="SCCNormalDoubleSpacing"/>
        <w:spacing w:line="240" w:lineRule="auto"/>
        <w:rPr>
          <w:sz w:val="20"/>
          <w:lang w:val="fr-CA"/>
        </w:rPr>
      </w:pPr>
      <w:r w:rsidRPr="00773CF9">
        <w:rPr>
          <w:rStyle w:val="SCCCounselNameChar"/>
          <w:sz w:val="20"/>
          <w:lang w:val="fr-CA"/>
        </w:rPr>
        <w:tab/>
        <w:t>Howard Rubin, c.r.</w:t>
      </w:r>
      <w:r w:rsidRPr="00773CF9">
        <w:rPr>
          <w:rStyle w:val="SCCCounselPartyRoleChar"/>
          <w:sz w:val="20"/>
          <w:lang w:val="fr-CA"/>
        </w:rPr>
        <w:t xml:space="preserve">, </w:t>
      </w:r>
      <w:r w:rsidRPr="009853E1">
        <w:rPr>
          <w:rStyle w:val="SCCCounselSeparatorChar"/>
          <w:sz w:val="20"/>
        </w:rPr>
        <w:t xml:space="preserve">et </w:t>
      </w:r>
      <w:r w:rsidRPr="00773CF9">
        <w:rPr>
          <w:rStyle w:val="SCCCounselNameChar"/>
          <w:sz w:val="20"/>
          <w:lang w:val="fr-CA"/>
        </w:rPr>
        <w:t>Chandra L. Corriveau</w:t>
      </w:r>
      <w:r w:rsidRPr="009853E1">
        <w:rPr>
          <w:rStyle w:val="SCCCounselSeparatorChar"/>
          <w:sz w:val="20"/>
        </w:rPr>
        <w:t xml:space="preserve">, </w:t>
      </w:r>
      <w:r w:rsidRPr="00773CF9">
        <w:rPr>
          <w:rStyle w:val="SCCCounselPartyRoleChar"/>
          <w:sz w:val="20"/>
          <w:lang w:val="fr-CA"/>
        </w:rPr>
        <w:t>pour l’appelant.</w:t>
      </w:r>
    </w:p>
    <w:p w:rsidR="00773CF9" w:rsidRPr="00773CF9" w:rsidRDefault="00773CF9" w:rsidP="00773CF9">
      <w:pPr>
        <w:pStyle w:val="SCCNormalDoubleSpacing"/>
        <w:spacing w:line="240" w:lineRule="auto"/>
        <w:rPr>
          <w:rStyle w:val="SCCCounselNameChar"/>
          <w:sz w:val="20"/>
          <w:lang w:val="fr-CA"/>
        </w:rPr>
      </w:pPr>
    </w:p>
    <w:p w:rsidR="00773CF9" w:rsidRPr="00773CF9" w:rsidRDefault="00773CF9" w:rsidP="00773CF9">
      <w:pPr>
        <w:pStyle w:val="SCCNormalDoubleSpacing"/>
        <w:spacing w:line="240" w:lineRule="auto"/>
        <w:rPr>
          <w:sz w:val="20"/>
          <w:lang w:val="fr-CA"/>
        </w:rPr>
      </w:pPr>
      <w:r w:rsidRPr="00773CF9">
        <w:rPr>
          <w:rStyle w:val="SCCCounselNameChar"/>
          <w:sz w:val="20"/>
          <w:lang w:val="fr-CA"/>
        </w:rPr>
        <w:tab/>
        <w:t>Jennifer Duncan</w:t>
      </w:r>
      <w:r w:rsidRPr="009853E1">
        <w:rPr>
          <w:rStyle w:val="SCCCounselSeparatorChar"/>
          <w:sz w:val="20"/>
        </w:rPr>
        <w:t xml:space="preserve"> et </w:t>
      </w:r>
      <w:r w:rsidRPr="00773CF9">
        <w:rPr>
          <w:rStyle w:val="SCCCounselNameChar"/>
          <w:sz w:val="20"/>
          <w:lang w:val="fr-CA"/>
        </w:rPr>
        <w:t>Kathleen Murphy</w:t>
      </w:r>
      <w:r w:rsidRPr="00773CF9">
        <w:rPr>
          <w:rStyle w:val="SCCCounselPartyRoleChar"/>
          <w:sz w:val="20"/>
          <w:lang w:val="fr-CA"/>
        </w:rPr>
        <w:t>, pour l’intimée.</w:t>
      </w:r>
    </w:p>
    <w:p w:rsidR="00773CF9" w:rsidRPr="00773CF9" w:rsidRDefault="00773CF9" w:rsidP="00773CF9">
      <w:pPr>
        <w:pStyle w:val="SCCLawFirm"/>
        <w:spacing w:line="240" w:lineRule="auto"/>
        <w:rPr>
          <w:sz w:val="20"/>
          <w:lang w:val="fr-CA"/>
        </w:rPr>
      </w:pPr>
    </w:p>
    <w:p w:rsidR="00773CF9" w:rsidRPr="00773CF9" w:rsidRDefault="00773CF9" w:rsidP="00773CF9">
      <w:pPr>
        <w:pStyle w:val="SCCLawFirm"/>
        <w:spacing w:line="240" w:lineRule="auto"/>
        <w:rPr>
          <w:sz w:val="20"/>
          <w:lang w:val="fr-CA"/>
        </w:rPr>
      </w:pPr>
      <w:r w:rsidRPr="00773CF9">
        <w:rPr>
          <w:sz w:val="20"/>
          <w:lang w:val="fr-CA"/>
        </w:rPr>
        <w:tab/>
        <w:t>Procureurs de l’appelant : Howard Rubin, c.r., North Vancouver; Chandra L. Corriveau, Burnaby.</w:t>
      </w:r>
    </w:p>
    <w:p w:rsidR="00773CF9" w:rsidRPr="00773CF9" w:rsidRDefault="00773CF9" w:rsidP="00773CF9">
      <w:pPr>
        <w:pStyle w:val="SCCLawFirm"/>
        <w:spacing w:line="240" w:lineRule="auto"/>
        <w:rPr>
          <w:sz w:val="20"/>
          <w:lang w:val="fr-CA"/>
        </w:rPr>
      </w:pPr>
    </w:p>
    <w:p w:rsidR="00773CF9" w:rsidRPr="006D432F" w:rsidRDefault="00773CF9" w:rsidP="00773CF9">
      <w:pPr>
        <w:jc w:val="both"/>
        <w:rPr>
          <w:rFonts w:cs="Times New Roman"/>
          <w:i/>
          <w:sz w:val="20"/>
          <w:szCs w:val="20"/>
          <w:lang w:val="fr-CA"/>
        </w:rPr>
      </w:pPr>
      <w:r w:rsidRPr="00773CF9">
        <w:rPr>
          <w:sz w:val="20"/>
          <w:szCs w:val="20"/>
          <w:lang w:val="fr-CA"/>
        </w:rPr>
        <w:tab/>
      </w:r>
      <w:r w:rsidRPr="006D432F">
        <w:rPr>
          <w:i/>
          <w:sz w:val="20"/>
          <w:szCs w:val="20"/>
          <w:lang w:val="fr-CA"/>
        </w:rPr>
        <w:t>Procureur de l’intimée : Procureur général de la Colombie</w:t>
      </w:r>
      <w:r w:rsidRPr="006D432F">
        <w:rPr>
          <w:i/>
          <w:sz w:val="20"/>
          <w:szCs w:val="20"/>
          <w:lang w:val="fr-CA"/>
        </w:rPr>
        <w:noBreakHyphen/>
        <w:t>Britannique, Vancouver.</w:t>
      </w:r>
    </w:p>
    <w:p w:rsidR="00773CF9" w:rsidRDefault="00773CF9" w:rsidP="005C6840">
      <w:pPr>
        <w:jc w:val="both"/>
        <w:rPr>
          <w:rFonts w:cs="Times New Roman"/>
          <w:sz w:val="20"/>
          <w:szCs w:val="20"/>
          <w:lang w:val="fr-CA"/>
        </w:rPr>
      </w:pPr>
    </w:p>
    <w:p w:rsidR="003B3977" w:rsidRDefault="00B62B14" w:rsidP="00C210F8">
      <w:pPr>
        <w:rPr>
          <w:sz w:val="20"/>
          <w:szCs w:val="20"/>
        </w:rPr>
      </w:pPr>
      <w:r w:rsidRPr="00B62B14">
        <w:rPr>
          <w:rFonts w:cs="Times New Roman"/>
          <w:sz w:val="20"/>
          <w:szCs w:val="20"/>
          <w:lang w:val="fr-CA"/>
        </w:rPr>
        <w:pict>
          <v:rect id="_x0000_i1060" style="width:144.3pt;height:1pt" o:hrpct="300" o:hralign="center" o:hrstd="t" o:hrnoshade="t" o:hr="t" fillcolor="black [3213]" stroked="f"/>
        </w:pict>
      </w:r>
    </w:p>
    <w:p w:rsidR="003B3977" w:rsidRDefault="003B3977" w:rsidP="003B3977">
      <w:pPr>
        <w:rPr>
          <w:sz w:val="20"/>
          <w:szCs w:val="20"/>
        </w:rPr>
      </w:pPr>
    </w:p>
    <w:p w:rsidR="00773CF9" w:rsidRDefault="00773CF9">
      <w:pPr>
        <w:rPr>
          <w:sz w:val="20"/>
          <w:szCs w:val="20"/>
        </w:rPr>
      </w:pPr>
      <w:r>
        <w:rPr>
          <w:sz w:val="20"/>
          <w:szCs w:val="20"/>
        </w:rPr>
        <w:br w:type="page"/>
      </w:r>
    </w:p>
    <w:p w:rsidR="00FC17A0" w:rsidRPr="003B32F7" w:rsidRDefault="00FC17A0" w:rsidP="00FC17A0">
      <w:pPr>
        <w:jc w:val="both"/>
        <w:rPr>
          <w:sz w:val="20"/>
        </w:rPr>
      </w:pPr>
      <w:r w:rsidRPr="003B32F7">
        <w:rPr>
          <w:i/>
          <w:sz w:val="20"/>
        </w:rPr>
        <w:lastRenderedPageBreak/>
        <w:t>Adrian John</w:t>
      </w:r>
      <w:r w:rsidRPr="003B32F7">
        <w:rPr>
          <w:sz w:val="20"/>
        </w:rPr>
        <w:t xml:space="preserve"> </w:t>
      </w:r>
      <w:r w:rsidRPr="003B32F7">
        <w:rPr>
          <w:i/>
          <w:sz w:val="20"/>
        </w:rPr>
        <w:t>Walle v. Her Majesty the Queen</w:t>
      </w:r>
      <w:r w:rsidRPr="003B32F7">
        <w:rPr>
          <w:sz w:val="20"/>
        </w:rPr>
        <w:t xml:space="preserve"> (Alta.) (34080)</w:t>
      </w:r>
    </w:p>
    <w:p w:rsidR="00733447" w:rsidRPr="00173C71" w:rsidRDefault="00733447" w:rsidP="00733447">
      <w:pPr>
        <w:jc w:val="both"/>
        <w:rPr>
          <w:b/>
          <w:sz w:val="20"/>
          <w:szCs w:val="20"/>
        </w:rPr>
      </w:pPr>
      <w:r w:rsidRPr="00173C71">
        <w:rPr>
          <w:b/>
          <w:sz w:val="20"/>
          <w:szCs w:val="20"/>
        </w:rPr>
        <w:t xml:space="preserve">Indexed as:  R. </w:t>
      </w:r>
      <w:r w:rsidRPr="00173C71">
        <w:rPr>
          <w:b/>
          <w:i/>
          <w:sz w:val="20"/>
          <w:szCs w:val="20"/>
        </w:rPr>
        <w:t>v.</w:t>
      </w:r>
      <w:r w:rsidRPr="00173C71">
        <w:rPr>
          <w:b/>
          <w:sz w:val="20"/>
          <w:szCs w:val="20"/>
        </w:rPr>
        <w:t xml:space="preserve"> Walle</w:t>
      </w:r>
      <w:r>
        <w:rPr>
          <w:b/>
          <w:sz w:val="20"/>
          <w:szCs w:val="20"/>
        </w:rPr>
        <w:t xml:space="preserve"> / </w:t>
      </w:r>
      <w:r w:rsidRPr="00CA08C9">
        <w:rPr>
          <w:b/>
          <w:sz w:val="20"/>
          <w:szCs w:val="20"/>
        </w:rPr>
        <w:t xml:space="preserve">Répertorié : R. </w:t>
      </w:r>
      <w:r w:rsidRPr="00CA08C9">
        <w:rPr>
          <w:b/>
          <w:i/>
          <w:sz w:val="20"/>
          <w:szCs w:val="20"/>
        </w:rPr>
        <w:t>c.</w:t>
      </w:r>
      <w:r w:rsidRPr="00CA08C9">
        <w:rPr>
          <w:b/>
          <w:sz w:val="20"/>
          <w:szCs w:val="20"/>
        </w:rPr>
        <w:t xml:space="preserve"> Walle</w:t>
      </w:r>
    </w:p>
    <w:p w:rsidR="00AD6E77" w:rsidRPr="00FC17A0" w:rsidRDefault="00AD6E77" w:rsidP="00AD6E77">
      <w:pPr>
        <w:pStyle w:val="SCCSystemYear"/>
        <w:jc w:val="both"/>
        <w:rPr>
          <w:sz w:val="20"/>
          <w:lang w:val="en-CA"/>
        </w:rPr>
      </w:pPr>
      <w:r w:rsidRPr="00FC17A0">
        <w:rPr>
          <w:sz w:val="20"/>
          <w:lang w:val="en-CA"/>
        </w:rPr>
        <w:t>Neutral citation:  2012 SCC 41 / Référence neutre : 2012 CSC 41</w:t>
      </w:r>
    </w:p>
    <w:p w:rsidR="00AD6E77" w:rsidRPr="00FC17A0" w:rsidRDefault="00AD6E77" w:rsidP="00AD6E77">
      <w:pPr>
        <w:rPr>
          <w:rFonts w:cs="Times New Roman"/>
          <w:sz w:val="20"/>
          <w:szCs w:val="20"/>
        </w:rPr>
      </w:pPr>
      <w:r w:rsidRPr="00FC17A0">
        <w:rPr>
          <w:rFonts w:cs="Times New Roman"/>
          <w:sz w:val="20"/>
          <w:szCs w:val="20"/>
        </w:rPr>
        <w:t xml:space="preserve">Hearing:  </w:t>
      </w:r>
      <w:r w:rsidR="00FC17A0" w:rsidRPr="00FC17A0">
        <w:rPr>
          <w:rFonts w:cs="Times New Roman"/>
          <w:sz w:val="20"/>
          <w:szCs w:val="20"/>
        </w:rPr>
        <w:t>April</w:t>
      </w:r>
      <w:r w:rsidRPr="00FC17A0">
        <w:rPr>
          <w:rFonts w:cs="Times New Roman"/>
          <w:sz w:val="20"/>
          <w:szCs w:val="20"/>
        </w:rPr>
        <w:t xml:space="preserve"> </w:t>
      </w:r>
      <w:r w:rsidR="00FC17A0" w:rsidRPr="00FC17A0">
        <w:rPr>
          <w:rFonts w:cs="Times New Roman"/>
          <w:sz w:val="20"/>
          <w:szCs w:val="20"/>
        </w:rPr>
        <w:t>13</w:t>
      </w:r>
      <w:r w:rsidRPr="00FC17A0">
        <w:rPr>
          <w:rFonts w:cs="Times New Roman"/>
          <w:sz w:val="20"/>
          <w:szCs w:val="20"/>
        </w:rPr>
        <w:t>, 201</w:t>
      </w:r>
      <w:r w:rsidR="00FC17A0" w:rsidRPr="00FC17A0">
        <w:rPr>
          <w:rFonts w:cs="Times New Roman"/>
          <w:sz w:val="20"/>
          <w:szCs w:val="20"/>
        </w:rPr>
        <w:t>2</w:t>
      </w:r>
      <w:r w:rsidRPr="00FC17A0">
        <w:rPr>
          <w:rFonts w:cs="Times New Roman"/>
          <w:sz w:val="20"/>
          <w:szCs w:val="20"/>
        </w:rPr>
        <w:t xml:space="preserve"> / Judgment:  July 27, 2012</w:t>
      </w:r>
    </w:p>
    <w:p w:rsidR="00AD6E77" w:rsidRPr="003B3977" w:rsidRDefault="00AD6E77" w:rsidP="00AD6E77">
      <w:pPr>
        <w:rPr>
          <w:rFonts w:cs="Times New Roman"/>
          <w:sz w:val="20"/>
          <w:szCs w:val="20"/>
          <w:lang w:val="fr-CA"/>
        </w:rPr>
      </w:pPr>
      <w:r w:rsidRPr="003B3977">
        <w:rPr>
          <w:rFonts w:cs="Times New Roman"/>
          <w:sz w:val="20"/>
          <w:szCs w:val="20"/>
          <w:lang w:val="fr-CA"/>
        </w:rPr>
        <w:t xml:space="preserve">Audition : Le </w:t>
      </w:r>
      <w:r w:rsidR="00FC17A0">
        <w:rPr>
          <w:rFonts w:cs="Times New Roman"/>
          <w:sz w:val="20"/>
          <w:szCs w:val="20"/>
          <w:lang w:val="fr-CA"/>
        </w:rPr>
        <w:t xml:space="preserve">13 avril </w:t>
      </w:r>
      <w:r w:rsidRPr="003B3977">
        <w:rPr>
          <w:rFonts w:cs="Times New Roman"/>
          <w:sz w:val="20"/>
          <w:szCs w:val="20"/>
          <w:lang w:val="fr-CA"/>
        </w:rPr>
        <w:t>201</w:t>
      </w:r>
      <w:r w:rsidR="00FC17A0">
        <w:rPr>
          <w:rFonts w:cs="Times New Roman"/>
          <w:sz w:val="20"/>
          <w:szCs w:val="20"/>
          <w:lang w:val="fr-CA"/>
        </w:rPr>
        <w:t>2</w:t>
      </w:r>
      <w:r w:rsidRPr="003B3977">
        <w:rPr>
          <w:rFonts w:cs="Times New Roman"/>
          <w:sz w:val="20"/>
          <w:szCs w:val="20"/>
          <w:lang w:val="fr-CA"/>
        </w:rPr>
        <w:t xml:space="preserve"> / Jugement : Le 2</w:t>
      </w:r>
      <w:r>
        <w:rPr>
          <w:rFonts w:cs="Times New Roman"/>
          <w:sz w:val="20"/>
          <w:szCs w:val="20"/>
          <w:lang w:val="fr-CA"/>
        </w:rPr>
        <w:t>7 juillet</w:t>
      </w:r>
      <w:r w:rsidRPr="003B3977">
        <w:rPr>
          <w:rFonts w:cs="Times New Roman"/>
          <w:sz w:val="20"/>
          <w:szCs w:val="20"/>
          <w:lang w:val="fr-CA"/>
        </w:rPr>
        <w:t xml:space="preserve"> 201</w:t>
      </w:r>
      <w:r>
        <w:rPr>
          <w:rFonts w:cs="Times New Roman"/>
          <w:sz w:val="20"/>
          <w:szCs w:val="20"/>
          <w:lang w:val="fr-CA"/>
        </w:rPr>
        <w:t>2</w:t>
      </w:r>
    </w:p>
    <w:p w:rsidR="00AD6E77" w:rsidRPr="003B3977" w:rsidRDefault="00B62B14" w:rsidP="00AD6E77">
      <w:pPr>
        <w:rPr>
          <w:rFonts w:cs="Times New Roman"/>
          <w:sz w:val="20"/>
          <w:szCs w:val="20"/>
          <w:lang w:val="fr-CA"/>
        </w:rPr>
      </w:pPr>
      <w:r w:rsidRPr="00B62B14">
        <w:rPr>
          <w:rFonts w:cs="Times New Roman"/>
          <w:i/>
          <w:sz w:val="20"/>
          <w:szCs w:val="20"/>
        </w:rPr>
        <w:pict>
          <v:rect id="_x0000_i1061" style="width:480.95pt;height:1pt" o:hralign="center" o:hrstd="t" o:hrnoshade="t" o:hr="t" fillcolor="black [3213]" stroked="f"/>
        </w:pict>
      </w:r>
    </w:p>
    <w:p w:rsidR="00AD6E77" w:rsidRPr="003B3977" w:rsidRDefault="00AD6E77" w:rsidP="00AD6E77">
      <w:pPr>
        <w:rPr>
          <w:rFonts w:cs="Times New Roman"/>
          <w:sz w:val="20"/>
          <w:szCs w:val="20"/>
          <w:lang w:val="fr-CA"/>
        </w:rPr>
      </w:pPr>
    </w:p>
    <w:p w:rsidR="007054F8" w:rsidRPr="00173C71" w:rsidRDefault="007054F8" w:rsidP="007054F8">
      <w:pPr>
        <w:jc w:val="both"/>
        <w:rPr>
          <w:sz w:val="20"/>
          <w:szCs w:val="20"/>
        </w:rPr>
      </w:pPr>
      <w:r w:rsidRPr="00173C71">
        <w:rPr>
          <w:sz w:val="20"/>
          <w:szCs w:val="20"/>
        </w:rPr>
        <w:t>Present:  McLachlin C.J. and Deschamps, Fish, Rothstein, Cromwell, Moldaver and Karakatsanis JJ.</w:t>
      </w:r>
    </w:p>
    <w:p w:rsidR="007054F8" w:rsidRDefault="007054F8" w:rsidP="007054F8">
      <w:pPr>
        <w:pStyle w:val="SCCLowerCourtNameLowercase"/>
        <w:spacing w:line="240" w:lineRule="auto"/>
        <w:rPr>
          <w:sz w:val="20"/>
        </w:rPr>
      </w:pPr>
    </w:p>
    <w:p w:rsidR="007054F8" w:rsidRPr="00173C71" w:rsidRDefault="007054F8" w:rsidP="007054F8">
      <w:pPr>
        <w:pStyle w:val="SCCNormalDoubleSpacing"/>
        <w:spacing w:line="240" w:lineRule="auto"/>
        <w:rPr>
          <w:i/>
          <w:sz w:val="20"/>
        </w:rPr>
      </w:pPr>
      <w:r w:rsidRPr="00173C71">
        <w:rPr>
          <w:i/>
          <w:sz w:val="20"/>
        </w:rPr>
        <w:tab/>
        <w:t>Criminal law — Murder — Elements of offence — Mens rea — Accused convicted of second degree murder after shooting victime in chest at close range —Whether trial judge erred in resorting to common sense inference that person usually knows predictable consequences of actions and means to bring them about without first considering whole of evidence bearing on accused’s mental state at time of shooting.</w:t>
      </w:r>
    </w:p>
    <w:p w:rsidR="007054F8" w:rsidRDefault="007054F8" w:rsidP="007054F8">
      <w:pPr>
        <w:pStyle w:val="SCCNormalDoubleSpacing"/>
        <w:spacing w:line="240" w:lineRule="auto"/>
        <w:rPr>
          <w:i/>
          <w:sz w:val="20"/>
        </w:rPr>
      </w:pPr>
    </w:p>
    <w:p w:rsidR="007054F8" w:rsidRPr="00173C71" w:rsidRDefault="007054F8" w:rsidP="007054F8">
      <w:pPr>
        <w:pStyle w:val="SCCNormalDoubleSpacing"/>
        <w:spacing w:line="240" w:lineRule="auto"/>
        <w:rPr>
          <w:i/>
          <w:sz w:val="20"/>
        </w:rPr>
      </w:pPr>
      <w:r w:rsidRPr="00173C71">
        <w:rPr>
          <w:i/>
          <w:sz w:val="20"/>
        </w:rPr>
        <w:tab/>
        <w:t>Criminal law — Evidence — Admissibility — New evidence — Accused seeking to admit psychiatric evidence on appeal — Whether evidence could have been adduced at trial with due diligence — Whether evidence could reasonably be expected to have affected result at trial.</w:t>
      </w:r>
    </w:p>
    <w:p w:rsidR="007054F8" w:rsidRDefault="007054F8" w:rsidP="007054F8">
      <w:pPr>
        <w:pStyle w:val="SCCNormalDoubleSpacing"/>
        <w:spacing w:line="240" w:lineRule="auto"/>
        <w:rPr>
          <w:sz w:val="20"/>
        </w:rPr>
      </w:pPr>
    </w:p>
    <w:p w:rsidR="007054F8" w:rsidRPr="00173C71" w:rsidRDefault="007054F8" w:rsidP="007054F8">
      <w:pPr>
        <w:pStyle w:val="SCCNormalDoubleSpacing"/>
        <w:spacing w:line="240" w:lineRule="auto"/>
        <w:rPr>
          <w:sz w:val="20"/>
        </w:rPr>
      </w:pPr>
      <w:r w:rsidRPr="00173C71">
        <w:rPr>
          <w:sz w:val="20"/>
        </w:rPr>
        <w:tab/>
        <w:t>W shot S in the chest at close range with a .22</w:t>
      </w:r>
      <w:r w:rsidRPr="00173C71">
        <w:rPr>
          <w:sz w:val="20"/>
        </w:rPr>
        <w:noBreakHyphen/>
        <w:t xml:space="preserve">calibre rifle and killed him.  He was charged with and convicted of second degree murder.  The outcome of the trial turned on W’s intent at the time of the shooting.  The trial judge, sitting alone, rejected as not credible W’s theory that his act of pulling the trigger was involuntary and that the discharge of the gun had therefore been unintentional.  He considered the salient features of the evidence that could have impacted W’s awareness of the consequences of his actions, but was left in no doubt that W was fully aware of the fatal consequences that were likely to follow when he pulled the trigger.  He then reverted to the “common sense inference” that a sane and sober person intends the reasonable and probable consequences of his acts, and found that W had the requisite intent for second degree murder. </w:t>
      </w:r>
    </w:p>
    <w:p w:rsidR="007054F8" w:rsidRDefault="007054F8" w:rsidP="007054F8">
      <w:pPr>
        <w:pStyle w:val="SCCNormalDoubleSpacing"/>
        <w:spacing w:line="240" w:lineRule="auto"/>
        <w:rPr>
          <w:sz w:val="20"/>
        </w:rPr>
      </w:pPr>
    </w:p>
    <w:p w:rsidR="007054F8" w:rsidRPr="00173C71" w:rsidRDefault="007054F8" w:rsidP="007054F8">
      <w:pPr>
        <w:pStyle w:val="SCCNormalDoubleSpacing"/>
        <w:spacing w:line="240" w:lineRule="auto"/>
        <w:rPr>
          <w:sz w:val="20"/>
        </w:rPr>
      </w:pPr>
      <w:r w:rsidRPr="00173C71">
        <w:rPr>
          <w:sz w:val="20"/>
        </w:rPr>
        <w:tab/>
        <w:t>On appeal, W claimed that in assessing whether he was aware of the consequences of shooting S — and thus possessed one or the other of the specific intents for murder —, the trial judge failed to consider evidence bearing on W’s mental state on the night of the shooting, such as his developmental delays and alcohol consumption.  The Court of Appeal dismissed the appeal.  It found that no evidence had been led at trial as to W’s mental state that could call into question whether he was able to or did in fact foresee the consequences of his actions when he pulled the trigger.</w:t>
      </w:r>
    </w:p>
    <w:p w:rsidR="007054F8" w:rsidRDefault="007054F8" w:rsidP="007054F8">
      <w:pPr>
        <w:pStyle w:val="SCCNormalDoubleSpacing"/>
        <w:spacing w:line="240" w:lineRule="auto"/>
        <w:rPr>
          <w:sz w:val="20"/>
        </w:rPr>
      </w:pPr>
    </w:p>
    <w:p w:rsidR="007054F8" w:rsidRPr="00173C71" w:rsidRDefault="007054F8" w:rsidP="007054F8">
      <w:pPr>
        <w:pStyle w:val="SCCNormalDoubleSpacing"/>
        <w:spacing w:line="240" w:lineRule="auto"/>
        <w:rPr>
          <w:sz w:val="20"/>
        </w:rPr>
      </w:pPr>
      <w:r w:rsidRPr="00173C71">
        <w:rPr>
          <w:sz w:val="20"/>
        </w:rPr>
        <w:tab/>
      </w:r>
      <w:r w:rsidRPr="00173C71">
        <w:rPr>
          <w:i/>
          <w:sz w:val="20"/>
        </w:rPr>
        <w:t>Held</w:t>
      </w:r>
      <w:r w:rsidRPr="00173C71">
        <w:rPr>
          <w:sz w:val="20"/>
        </w:rPr>
        <w:t>:  The appeal and the motion to adduce fresh evidence should be dismissed.</w:t>
      </w:r>
    </w:p>
    <w:p w:rsidR="007054F8" w:rsidRDefault="007054F8" w:rsidP="007054F8">
      <w:pPr>
        <w:pStyle w:val="SCCNormalDoubleSpacing"/>
        <w:spacing w:line="240" w:lineRule="auto"/>
        <w:rPr>
          <w:sz w:val="20"/>
        </w:rPr>
      </w:pPr>
    </w:p>
    <w:p w:rsidR="007054F8" w:rsidRPr="00173C71" w:rsidRDefault="007054F8" w:rsidP="007054F8">
      <w:pPr>
        <w:pStyle w:val="SCCNormalDoubleSpacing"/>
        <w:spacing w:line="240" w:lineRule="auto"/>
        <w:rPr>
          <w:sz w:val="20"/>
        </w:rPr>
      </w:pPr>
      <w:r w:rsidRPr="00173C71">
        <w:rPr>
          <w:sz w:val="20"/>
        </w:rPr>
        <w:tab/>
        <w:t xml:space="preserve">A failure of a judge to consider all the evidence relating to an ultimate issue of guilt or innocence constitutes an error of law.  However, there is no obligation in law on a trial judge to record all or any specific part of the process of deliberation on the facts.  Unless the reasons demonstrate that a consideration of all the evidence in relation to the ultimate issue was not done, the failure to record the fact of it having been done is not a proper basis for concluding that there was an error of law in this respect. </w:t>
      </w:r>
    </w:p>
    <w:p w:rsidR="007054F8" w:rsidRDefault="007054F8" w:rsidP="007054F8">
      <w:pPr>
        <w:pStyle w:val="SCCNormalDoubleSpacing"/>
        <w:spacing w:line="240" w:lineRule="auto"/>
        <w:rPr>
          <w:sz w:val="20"/>
        </w:rPr>
      </w:pPr>
    </w:p>
    <w:p w:rsidR="007054F8" w:rsidRPr="00173C71" w:rsidRDefault="007054F8" w:rsidP="007054F8">
      <w:pPr>
        <w:pStyle w:val="SCCNormalDoubleSpacing"/>
        <w:spacing w:line="240" w:lineRule="auto"/>
        <w:rPr>
          <w:sz w:val="20"/>
        </w:rPr>
      </w:pPr>
      <w:r w:rsidRPr="00173C71">
        <w:rPr>
          <w:sz w:val="20"/>
        </w:rPr>
        <w:tab/>
        <w:t xml:space="preserve">Here, the trial judge did not fail to consider all the relevant evidence.  To determine whether the Crown had met its onus of proving that W possessed one or the other requisite intents for murder, the trial judge considered that the rifle was working normally; it had a safety mechanism; it required over six pounds of pressure to fire; W was familiar with the rifle and had previously used it; he knew the gun would fire when he pulled the trigger; he knew the safety was off; he was pointing the gun at S’s chest; he fired from a distance of only five feet; he knew the gun was loaded; he had been drinking but it was clear from the evidence as a whole that he was not impaired.  The judge then applied the “common sense inference” and was satisfied beyond a reasonable doubt that when W deliberately pulled the trigger, in the circumstances, he knew that the reasonable and probable consequence was that he would kill S or would cause him grievous bodily harm which he knew would likely cause his death, and was reckless as to whether or not death ensued.  At trial, there was no evidence, forensic or otherwise, that could realistically have impacted on the issue of W’s mental state at the time of the shooting.  In particular, no evidence was directed at whether in shooting the deceased in the chest at close range, W was aware of — and thus can be said to have intended — the consequences that were likely to follow from his action.  Furthermore, W did not suggest that his mental state prevented him from knowing the likely consequences of his acts — nor could he, realistically.  The evidence pointed overwhelmingly in the opposite direction.  </w:t>
      </w:r>
      <w:r w:rsidRPr="00173C71">
        <w:rPr>
          <w:sz w:val="20"/>
        </w:rPr>
        <w:lastRenderedPageBreak/>
        <w:t>Moments before the shooting, W made it clear to his pursuers that he was aware that the weapon he was holding was lethal.  Shortly after, he talked about killing himself with that very weapon.  None of the evidence W points to on appeal — his developmental delays, his hospitalization under a mental health warrant, his “blank” affect prior to the shooting, his hand gestures and demeanour while testifying, and the fact that he was waving the rifle around before it was discharged — could have assisted him at trial.  While it might have been preferable had the trial judge referred specifically to those items of evidence, he was not obliged to do so.  He made no error.</w:t>
      </w:r>
    </w:p>
    <w:p w:rsidR="007054F8" w:rsidRDefault="007054F8" w:rsidP="007054F8">
      <w:pPr>
        <w:pStyle w:val="SCCNormalDoubleSpacing"/>
        <w:spacing w:line="240" w:lineRule="auto"/>
        <w:rPr>
          <w:sz w:val="20"/>
        </w:rPr>
      </w:pPr>
    </w:p>
    <w:p w:rsidR="007054F8" w:rsidRPr="00173C71" w:rsidRDefault="007054F8" w:rsidP="007054F8">
      <w:pPr>
        <w:pStyle w:val="SCCNormalDoubleSpacing"/>
        <w:spacing w:line="240" w:lineRule="auto"/>
        <w:rPr>
          <w:sz w:val="20"/>
        </w:rPr>
      </w:pPr>
      <w:r w:rsidRPr="00173C71">
        <w:rPr>
          <w:sz w:val="20"/>
        </w:rPr>
        <w:tab/>
        <w:t xml:space="preserve">The fresh evidence consisting of a report prepared by a forensic psychiatrist for the sentencing hearing and subsequent testimony, which states that W suffers from Asperger’s disorder, paranoid personality disorder, intermittent explosive disorder, adult antisocial disorder and alcohol abuse disorder, does not meet the test for admission set out in </w:t>
      </w:r>
      <w:r w:rsidRPr="00173C71">
        <w:rPr>
          <w:i/>
          <w:sz w:val="20"/>
        </w:rPr>
        <w:t>Palmer v. The Queen</w:t>
      </w:r>
      <w:r w:rsidRPr="00173C71">
        <w:rPr>
          <w:sz w:val="20"/>
        </w:rPr>
        <w:t>, [1980] 1 S.C.R. 759.  Apart from the diagnosis of Asperger’s disorder, there is little evidence in the report that could not have been adduced at the trial.  W had long been suspected of suffering from Asperger’s disorder, and medical professionals had noted his social difficulties, aggressiveness, fascination with guns and problems with alcohol for a very long time.  A comprehensive report that mirrors the evidence W now seeks to tender had been prepared for sentencing purposes on W’s first trial, yet W made no effort to introduce it at the trial proper.  In any event, the evidence, taken together with the other evidence adduced at trial, could not reasonably be expected to have affected the result.  It does not suggest that W, by virtue of his diagnosed disorders, may not have been aware of the consequences that were likely to follow upon shooting someone in the chest at close range.  Nor does it provide additional information that may have shed light on the unintentional discharge theory advanced at trial. </w:t>
      </w:r>
    </w:p>
    <w:p w:rsidR="007054F8" w:rsidRDefault="007054F8" w:rsidP="007054F8">
      <w:pPr>
        <w:pStyle w:val="SCCNormalDoubleSpacing"/>
        <w:spacing w:line="240" w:lineRule="auto"/>
        <w:rPr>
          <w:sz w:val="20"/>
        </w:rPr>
      </w:pPr>
    </w:p>
    <w:p w:rsidR="007054F8" w:rsidRDefault="007054F8" w:rsidP="007054F8">
      <w:pPr>
        <w:pStyle w:val="SCCNormalDoubleSpacing"/>
        <w:spacing w:line="240" w:lineRule="auto"/>
        <w:rPr>
          <w:sz w:val="20"/>
        </w:rPr>
      </w:pPr>
      <w:r w:rsidRPr="00173C71">
        <w:rPr>
          <w:sz w:val="20"/>
        </w:rPr>
        <w:tab/>
        <w:t>In jury trials where impairment by intoxication or otherwise might have contributed to the accused’s actions, the common sense inference instruction need not be tied to a rigid formula.  While trial judges may choose to refer to the “sane and sober” person, a simple instruction along the lines that a person usually knows what the predictable consequences of his or her actions are, and means to bring them about, would suffice.  What is critical is that the jury be made to understand, in clear terms, that in assessing the specific intent required for murder, it should consider the whole of the evidence that could realistically bear on the accused’s mental state at the time of the alleged offence.</w:t>
      </w:r>
    </w:p>
    <w:p w:rsidR="007054F8" w:rsidRDefault="007054F8" w:rsidP="007054F8">
      <w:pPr>
        <w:pStyle w:val="SCCNormalDoubleSpacing"/>
        <w:spacing w:line="240" w:lineRule="auto"/>
        <w:rPr>
          <w:sz w:val="20"/>
        </w:rPr>
      </w:pPr>
    </w:p>
    <w:p w:rsidR="007054F8" w:rsidRDefault="007054F8" w:rsidP="007054F8">
      <w:pPr>
        <w:pStyle w:val="SCCNormalDoubleSpacing"/>
        <w:spacing w:line="240" w:lineRule="auto"/>
        <w:rPr>
          <w:sz w:val="20"/>
        </w:rPr>
      </w:pPr>
      <w:r w:rsidRPr="00173C71">
        <w:rPr>
          <w:sz w:val="20"/>
        </w:rPr>
        <w:tab/>
        <w:t xml:space="preserve">APPEAL from a judgment of the Alberta Court of Appeal (O’Brien, Bielby and Sulatycky JJ.A.), </w:t>
      </w:r>
      <w:r w:rsidR="00B62B14" w:rsidRPr="00173C71">
        <w:rPr>
          <w:sz w:val="20"/>
        </w:rPr>
        <w:fldChar w:fldCharType="begin"/>
      </w:r>
      <w:r w:rsidRPr="00173C71">
        <w:rPr>
          <w:sz w:val="20"/>
        </w:rPr>
        <w:instrText xml:space="preserve"> SEQ CHAPTER \h \r 1</w:instrText>
      </w:r>
      <w:r w:rsidR="00B62B14" w:rsidRPr="00173C71">
        <w:rPr>
          <w:sz w:val="20"/>
        </w:rPr>
        <w:fldChar w:fldCharType="end"/>
      </w:r>
      <w:r w:rsidRPr="00173C71">
        <w:rPr>
          <w:sz w:val="20"/>
        </w:rPr>
        <w:t xml:space="preserve">2010 ABCA 384, 493 A.R. 306, 502 W.A.C. 306, 265 C.C.C. (3d) 27, [2010] A.J. No. 1427 (QL), 2010 CarswellAlta 2408, affirming the conviction for second degree murder entered by Hart J., </w:t>
      </w:r>
      <w:r w:rsidR="00B62B14" w:rsidRPr="00173C71">
        <w:rPr>
          <w:sz w:val="20"/>
        </w:rPr>
        <w:fldChar w:fldCharType="begin"/>
      </w:r>
      <w:r w:rsidRPr="00173C71">
        <w:rPr>
          <w:sz w:val="20"/>
        </w:rPr>
        <w:instrText xml:space="preserve"> SEQ CHAPTER \h \r 1</w:instrText>
      </w:r>
      <w:r w:rsidR="00B62B14" w:rsidRPr="00173C71">
        <w:rPr>
          <w:sz w:val="20"/>
        </w:rPr>
        <w:fldChar w:fldCharType="end"/>
      </w:r>
      <w:r w:rsidRPr="00173C71">
        <w:rPr>
          <w:sz w:val="20"/>
        </w:rPr>
        <w:t>2008 CarswellAlta 2333.  Appeal dismissed.</w:t>
      </w:r>
    </w:p>
    <w:p w:rsidR="007054F8" w:rsidRPr="00173C71" w:rsidRDefault="007054F8" w:rsidP="007054F8">
      <w:pPr>
        <w:pStyle w:val="SCCNormalDoubleSpacing"/>
        <w:spacing w:line="240" w:lineRule="auto"/>
        <w:rPr>
          <w:sz w:val="20"/>
        </w:rPr>
      </w:pPr>
    </w:p>
    <w:p w:rsidR="007054F8" w:rsidRDefault="007054F8" w:rsidP="007054F8">
      <w:pPr>
        <w:pStyle w:val="SCCNormalDoubleSpacing"/>
        <w:spacing w:line="240" w:lineRule="auto"/>
        <w:rPr>
          <w:sz w:val="20"/>
        </w:rPr>
      </w:pPr>
      <w:r w:rsidRPr="00173C71">
        <w:rPr>
          <w:i/>
          <w:sz w:val="20"/>
        </w:rPr>
        <w:tab/>
        <w:t>Karen B. Molle</w:t>
      </w:r>
      <w:r w:rsidRPr="00173C71">
        <w:rPr>
          <w:sz w:val="20"/>
        </w:rPr>
        <w:t xml:space="preserve"> and </w:t>
      </w:r>
      <w:r w:rsidRPr="00173C71">
        <w:rPr>
          <w:i/>
          <w:sz w:val="20"/>
        </w:rPr>
        <w:t>Jennifer Ruttan</w:t>
      </w:r>
      <w:r w:rsidRPr="00173C71">
        <w:rPr>
          <w:sz w:val="20"/>
        </w:rPr>
        <w:t>, for the appellant.</w:t>
      </w:r>
    </w:p>
    <w:p w:rsidR="007054F8" w:rsidRPr="00173C71" w:rsidRDefault="007054F8" w:rsidP="007054F8">
      <w:pPr>
        <w:pStyle w:val="SCCNormalDoubleSpacing"/>
        <w:spacing w:line="240" w:lineRule="auto"/>
        <w:rPr>
          <w:sz w:val="20"/>
        </w:rPr>
      </w:pPr>
    </w:p>
    <w:p w:rsidR="007054F8" w:rsidRPr="00173C71" w:rsidRDefault="007054F8" w:rsidP="007054F8">
      <w:pPr>
        <w:pStyle w:val="SCCNormalDoubleSpacing"/>
        <w:spacing w:line="240" w:lineRule="auto"/>
        <w:rPr>
          <w:sz w:val="20"/>
        </w:rPr>
      </w:pPr>
      <w:r w:rsidRPr="00173C71">
        <w:rPr>
          <w:i/>
          <w:sz w:val="20"/>
        </w:rPr>
        <w:tab/>
        <w:t>Jolaine Antonio</w:t>
      </w:r>
      <w:r w:rsidRPr="00173C71">
        <w:rPr>
          <w:sz w:val="20"/>
        </w:rPr>
        <w:t xml:space="preserve"> and </w:t>
      </w:r>
      <w:r w:rsidRPr="00173C71">
        <w:rPr>
          <w:i/>
          <w:sz w:val="20"/>
        </w:rPr>
        <w:t>Kyra M. Kondro</w:t>
      </w:r>
      <w:r w:rsidRPr="00173C71">
        <w:rPr>
          <w:sz w:val="20"/>
        </w:rPr>
        <w:t>, for the respondent.</w:t>
      </w:r>
    </w:p>
    <w:p w:rsidR="007054F8" w:rsidRDefault="007054F8" w:rsidP="007054F8">
      <w:pPr>
        <w:pStyle w:val="SCCNormalDoubleSpacing"/>
        <w:spacing w:line="240" w:lineRule="auto"/>
        <w:rPr>
          <w:i/>
          <w:sz w:val="20"/>
        </w:rPr>
      </w:pPr>
    </w:p>
    <w:p w:rsidR="007054F8" w:rsidRPr="00173C71" w:rsidRDefault="007054F8" w:rsidP="007054F8">
      <w:pPr>
        <w:pStyle w:val="SCCNormalDoubleSpacing"/>
        <w:spacing w:line="240" w:lineRule="auto"/>
        <w:rPr>
          <w:sz w:val="20"/>
        </w:rPr>
      </w:pPr>
      <w:r w:rsidRPr="00173C71">
        <w:rPr>
          <w:i/>
          <w:sz w:val="20"/>
        </w:rPr>
        <w:tab/>
        <w:t>Michael W. Lacy</w:t>
      </w:r>
      <w:r w:rsidRPr="00173C71">
        <w:rPr>
          <w:sz w:val="20"/>
        </w:rPr>
        <w:t xml:space="preserve"> and </w:t>
      </w:r>
      <w:r w:rsidRPr="00173C71">
        <w:rPr>
          <w:i/>
          <w:sz w:val="20"/>
        </w:rPr>
        <w:t>Bradley Greenshields</w:t>
      </w:r>
      <w:r w:rsidRPr="00173C71">
        <w:rPr>
          <w:sz w:val="20"/>
        </w:rPr>
        <w:t>, for the intervener.</w:t>
      </w:r>
    </w:p>
    <w:p w:rsidR="007054F8" w:rsidRDefault="007054F8" w:rsidP="007054F8">
      <w:pPr>
        <w:pStyle w:val="SCCLawFirm"/>
        <w:spacing w:line="240" w:lineRule="auto"/>
        <w:rPr>
          <w:sz w:val="20"/>
        </w:rPr>
      </w:pPr>
    </w:p>
    <w:p w:rsidR="007054F8" w:rsidRPr="00173C71" w:rsidRDefault="007054F8" w:rsidP="007054F8">
      <w:pPr>
        <w:pStyle w:val="SCCLawFirm"/>
        <w:spacing w:line="240" w:lineRule="auto"/>
        <w:rPr>
          <w:sz w:val="20"/>
        </w:rPr>
      </w:pPr>
      <w:r w:rsidRPr="00173C71">
        <w:rPr>
          <w:sz w:val="20"/>
        </w:rPr>
        <w:tab/>
        <w:t>Solicitor for the appellant:  Karen B. Molle, Calgary.</w:t>
      </w:r>
    </w:p>
    <w:p w:rsidR="007054F8" w:rsidRDefault="007054F8" w:rsidP="007054F8">
      <w:pPr>
        <w:pStyle w:val="SCCLawFirm"/>
        <w:spacing w:line="240" w:lineRule="auto"/>
        <w:rPr>
          <w:sz w:val="20"/>
        </w:rPr>
      </w:pPr>
    </w:p>
    <w:p w:rsidR="007054F8" w:rsidRPr="00173C71" w:rsidRDefault="007054F8" w:rsidP="007054F8">
      <w:pPr>
        <w:pStyle w:val="SCCLawFirm"/>
        <w:spacing w:line="240" w:lineRule="auto"/>
        <w:rPr>
          <w:sz w:val="20"/>
        </w:rPr>
      </w:pPr>
      <w:r w:rsidRPr="00173C71">
        <w:rPr>
          <w:sz w:val="20"/>
        </w:rPr>
        <w:tab/>
        <w:t>Solicitor for the respondent:  Attorney General of Alberta, Calgary.</w:t>
      </w:r>
    </w:p>
    <w:p w:rsidR="007054F8" w:rsidRDefault="007054F8" w:rsidP="007054F8">
      <w:pPr>
        <w:pStyle w:val="SCCLawFirm"/>
        <w:spacing w:line="240" w:lineRule="auto"/>
        <w:rPr>
          <w:sz w:val="20"/>
        </w:rPr>
      </w:pPr>
    </w:p>
    <w:p w:rsidR="007054F8" w:rsidRDefault="007054F8" w:rsidP="007054F8">
      <w:pPr>
        <w:pStyle w:val="SCCLawFirm"/>
        <w:spacing w:line="240" w:lineRule="auto"/>
        <w:rPr>
          <w:sz w:val="20"/>
        </w:rPr>
      </w:pPr>
      <w:r w:rsidRPr="00173C71">
        <w:rPr>
          <w:sz w:val="20"/>
        </w:rPr>
        <w:tab/>
        <w:t>Solicitors for the intervener:  Lacy Wilkinson, Toronto.</w:t>
      </w:r>
    </w:p>
    <w:p w:rsidR="00AD6E77" w:rsidRPr="003B3977" w:rsidRDefault="00AD6E77" w:rsidP="00AD6E77">
      <w:pPr>
        <w:rPr>
          <w:rFonts w:cs="Times New Roman"/>
          <w:sz w:val="20"/>
          <w:szCs w:val="20"/>
          <w:lang w:val="fr-CA"/>
        </w:rPr>
      </w:pPr>
      <w:r w:rsidRPr="003B3977">
        <w:rPr>
          <w:rFonts w:cs="Times New Roman"/>
          <w:sz w:val="20"/>
          <w:szCs w:val="20"/>
          <w:lang w:val="fr-CA"/>
        </w:rPr>
        <w:t>________________________</w:t>
      </w:r>
    </w:p>
    <w:p w:rsidR="00AD6E77" w:rsidRPr="003B3977" w:rsidRDefault="00AD6E77" w:rsidP="00AD6E77">
      <w:pPr>
        <w:rPr>
          <w:rFonts w:cs="Times New Roman"/>
          <w:sz w:val="20"/>
          <w:szCs w:val="20"/>
          <w:lang w:val="fr-CA"/>
        </w:rPr>
      </w:pPr>
    </w:p>
    <w:p w:rsidR="007054F8" w:rsidRPr="007054F8" w:rsidRDefault="007054F8" w:rsidP="007054F8">
      <w:pPr>
        <w:jc w:val="both"/>
        <w:rPr>
          <w:sz w:val="20"/>
          <w:szCs w:val="20"/>
          <w:lang w:val="fr-CA"/>
        </w:rPr>
      </w:pPr>
      <w:r w:rsidRPr="007054F8">
        <w:rPr>
          <w:sz w:val="20"/>
          <w:szCs w:val="20"/>
          <w:lang w:val="fr-CA"/>
        </w:rPr>
        <w:t>Présents : La juge en chef McLachlin et les juges Deschamps, Fish, Rothstein, Cromwell, Moldaver et Karakatsanis.</w:t>
      </w:r>
    </w:p>
    <w:p w:rsidR="007054F8" w:rsidRPr="007054F8" w:rsidRDefault="007054F8" w:rsidP="007054F8">
      <w:pPr>
        <w:pStyle w:val="SCCLowerCourtNameLowercase"/>
        <w:spacing w:line="240" w:lineRule="auto"/>
        <w:rPr>
          <w:sz w:val="20"/>
          <w:lang w:val="fr-CA"/>
        </w:rPr>
      </w:pPr>
    </w:p>
    <w:p w:rsidR="007054F8" w:rsidRPr="007054F8" w:rsidRDefault="007054F8" w:rsidP="007054F8">
      <w:pPr>
        <w:pStyle w:val="SCCNormalDoubleSpacing"/>
        <w:spacing w:line="240" w:lineRule="auto"/>
        <w:rPr>
          <w:i/>
          <w:sz w:val="20"/>
          <w:lang w:val="fr-CA"/>
        </w:rPr>
      </w:pPr>
      <w:r w:rsidRPr="007054F8">
        <w:rPr>
          <w:sz w:val="20"/>
          <w:lang w:val="fr-CA"/>
        </w:rPr>
        <w:tab/>
      </w:r>
      <w:r w:rsidRPr="007054F8">
        <w:rPr>
          <w:i/>
          <w:sz w:val="20"/>
          <w:lang w:val="fr-CA"/>
        </w:rPr>
        <w:t>Droit criminel — Meurtre — Éléments de l’infraction — Mens rea — Accusé reconnu coupable de meurtre au deuxième degré après avoir tué la victime d’un coup de feu tiré à courte distance dans la poitrine — Le juge du procès a</w:t>
      </w:r>
      <w:r w:rsidRPr="007054F8">
        <w:rPr>
          <w:i/>
          <w:sz w:val="20"/>
          <w:lang w:val="fr-CA"/>
        </w:rPr>
        <w:noBreakHyphen/>
        <w:t>t</w:t>
      </w:r>
      <w:r w:rsidRPr="007054F8">
        <w:rPr>
          <w:i/>
          <w:sz w:val="20"/>
          <w:lang w:val="fr-CA"/>
        </w:rPr>
        <w:noBreakHyphen/>
        <w:t>il commis une erreur en appliquant la déduction conforme au bon sens selon laquelle une personne connaît généralement les conséquences prévisibles de ses actes et pose ces actes afin d’entraîner ces conséquences, sans avoir au préalable examiné l’ensemble de la preuve relative à l’état mental de l’accusé au moment du coup de feu?</w:t>
      </w:r>
    </w:p>
    <w:p w:rsidR="007054F8" w:rsidRPr="007054F8" w:rsidRDefault="007054F8" w:rsidP="007054F8">
      <w:pPr>
        <w:pStyle w:val="SCCNormalDoubleSpacing"/>
        <w:spacing w:line="240" w:lineRule="auto"/>
        <w:rPr>
          <w:i/>
          <w:sz w:val="20"/>
          <w:lang w:val="fr-CA"/>
        </w:rPr>
      </w:pPr>
    </w:p>
    <w:p w:rsidR="007054F8" w:rsidRPr="007054F8" w:rsidRDefault="007054F8" w:rsidP="007054F8">
      <w:pPr>
        <w:pStyle w:val="SCCNormalDoubleSpacing"/>
        <w:spacing w:line="240" w:lineRule="auto"/>
        <w:rPr>
          <w:i/>
          <w:sz w:val="20"/>
          <w:lang w:val="fr-CA"/>
        </w:rPr>
      </w:pPr>
      <w:r w:rsidRPr="007054F8">
        <w:rPr>
          <w:i/>
          <w:sz w:val="20"/>
          <w:lang w:val="fr-CA"/>
        </w:rPr>
        <w:tab/>
        <w:t>Droit criminel — Preuve — Admissibilité — Nouvelle preuve — Demande de l’accusé en vue de faire admettre une preuve d’ordre psychiatrique en appel — La preuve aurait</w:t>
      </w:r>
      <w:r w:rsidRPr="007054F8">
        <w:rPr>
          <w:i/>
          <w:sz w:val="20"/>
          <w:lang w:val="fr-CA"/>
        </w:rPr>
        <w:noBreakHyphen/>
        <w:t>elle pu être produite au procès si on avait fait montre de diligence raisonnable? — Peut</w:t>
      </w:r>
      <w:r w:rsidRPr="007054F8">
        <w:rPr>
          <w:i/>
          <w:sz w:val="20"/>
          <w:lang w:val="fr-CA"/>
        </w:rPr>
        <w:noBreakHyphen/>
        <w:t>on raisonnablement penser que la preuve aurait influé sur le résultat du procès?</w:t>
      </w:r>
    </w:p>
    <w:p w:rsidR="007054F8" w:rsidRPr="007054F8" w:rsidRDefault="007054F8" w:rsidP="007054F8">
      <w:pPr>
        <w:pStyle w:val="SCCNormalDoubleSpacing"/>
        <w:spacing w:line="240" w:lineRule="auto"/>
        <w:rPr>
          <w:sz w:val="20"/>
          <w:lang w:val="fr-CA"/>
        </w:rPr>
      </w:pPr>
    </w:p>
    <w:p w:rsidR="007054F8" w:rsidRPr="007054F8" w:rsidRDefault="007054F8" w:rsidP="007054F8">
      <w:pPr>
        <w:pStyle w:val="SCCNormalDoubleSpacing"/>
        <w:spacing w:line="240" w:lineRule="auto"/>
        <w:rPr>
          <w:sz w:val="20"/>
          <w:lang w:val="fr-CA"/>
        </w:rPr>
      </w:pPr>
      <w:r w:rsidRPr="007054F8">
        <w:rPr>
          <w:sz w:val="20"/>
          <w:lang w:val="fr-CA"/>
        </w:rPr>
        <w:tab/>
        <w:t xml:space="preserve">W a tué S d’un coup de feu tiré à courte distance dans la poitrine avec une carabine de calibre .22.  Il a été accusé et reconnu coupable de </w:t>
      </w:r>
      <w:r w:rsidRPr="007054F8">
        <w:rPr>
          <w:bCs/>
          <w:sz w:val="20"/>
          <w:lang w:val="fr-CA"/>
        </w:rPr>
        <w:t>meurtre au deuxième degré</w:t>
      </w:r>
      <w:r w:rsidRPr="007054F8">
        <w:rPr>
          <w:sz w:val="20"/>
          <w:lang w:val="fr-CA"/>
        </w:rPr>
        <w:t>.  L’issue du procès dépendait de l’intention de W au moment où il a fait feu.  Le juge du procès, siégeant seul, a rejeté — au motif qu’elle n’était pas crédible — la thèse de W selon laquelle il avait pressé la détente de façon involontaire et que le coup de feu n’avait donc pas été intentionnel.  Il a pris en compte les éléments de preuve importants qui auraient pu avoir une incidence sur la question de savoir si W était conscient des conséquences de ses actes, mais il a conclu qu’il ne faisait aucun doute que ce dernier était parfaitement conscient des conséquences meurtrières qu’entraînerait probablement le fait de presser sur la détente.  Le juge a alors appliqué la « déduction conforme au bon sens » selon laquelle une personne saine et sobre veut les conséquences naturelles et probables de ses actes, et il a conclu que W avait eu l’intention requise pour commettre un meurtre au deuxième degré.</w:t>
      </w:r>
    </w:p>
    <w:p w:rsidR="007054F8" w:rsidRPr="007054F8" w:rsidRDefault="007054F8" w:rsidP="007054F8">
      <w:pPr>
        <w:pStyle w:val="SCCNormalDoubleSpacing"/>
        <w:spacing w:line="240" w:lineRule="auto"/>
        <w:rPr>
          <w:sz w:val="20"/>
          <w:lang w:val="fr-CA"/>
        </w:rPr>
      </w:pPr>
    </w:p>
    <w:p w:rsidR="007054F8" w:rsidRPr="007054F8" w:rsidRDefault="007054F8" w:rsidP="007054F8">
      <w:pPr>
        <w:pStyle w:val="SCCNormalDoubleSpacing"/>
        <w:spacing w:line="240" w:lineRule="auto"/>
        <w:rPr>
          <w:sz w:val="20"/>
          <w:lang w:val="fr-CA"/>
        </w:rPr>
      </w:pPr>
      <w:r w:rsidRPr="007054F8">
        <w:rPr>
          <w:sz w:val="20"/>
          <w:lang w:val="fr-CA"/>
        </w:rPr>
        <w:tab/>
        <w:t xml:space="preserve">En appel, W a prétendu que, pour déterminer s’il était conscient des conséquences du coup de feu tiré en direction de S — et donc s’il avait l’une ou l’autre des intentions spécifiques applicables à l’égard de l’infraction de meurtre —, le juge du procès a omis d’examiner la preuve portant sur son état mental le soir où le coup de feu a été tiré, notamment ses retards développementaux et sa consommation d’alcool.  La Cour d’appel a rejeté l’appel.  Elle a conclu qu’il n’avait été présenté au procès aucune preuve concernant l’état mental de W susceptible de soulever la question de savoir si, lorsqu’il a pressé la détente, ce dernier était capable de prévoir les conséquences de ses actes ou s’il les avait effectivement prévues.  </w:t>
      </w:r>
    </w:p>
    <w:p w:rsidR="007054F8" w:rsidRPr="007054F8" w:rsidRDefault="007054F8" w:rsidP="007054F8">
      <w:pPr>
        <w:pStyle w:val="SCCNormalDoubleSpacing"/>
        <w:spacing w:line="240" w:lineRule="auto"/>
        <w:rPr>
          <w:sz w:val="20"/>
          <w:lang w:val="fr-CA"/>
        </w:rPr>
      </w:pPr>
    </w:p>
    <w:p w:rsidR="007054F8" w:rsidRPr="007054F8" w:rsidRDefault="007054F8" w:rsidP="007054F8">
      <w:pPr>
        <w:pStyle w:val="SCCNormalDoubleSpacing"/>
        <w:spacing w:line="240" w:lineRule="auto"/>
        <w:rPr>
          <w:sz w:val="20"/>
          <w:lang w:val="fr-CA"/>
        </w:rPr>
      </w:pPr>
      <w:r w:rsidRPr="007054F8">
        <w:rPr>
          <w:sz w:val="20"/>
          <w:lang w:val="fr-CA"/>
        </w:rPr>
        <w:tab/>
      </w:r>
      <w:r w:rsidRPr="007054F8">
        <w:rPr>
          <w:i/>
          <w:sz w:val="20"/>
          <w:lang w:val="fr-CA"/>
        </w:rPr>
        <w:t>Arrêt</w:t>
      </w:r>
      <w:r w:rsidRPr="007054F8">
        <w:rPr>
          <w:sz w:val="20"/>
          <w:lang w:val="fr-CA"/>
        </w:rPr>
        <w:t> : Le pourvoi et la requête sollicitant l’autorisation de produire une preuve nouvelle sont rejetés.</w:t>
      </w:r>
    </w:p>
    <w:p w:rsidR="007054F8" w:rsidRPr="007054F8" w:rsidRDefault="007054F8" w:rsidP="007054F8">
      <w:pPr>
        <w:pStyle w:val="SCCNormalDoubleSpacing"/>
        <w:spacing w:line="240" w:lineRule="auto"/>
        <w:rPr>
          <w:sz w:val="20"/>
          <w:lang w:val="fr-CA"/>
        </w:rPr>
      </w:pPr>
    </w:p>
    <w:p w:rsidR="007054F8" w:rsidRPr="007054F8" w:rsidRDefault="007054F8" w:rsidP="007054F8">
      <w:pPr>
        <w:pStyle w:val="SCCNormalDoubleSpacing"/>
        <w:spacing w:line="240" w:lineRule="auto"/>
        <w:rPr>
          <w:sz w:val="20"/>
          <w:lang w:val="fr-CA"/>
        </w:rPr>
      </w:pPr>
      <w:r w:rsidRPr="007054F8">
        <w:rPr>
          <w:sz w:val="20"/>
          <w:lang w:val="fr-CA"/>
        </w:rPr>
        <w:tab/>
        <w:t>L’omission d’examiner tous les éléments de preuve qui se rapportent à la question ultime de la culpabilité ou de l’innocence constitue une erreur de droit.  Le juge du procès n’est toutefois pas tenu en droit de consigner la totalité ou une partie particulière du déroulement des délibérations sur les faits.  À moins que les motifs démontrent que le juge n’a pas examiné tous les éléments de preuve qui se rapportent à la question ultime, l’omission de consigner que cet examen a été fait ne permet pas de conclure qu’une erreur de droit a été commise à cet égard.</w:t>
      </w:r>
    </w:p>
    <w:p w:rsidR="007054F8" w:rsidRPr="007054F8" w:rsidRDefault="007054F8" w:rsidP="007054F8">
      <w:pPr>
        <w:pStyle w:val="SCCNormalDoubleSpacing"/>
        <w:spacing w:line="240" w:lineRule="auto"/>
        <w:rPr>
          <w:sz w:val="20"/>
          <w:lang w:val="fr-CA"/>
        </w:rPr>
      </w:pPr>
    </w:p>
    <w:p w:rsidR="007054F8" w:rsidRPr="00EE3FD6" w:rsidRDefault="007054F8" w:rsidP="007054F8">
      <w:pPr>
        <w:pStyle w:val="SCCNormalDoubleSpacing"/>
        <w:spacing w:line="240" w:lineRule="auto"/>
        <w:rPr>
          <w:sz w:val="20"/>
          <w:lang w:val="fr-CA"/>
        </w:rPr>
      </w:pPr>
      <w:r w:rsidRPr="007054F8">
        <w:rPr>
          <w:sz w:val="20"/>
          <w:lang w:val="fr-CA"/>
        </w:rPr>
        <w:tab/>
        <w:t xml:space="preserve">En l’espèce, le juge n’a pas omis de considérer tous les éléments de preuve pertinents.  Pour déterminer si le ministère public s’était acquitté de son fardeau de prouver que W avait l’une ou l’autre des intentions requises pour commettre un meurtre, le juge du procès a pris en compte les éléments suivants : la carabine fonctionnait normalement; elle était dotée d’un </w:t>
      </w:r>
      <w:r w:rsidRPr="007054F8">
        <w:rPr>
          <w:bCs/>
          <w:sz w:val="20"/>
          <w:lang w:val="fr-CA"/>
        </w:rPr>
        <w:t>dispositif de sécurité; une pression de plus de six livres était nécessaire pour tirer un coup de feu;</w:t>
      </w:r>
      <w:r w:rsidRPr="007054F8">
        <w:rPr>
          <w:sz w:val="20"/>
          <w:lang w:val="fr-CA"/>
        </w:rPr>
        <w:t xml:space="preserve"> W savait comment se servir de la carabine et l’avait déjà utilisée; il savait que l’arme ferait feu lorsqu’il a pressé la détente; il savait que le dispositif </w:t>
      </w:r>
      <w:r w:rsidRPr="007054F8">
        <w:rPr>
          <w:bCs/>
          <w:sz w:val="20"/>
          <w:lang w:val="fr-CA"/>
        </w:rPr>
        <w:t>de sécurité n’était pas activé</w:t>
      </w:r>
      <w:r w:rsidRPr="007054F8">
        <w:rPr>
          <w:sz w:val="20"/>
          <w:lang w:val="fr-CA"/>
        </w:rPr>
        <w:t xml:space="preserve">; il pointait l’arme en direction de la poitrine de S; il a tiré d’une distance de cinq pieds seulement; il savait que l’arme était chargée; il avait bu, mais il ressortait clairement de la preuve que ses facultés n’étaient pas affaiblies.  Le juge du procès a alors appliqué la « déduction conforme au bon sens » et a dit être convaincu hors de tout doute raisonnable que, lorsque W a délibérément pressé la détente, dans les circonstances, il savait que la conséquence raisonnable et probable de son geste était que celui-ci causerait la mort de S ou lui causerait de graves lésions corporelles qu’il savait être de nature à causer la mort, et il lui était indifférent que la mort s’ensuive ou non.  Au procès, il n’a  été présenté aucune </w:t>
      </w:r>
      <w:r w:rsidRPr="00CA08C9">
        <w:rPr>
          <w:bCs/>
          <w:sz w:val="20"/>
          <w:lang w:val="fr-FR"/>
        </w:rPr>
        <w:t>preuve</w:t>
      </w:r>
      <w:r w:rsidRPr="007054F8">
        <w:rPr>
          <w:sz w:val="20"/>
          <w:lang w:val="fr-CA"/>
        </w:rPr>
        <w:t xml:space="preserve"> — </w:t>
      </w:r>
      <w:r w:rsidRPr="00CA08C9">
        <w:rPr>
          <w:bCs/>
          <w:sz w:val="20"/>
          <w:lang w:val="fr-FR"/>
        </w:rPr>
        <w:t>médico</w:t>
      </w:r>
      <w:r w:rsidRPr="00CA08C9">
        <w:rPr>
          <w:bCs/>
          <w:sz w:val="20"/>
          <w:lang w:val="fr-FR"/>
        </w:rPr>
        <w:noBreakHyphen/>
        <w:t>légale ou autre</w:t>
      </w:r>
      <w:r w:rsidRPr="007054F8">
        <w:rPr>
          <w:sz w:val="20"/>
          <w:lang w:val="fr-CA"/>
        </w:rPr>
        <w:t xml:space="preserve"> — qui aurait pu réalistement avoir une incidence sur la question de l’état mental de W lorsque le coup de feu a été tiré.  Plus précisément, aucune preuve ne portait sur la question de savoir si, en tirant à courte distance une balle dans la poitrine de la victime, W était conscient des conséquences qu’entraînerait probablement son geste et, de ce fait, peut être considéré comme ayant voulu ces conséquences.  En outre, W n’a pas plaidé que son état mental l’empêchait d’être conscient des conséquences de ses actes — et réalistement il ne pouvait le faire.  La preuve tendait irrésistiblement à démontrer le contraire.  Quelques instants avant le meurtre, W a clairement indiqué à ses poursuivants qu’il savait que l’arme qu’il tenait était meurtrière.  Peu après le meurtre, il a parlé de son désir de se tuer avec cette même arme.  Aucun des éléments de preuve que soulève W en appel — que ce soit ses retards développementaux, son hospitalisation aux termes d’un mandat pour des services de santé mentale, le regard « absent » qu’il affichait peu avant le coup de feu, son comportement et la façon dont il gesticulait avec les mains à la barre des témoins ou le fait qu’il avait brandi la carabine en tous sens avant que le coup soit tiré — n’aurait pu l’aider au procès.  Peut-être aurait-il </w:t>
      </w:r>
      <w:r w:rsidRPr="00CA08C9">
        <w:rPr>
          <w:sz w:val="20"/>
          <w:lang w:val="fr-FR"/>
        </w:rPr>
        <w:t xml:space="preserve">été préférable que le </w:t>
      </w:r>
      <w:r w:rsidRPr="007054F8">
        <w:rPr>
          <w:sz w:val="20"/>
          <w:lang w:val="fr-CA"/>
        </w:rPr>
        <w:t xml:space="preserve">juge du procès mentionne expressément ces éléments de preuve, mais il n’était pas obligé de le faire.  </w:t>
      </w:r>
      <w:r w:rsidRPr="00EE3FD6">
        <w:rPr>
          <w:sz w:val="20"/>
          <w:lang w:val="fr-CA"/>
        </w:rPr>
        <w:t>Il n’a commis aucune erreur.</w:t>
      </w:r>
    </w:p>
    <w:p w:rsidR="007054F8" w:rsidRPr="00EE3FD6" w:rsidRDefault="007054F8" w:rsidP="007054F8">
      <w:pPr>
        <w:pStyle w:val="SCCNormalDoubleSpacing"/>
        <w:spacing w:line="240" w:lineRule="auto"/>
        <w:rPr>
          <w:sz w:val="20"/>
          <w:lang w:val="fr-CA"/>
        </w:rPr>
      </w:pPr>
    </w:p>
    <w:p w:rsidR="007054F8" w:rsidRPr="007054F8" w:rsidRDefault="007054F8" w:rsidP="007054F8">
      <w:pPr>
        <w:pStyle w:val="SCCNormalDoubleSpacing"/>
        <w:spacing w:line="240" w:lineRule="auto"/>
        <w:rPr>
          <w:sz w:val="20"/>
          <w:lang w:val="fr-CA"/>
        </w:rPr>
      </w:pPr>
      <w:r w:rsidRPr="00EE3FD6">
        <w:rPr>
          <w:sz w:val="20"/>
          <w:lang w:val="fr-CA"/>
        </w:rPr>
        <w:lastRenderedPageBreak/>
        <w:tab/>
      </w:r>
      <w:r w:rsidRPr="007054F8">
        <w:rPr>
          <w:sz w:val="20"/>
          <w:lang w:val="fr-CA"/>
        </w:rPr>
        <w:t xml:space="preserve">La nouvelle preuve — à savoir un rapport présentenciel d’un psychiatre légiste, ainsi que le témoignage subséquent de ce dernier, selon lequel W était atteint du syndrome d’Asperger, d’un trouble de la personnalité paranoïaque, d’un trouble explosif intermittent, d’un trouble du comportement antisocial de l’adulte et qu’il avait un problème d’abus d’alcool — ne satisfait pas aux critères d’admissibilité établis dans </w:t>
      </w:r>
      <w:r w:rsidRPr="007054F8">
        <w:rPr>
          <w:bCs/>
          <w:i/>
          <w:sz w:val="20"/>
          <w:lang w:val="fr-CA"/>
        </w:rPr>
        <w:t>Palmer c. La Reine</w:t>
      </w:r>
      <w:r w:rsidRPr="007054F8">
        <w:rPr>
          <w:bCs/>
          <w:sz w:val="20"/>
          <w:lang w:val="fr-CA"/>
        </w:rPr>
        <w:t xml:space="preserve">, [1980] 1 R.C.S. 759.  Mis à part le </w:t>
      </w:r>
      <w:r w:rsidRPr="007054F8">
        <w:rPr>
          <w:sz w:val="20"/>
          <w:lang w:val="fr-CA"/>
        </w:rPr>
        <w:t>diagnostic du syndrome d’Asperger, le rapport contient bien peu d’éléments de preuve qui n’auraient pas pu être présentés au procès.  On soupçonnait depuis longtemps que W souffrait du syndrome d’Asperger, et des professionnels de la santé avaient depuis longtemps remarqué les difficultés qu’il éprouvait sur le plan social, son agressivité, sa fascination pour les armes à feu et ses problèmes reliés à l’alcoolisme.  Un rapport exhaustif identique à la preuve dont W sollicite maintenant la production avait été préparé en vue de l’audience relative à la détermination de la peine lors de son premier procès, mais W n’a pas tenté de présenter cette preuve lors du procès lui-même.  Quoi qu’il en soit, on ne peut raisonnablement penser que, conjuguée aux autres éléments de preuve soumis lors du procès, la preuve proposée aurait pu influer sur le résultat.  Elle ne tend pas à indiquer que, en raison des troubles diagnostiqués, W aurait pu ne pas être conscient des conséquences qu’entraînerait probablement le fait de faire feu à courte distance en direction de la poitrine de quelqu’un.  Elle ne fournit pas non plus de renseignements additionnels de nature à expliquer la thèse du coup de feu non intentionnel présentée au procès.</w:t>
      </w:r>
    </w:p>
    <w:p w:rsidR="007054F8" w:rsidRPr="007054F8" w:rsidRDefault="007054F8" w:rsidP="007054F8">
      <w:pPr>
        <w:pStyle w:val="SCCNormalDoubleSpacing"/>
        <w:spacing w:line="240" w:lineRule="auto"/>
        <w:rPr>
          <w:sz w:val="20"/>
          <w:lang w:val="fr-CA"/>
        </w:rPr>
      </w:pPr>
    </w:p>
    <w:p w:rsidR="007054F8" w:rsidRPr="007054F8" w:rsidRDefault="007054F8" w:rsidP="007054F8">
      <w:pPr>
        <w:pStyle w:val="SCCNormalDoubleSpacing"/>
        <w:spacing w:line="240" w:lineRule="auto"/>
        <w:rPr>
          <w:sz w:val="20"/>
          <w:lang w:val="fr-CA"/>
        </w:rPr>
      </w:pPr>
      <w:r w:rsidRPr="007054F8">
        <w:rPr>
          <w:sz w:val="20"/>
          <w:lang w:val="fr-CA"/>
        </w:rPr>
        <w:tab/>
        <w:t>Dans les procès devant jury où l’affaiblissement des facultés — par intoxication ou autrement — pourrait avoir contribué aux actes de l’accusé, il n’est pas nécessaire que l’exposé portant sur la déduction conforme au bon sens prenne la forme d’un énoncé rigide.  Bien qu’il soit loisible au juge du procès de faire mention de la « personne saine et sobre », une simple directive indiquant qu’une personne connaît généralement les conséquences prévisibles de ses actes et pose ces actes afin d’entraîner ces conséquences suffirait.  Ce qui est primordial, c’est de bien faire comprendre au jury que, pour examiner la question de l’intention spécifique requise pour commettre un meurtre, il doit considérer l’ensemble des éléments de preuve qui ont pu, de façon réaliste, avoir une incidence sur l’état mental de l’accusé au moment de l’infraction reprochée.</w:t>
      </w:r>
    </w:p>
    <w:p w:rsidR="007054F8" w:rsidRPr="007054F8" w:rsidRDefault="007054F8" w:rsidP="007054F8">
      <w:pPr>
        <w:pStyle w:val="SCCNormalDoubleSpacing"/>
        <w:spacing w:line="240" w:lineRule="auto"/>
        <w:rPr>
          <w:sz w:val="20"/>
          <w:lang w:val="fr-CA"/>
        </w:rPr>
      </w:pPr>
    </w:p>
    <w:p w:rsidR="007054F8" w:rsidRPr="007054F8" w:rsidRDefault="007054F8" w:rsidP="007054F8">
      <w:pPr>
        <w:pStyle w:val="SCCNormalDoubleSpacing"/>
        <w:spacing w:line="240" w:lineRule="auto"/>
        <w:rPr>
          <w:sz w:val="20"/>
          <w:lang w:val="fr-CA"/>
        </w:rPr>
      </w:pPr>
      <w:r w:rsidRPr="007054F8">
        <w:rPr>
          <w:sz w:val="20"/>
          <w:lang w:val="fr-CA"/>
        </w:rPr>
        <w:tab/>
        <w:t xml:space="preserve">POURVOI contre un arrêt de la Cour d’appel de l’Alberta (les juges O’Brien, Bielby et Sulatycky), </w:t>
      </w:r>
      <w:r w:rsidR="00B62B14" w:rsidRPr="00CA08C9">
        <w:rPr>
          <w:sz w:val="20"/>
        </w:rPr>
        <w:fldChar w:fldCharType="begin"/>
      </w:r>
      <w:r w:rsidRPr="007054F8">
        <w:rPr>
          <w:sz w:val="20"/>
          <w:lang w:val="fr-CA"/>
        </w:rPr>
        <w:instrText xml:space="preserve"> SEQ CHAPTER \h \r 1</w:instrText>
      </w:r>
      <w:r w:rsidR="00B62B14" w:rsidRPr="00CA08C9">
        <w:rPr>
          <w:sz w:val="20"/>
        </w:rPr>
        <w:fldChar w:fldCharType="end"/>
      </w:r>
      <w:r w:rsidRPr="007054F8">
        <w:rPr>
          <w:sz w:val="20"/>
          <w:lang w:val="fr-CA"/>
        </w:rPr>
        <w:t xml:space="preserve">2010 ABCA 384, 493 A.R. 306, 502 W.A.C. 306, 265 C.C.C. (3d) 27, [2010] A.J. No. 1427 (QL), 2010 CarswellAlta 2408, qui a confirmé la déclaration de culpabilité de meurtre au deuxième degré inscrite par le juge Hart, </w:t>
      </w:r>
      <w:r w:rsidR="00B62B14" w:rsidRPr="00CA08C9">
        <w:rPr>
          <w:sz w:val="20"/>
        </w:rPr>
        <w:fldChar w:fldCharType="begin"/>
      </w:r>
      <w:r w:rsidRPr="007054F8">
        <w:rPr>
          <w:sz w:val="20"/>
          <w:lang w:val="fr-CA"/>
        </w:rPr>
        <w:instrText xml:space="preserve"> SEQ CHAPTER \h \r 1</w:instrText>
      </w:r>
      <w:r w:rsidR="00B62B14" w:rsidRPr="00CA08C9">
        <w:rPr>
          <w:sz w:val="20"/>
        </w:rPr>
        <w:fldChar w:fldCharType="end"/>
      </w:r>
      <w:r w:rsidRPr="007054F8">
        <w:rPr>
          <w:sz w:val="20"/>
          <w:lang w:val="fr-CA"/>
        </w:rPr>
        <w:t>2008 CarswellAlta 2333.  Pourvoi rejeté.</w:t>
      </w:r>
    </w:p>
    <w:p w:rsidR="007054F8" w:rsidRPr="007054F8" w:rsidRDefault="007054F8" w:rsidP="007054F8">
      <w:pPr>
        <w:pStyle w:val="SCCNormalDoubleSpacing"/>
        <w:spacing w:line="240" w:lineRule="auto"/>
        <w:rPr>
          <w:i/>
          <w:sz w:val="20"/>
          <w:lang w:val="fr-CA"/>
        </w:rPr>
      </w:pPr>
    </w:p>
    <w:p w:rsidR="007054F8" w:rsidRPr="007054F8" w:rsidRDefault="007054F8" w:rsidP="007054F8">
      <w:pPr>
        <w:pStyle w:val="SCCNormalDoubleSpacing"/>
        <w:spacing w:line="240" w:lineRule="auto"/>
        <w:rPr>
          <w:sz w:val="20"/>
          <w:lang w:val="fr-CA"/>
        </w:rPr>
      </w:pPr>
      <w:r w:rsidRPr="007054F8">
        <w:rPr>
          <w:i/>
          <w:sz w:val="20"/>
          <w:lang w:val="fr-CA"/>
        </w:rPr>
        <w:tab/>
        <w:t>Karen B. Molle</w:t>
      </w:r>
      <w:r w:rsidRPr="007054F8">
        <w:rPr>
          <w:sz w:val="20"/>
          <w:lang w:val="fr-CA"/>
        </w:rPr>
        <w:t xml:space="preserve"> et </w:t>
      </w:r>
      <w:r w:rsidRPr="007054F8">
        <w:rPr>
          <w:i/>
          <w:sz w:val="20"/>
          <w:lang w:val="fr-CA"/>
        </w:rPr>
        <w:t>Jennifer Ruttan</w:t>
      </w:r>
      <w:r w:rsidRPr="007054F8">
        <w:rPr>
          <w:sz w:val="20"/>
          <w:lang w:val="fr-CA"/>
        </w:rPr>
        <w:t>, pour l’appelant.</w:t>
      </w:r>
    </w:p>
    <w:p w:rsidR="007054F8" w:rsidRPr="007054F8" w:rsidRDefault="007054F8" w:rsidP="007054F8">
      <w:pPr>
        <w:pStyle w:val="SCCNormalDoubleSpacing"/>
        <w:spacing w:line="240" w:lineRule="auto"/>
        <w:rPr>
          <w:i/>
          <w:sz w:val="20"/>
          <w:lang w:val="fr-CA"/>
        </w:rPr>
      </w:pPr>
    </w:p>
    <w:p w:rsidR="007054F8" w:rsidRPr="007054F8" w:rsidRDefault="007054F8" w:rsidP="007054F8">
      <w:pPr>
        <w:pStyle w:val="SCCNormalDoubleSpacing"/>
        <w:spacing w:line="240" w:lineRule="auto"/>
        <w:rPr>
          <w:sz w:val="20"/>
          <w:lang w:val="fr-CA"/>
        </w:rPr>
      </w:pPr>
      <w:r w:rsidRPr="007054F8">
        <w:rPr>
          <w:i/>
          <w:sz w:val="20"/>
          <w:lang w:val="fr-CA"/>
        </w:rPr>
        <w:tab/>
        <w:t>Jolaine Antonio</w:t>
      </w:r>
      <w:r w:rsidRPr="007054F8">
        <w:rPr>
          <w:sz w:val="20"/>
          <w:lang w:val="fr-CA"/>
        </w:rPr>
        <w:t xml:space="preserve"> et </w:t>
      </w:r>
      <w:r w:rsidRPr="007054F8">
        <w:rPr>
          <w:i/>
          <w:sz w:val="20"/>
          <w:lang w:val="fr-CA"/>
        </w:rPr>
        <w:t>Kyra M. Kondro</w:t>
      </w:r>
      <w:r w:rsidRPr="007054F8">
        <w:rPr>
          <w:sz w:val="20"/>
          <w:lang w:val="fr-CA"/>
        </w:rPr>
        <w:t>, pour l’intimée.</w:t>
      </w:r>
    </w:p>
    <w:p w:rsidR="007054F8" w:rsidRPr="007054F8" w:rsidRDefault="007054F8" w:rsidP="007054F8">
      <w:pPr>
        <w:pStyle w:val="SCCNormalDoubleSpacing"/>
        <w:spacing w:line="240" w:lineRule="auto"/>
        <w:rPr>
          <w:i/>
          <w:sz w:val="20"/>
          <w:lang w:val="fr-CA"/>
        </w:rPr>
      </w:pPr>
    </w:p>
    <w:p w:rsidR="007054F8" w:rsidRPr="007054F8" w:rsidRDefault="007054F8" w:rsidP="007054F8">
      <w:pPr>
        <w:pStyle w:val="SCCNormalDoubleSpacing"/>
        <w:spacing w:line="240" w:lineRule="auto"/>
        <w:rPr>
          <w:sz w:val="20"/>
          <w:lang w:val="fr-CA"/>
        </w:rPr>
      </w:pPr>
      <w:r w:rsidRPr="007054F8">
        <w:rPr>
          <w:i/>
          <w:sz w:val="20"/>
          <w:lang w:val="fr-CA"/>
        </w:rPr>
        <w:tab/>
        <w:t>Michael W. Lacy</w:t>
      </w:r>
      <w:r w:rsidRPr="007054F8">
        <w:rPr>
          <w:sz w:val="20"/>
          <w:lang w:val="fr-CA"/>
        </w:rPr>
        <w:t xml:space="preserve"> et </w:t>
      </w:r>
      <w:r w:rsidRPr="007054F8">
        <w:rPr>
          <w:i/>
          <w:sz w:val="20"/>
          <w:lang w:val="fr-CA"/>
        </w:rPr>
        <w:t>Bradley Greenshields</w:t>
      </w:r>
      <w:r w:rsidRPr="007054F8">
        <w:rPr>
          <w:sz w:val="20"/>
          <w:lang w:val="fr-CA"/>
        </w:rPr>
        <w:t>, pour l’intervenante.</w:t>
      </w:r>
    </w:p>
    <w:p w:rsidR="007054F8" w:rsidRPr="007054F8" w:rsidRDefault="007054F8" w:rsidP="007054F8">
      <w:pPr>
        <w:pStyle w:val="SCCLawFirm"/>
        <w:spacing w:line="240" w:lineRule="auto"/>
        <w:rPr>
          <w:sz w:val="20"/>
          <w:lang w:val="fr-CA"/>
        </w:rPr>
      </w:pPr>
    </w:p>
    <w:p w:rsidR="007054F8" w:rsidRPr="007054F8" w:rsidRDefault="007054F8" w:rsidP="007054F8">
      <w:pPr>
        <w:pStyle w:val="SCCLawFirm"/>
        <w:spacing w:line="240" w:lineRule="auto"/>
        <w:rPr>
          <w:sz w:val="20"/>
          <w:lang w:val="fr-CA"/>
        </w:rPr>
      </w:pPr>
      <w:r w:rsidRPr="007054F8">
        <w:rPr>
          <w:sz w:val="20"/>
          <w:lang w:val="fr-CA"/>
        </w:rPr>
        <w:tab/>
        <w:t>Procureur de l’appelant : Karen B. Molle, Calgary.</w:t>
      </w:r>
    </w:p>
    <w:p w:rsidR="007054F8" w:rsidRPr="007054F8" w:rsidRDefault="007054F8" w:rsidP="007054F8">
      <w:pPr>
        <w:pStyle w:val="SCCLawFirm"/>
        <w:spacing w:line="240" w:lineRule="auto"/>
        <w:rPr>
          <w:sz w:val="20"/>
          <w:lang w:val="fr-CA"/>
        </w:rPr>
      </w:pPr>
    </w:p>
    <w:p w:rsidR="007054F8" w:rsidRPr="007054F8" w:rsidRDefault="007054F8" w:rsidP="007054F8">
      <w:pPr>
        <w:pStyle w:val="SCCLawFirm"/>
        <w:spacing w:line="240" w:lineRule="auto"/>
        <w:rPr>
          <w:sz w:val="20"/>
          <w:lang w:val="fr-CA"/>
        </w:rPr>
      </w:pPr>
      <w:r w:rsidRPr="007054F8">
        <w:rPr>
          <w:sz w:val="20"/>
          <w:lang w:val="fr-CA"/>
        </w:rPr>
        <w:tab/>
        <w:t>Procureur de l’intimée : Procureur général de l’Alberta, Calgary.</w:t>
      </w:r>
    </w:p>
    <w:p w:rsidR="007054F8" w:rsidRPr="007054F8" w:rsidRDefault="007054F8" w:rsidP="007054F8">
      <w:pPr>
        <w:pStyle w:val="SCCLawFirm"/>
        <w:spacing w:line="240" w:lineRule="auto"/>
        <w:rPr>
          <w:sz w:val="20"/>
          <w:lang w:val="fr-CA"/>
        </w:rPr>
      </w:pPr>
    </w:p>
    <w:p w:rsidR="007054F8" w:rsidRPr="007054F8" w:rsidRDefault="007054F8" w:rsidP="007054F8">
      <w:pPr>
        <w:pStyle w:val="SCCLawFirm"/>
        <w:spacing w:line="240" w:lineRule="auto"/>
        <w:rPr>
          <w:sz w:val="20"/>
          <w:lang w:val="fr-CA"/>
        </w:rPr>
      </w:pPr>
      <w:r w:rsidRPr="007054F8">
        <w:rPr>
          <w:sz w:val="20"/>
          <w:lang w:val="fr-CA"/>
        </w:rPr>
        <w:tab/>
        <w:t>Procureurs de l’intervenante : Lacy Wilkinson, Toronto.</w:t>
      </w:r>
    </w:p>
    <w:p w:rsidR="00AD6E77" w:rsidRDefault="00AD6E77" w:rsidP="00AD6E77">
      <w:pPr>
        <w:rPr>
          <w:rFonts w:cs="Times New Roman"/>
          <w:sz w:val="20"/>
          <w:szCs w:val="20"/>
          <w:lang w:val="fr-CA"/>
        </w:rPr>
      </w:pPr>
    </w:p>
    <w:p w:rsidR="00AD6E77" w:rsidRDefault="00B62B14" w:rsidP="00AD6E77">
      <w:pPr>
        <w:rPr>
          <w:sz w:val="20"/>
          <w:szCs w:val="20"/>
        </w:rPr>
      </w:pPr>
      <w:r w:rsidRPr="00B62B14">
        <w:rPr>
          <w:rFonts w:cs="Times New Roman"/>
          <w:sz w:val="20"/>
          <w:szCs w:val="20"/>
          <w:lang w:val="fr-CA"/>
        </w:rPr>
        <w:pict>
          <v:rect id="_x0000_i1062" style="width:144.3pt;height:1pt" o:hrpct="300" o:hralign="center" o:hrstd="t" o:hrnoshade="t" o:hr="t" fillcolor="black [3213]" stroked="f"/>
        </w:pict>
      </w:r>
    </w:p>
    <w:p w:rsidR="00AD6E77" w:rsidRPr="003F4721" w:rsidRDefault="00AD6E77" w:rsidP="00AD6E77">
      <w:pPr>
        <w:rPr>
          <w:sz w:val="20"/>
          <w:szCs w:val="20"/>
        </w:rPr>
      </w:pPr>
    </w:p>
    <w:p w:rsidR="00AD6E77" w:rsidRPr="003F4721" w:rsidRDefault="00AD6E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564DD3">
            <w:pPr>
              <w:keepNext/>
              <w:keepLines/>
              <w:rPr>
                <w:b/>
                <w:szCs w:val="24"/>
              </w:rPr>
            </w:pPr>
            <w:r w:rsidRPr="00C50A5C">
              <w:rPr>
                <w:b/>
                <w:szCs w:val="24"/>
              </w:rPr>
              <w:lastRenderedPageBreak/>
              <w:t>AGENDA FOR A</w:t>
            </w:r>
            <w:r w:rsidR="00564DD3">
              <w:rPr>
                <w:b/>
                <w:szCs w:val="24"/>
              </w:rPr>
              <w:t>UGUS</w:t>
            </w:r>
            <w:r w:rsidRPr="00C50A5C">
              <w:rPr>
                <w:b/>
                <w:szCs w:val="24"/>
              </w:rPr>
              <w:t>T</w:t>
            </w:r>
            <w:r w:rsidR="00564DD3">
              <w:rPr>
                <w:b/>
                <w:szCs w:val="24"/>
              </w:rPr>
              <w:t xml:space="preserve"> 2012</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564DD3">
            <w:pPr>
              <w:keepNext/>
              <w:keepLines/>
              <w:rPr>
                <w:b/>
                <w:szCs w:val="24"/>
                <w:lang w:val="fr-CA"/>
              </w:rPr>
            </w:pPr>
            <w:r w:rsidRPr="00C50A5C">
              <w:rPr>
                <w:b/>
                <w:szCs w:val="24"/>
                <w:lang w:val="fr-CA"/>
              </w:rPr>
              <w:t>CALENDRIER D</w:t>
            </w:r>
            <w:r w:rsidR="00564DD3">
              <w:rPr>
                <w:b/>
                <w:szCs w:val="24"/>
                <w:lang w:val="fr-CA"/>
              </w:rPr>
              <w:t>’</w:t>
            </w:r>
            <w:r w:rsidRPr="00C50A5C">
              <w:rPr>
                <w:b/>
                <w:szCs w:val="24"/>
                <w:lang w:val="fr-CA"/>
              </w:rPr>
              <w:t>A</w:t>
            </w:r>
            <w:r w:rsidR="00564DD3">
              <w:rPr>
                <w:b/>
                <w:szCs w:val="24"/>
                <w:lang w:val="fr-CA"/>
              </w:rPr>
              <w:t>OÛ</w:t>
            </w:r>
            <w:r w:rsidRPr="00C50A5C">
              <w:rPr>
                <w:b/>
                <w:szCs w:val="24"/>
                <w:lang w:val="fr-CA"/>
              </w:rPr>
              <w:t>T</w:t>
            </w:r>
            <w:r w:rsidR="00564DD3">
              <w:rPr>
                <w:b/>
                <w:szCs w:val="24"/>
                <w:lang w:val="fr-CA"/>
              </w:rPr>
              <w:t xml:space="preserve"> 2012</w:t>
            </w:r>
          </w:p>
        </w:tc>
      </w:tr>
    </w:tbl>
    <w:p w:rsidR="004B66B4" w:rsidRDefault="004B66B4" w:rsidP="004B66B4">
      <w:pPr>
        <w:rPr>
          <w:sz w:val="20"/>
          <w:szCs w:val="20"/>
        </w:rPr>
      </w:pPr>
    </w:p>
    <w:p w:rsidR="00564DD3" w:rsidRDefault="00564DD3" w:rsidP="004B66B4">
      <w:pPr>
        <w:rPr>
          <w:sz w:val="20"/>
          <w:szCs w:val="20"/>
        </w:rPr>
      </w:pPr>
    </w:p>
    <w:p w:rsidR="00564DD3" w:rsidRDefault="00564DD3" w:rsidP="004B66B4">
      <w:pPr>
        <w:rPr>
          <w:sz w:val="20"/>
          <w:szCs w:val="20"/>
        </w:rPr>
      </w:pPr>
    </w:p>
    <w:p w:rsidR="00564DD3" w:rsidRPr="00564DD3" w:rsidRDefault="00564DD3" w:rsidP="004B66B4">
      <w:pPr>
        <w:rPr>
          <w:sz w:val="28"/>
          <w:szCs w:val="28"/>
        </w:rPr>
      </w:pPr>
      <w:r w:rsidRPr="00564DD3">
        <w:rPr>
          <w:sz w:val="28"/>
          <w:szCs w:val="28"/>
        </w:rPr>
        <w:t xml:space="preserve">The next </w:t>
      </w:r>
      <w:r w:rsidRPr="00564DD3">
        <w:rPr>
          <w:b/>
          <w:sz w:val="28"/>
          <w:szCs w:val="28"/>
        </w:rPr>
        <w:t>Bulletin of Proceedings</w:t>
      </w:r>
      <w:r w:rsidRPr="00564DD3">
        <w:rPr>
          <w:sz w:val="28"/>
          <w:szCs w:val="28"/>
        </w:rPr>
        <w:t xml:space="preserve"> will be published on August 31, 2012.</w:t>
      </w:r>
    </w:p>
    <w:p w:rsidR="00564DD3" w:rsidRPr="00564DD3" w:rsidRDefault="00564DD3" w:rsidP="004B66B4">
      <w:pPr>
        <w:rPr>
          <w:sz w:val="28"/>
          <w:szCs w:val="28"/>
        </w:rPr>
      </w:pPr>
    </w:p>
    <w:p w:rsidR="00564DD3" w:rsidRPr="00564DD3" w:rsidRDefault="00564DD3" w:rsidP="004B66B4">
      <w:pPr>
        <w:rPr>
          <w:sz w:val="28"/>
          <w:szCs w:val="28"/>
          <w:lang w:val="fr-CA"/>
        </w:rPr>
      </w:pPr>
      <w:r w:rsidRPr="00564DD3">
        <w:rPr>
          <w:sz w:val="28"/>
          <w:szCs w:val="28"/>
          <w:lang w:val="fr-CA"/>
        </w:rPr>
        <w:t xml:space="preserve">Le prochain </w:t>
      </w:r>
      <w:r w:rsidRPr="00564DD3">
        <w:rPr>
          <w:b/>
          <w:sz w:val="28"/>
          <w:szCs w:val="28"/>
          <w:lang w:val="fr-CA"/>
        </w:rPr>
        <w:t>Bulletin des procédures</w:t>
      </w:r>
      <w:r w:rsidRPr="00564DD3">
        <w:rPr>
          <w:sz w:val="28"/>
          <w:szCs w:val="28"/>
          <w:lang w:val="fr-CA"/>
        </w:rPr>
        <w:t xml:space="preserve"> sera publié le 31 août 2012.</w:t>
      </w:r>
    </w:p>
    <w:p w:rsidR="00564DD3" w:rsidRPr="00564DD3" w:rsidRDefault="00564DD3" w:rsidP="004B66B4">
      <w:pPr>
        <w:rPr>
          <w:sz w:val="20"/>
          <w:szCs w:val="20"/>
          <w:lang w:val="fr-CA"/>
        </w:rPr>
      </w:pPr>
    </w:p>
    <w:p w:rsidR="004B66B4" w:rsidRPr="00DD0B49" w:rsidRDefault="00B62B14" w:rsidP="002868D0">
      <w:pPr>
        <w:jc w:val="both"/>
        <w:rPr>
          <w:sz w:val="20"/>
          <w:szCs w:val="20"/>
        </w:rPr>
      </w:pPr>
      <w:r w:rsidRPr="00B62B14">
        <w:rPr>
          <w:sz w:val="20"/>
          <w:szCs w:val="20"/>
          <w:lang w:val="fr-CA"/>
        </w:rPr>
        <w:pict>
          <v:rect id="_x0000_i1065"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p w:rsidR="00D5299C" w:rsidRPr="002E0C7E" w:rsidRDefault="00B62B14" w:rsidP="00D5299C">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D5299C"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D5299C" w:rsidRPr="002E0C7E">
        <w:rPr>
          <w:rFonts w:asciiTheme="minorHAnsi" w:hAnsiTheme="minorHAnsi" w:cstheme="minorHAnsi"/>
          <w:b/>
          <w:szCs w:val="24"/>
        </w:rPr>
        <w:t>SUPREME COURT OF CANADA SCHEDULE / CALENDRIER DE LA COUR SUPREME</w:t>
      </w:r>
    </w:p>
    <w:p w:rsidR="00D5299C" w:rsidRPr="002E0C7E" w:rsidRDefault="00D5299C" w:rsidP="00D5299C">
      <w:pPr>
        <w:widowControl w:val="0"/>
        <w:spacing w:line="180" w:lineRule="auto"/>
        <w:rPr>
          <w:rFonts w:asciiTheme="minorHAnsi" w:hAnsiTheme="minorHAnsi" w:cstheme="minorHAnsi"/>
          <w:szCs w:val="24"/>
        </w:rPr>
      </w:pPr>
    </w:p>
    <w:p w:rsidR="00D5299C" w:rsidRPr="002E0C7E" w:rsidRDefault="00D5299C" w:rsidP="00D5299C">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D5299C" w:rsidRPr="002E0C7E" w:rsidTr="002244A0">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D5299C" w:rsidRPr="002E0C7E" w:rsidRDefault="00D5299C" w:rsidP="002244A0">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D5299C" w:rsidRPr="002E0C7E" w:rsidRDefault="00D5299C" w:rsidP="002244A0">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D5299C" w:rsidRPr="002E0C7E" w:rsidRDefault="00D5299C" w:rsidP="002244A0">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D5299C" w:rsidRPr="002E0C7E" w:rsidRDefault="00D5299C" w:rsidP="002244A0">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D5299C" w:rsidRPr="002E0C7E" w:rsidRDefault="00D5299C" w:rsidP="002244A0">
            <w:pPr>
              <w:widowControl w:val="0"/>
              <w:jc w:val="center"/>
              <w:rPr>
                <w:rFonts w:ascii="Arial" w:hAnsi="Arial"/>
                <w:sz w:val="14"/>
              </w:rPr>
            </w:pPr>
            <w:r w:rsidRPr="002E0C7E">
              <w:rPr>
                <w:rFonts w:ascii="Arial" w:hAnsi="Arial"/>
                <w:b/>
                <w:sz w:val="14"/>
              </w:rPr>
              <w:t>DECEMBER - DÉCEMBRE</w:t>
            </w:r>
          </w:p>
        </w:tc>
      </w:tr>
      <w:tr w:rsidR="00D5299C" w:rsidRPr="002E0C7E" w:rsidTr="002244A0">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M</w:t>
            </w:r>
          </w:p>
          <w:p w:rsidR="00D5299C" w:rsidRPr="002E0C7E" w:rsidRDefault="00D5299C" w:rsidP="002244A0">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W</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F</w:t>
            </w:r>
          </w:p>
          <w:p w:rsidR="00D5299C" w:rsidRPr="002E0C7E" w:rsidRDefault="00D5299C" w:rsidP="002244A0">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M</w:t>
            </w:r>
          </w:p>
          <w:p w:rsidR="00D5299C" w:rsidRPr="002E0C7E" w:rsidRDefault="00D5299C" w:rsidP="002244A0">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W</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F</w:t>
            </w:r>
          </w:p>
          <w:p w:rsidR="00D5299C" w:rsidRPr="002E0C7E" w:rsidRDefault="00D5299C" w:rsidP="002244A0">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M</w:t>
            </w:r>
          </w:p>
          <w:p w:rsidR="00D5299C" w:rsidRPr="002E0C7E" w:rsidRDefault="00D5299C" w:rsidP="002244A0">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W</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F</w:t>
            </w:r>
          </w:p>
          <w:p w:rsidR="00D5299C" w:rsidRPr="002E0C7E" w:rsidRDefault="00D5299C" w:rsidP="002244A0">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S</w:t>
            </w:r>
          </w:p>
        </w:tc>
      </w:tr>
      <w:tr w:rsidR="00D5299C" w:rsidRPr="002E0C7E" w:rsidTr="002244A0">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w:t>
            </w:r>
          </w:p>
        </w:tc>
      </w:tr>
      <w:tr w:rsidR="00D5299C" w:rsidRPr="002E0C7E" w:rsidTr="002244A0">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D5299C" w:rsidRPr="000C583B" w:rsidRDefault="00D5299C" w:rsidP="002244A0">
            <w:pPr>
              <w:widowControl w:val="0"/>
              <w:jc w:val="center"/>
              <w:rPr>
                <w:rFonts w:ascii="Arial" w:hAnsi="Arial"/>
                <w:b/>
                <w:sz w:val="14"/>
              </w:rPr>
            </w:pPr>
            <w:r w:rsidRPr="000C583B">
              <w:rPr>
                <w:rFonts w:ascii="Arial" w:hAnsi="Arial"/>
                <w:b/>
                <w:sz w:val="14"/>
              </w:rPr>
              <w:t>H</w:t>
            </w:r>
          </w:p>
          <w:p w:rsidR="00D5299C" w:rsidRPr="002E0C7E" w:rsidRDefault="00D5299C" w:rsidP="002244A0">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D5299C" w:rsidRPr="000C583B" w:rsidRDefault="00D5299C" w:rsidP="002244A0">
            <w:pPr>
              <w:widowControl w:val="0"/>
              <w:jc w:val="center"/>
              <w:rPr>
                <w:rFonts w:ascii="Arial" w:hAnsi="Arial"/>
                <w:b/>
                <w:sz w:val="14"/>
              </w:rPr>
            </w:pPr>
            <w:r w:rsidRPr="000C583B">
              <w:rPr>
                <w:rFonts w:ascii="Arial" w:hAnsi="Arial"/>
                <w:b/>
                <w:sz w:val="14"/>
              </w:rPr>
              <w:t>M</w:t>
            </w:r>
          </w:p>
          <w:p w:rsidR="00D5299C" w:rsidRPr="002E0C7E" w:rsidRDefault="00D5299C" w:rsidP="002244A0">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b/>
                <w:sz w:val="14"/>
              </w:rPr>
              <w:t>M</w:t>
            </w:r>
          </w:p>
          <w:p w:rsidR="00D5299C" w:rsidRPr="002E0C7E" w:rsidRDefault="00D5299C" w:rsidP="002244A0">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b/>
                <w:sz w:val="14"/>
              </w:rPr>
              <w:t>M</w:t>
            </w:r>
          </w:p>
          <w:p w:rsidR="00D5299C" w:rsidRPr="002E0C7E" w:rsidRDefault="00D5299C" w:rsidP="002244A0">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8</w:t>
            </w:r>
          </w:p>
        </w:tc>
      </w:tr>
      <w:tr w:rsidR="00D5299C" w:rsidRPr="002E0C7E" w:rsidTr="002244A0">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0C583B" w:rsidRDefault="00D5299C" w:rsidP="002244A0">
            <w:pPr>
              <w:widowControl w:val="0"/>
              <w:jc w:val="center"/>
              <w:rPr>
                <w:rFonts w:ascii="Arial" w:hAnsi="Arial"/>
                <w:b/>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0C583B"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D5299C" w:rsidRPr="004030BA" w:rsidRDefault="00D5299C" w:rsidP="002244A0">
            <w:pPr>
              <w:widowControl w:val="0"/>
              <w:jc w:val="center"/>
              <w:rPr>
                <w:rFonts w:ascii="Arial" w:hAnsi="Arial"/>
                <w:sz w:val="14"/>
              </w:rPr>
            </w:pPr>
            <w:r>
              <w:rPr>
                <w:rFonts w:ascii="Arial" w:hAnsi="Arial"/>
                <w:b/>
                <w:sz w:val="14"/>
              </w:rPr>
              <w:t>H</w:t>
            </w: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5</w:t>
            </w:r>
          </w:p>
        </w:tc>
      </w:tr>
      <w:tr w:rsidR="00D5299C" w:rsidRPr="002E0C7E" w:rsidTr="002244A0">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2</w:t>
            </w:r>
          </w:p>
        </w:tc>
      </w:tr>
      <w:tr w:rsidR="00D5299C" w:rsidRPr="002E0C7E" w:rsidTr="002244A0">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Pr>
                <w:rFonts w:ascii="Arial" w:hAnsi="Arial"/>
                <w:sz w:val="14"/>
              </w:rPr>
              <w:t>23</w:t>
            </w:r>
          </w:p>
          <w:p w:rsidR="00D5299C" w:rsidRPr="002E0C7E" w:rsidRDefault="00D5299C" w:rsidP="002244A0">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Pr>
                <w:rFonts w:ascii="Arial" w:hAnsi="Arial"/>
                <w:sz w:val="14"/>
              </w:rPr>
              <w:t>24</w:t>
            </w:r>
          </w:p>
          <w:p w:rsidR="00D5299C" w:rsidRPr="002E0C7E" w:rsidRDefault="00D5299C" w:rsidP="002244A0">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b/>
                <w:sz w:val="14"/>
              </w:rPr>
              <w:t>H</w:t>
            </w: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29</w:t>
            </w:r>
          </w:p>
        </w:tc>
      </w:tr>
    </w:tbl>
    <w:p w:rsidR="00D5299C" w:rsidRPr="002E0C7E" w:rsidRDefault="00D5299C" w:rsidP="00D5299C">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D5299C" w:rsidRPr="002E0C7E" w:rsidTr="002244A0">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D5299C" w:rsidRPr="002E0C7E" w:rsidRDefault="00D5299C" w:rsidP="002244A0">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D5299C" w:rsidRPr="002E0C7E" w:rsidRDefault="00D5299C" w:rsidP="002244A0">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D5299C" w:rsidRPr="002E0C7E" w:rsidRDefault="00D5299C" w:rsidP="002244A0">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D5299C" w:rsidRPr="002E0C7E" w:rsidRDefault="00D5299C" w:rsidP="002244A0">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D5299C" w:rsidRPr="002E0C7E" w:rsidRDefault="00D5299C" w:rsidP="002244A0">
            <w:pPr>
              <w:widowControl w:val="0"/>
              <w:jc w:val="center"/>
              <w:rPr>
                <w:rFonts w:ascii="Arial" w:hAnsi="Arial"/>
                <w:sz w:val="14"/>
              </w:rPr>
            </w:pPr>
            <w:r w:rsidRPr="002E0C7E">
              <w:rPr>
                <w:rFonts w:ascii="Arial" w:hAnsi="Arial"/>
                <w:b/>
                <w:sz w:val="14"/>
              </w:rPr>
              <w:t>MARCH - MARS</w:t>
            </w:r>
          </w:p>
        </w:tc>
      </w:tr>
      <w:tr w:rsidR="00D5299C" w:rsidRPr="002E0C7E" w:rsidTr="002244A0">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M</w:t>
            </w:r>
          </w:p>
          <w:p w:rsidR="00D5299C" w:rsidRPr="002E0C7E" w:rsidRDefault="00D5299C" w:rsidP="002244A0">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W</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F</w:t>
            </w:r>
          </w:p>
          <w:p w:rsidR="00D5299C" w:rsidRPr="002E0C7E" w:rsidRDefault="00D5299C" w:rsidP="002244A0">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M</w:t>
            </w:r>
          </w:p>
          <w:p w:rsidR="00D5299C" w:rsidRPr="002E0C7E" w:rsidRDefault="00D5299C" w:rsidP="002244A0">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W</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F</w:t>
            </w:r>
          </w:p>
          <w:p w:rsidR="00D5299C" w:rsidRPr="002E0C7E" w:rsidRDefault="00D5299C" w:rsidP="002244A0">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M</w:t>
            </w:r>
          </w:p>
          <w:p w:rsidR="00D5299C" w:rsidRPr="002E0C7E" w:rsidRDefault="00D5299C" w:rsidP="002244A0">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W</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F</w:t>
            </w:r>
          </w:p>
          <w:p w:rsidR="00D5299C" w:rsidRPr="002E0C7E" w:rsidRDefault="00D5299C" w:rsidP="002244A0">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S</w:t>
            </w:r>
          </w:p>
        </w:tc>
      </w:tr>
      <w:tr w:rsidR="00D5299C" w:rsidRPr="002E0C7E" w:rsidTr="002244A0">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D5299C" w:rsidRPr="00317A69" w:rsidRDefault="00D5299C" w:rsidP="002244A0">
            <w:pPr>
              <w:widowControl w:val="0"/>
              <w:jc w:val="center"/>
              <w:rPr>
                <w:rFonts w:ascii="Arial" w:hAnsi="Arial"/>
                <w:b/>
                <w:sz w:val="14"/>
              </w:rPr>
            </w:pPr>
            <w:r>
              <w:rPr>
                <w:rFonts w:ascii="Arial" w:hAnsi="Arial"/>
                <w:b/>
                <w:sz w:val="14"/>
              </w:rPr>
              <w:t>H</w:t>
            </w:r>
          </w:p>
          <w:p w:rsidR="00D5299C" w:rsidRPr="002E0C7E" w:rsidRDefault="00D5299C" w:rsidP="002244A0">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w:t>
            </w:r>
          </w:p>
        </w:tc>
      </w:tr>
      <w:tr w:rsidR="00D5299C" w:rsidRPr="002E0C7E" w:rsidTr="002244A0">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9</w:t>
            </w:r>
          </w:p>
        </w:tc>
      </w:tr>
      <w:tr w:rsidR="00D5299C" w:rsidRPr="002E0C7E" w:rsidTr="002244A0">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D5299C" w:rsidRPr="007255AD" w:rsidRDefault="00D5299C" w:rsidP="002244A0">
            <w:pPr>
              <w:widowControl w:val="0"/>
              <w:jc w:val="center"/>
              <w:rPr>
                <w:rFonts w:ascii="Arial" w:hAnsi="Arial"/>
                <w:b/>
                <w:sz w:val="14"/>
              </w:rPr>
            </w:pPr>
            <w:r>
              <w:rPr>
                <w:rFonts w:ascii="Arial" w:hAnsi="Arial"/>
                <w:b/>
                <w:sz w:val="14"/>
              </w:rPr>
              <w:t>M</w:t>
            </w: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D5299C" w:rsidRPr="000E2B85" w:rsidRDefault="00D5299C" w:rsidP="002244A0">
            <w:pPr>
              <w:widowControl w:val="0"/>
              <w:jc w:val="center"/>
              <w:rPr>
                <w:rFonts w:ascii="Arial" w:hAnsi="Arial"/>
                <w:b/>
                <w:sz w:val="14"/>
              </w:rPr>
            </w:pPr>
            <w:r>
              <w:rPr>
                <w:rFonts w:ascii="Arial" w:hAnsi="Arial"/>
                <w:b/>
                <w:sz w:val="14"/>
              </w:rPr>
              <w:t>M</w:t>
            </w: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6</w:t>
            </w:r>
          </w:p>
        </w:tc>
      </w:tr>
      <w:tr w:rsidR="00D5299C" w:rsidRPr="002E0C7E" w:rsidTr="002244A0">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D5299C" w:rsidRPr="00D34238" w:rsidRDefault="00D5299C" w:rsidP="002244A0">
            <w:pPr>
              <w:widowControl w:val="0"/>
              <w:jc w:val="center"/>
              <w:rPr>
                <w:rFonts w:ascii="Arial" w:hAnsi="Arial"/>
                <w:b/>
                <w:sz w:val="14"/>
              </w:rPr>
            </w:pPr>
            <w:r>
              <w:rPr>
                <w:rFonts w:ascii="Arial" w:hAnsi="Arial"/>
                <w:b/>
                <w:sz w:val="14"/>
              </w:rPr>
              <w:t>M</w:t>
            </w: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3</w:t>
            </w:r>
          </w:p>
        </w:tc>
      </w:tr>
      <w:tr w:rsidR="00D5299C" w:rsidRPr="002E0C7E" w:rsidTr="002244A0">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Pr>
                <w:rFonts w:ascii="Arial" w:hAnsi="Arial"/>
                <w:sz w:val="14"/>
              </w:rPr>
              <w:t>24</w:t>
            </w:r>
          </w:p>
          <w:p w:rsidR="00D5299C" w:rsidRPr="002E0C7E" w:rsidRDefault="00D5299C" w:rsidP="002244A0">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D5299C" w:rsidRPr="00261B35" w:rsidRDefault="00D5299C" w:rsidP="002244A0">
            <w:pPr>
              <w:widowControl w:val="0"/>
              <w:jc w:val="center"/>
              <w:rPr>
                <w:rFonts w:ascii="Arial" w:hAnsi="Arial"/>
                <w:b/>
                <w:sz w:val="14"/>
              </w:rPr>
            </w:pPr>
            <w:r w:rsidRPr="00261B35">
              <w:rPr>
                <w:rFonts w:ascii="Arial" w:hAnsi="Arial"/>
                <w:b/>
                <w:sz w:val="14"/>
              </w:rPr>
              <w:t>H</w:t>
            </w:r>
          </w:p>
          <w:p w:rsidR="00D5299C" w:rsidRPr="002E0C7E" w:rsidRDefault="00D5299C" w:rsidP="002244A0">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3</w:t>
            </w:r>
            <w:r>
              <w:rPr>
                <w:rFonts w:ascii="Arial" w:hAnsi="Arial"/>
                <w:sz w:val="14"/>
              </w:rPr>
              <w:t>0</w:t>
            </w:r>
          </w:p>
        </w:tc>
      </w:tr>
    </w:tbl>
    <w:p w:rsidR="00D5299C" w:rsidRPr="002E0C7E" w:rsidRDefault="00D5299C" w:rsidP="00D5299C">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D5299C" w:rsidRPr="002E0C7E" w:rsidTr="002244A0">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D5299C" w:rsidRPr="002E0C7E" w:rsidRDefault="00D5299C" w:rsidP="002244A0">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D5299C" w:rsidRPr="002E0C7E" w:rsidRDefault="00D5299C" w:rsidP="002244A0">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D5299C" w:rsidRPr="002E0C7E" w:rsidRDefault="00D5299C" w:rsidP="002244A0">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D5299C" w:rsidRPr="002E0C7E" w:rsidRDefault="00D5299C" w:rsidP="002244A0">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D5299C" w:rsidRPr="002E0C7E" w:rsidRDefault="00D5299C" w:rsidP="002244A0">
            <w:pPr>
              <w:widowControl w:val="0"/>
              <w:jc w:val="center"/>
              <w:rPr>
                <w:rFonts w:ascii="Arial" w:hAnsi="Arial"/>
                <w:sz w:val="14"/>
              </w:rPr>
            </w:pPr>
            <w:r w:rsidRPr="002E0C7E">
              <w:rPr>
                <w:rFonts w:ascii="Arial" w:hAnsi="Arial"/>
                <w:b/>
                <w:sz w:val="14"/>
              </w:rPr>
              <w:t>JUNE - JUIN</w:t>
            </w:r>
          </w:p>
        </w:tc>
      </w:tr>
      <w:tr w:rsidR="00D5299C" w:rsidRPr="002E0C7E" w:rsidTr="002244A0">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M</w:t>
            </w:r>
          </w:p>
          <w:p w:rsidR="00D5299C" w:rsidRPr="002E0C7E" w:rsidRDefault="00D5299C" w:rsidP="002244A0">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W</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F</w:t>
            </w:r>
          </w:p>
          <w:p w:rsidR="00D5299C" w:rsidRPr="002E0C7E" w:rsidRDefault="00D5299C" w:rsidP="002244A0">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M</w:t>
            </w:r>
          </w:p>
          <w:p w:rsidR="00D5299C" w:rsidRPr="002E0C7E" w:rsidRDefault="00D5299C" w:rsidP="002244A0">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W</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F</w:t>
            </w:r>
          </w:p>
          <w:p w:rsidR="00D5299C" w:rsidRPr="002E0C7E" w:rsidRDefault="00D5299C" w:rsidP="002244A0">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M</w:t>
            </w:r>
          </w:p>
          <w:p w:rsidR="00D5299C" w:rsidRPr="002E0C7E" w:rsidRDefault="00D5299C" w:rsidP="002244A0">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W</w:t>
            </w:r>
          </w:p>
          <w:p w:rsidR="00D5299C" w:rsidRPr="002E0C7E" w:rsidRDefault="00D5299C" w:rsidP="002244A0">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T</w:t>
            </w:r>
          </w:p>
          <w:p w:rsidR="00D5299C" w:rsidRPr="002E0C7E" w:rsidRDefault="00D5299C" w:rsidP="002244A0">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F</w:t>
            </w:r>
          </w:p>
          <w:p w:rsidR="00D5299C" w:rsidRPr="002E0C7E" w:rsidRDefault="00D5299C" w:rsidP="002244A0">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sidRPr="002E0C7E">
              <w:rPr>
                <w:rFonts w:ascii="Arial" w:hAnsi="Arial"/>
                <w:sz w:val="14"/>
              </w:rPr>
              <w:t>s</w:t>
            </w:r>
          </w:p>
          <w:p w:rsidR="00D5299C" w:rsidRPr="002E0C7E" w:rsidRDefault="00D5299C" w:rsidP="002244A0">
            <w:pPr>
              <w:widowControl w:val="0"/>
              <w:jc w:val="center"/>
              <w:rPr>
                <w:rFonts w:ascii="Arial" w:hAnsi="Arial"/>
                <w:sz w:val="14"/>
              </w:rPr>
            </w:pPr>
            <w:r w:rsidRPr="002E0C7E">
              <w:rPr>
                <w:rFonts w:ascii="Arial" w:hAnsi="Arial"/>
                <w:sz w:val="14"/>
              </w:rPr>
              <w:t>s</w:t>
            </w:r>
          </w:p>
        </w:tc>
      </w:tr>
      <w:tr w:rsidR="00D5299C" w:rsidRPr="002E0C7E" w:rsidTr="002244A0">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D5299C" w:rsidRPr="002453E3" w:rsidRDefault="00D5299C" w:rsidP="002244A0">
            <w:pPr>
              <w:widowControl w:val="0"/>
              <w:jc w:val="center"/>
              <w:rPr>
                <w:rFonts w:ascii="Arial" w:hAnsi="Arial"/>
                <w:b/>
                <w:sz w:val="14"/>
              </w:rPr>
            </w:pPr>
            <w:r w:rsidRPr="002453E3">
              <w:rPr>
                <w:rFonts w:ascii="Arial" w:hAnsi="Arial"/>
                <w:b/>
                <w:sz w:val="14"/>
              </w:rPr>
              <w:t>H</w:t>
            </w:r>
          </w:p>
          <w:p w:rsidR="00D5299C" w:rsidRPr="002E0C7E" w:rsidRDefault="00D5299C" w:rsidP="002244A0">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b/>
                <w:sz w:val="14"/>
              </w:rPr>
            </w:pPr>
          </w:p>
          <w:p w:rsidR="00D5299C" w:rsidRPr="002E0C7E" w:rsidRDefault="00D5299C" w:rsidP="002244A0">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w:t>
            </w:r>
          </w:p>
        </w:tc>
      </w:tr>
      <w:tr w:rsidR="00D5299C" w:rsidRPr="002E0C7E" w:rsidTr="002244A0">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D5299C" w:rsidRPr="00710C8B" w:rsidRDefault="00D5299C" w:rsidP="002244A0">
            <w:pPr>
              <w:widowControl w:val="0"/>
              <w:jc w:val="center"/>
              <w:rPr>
                <w:rFonts w:ascii="Arial" w:hAnsi="Arial"/>
                <w:b/>
                <w:sz w:val="14"/>
              </w:rPr>
            </w:pPr>
          </w:p>
          <w:p w:rsidR="00D5299C" w:rsidRPr="002E0C7E" w:rsidRDefault="00D5299C" w:rsidP="002244A0">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8</w:t>
            </w:r>
          </w:p>
        </w:tc>
      </w:tr>
      <w:tr w:rsidR="00D5299C" w:rsidRPr="002E0C7E" w:rsidTr="002244A0">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D5299C" w:rsidRPr="00DB5777" w:rsidRDefault="00D5299C" w:rsidP="002244A0">
            <w:pPr>
              <w:widowControl w:val="0"/>
              <w:jc w:val="center"/>
              <w:rPr>
                <w:rFonts w:ascii="Arial" w:hAnsi="Arial"/>
                <w:b/>
                <w:sz w:val="14"/>
              </w:rPr>
            </w:pPr>
            <w:r w:rsidRPr="00DB5777">
              <w:rPr>
                <w:rFonts w:ascii="Arial" w:hAnsi="Arial"/>
                <w:b/>
                <w:sz w:val="14"/>
              </w:rPr>
              <w:t>M</w:t>
            </w: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D5299C" w:rsidRPr="002453E3" w:rsidRDefault="00D5299C" w:rsidP="002244A0">
            <w:pPr>
              <w:widowControl w:val="0"/>
              <w:jc w:val="center"/>
              <w:rPr>
                <w:rFonts w:ascii="Arial" w:hAnsi="Arial"/>
                <w:b/>
                <w:sz w:val="14"/>
              </w:rPr>
            </w:pPr>
            <w:r w:rsidRPr="002453E3">
              <w:rPr>
                <w:rFonts w:ascii="Arial" w:hAnsi="Arial"/>
                <w:b/>
                <w:sz w:val="14"/>
              </w:rPr>
              <w:t>M</w:t>
            </w: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D5299C" w:rsidRPr="006A1E8D" w:rsidRDefault="00D5299C" w:rsidP="002244A0">
            <w:pPr>
              <w:widowControl w:val="0"/>
              <w:jc w:val="center"/>
              <w:rPr>
                <w:rFonts w:ascii="Arial" w:hAnsi="Arial"/>
                <w:b/>
                <w:sz w:val="14"/>
              </w:rPr>
            </w:pPr>
            <w:r w:rsidRPr="006A1E8D">
              <w:rPr>
                <w:rFonts w:ascii="Arial" w:hAnsi="Arial"/>
                <w:b/>
                <w:sz w:val="14"/>
              </w:rPr>
              <w:t>M</w:t>
            </w: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5</w:t>
            </w:r>
          </w:p>
        </w:tc>
      </w:tr>
      <w:tr w:rsidR="00D5299C" w:rsidRPr="002E0C7E" w:rsidTr="002244A0">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D5299C" w:rsidRPr="002453E3" w:rsidRDefault="00D5299C" w:rsidP="002244A0">
            <w:pPr>
              <w:widowControl w:val="0"/>
              <w:jc w:val="center"/>
              <w:rPr>
                <w:rFonts w:ascii="Arial" w:hAnsi="Arial"/>
                <w:b/>
                <w:sz w:val="14"/>
              </w:rPr>
            </w:pPr>
            <w:r>
              <w:rPr>
                <w:rFonts w:ascii="Arial" w:hAnsi="Arial"/>
                <w:b/>
                <w:sz w:val="14"/>
              </w:rPr>
              <w:t>H</w:t>
            </w: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2</w:t>
            </w:r>
          </w:p>
        </w:tc>
      </w:tr>
      <w:tr w:rsidR="00D5299C" w:rsidRPr="002E0C7E" w:rsidTr="002244A0">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r>
              <w:rPr>
                <w:rFonts w:ascii="Arial" w:hAnsi="Arial"/>
                <w:sz w:val="14"/>
              </w:rPr>
              <w:t>23</w:t>
            </w:r>
          </w:p>
          <w:p w:rsidR="00D5299C" w:rsidRPr="002E0C7E" w:rsidRDefault="00D5299C" w:rsidP="002244A0">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D5299C" w:rsidRPr="002E0C7E" w:rsidRDefault="00D5299C" w:rsidP="002244A0">
            <w:pPr>
              <w:widowControl w:val="0"/>
              <w:jc w:val="center"/>
              <w:rPr>
                <w:rFonts w:ascii="Arial" w:hAnsi="Arial"/>
                <w:sz w:val="14"/>
              </w:rPr>
            </w:pPr>
          </w:p>
          <w:p w:rsidR="00D5299C" w:rsidRPr="002E0C7E" w:rsidRDefault="00D5299C" w:rsidP="002244A0">
            <w:pPr>
              <w:widowControl w:val="0"/>
              <w:jc w:val="center"/>
              <w:rPr>
                <w:rFonts w:ascii="Arial" w:hAnsi="Arial"/>
                <w:sz w:val="14"/>
              </w:rPr>
            </w:pPr>
            <w:r>
              <w:rPr>
                <w:rFonts w:ascii="Arial" w:hAnsi="Arial"/>
                <w:sz w:val="14"/>
              </w:rPr>
              <w:t>29</w:t>
            </w:r>
          </w:p>
        </w:tc>
      </w:tr>
    </w:tbl>
    <w:p w:rsidR="00D5299C" w:rsidRPr="002E0C7E" w:rsidRDefault="00D5299C" w:rsidP="00D5299C">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D5299C" w:rsidRPr="002E0C7E" w:rsidTr="002244A0">
        <w:trPr>
          <w:cantSplit/>
        </w:trPr>
        <w:tc>
          <w:tcPr>
            <w:tcW w:w="1710" w:type="dxa"/>
            <w:tcBorders>
              <w:top w:val="nil"/>
              <w:left w:val="nil"/>
              <w:bottom w:val="nil"/>
              <w:right w:val="nil"/>
            </w:tcBorders>
            <w:tcMar>
              <w:top w:w="43" w:type="dxa"/>
              <w:left w:w="120" w:type="dxa"/>
              <w:bottom w:w="29" w:type="dxa"/>
              <w:right w:w="120" w:type="dxa"/>
            </w:tcMar>
          </w:tcPr>
          <w:p w:rsidR="00D5299C" w:rsidRPr="002E0C7E" w:rsidRDefault="00D5299C" w:rsidP="002244A0">
            <w:pPr>
              <w:widowControl w:val="0"/>
              <w:rPr>
                <w:rFonts w:ascii="Arial" w:hAnsi="Arial"/>
                <w:sz w:val="16"/>
              </w:rPr>
            </w:pPr>
            <w:r w:rsidRPr="002E0C7E">
              <w:rPr>
                <w:rFonts w:ascii="Arial" w:hAnsi="Arial"/>
                <w:sz w:val="16"/>
              </w:rPr>
              <w:t>Sittings of the court:</w:t>
            </w:r>
          </w:p>
          <w:p w:rsidR="00D5299C" w:rsidRPr="002E0C7E" w:rsidRDefault="00D5299C" w:rsidP="002244A0">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D5299C" w:rsidRPr="002E0C7E" w:rsidRDefault="00D5299C" w:rsidP="002244A0">
            <w:pPr>
              <w:widowControl w:val="0"/>
              <w:rPr>
                <w:rFonts w:ascii="Arial" w:hAnsi="Arial"/>
                <w:sz w:val="16"/>
              </w:rPr>
            </w:pPr>
          </w:p>
          <w:p w:rsidR="00D5299C" w:rsidRPr="002E0C7E" w:rsidRDefault="00D5299C" w:rsidP="002244A0">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D5299C" w:rsidRPr="00B058C3" w:rsidRDefault="00D5299C" w:rsidP="00224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D5299C" w:rsidRPr="00B058C3" w:rsidRDefault="00D5299C" w:rsidP="00224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D5299C" w:rsidRPr="00B058C3" w:rsidRDefault="00D5299C" w:rsidP="00224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D5299C" w:rsidRPr="002E0C7E" w:rsidRDefault="00D5299C" w:rsidP="00224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D5299C" w:rsidRPr="002E0C7E" w:rsidRDefault="00D5299C" w:rsidP="00224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D5299C" w:rsidRPr="002E0C7E" w:rsidTr="002244A0">
        <w:trPr>
          <w:cantSplit/>
        </w:trPr>
        <w:tc>
          <w:tcPr>
            <w:tcW w:w="1710" w:type="dxa"/>
            <w:tcBorders>
              <w:top w:val="nil"/>
              <w:left w:val="nil"/>
              <w:bottom w:val="nil"/>
              <w:right w:val="double" w:sz="8" w:space="0" w:color="000000"/>
            </w:tcBorders>
            <w:tcMar>
              <w:top w:w="43" w:type="dxa"/>
              <w:left w:w="120" w:type="dxa"/>
              <w:bottom w:w="29" w:type="dxa"/>
              <w:right w:w="120" w:type="dxa"/>
            </w:tcMar>
          </w:tcPr>
          <w:p w:rsidR="00D5299C" w:rsidRPr="002E0C7E" w:rsidRDefault="00D5299C" w:rsidP="00224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D5299C" w:rsidRPr="002E0C7E" w:rsidRDefault="00D5299C" w:rsidP="00224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D5299C" w:rsidRPr="002E0C7E" w:rsidRDefault="00D5299C" w:rsidP="00224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D5299C" w:rsidRPr="002E0C7E" w:rsidRDefault="00D5299C" w:rsidP="00224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D5299C" w:rsidRPr="002E0C7E" w:rsidTr="002244A0">
        <w:trPr>
          <w:cantSplit/>
        </w:trPr>
        <w:tc>
          <w:tcPr>
            <w:tcW w:w="1710" w:type="dxa"/>
            <w:tcBorders>
              <w:top w:val="nil"/>
              <w:left w:val="nil"/>
              <w:bottom w:val="nil"/>
              <w:right w:val="double" w:sz="8" w:space="0" w:color="000000"/>
            </w:tcBorders>
            <w:tcMar>
              <w:top w:w="43" w:type="dxa"/>
              <w:left w:w="120" w:type="dxa"/>
              <w:bottom w:w="29" w:type="dxa"/>
              <w:right w:w="120" w:type="dxa"/>
            </w:tcMar>
          </w:tcPr>
          <w:p w:rsidR="00D5299C" w:rsidRPr="002E0C7E" w:rsidRDefault="00D5299C" w:rsidP="00224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D5299C" w:rsidRPr="002E0C7E" w:rsidRDefault="00D5299C" w:rsidP="00224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D5299C" w:rsidRPr="002E0C7E" w:rsidRDefault="00D5299C" w:rsidP="002244A0">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D5299C" w:rsidRPr="002E0C7E" w:rsidRDefault="00D5299C" w:rsidP="002244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D5299C" w:rsidRPr="002E0C7E" w:rsidRDefault="00D5299C" w:rsidP="00D5299C">
      <w:pPr>
        <w:widowControl w:val="0"/>
        <w:rPr>
          <w:rFonts w:ascii="Arial" w:hAnsi="Arial"/>
          <w:sz w:val="16"/>
        </w:rPr>
      </w:pPr>
    </w:p>
    <w:p w:rsidR="002410B8" w:rsidRPr="0022323B" w:rsidRDefault="002410B8" w:rsidP="00D5299C">
      <w:pPr>
        <w:widowControl w:val="0"/>
        <w:spacing w:line="180" w:lineRule="auto"/>
        <w:jc w:val="center"/>
        <w:rPr>
          <w:lang w:val="fr-CA"/>
        </w:rPr>
      </w:pPr>
    </w:p>
    <w:sectPr w:rsidR="002410B8" w:rsidRPr="0022323B" w:rsidSect="00924065">
      <w:headerReference w:type="default" r:id="rId61"/>
      <w:footerReference w:type="default" r:id="rId62"/>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357" w:rsidRDefault="007C6357" w:rsidP="00A87207">
      <w:r>
        <w:separator/>
      </w:r>
    </w:p>
  </w:endnote>
  <w:endnote w:type="continuationSeparator" w:id="0">
    <w:p w:rsidR="007C6357" w:rsidRDefault="007C6357"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pPr>
      <w:pStyle w:val="Footer"/>
      <w:rPr>
        <w:lang w:val="fr-CA"/>
      </w:rPr>
    </w:pPr>
    <w:r w:rsidRPr="00B62B14">
      <w:rPr>
        <w:lang w:val="fr-CA"/>
      </w:rPr>
      <w:pict>
        <v:rect id="_x0000_i1047" style="width:480.95pt;height:1pt" o:hralign="center" o:hrstd="t" o:hrnoshade="t" o:hr="t" fillcolor="black [3213]" stroked="f"/>
      </w:pict>
    </w:r>
  </w:p>
  <w:p w:rsidR="007C6357" w:rsidRDefault="007C6357" w:rsidP="00245129">
    <w:pPr>
      <w:tabs>
        <w:tab w:val="center" w:pos="4680"/>
      </w:tabs>
    </w:pPr>
    <w:r>
      <w:tab/>
    </w:r>
    <w:r w:rsidRPr="0009648D">
      <w:t xml:space="preserve">- </w:t>
    </w:r>
    <w:fldSimple w:instr=" PAGE   \* MERGEFORMAT ">
      <w:r w:rsidR="008F355F">
        <w:rPr>
          <w:noProof/>
        </w:rPr>
        <w:t>1154</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C6357" w:rsidRDefault="007C6357">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rsidP="00755F22">
    <w:pPr>
      <w:tabs>
        <w:tab w:val="left" w:pos="-1440"/>
        <w:tab w:val="left" w:pos="-720"/>
      </w:tabs>
    </w:pPr>
    <w:r>
      <w:pict>
        <v:rect id="_x0000_i1050" style="width:480.95pt;height:1pt" o:hralign="center" o:hrstd="t" o:hrnoshade="t" o:hr="t" fillcolor="black [3213]" stroked="f"/>
      </w:pict>
    </w:r>
  </w:p>
  <w:p w:rsidR="007C6357" w:rsidRDefault="007C6357" w:rsidP="00EB2B90">
    <w:pPr>
      <w:tabs>
        <w:tab w:val="center" w:pos="4680"/>
      </w:tabs>
    </w:pPr>
    <w:r>
      <w:tab/>
      <w:t xml:space="preserve">- </w:t>
    </w:r>
    <w:fldSimple w:instr=" PAGE   \* MERGEFORMAT ">
      <w:r w:rsidR="008F355F">
        <w:rPr>
          <w:noProof/>
        </w:rPr>
        <w:t>1162</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rsidP="00EB2B90">
    <w:pPr>
      <w:tabs>
        <w:tab w:val="center" w:pos="4680"/>
      </w:tabs>
    </w:pPr>
    <w:r>
      <w:pict>
        <v:rect id="_x0000_i1051" style="width:480.95pt;height:1pt" o:hralign="center" o:hrstd="t" o:hrnoshade="t" o:hr="t" fillcolor="black [3213]" stroked="f"/>
      </w:pict>
    </w:r>
  </w:p>
  <w:p w:rsidR="007C6357" w:rsidRPr="0031432F" w:rsidRDefault="007C6357" w:rsidP="00EB2B90">
    <w:pPr>
      <w:tabs>
        <w:tab w:val="center" w:pos="4680"/>
      </w:tabs>
    </w:pPr>
    <w:r>
      <w:tab/>
      <w:t xml:space="preserve">- </w:t>
    </w:r>
    <w:fldSimple w:instr=" PAGE   \* MERGEFORMAT ">
      <w:r w:rsidR="008F355F">
        <w:rPr>
          <w:noProof/>
        </w:rPr>
        <w:t>1160</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C6357" w:rsidRDefault="007C6357">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rsidP="00245129">
    <w:pPr>
      <w:tabs>
        <w:tab w:val="center" w:pos="4740"/>
      </w:tabs>
    </w:pPr>
    <w:r w:rsidRPr="00B62B14">
      <w:rPr>
        <w:lang w:val="fr-CA"/>
      </w:rPr>
      <w:pict>
        <v:rect id="_x0000_i1053" style="width:480.95pt;height:1pt" o:hralign="center" o:hrstd="t" o:hrnoshade="t" o:hr="t" fillcolor="black [3213]" stroked="f"/>
      </w:pict>
    </w:r>
  </w:p>
  <w:p w:rsidR="007C6357" w:rsidRDefault="007C6357" w:rsidP="00096BD9">
    <w:pPr>
      <w:tabs>
        <w:tab w:val="center" w:pos="4680"/>
      </w:tabs>
    </w:pPr>
    <w:r>
      <w:tab/>
      <w:t xml:space="preserve">- </w:t>
    </w:r>
    <w:fldSimple w:instr=" PAGE   \* MERGEFORMAT ">
      <w:r w:rsidR="00270729">
        <w:rPr>
          <w:noProof/>
        </w:rPr>
        <w:t>1164</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pPr>
      <w:pStyle w:val="Footer"/>
      <w:rPr>
        <w:lang w:val="fr-CA"/>
      </w:rPr>
    </w:pPr>
    <w:r w:rsidRPr="00B62B14">
      <w:rPr>
        <w:lang w:val="fr-CA"/>
      </w:rPr>
      <w:pict>
        <v:rect id="_x0000_i1054" style="width:480.95pt;height:1pt" o:hralign="center" o:hrstd="t" o:hrnoshade="t" o:hr="t" fillcolor="black [3213]" stroked="f"/>
      </w:pict>
    </w:r>
  </w:p>
  <w:p w:rsidR="007C6357" w:rsidRDefault="007C6357" w:rsidP="00096BD9">
    <w:pPr>
      <w:tabs>
        <w:tab w:val="center" w:pos="4680"/>
      </w:tabs>
    </w:pPr>
    <w:r>
      <w:tab/>
      <w:t xml:space="preserve">- </w:t>
    </w:r>
    <w:fldSimple w:instr=" PAGE   \* MERGEFORMAT ">
      <w:r w:rsidR="008F355F">
        <w:rPr>
          <w:noProof/>
        </w:rPr>
        <w:t>1163</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C6357" w:rsidRDefault="007C635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rsidP="00732DB7">
    <w:r>
      <w:pict>
        <v:rect id="_x0000_i1057" style="width:480.95pt;height:1pt" o:hralign="center" o:hrstd="t" o:hrnoshade="t" o:hr="t" fillcolor="black" stroked="f"/>
      </w:pict>
    </w:r>
  </w:p>
  <w:p w:rsidR="007C6357" w:rsidRDefault="007C6357">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pPr>
      <w:pStyle w:val="Footer"/>
    </w:pPr>
    <w:r>
      <w:pict>
        <v:rect id="_x0000_i1058" style="width:480.95pt;height:1pt" o:hralign="center" o:hrstd="t" o:hrnoshade="t" o:hr="t" fillcolor="black [3213]" stroked="f"/>
      </w:pict>
    </w:r>
  </w:p>
  <w:p w:rsidR="007C6357" w:rsidRPr="003C2C0F" w:rsidRDefault="007C6357" w:rsidP="00697C62">
    <w:pPr>
      <w:tabs>
        <w:tab w:val="center" w:pos="4680"/>
      </w:tabs>
    </w:pPr>
    <w:r>
      <w:tab/>
      <w:t xml:space="preserve">- </w:t>
    </w:r>
    <w:fldSimple w:instr=" PAGE   \* MERGEFORMAT ">
      <w:r w:rsidR="008F355F">
        <w:rPr>
          <w:noProof/>
        </w:rPr>
        <w:t>1164</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C6357" w:rsidRDefault="007C6357">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C6357" w:rsidRDefault="00B62B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3" style="width:480.95pt;height:1pt" o:hralign="center" o:hrstd="t" o:hrnoshade="t" o:hr="t" fillcolor="black [3213]" stroked="f"/>
      </w:pict>
    </w:r>
  </w:p>
  <w:p w:rsidR="007C6357" w:rsidRDefault="007C6357" w:rsidP="00782AE4">
    <w:pPr>
      <w:tabs>
        <w:tab w:val="center" w:pos="4680"/>
      </w:tabs>
    </w:pPr>
    <w:r>
      <w:tab/>
      <w:t xml:space="preserve">- </w:t>
    </w:r>
    <w:r w:rsidR="00B62B14" w:rsidRPr="001775C1">
      <w:rPr>
        <w:szCs w:val="24"/>
      </w:rPr>
      <w:fldChar w:fldCharType="begin"/>
    </w:r>
    <w:r w:rsidRPr="001775C1">
      <w:rPr>
        <w:szCs w:val="24"/>
      </w:rPr>
      <w:instrText xml:space="preserve"> PAGE   \* MERGEFORMAT </w:instrText>
    </w:r>
    <w:r w:rsidR="00B62B14" w:rsidRPr="001775C1">
      <w:rPr>
        <w:szCs w:val="24"/>
      </w:rPr>
      <w:fldChar w:fldCharType="separate"/>
    </w:r>
    <w:r w:rsidR="008F355F">
      <w:rPr>
        <w:noProof/>
        <w:szCs w:val="24"/>
      </w:rPr>
      <w:t>1171</w:t>
    </w:r>
    <w:r w:rsidR="00B62B14"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rsidP="00782AE4">
    <w:pPr>
      <w:tabs>
        <w:tab w:val="center" w:pos="4680"/>
      </w:tabs>
    </w:pPr>
    <w:r>
      <w:pict>
        <v:rect id="_x0000_i1064" style="width:480.95pt;height:1pt" o:hralign="center" o:hrstd="t" o:hrnoshade="t" o:hr="t" fillcolor="black [3213]" stroked="f"/>
      </w:pict>
    </w:r>
  </w:p>
  <w:p w:rsidR="007C6357" w:rsidRDefault="007C6357" w:rsidP="00782AE4">
    <w:pPr>
      <w:tabs>
        <w:tab w:val="center" w:pos="4680"/>
      </w:tabs>
    </w:pPr>
    <w:r>
      <w:tab/>
      <w:t xml:space="preserve">- </w:t>
    </w:r>
    <w:r w:rsidR="00B62B14" w:rsidRPr="001775C1">
      <w:rPr>
        <w:szCs w:val="24"/>
      </w:rPr>
      <w:fldChar w:fldCharType="begin"/>
    </w:r>
    <w:r w:rsidRPr="001775C1">
      <w:rPr>
        <w:szCs w:val="24"/>
      </w:rPr>
      <w:instrText xml:space="preserve"> PAGE   \* MERGEFORMAT </w:instrText>
    </w:r>
    <w:r w:rsidR="00B62B14" w:rsidRPr="001775C1">
      <w:rPr>
        <w:szCs w:val="24"/>
      </w:rPr>
      <w:fldChar w:fldCharType="separate"/>
    </w:r>
    <w:r w:rsidR="008F355F">
      <w:rPr>
        <w:noProof/>
        <w:szCs w:val="24"/>
      </w:rPr>
      <w:t>1165</w:t>
    </w:r>
    <w:r w:rsidR="00B62B14"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7C6357" w:rsidRDefault="007C635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7C6357" w:rsidRDefault="007C6357">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rsidP="0022323B">
    <w:r>
      <w:pict>
        <v:rect id="_x0000_i1066" style="width:480.95pt;height:1pt" o:hralign="center" o:hrstd="t" o:hrnoshade="t" o:hr="t" fillcolor="black [3213]" stroked="f"/>
      </w:pict>
    </w:r>
  </w:p>
  <w:p w:rsidR="007C6357" w:rsidRDefault="007C6357">
    <w:pPr>
      <w:tabs>
        <w:tab w:val="center" w:pos="4740"/>
      </w:tabs>
      <w:spacing w:line="0" w:lineRule="atLeast"/>
    </w:pPr>
    <w:r>
      <w:tab/>
      <w:t xml:space="preserve">- </w:t>
    </w:r>
    <w:fldSimple w:instr=" PAGE   \* MERGEFORMAT ">
      <w:r>
        <w:rPr>
          <w:noProof/>
        </w:rPr>
        <w:t>1186</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rsidP="0022323B">
    <w:r>
      <w:pict>
        <v:rect id="_x0000_i1067" style="width:480.95pt;height:1pt" o:hralign="center" o:hrstd="t" o:hrnoshade="t" o:hr="t" fillcolor="black [3213]" stroked="f"/>
      </w:pict>
    </w:r>
  </w:p>
  <w:p w:rsidR="007C6357" w:rsidRDefault="007C6357" w:rsidP="0022323B">
    <w:pPr>
      <w:tabs>
        <w:tab w:val="center" w:pos="4740"/>
      </w:tabs>
      <w:spacing w:line="0" w:lineRule="atLeast"/>
    </w:pPr>
    <w:r>
      <w:tab/>
      <w:t xml:space="preserve">- </w:t>
    </w:r>
    <w:fldSimple w:instr=" PAGE   \* MERGEFORMAT ">
      <w:r w:rsidR="008F355F">
        <w:rPr>
          <w:noProof/>
        </w:rPr>
        <w:t>1172</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Pr="00924065" w:rsidRDefault="007C6357"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rsidP="00A87207">
    <w:pPr>
      <w:pStyle w:val="Footer"/>
    </w:pPr>
    <w:r>
      <w:pict>
        <v:rect id="_x0000_i1035" style="width:480.95pt;height:1pt" o:hralign="center" o:hrstd="t" o:hrnoshade="t" o:hr="t" fillcolor="black [3213]" stroked="f"/>
      </w:pict>
    </w:r>
  </w:p>
  <w:p w:rsidR="007C6357" w:rsidRPr="00B7374B" w:rsidRDefault="007C6357" w:rsidP="00B7374B">
    <w:pPr>
      <w:tabs>
        <w:tab w:val="center" w:pos="4680"/>
      </w:tabs>
      <w:rPr>
        <w:szCs w:val="24"/>
      </w:rPr>
    </w:pPr>
    <w:r w:rsidRPr="00954D22">
      <w:rPr>
        <w:szCs w:val="24"/>
      </w:rPr>
      <w:tab/>
      <w:t xml:space="preserve">- </w:t>
    </w:r>
    <w:r w:rsidR="00B62B14" w:rsidRPr="00954D22">
      <w:rPr>
        <w:szCs w:val="24"/>
      </w:rPr>
      <w:fldChar w:fldCharType="begin"/>
    </w:r>
    <w:r w:rsidRPr="00954D22">
      <w:rPr>
        <w:szCs w:val="24"/>
      </w:rPr>
      <w:instrText xml:space="preserve"> PAGE   \* MERGEFORMAT </w:instrText>
    </w:r>
    <w:r w:rsidR="00B62B14" w:rsidRPr="00954D22">
      <w:rPr>
        <w:szCs w:val="24"/>
      </w:rPr>
      <w:fldChar w:fldCharType="separate"/>
    </w:r>
    <w:r w:rsidR="008F355F">
      <w:rPr>
        <w:noProof/>
        <w:szCs w:val="24"/>
      </w:rPr>
      <w:t>1151</w:t>
    </w:r>
    <w:r w:rsidR="00B62B14"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rsidP="00755F22">
    <w:pPr>
      <w:tabs>
        <w:tab w:val="left" w:pos="-1440"/>
        <w:tab w:val="left" w:pos="-720"/>
      </w:tabs>
    </w:pPr>
    <w:r>
      <w:pict>
        <v:rect id="_x0000_i1036" style="width:480.95pt;height:1pt" o:hralign="center" o:hrstd="t" o:hrnoshade="t" o:hr="t" fillcolor="black [3213]" stroked="f"/>
      </w:pict>
    </w:r>
  </w:p>
  <w:p w:rsidR="007C6357" w:rsidRPr="00954D22" w:rsidRDefault="007C6357" w:rsidP="00B7374B">
    <w:pPr>
      <w:tabs>
        <w:tab w:val="center" w:pos="4680"/>
      </w:tabs>
      <w:rPr>
        <w:szCs w:val="24"/>
      </w:rPr>
    </w:pPr>
    <w:r w:rsidRPr="00954D22">
      <w:rPr>
        <w:szCs w:val="24"/>
      </w:rPr>
      <w:tab/>
      <w:t xml:space="preserve">- </w:t>
    </w:r>
    <w:r w:rsidR="00B62B14">
      <w:rPr>
        <w:szCs w:val="24"/>
      </w:rPr>
      <w:fldChar w:fldCharType="begin"/>
    </w:r>
    <w:r>
      <w:rPr>
        <w:szCs w:val="24"/>
      </w:rPr>
      <w:instrText xml:space="preserve"> PAGE   \* MERGEFORMAT </w:instrText>
    </w:r>
    <w:r w:rsidR="00B62B14">
      <w:rPr>
        <w:szCs w:val="24"/>
      </w:rPr>
      <w:fldChar w:fldCharType="separate"/>
    </w:r>
    <w:r w:rsidR="008F355F">
      <w:rPr>
        <w:noProof/>
        <w:szCs w:val="24"/>
      </w:rPr>
      <w:t>1150</w:t>
    </w:r>
    <w:r w:rsidR="00B62B14">
      <w:rPr>
        <w:szCs w:val="24"/>
      </w:rPr>
      <w:fldChar w:fldCharType="end"/>
    </w:r>
    <w:r w:rsidRPr="00954D22">
      <w:rPr>
        <w:szCs w:val="24"/>
      </w:rPr>
      <w:t xml:space="preserve"> -</w:t>
    </w:r>
  </w:p>
  <w:p w:rsidR="007C6357" w:rsidRDefault="007C635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rsidP="00A87207">
    <w:pPr>
      <w:pStyle w:val="Footer"/>
    </w:pPr>
    <w:r>
      <w:pict>
        <v:rect id="_x0000_i1038" style="width:480.95pt;height:1pt" o:hralign="center" o:hrstd="t" o:hrnoshade="t" o:hr="t" fillcolor="black [3213]" stroked="f"/>
      </w:pict>
    </w:r>
  </w:p>
  <w:p w:rsidR="007C6357" w:rsidRPr="00B7374B" w:rsidRDefault="007C6357" w:rsidP="00B7374B">
    <w:pPr>
      <w:tabs>
        <w:tab w:val="center" w:pos="4680"/>
      </w:tabs>
      <w:rPr>
        <w:szCs w:val="24"/>
      </w:rPr>
    </w:pPr>
    <w:r w:rsidRPr="00954D22">
      <w:rPr>
        <w:szCs w:val="24"/>
      </w:rPr>
      <w:tab/>
      <w:t xml:space="preserve">- </w:t>
    </w:r>
    <w:r w:rsidR="00B62B14" w:rsidRPr="00954D22">
      <w:rPr>
        <w:szCs w:val="24"/>
      </w:rPr>
      <w:fldChar w:fldCharType="begin"/>
    </w:r>
    <w:r w:rsidRPr="00954D22">
      <w:rPr>
        <w:szCs w:val="24"/>
      </w:rPr>
      <w:instrText xml:space="preserve"> PAGE   \* MERGEFORMAT </w:instrText>
    </w:r>
    <w:r w:rsidR="00B62B14" w:rsidRPr="00954D22">
      <w:rPr>
        <w:szCs w:val="24"/>
      </w:rPr>
      <w:fldChar w:fldCharType="separate"/>
    </w:r>
    <w:r w:rsidR="008F355F">
      <w:rPr>
        <w:noProof/>
        <w:szCs w:val="24"/>
      </w:rPr>
      <w:t>1153</w:t>
    </w:r>
    <w:r w:rsidR="00B62B14"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7C6357" w:rsidRPr="00954D22" w:rsidRDefault="007C6357" w:rsidP="00B7374B">
    <w:pPr>
      <w:tabs>
        <w:tab w:val="center" w:pos="4680"/>
      </w:tabs>
      <w:rPr>
        <w:szCs w:val="24"/>
      </w:rPr>
    </w:pPr>
    <w:r w:rsidRPr="00954D22">
      <w:rPr>
        <w:szCs w:val="24"/>
      </w:rPr>
      <w:tab/>
      <w:t xml:space="preserve">- </w:t>
    </w:r>
    <w:r w:rsidR="00B62B14" w:rsidRPr="00954D22">
      <w:rPr>
        <w:szCs w:val="24"/>
      </w:rPr>
      <w:fldChar w:fldCharType="begin"/>
    </w:r>
    <w:r w:rsidRPr="00954D22">
      <w:rPr>
        <w:szCs w:val="24"/>
      </w:rPr>
      <w:instrText xml:space="preserve"> PAGE   \* MERGEFORMAT </w:instrText>
    </w:r>
    <w:r w:rsidR="00B62B14" w:rsidRPr="00954D22">
      <w:rPr>
        <w:szCs w:val="24"/>
      </w:rPr>
      <w:fldChar w:fldCharType="separate"/>
    </w:r>
    <w:r w:rsidR="008F355F">
      <w:rPr>
        <w:noProof/>
        <w:szCs w:val="24"/>
      </w:rPr>
      <w:t>1152</w:t>
    </w:r>
    <w:r w:rsidR="00B62B14"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C6357" w:rsidRDefault="007C6357">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B62B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62B14">
      <w:rPr>
        <w:lang w:val="fr-CA"/>
      </w:rPr>
      <w:pict>
        <v:rect id="_x0000_i1046" style="width:480.95pt;height:1pt" o:hralign="center" o:hrstd="t" o:hrnoshade="t" o:hr="t" fillcolor="black [3213]" stroked="f"/>
      </w:pict>
    </w:r>
  </w:p>
  <w:p w:rsidR="007C6357" w:rsidRPr="0009648D" w:rsidRDefault="007C6357" w:rsidP="00ED7E83">
    <w:pPr>
      <w:tabs>
        <w:tab w:val="center" w:pos="4680"/>
      </w:tabs>
    </w:pPr>
    <w:r>
      <w:tab/>
    </w:r>
    <w:r w:rsidRPr="0009648D">
      <w:t xml:space="preserve">- </w:t>
    </w:r>
    <w:fldSimple w:instr=" PAGE   \* MERGEFORMAT ">
      <w:r w:rsidR="008F355F">
        <w:rPr>
          <w:noProof/>
        </w:rPr>
        <w:t>1159</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357" w:rsidRDefault="007C6357" w:rsidP="00A87207">
      <w:r>
        <w:separator/>
      </w:r>
    </w:p>
  </w:footnote>
  <w:footnote w:type="continuationSeparator" w:id="0">
    <w:p w:rsidR="007C6357" w:rsidRDefault="007C6357"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C6357">
      <w:tc>
        <w:tcPr>
          <w:tcW w:w="4230" w:type="dxa"/>
          <w:tcMar>
            <w:left w:w="0" w:type="dxa"/>
            <w:right w:w="0" w:type="dxa"/>
          </w:tcMar>
        </w:tcPr>
        <w:p w:rsidR="007C6357"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C6357" w:rsidRDefault="007C63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C6357" w:rsidRDefault="007C63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C6357">
      <w:trPr>
        <w:gridAfter w:val="2"/>
        <w:wAfter w:w="5250" w:type="dxa"/>
      </w:trPr>
      <w:tc>
        <w:tcPr>
          <w:tcW w:w="4230" w:type="dxa"/>
          <w:tcMar>
            <w:left w:w="0" w:type="dxa"/>
            <w:right w:w="0" w:type="dxa"/>
          </w:tcMar>
        </w:tcPr>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C6357" w:rsidRPr="00755F22" w:rsidTr="00245129">
      <w:tc>
        <w:tcPr>
          <w:tcW w:w="4230" w:type="dxa"/>
          <w:tcMar>
            <w:left w:w="0" w:type="dxa"/>
            <w:right w:w="0" w:type="dxa"/>
          </w:tcMar>
        </w:tcPr>
        <w:p w:rsidR="007C6357" w:rsidRPr="00755F22" w:rsidRDefault="007C6357" w:rsidP="00831CA9">
          <w:pPr>
            <w:keepNext/>
            <w:keepLines/>
            <w:rPr>
              <w:sz w:val="20"/>
              <w:szCs w:val="20"/>
            </w:rPr>
          </w:pPr>
          <w:r w:rsidRPr="00755F22">
            <w:rPr>
              <w:sz w:val="20"/>
              <w:szCs w:val="20"/>
            </w:rPr>
            <w:t>MOTIONS</w:t>
          </w:r>
        </w:p>
      </w:tc>
      <w:tc>
        <w:tcPr>
          <w:tcW w:w="1170" w:type="dxa"/>
          <w:tcMar>
            <w:left w:w="0" w:type="dxa"/>
            <w:right w:w="0" w:type="dxa"/>
          </w:tcMar>
        </w:tcPr>
        <w:p w:rsidR="007C6357" w:rsidRPr="00755F22" w:rsidRDefault="007C6357" w:rsidP="00831CA9">
          <w:pPr>
            <w:keepLines/>
            <w:jc w:val="center"/>
            <w:rPr>
              <w:sz w:val="20"/>
              <w:szCs w:val="20"/>
            </w:rPr>
          </w:pPr>
        </w:p>
        <w:p w:rsidR="007C6357" w:rsidRPr="00755F22" w:rsidRDefault="007C6357" w:rsidP="00831CA9">
          <w:pPr>
            <w:keepLines/>
            <w:tabs>
              <w:tab w:val="left" w:pos="-1440"/>
              <w:tab w:val="left" w:pos="-720"/>
            </w:tabs>
            <w:jc w:val="center"/>
            <w:rPr>
              <w:sz w:val="20"/>
              <w:szCs w:val="20"/>
            </w:rPr>
          </w:pPr>
        </w:p>
      </w:tc>
      <w:tc>
        <w:tcPr>
          <w:tcW w:w="4080" w:type="dxa"/>
          <w:tcMar>
            <w:left w:w="0" w:type="dxa"/>
            <w:right w:w="0" w:type="dxa"/>
          </w:tcMar>
        </w:tcPr>
        <w:p w:rsidR="007C6357" w:rsidRPr="00BA6468" w:rsidRDefault="007C6357" w:rsidP="00BA6468">
          <w:pPr>
            <w:keepLines/>
            <w:rPr>
              <w:sz w:val="20"/>
              <w:szCs w:val="20"/>
              <w:lang w:val="fr-CA"/>
            </w:rPr>
          </w:pPr>
          <w:r w:rsidRPr="00BA6468">
            <w:rPr>
              <w:sz w:val="20"/>
              <w:szCs w:val="20"/>
              <w:lang w:val="fr-CA"/>
            </w:rPr>
            <w:t>REQUÊTES</w:t>
          </w:r>
        </w:p>
      </w:tc>
    </w:tr>
  </w:tbl>
  <w:p w:rsidR="007C6357" w:rsidRDefault="007C6357"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C6357" w:rsidRPr="00835818">
      <w:tc>
        <w:tcPr>
          <w:tcW w:w="4200" w:type="dxa"/>
          <w:tcMar>
            <w:left w:w="0" w:type="dxa"/>
            <w:right w:w="0" w:type="dxa"/>
          </w:tcMar>
        </w:tcPr>
        <w:p w:rsidR="007C6357"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7C6357"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7C6357" w:rsidRPr="004D47AC" w:rsidRDefault="007C63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4D47AC">
            <w:rPr>
              <w:b/>
              <w:lang w:val="fr-CA"/>
            </w:rPr>
            <w:t>AVIS DE RETRAIT DE L’INTERVENTION  DÉPOSÉ DEPUIS LA DERNIÈRE PARUTION</w:t>
          </w:r>
        </w:p>
        <w:p w:rsidR="007C6357" w:rsidRPr="004D47AC"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C6357" w:rsidRPr="004D47AC"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C6357" w:rsidRPr="00835818" w:rsidTr="00245129">
      <w:tc>
        <w:tcPr>
          <w:tcW w:w="4200" w:type="dxa"/>
          <w:tcMar>
            <w:left w:w="0" w:type="dxa"/>
            <w:right w:w="0" w:type="dxa"/>
          </w:tcMar>
        </w:tcPr>
        <w:p w:rsidR="007C6357" w:rsidRPr="00B4740D" w:rsidRDefault="007C6357" w:rsidP="00096BD9">
          <w:pPr>
            <w:rPr>
              <w:sz w:val="20"/>
              <w:szCs w:val="20"/>
            </w:rPr>
          </w:pPr>
          <w:r w:rsidRPr="00B4740D">
            <w:rPr>
              <w:sz w:val="20"/>
              <w:szCs w:val="20"/>
            </w:rPr>
            <w:t>NOTICES OF INTERVENTION FILED SINCE LAST ISSUE</w:t>
          </w:r>
        </w:p>
      </w:tc>
      <w:tc>
        <w:tcPr>
          <w:tcW w:w="1200" w:type="dxa"/>
          <w:tcMar>
            <w:left w:w="0" w:type="dxa"/>
            <w:right w:w="0" w:type="dxa"/>
          </w:tcMar>
        </w:tcPr>
        <w:p w:rsidR="007C6357" w:rsidRPr="00B4740D" w:rsidRDefault="007C6357" w:rsidP="00096BD9">
          <w:pPr>
            <w:jc w:val="center"/>
            <w:rPr>
              <w:sz w:val="20"/>
              <w:szCs w:val="20"/>
            </w:rPr>
          </w:pPr>
        </w:p>
        <w:p w:rsidR="007C6357" w:rsidRPr="00B4740D" w:rsidRDefault="007C6357" w:rsidP="00096BD9">
          <w:pPr>
            <w:jc w:val="center"/>
            <w:rPr>
              <w:sz w:val="20"/>
              <w:szCs w:val="20"/>
            </w:rPr>
          </w:pPr>
        </w:p>
        <w:p w:rsidR="007C6357" w:rsidRPr="00B4740D" w:rsidRDefault="007C6357" w:rsidP="00096BD9">
          <w:pPr>
            <w:jc w:val="center"/>
            <w:rPr>
              <w:sz w:val="20"/>
              <w:szCs w:val="20"/>
            </w:rPr>
          </w:pPr>
        </w:p>
      </w:tc>
      <w:tc>
        <w:tcPr>
          <w:tcW w:w="4080" w:type="dxa"/>
          <w:tcMar>
            <w:left w:w="0" w:type="dxa"/>
            <w:right w:w="0" w:type="dxa"/>
          </w:tcMar>
        </w:tcPr>
        <w:p w:rsidR="007C6357" w:rsidRPr="00B4740D" w:rsidRDefault="007C6357" w:rsidP="00096BD9">
          <w:pPr>
            <w:rPr>
              <w:sz w:val="20"/>
              <w:szCs w:val="20"/>
              <w:lang w:val="fr-CA"/>
            </w:rPr>
          </w:pPr>
          <w:r w:rsidRPr="00B4740D">
            <w:rPr>
              <w:sz w:val="20"/>
              <w:szCs w:val="20"/>
              <w:lang w:val="fr-CA"/>
            </w:rPr>
            <w:t>AVIS D’INTERVENTION DÉPOSÉS DEPUIS LA DERNIÈRE PARUTION</w:t>
          </w:r>
        </w:p>
      </w:tc>
    </w:tr>
  </w:tbl>
  <w:p w:rsidR="007C6357" w:rsidRPr="004D47AC" w:rsidRDefault="007C6357" w:rsidP="0009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C6357" w:rsidRPr="00835818">
      <w:tc>
        <w:tcPr>
          <w:tcW w:w="4200" w:type="dxa"/>
          <w:tcMar>
            <w:left w:w="0" w:type="dxa"/>
            <w:right w:w="0" w:type="dxa"/>
          </w:tcMar>
        </w:tcPr>
        <w:p w:rsidR="007C6357"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C6357"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C6357"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C6357" w:rsidRPr="003C2C0F" w:rsidRDefault="007C63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C6357" w:rsidRPr="003C2C0F"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C6357" w:rsidRPr="003C2C0F"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C6357" w:rsidRPr="00835818" w:rsidTr="00245129">
      <w:tc>
        <w:tcPr>
          <w:tcW w:w="4200" w:type="dxa"/>
          <w:tcMar>
            <w:left w:w="0" w:type="dxa"/>
            <w:right w:w="0" w:type="dxa"/>
          </w:tcMar>
        </w:tcPr>
        <w:p w:rsidR="007C6357" w:rsidRPr="00FF6EEC" w:rsidRDefault="007C6357" w:rsidP="00FF6EEC">
          <w:pPr>
            <w:rPr>
              <w:sz w:val="20"/>
              <w:szCs w:val="20"/>
            </w:rPr>
          </w:pPr>
          <w:r w:rsidRPr="00FF6EEC">
            <w:rPr>
              <w:sz w:val="20"/>
              <w:szCs w:val="20"/>
            </w:rPr>
            <w:t>PRONOUNCEMENTS OF APPEALS RESERVED</w:t>
          </w:r>
        </w:p>
      </w:tc>
      <w:tc>
        <w:tcPr>
          <w:tcW w:w="1200" w:type="dxa"/>
          <w:tcMar>
            <w:left w:w="0" w:type="dxa"/>
            <w:right w:w="0" w:type="dxa"/>
          </w:tcMar>
        </w:tcPr>
        <w:p w:rsidR="007C6357" w:rsidRPr="00FF6EEC" w:rsidRDefault="007C6357" w:rsidP="00FF6EEC">
          <w:pPr>
            <w:jc w:val="center"/>
            <w:rPr>
              <w:sz w:val="20"/>
              <w:szCs w:val="20"/>
            </w:rPr>
          </w:pPr>
        </w:p>
        <w:p w:rsidR="007C6357" w:rsidRPr="00FF6EEC" w:rsidRDefault="007C6357" w:rsidP="00FF6EEC">
          <w:pPr>
            <w:jc w:val="center"/>
            <w:rPr>
              <w:sz w:val="20"/>
              <w:szCs w:val="20"/>
            </w:rPr>
          </w:pPr>
        </w:p>
        <w:p w:rsidR="007C6357" w:rsidRPr="00FF6EEC" w:rsidRDefault="007C6357" w:rsidP="00FF6EEC">
          <w:pPr>
            <w:jc w:val="center"/>
            <w:rPr>
              <w:sz w:val="20"/>
              <w:szCs w:val="20"/>
            </w:rPr>
          </w:pPr>
        </w:p>
      </w:tc>
      <w:tc>
        <w:tcPr>
          <w:tcW w:w="4080" w:type="dxa"/>
          <w:tcMar>
            <w:left w:w="0" w:type="dxa"/>
            <w:right w:w="0" w:type="dxa"/>
          </w:tcMar>
        </w:tcPr>
        <w:p w:rsidR="007C6357" w:rsidRPr="00FF6EEC" w:rsidRDefault="007C6357" w:rsidP="00FF6EEC">
          <w:pPr>
            <w:rPr>
              <w:sz w:val="20"/>
              <w:szCs w:val="20"/>
              <w:lang w:val="fr-CA"/>
            </w:rPr>
          </w:pPr>
          <w:r w:rsidRPr="00FF6EEC">
            <w:rPr>
              <w:sz w:val="20"/>
              <w:szCs w:val="20"/>
              <w:lang w:val="fr-CA"/>
            </w:rPr>
            <w:t>JUGEMENTS RENDUS SUR LES APPELS EN DÉLIBÉRÉ</w:t>
          </w:r>
        </w:p>
      </w:tc>
    </w:tr>
  </w:tbl>
  <w:p w:rsidR="007C6357" w:rsidRPr="003C2C0F" w:rsidRDefault="007C635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C6357">
      <w:tc>
        <w:tcPr>
          <w:tcW w:w="4230" w:type="dxa"/>
          <w:tcMar>
            <w:left w:w="0" w:type="dxa"/>
            <w:right w:w="0" w:type="dxa"/>
          </w:tcMar>
        </w:tcPr>
        <w:p w:rsidR="007C6357"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C6357"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C6357"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C6357"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C6357"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C6357" w:rsidRDefault="007C63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C6357"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C6357" w:rsidRPr="00782AE4" w:rsidTr="00245129">
      <w:tc>
        <w:tcPr>
          <w:tcW w:w="4230" w:type="dxa"/>
          <w:tcMar>
            <w:left w:w="0" w:type="dxa"/>
            <w:right w:w="0" w:type="dxa"/>
          </w:tcMar>
        </w:tcPr>
        <w:p w:rsidR="007C6357" w:rsidRPr="00782AE4" w:rsidRDefault="007C6357" w:rsidP="00102926">
          <w:pPr>
            <w:keepNext/>
            <w:keepLines/>
            <w:tabs>
              <w:tab w:val="left" w:pos="-1440"/>
              <w:tab w:val="left" w:pos="-720"/>
            </w:tabs>
            <w:rPr>
              <w:sz w:val="20"/>
              <w:szCs w:val="20"/>
            </w:rPr>
          </w:pPr>
          <w:r w:rsidRPr="00782AE4">
            <w:rPr>
              <w:sz w:val="20"/>
              <w:szCs w:val="20"/>
            </w:rPr>
            <w:t xml:space="preserve">HEADNOTES OF RECENT </w:t>
          </w:r>
        </w:p>
        <w:p w:rsidR="007C6357" w:rsidRPr="00782AE4"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C6357" w:rsidRDefault="007C6357" w:rsidP="00102926">
          <w:pPr>
            <w:keepNext/>
            <w:keepLines/>
            <w:tabs>
              <w:tab w:val="left" w:pos="-1440"/>
              <w:tab w:val="left" w:pos="-720"/>
            </w:tabs>
            <w:jc w:val="center"/>
            <w:rPr>
              <w:sz w:val="20"/>
              <w:szCs w:val="20"/>
            </w:rPr>
          </w:pPr>
        </w:p>
        <w:p w:rsidR="007C6357" w:rsidRDefault="007C6357" w:rsidP="00102926">
          <w:pPr>
            <w:keepNext/>
            <w:keepLines/>
            <w:tabs>
              <w:tab w:val="left" w:pos="-1440"/>
              <w:tab w:val="left" w:pos="-720"/>
            </w:tabs>
            <w:jc w:val="center"/>
            <w:rPr>
              <w:sz w:val="20"/>
              <w:szCs w:val="20"/>
            </w:rPr>
          </w:pPr>
        </w:p>
        <w:p w:rsidR="007C6357" w:rsidRPr="00782AE4" w:rsidRDefault="007C6357" w:rsidP="00102926">
          <w:pPr>
            <w:keepNext/>
            <w:keepLines/>
            <w:tabs>
              <w:tab w:val="left" w:pos="-1440"/>
              <w:tab w:val="left" w:pos="-720"/>
            </w:tabs>
            <w:jc w:val="center"/>
            <w:rPr>
              <w:sz w:val="20"/>
              <w:szCs w:val="20"/>
            </w:rPr>
          </w:pPr>
        </w:p>
      </w:tc>
      <w:tc>
        <w:tcPr>
          <w:tcW w:w="4080" w:type="dxa"/>
          <w:tcMar>
            <w:left w:w="0" w:type="dxa"/>
            <w:right w:w="0" w:type="dxa"/>
          </w:tcMar>
        </w:tcPr>
        <w:p w:rsidR="007C6357" w:rsidRPr="00102926"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C6357" w:rsidRPr="00782AE4" w:rsidRDefault="007C6357" w:rsidP="00102926">
          <w:pPr>
            <w:keepLines/>
            <w:tabs>
              <w:tab w:val="left" w:pos="-1440"/>
              <w:tab w:val="left" w:pos="-720"/>
            </w:tabs>
            <w:rPr>
              <w:sz w:val="20"/>
              <w:szCs w:val="20"/>
            </w:rPr>
          </w:pPr>
          <w:r w:rsidRPr="00102926">
            <w:rPr>
              <w:sz w:val="20"/>
              <w:szCs w:val="20"/>
              <w:lang w:val="fr-CA"/>
            </w:rPr>
            <w:t>RÉCENTS</w:t>
          </w:r>
        </w:p>
      </w:tc>
    </w:tr>
  </w:tbl>
  <w:p w:rsidR="007C6357" w:rsidRDefault="007C635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C6357">
      <w:tc>
        <w:tcPr>
          <w:tcW w:w="4200" w:type="dxa"/>
          <w:tcMar>
            <w:left w:w="0" w:type="dxa"/>
            <w:right w:w="0" w:type="dxa"/>
          </w:tcMar>
        </w:tcPr>
        <w:p w:rsidR="007C6357" w:rsidRDefault="007C6357">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7C6357" w:rsidRDefault="007C6357">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7C6357" w:rsidRDefault="007C6357">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7C6357" w:rsidRDefault="007C6357">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7C6357" w:rsidRDefault="007C635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7C6357" w:rsidRDefault="007C6357">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C6357" w:rsidRPr="00C50A5C" w:rsidTr="00245129">
      <w:tc>
        <w:tcPr>
          <w:tcW w:w="4200" w:type="dxa"/>
          <w:tcMar>
            <w:left w:w="0" w:type="dxa"/>
            <w:right w:w="0" w:type="dxa"/>
          </w:tcMar>
        </w:tcPr>
        <w:p w:rsidR="007C6357" w:rsidRPr="00C50A5C" w:rsidRDefault="007C6357"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7C6357" w:rsidRPr="00C50A5C" w:rsidRDefault="007C6357"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7C6357" w:rsidRPr="00C50A5C" w:rsidRDefault="007C6357"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7C6357" w:rsidRPr="00C50A5C" w:rsidRDefault="007C6357"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7C6357" w:rsidRDefault="007C6357"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7C6357" w:rsidRPr="0044776A" w:rsidTr="00245129">
      <w:tc>
        <w:tcPr>
          <w:tcW w:w="4290" w:type="dxa"/>
          <w:tcMar>
            <w:left w:w="0" w:type="dxa"/>
            <w:right w:w="0" w:type="dxa"/>
          </w:tcMar>
        </w:tcPr>
        <w:p w:rsidR="007C6357" w:rsidRPr="0044776A" w:rsidRDefault="007C635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C6357" w:rsidRPr="0044776A" w:rsidRDefault="007C6357" w:rsidP="002E2327">
          <w:pPr>
            <w:keepNext/>
            <w:keepLines/>
            <w:tabs>
              <w:tab w:val="left" w:pos="-1440"/>
              <w:tab w:val="left" w:pos="-720"/>
            </w:tabs>
            <w:jc w:val="center"/>
            <w:rPr>
              <w:sz w:val="20"/>
              <w:szCs w:val="20"/>
            </w:rPr>
          </w:pPr>
        </w:p>
        <w:p w:rsidR="007C6357" w:rsidRPr="0044776A" w:rsidRDefault="007C6357" w:rsidP="002E2327">
          <w:pPr>
            <w:keepNext/>
            <w:keepLines/>
            <w:tabs>
              <w:tab w:val="left" w:pos="-1440"/>
              <w:tab w:val="left" w:pos="-720"/>
            </w:tabs>
            <w:jc w:val="center"/>
            <w:rPr>
              <w:sz w:val="20"/>
              <w:szCs w:val="20"/>
            </w:rPr>
          </w:pPr>
        </w:p>
        <w:p w:rsidR="007C6357" w:rsidRPr="0044776A" w:rsidRDefault="007C6357" w:rsidP="002E2327">
          <w:pPr>
            <w:keepNext/>
            <w:keepLines/>
            <w:tabs>
              <w:tab w:val="left" w:pos="-1440"/>
              <w:tab w:val="left" w:pos="-720"/>
            </w:tabs>
            <w:jc w:val="center"/>
            <w:rPr>
              <w:sz w:val="20"/>
              <w:szCs w:val="20"/>
            </w:rPr>
          </w:pPr>
        </w:p>
      </w:tc>
      <w:tc>
        <w:tcPr>
          <w:tcW w:w="4320" w:type="dxa"/>
          <w:tcMar>
            <w:left w:w="0" w:type="dxa"/>
            <w:right w:w="0" w:type="dxa"/>
          </w:tcMar>
        </w:tcPr>
        <w:p w:rsidR="007C6357" w:rsidRPr="0044776A" w:rsidRDefault="007C6357" w:rsidP="002E2327">
          <w:pPr>
            <w:keepLines/>
            <w:rPr>
              <w:sz w:val="20"/>
              <w:szCs w:val="20"/>
              <w:lang w:val="fr-CA"/>
            </w:rPr>
          </w:pPr>
          <w:r w:rsidRPr="0044776A">
            <w:rPr>
              <w:sz w:val="20"/>
              <w:szCs w:val="20"/>
              <w:lang w:val="fr-CA"/>
            </w:rPr>
            <w:t>DEMANDES D'AUTORISATION D'APPEL DÉPOSÉES</w:t>
          </w:r>
        </w:p>
      </w:tc>
    </w:tr>
  </w:tbl>
  <w:p w:rsidR="007C6357" w:rsidRDefault="007C635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C6357" w:rsidRPr="00835818" w:rsidTr="00245129">
      <w:tc>
        <w:tcPr>
          <w:tcW w:w="4200" w:type="dxa"/>
          <w:tcMar>
            <w:left w:w="0" w:type="dxa"/>
            <w:right w:w="0" w:type="dxa"/>
          </w:tcMar>
        </w:tcPr>
        <w:p w:rsidR="007C6357" w:rsidRPr="0044776A" w:rsidRDefault="007C6357" w:rsidP="0044776A">
          <w:pPr>
            <w:keepNext/>
            <w:keepLines/>
            <w:widowControl w:val="0"/>
            <w:rPr>
              <w:sz w:val="20"/>
              <w:szCs w:val="20"/>
            </w:rPr>
          </w:pPr>
          <w:r>
            <w:rPr>
              <w:sz w:val="20"/>
              <w:szCs w:val="20"/>
            </w:rPr>
            <w:t>APPLICATIONS FOR LEAVE</w:t>
          </w:r>
        </w:p>
        <w:p w:rsidR="007C6357" w:rsidRPr="0044776A" w:rsidRDefault="007C635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C6357" w:rsidRPr="0044776A" w:rsidRDefault="007C6357" w:rsidP="0044776A">
          <w:pPr>
            <w:keepNext/>
            <w:keepLines/>
            <w:widowControl w:val="0"/>
            <w:jc w:val="center"/>
            <w:rPr>
              <w:sz w:val="20"/>
              <w:szCs w:val="20"/>
            </w:rPr>
          </w:pPr>
        </w:p>
        <w:p w:rsidR="007C6357" w:rsidRPr="0044776A" w:rsidRDefault="007C6357" w:rsidP="0044776A">
          <w:pPr>
            <w:keepNext/>
            <w:keepLines/>
            <w:widowControl w:val="0"/>
            <w:jc w:val="center"/>
            <w:rPr>
              <w:sz w:val="20"/>
              <w:szCs w:val="20"/>
            </w:rPr>
          </w:pPr>
        </w:p>
        <w:p w:rsidR="007C6357" w:rsidRPr="0044776A" w:rsidRDefault="007C6357" w:rsidP="0044776A">
          <w:pPr>
            <w:keepNext/>
            <w:keepLines/>
            <w:widowControl w:val="0"/>
            <w:jc w:val="center"/>
            <w:rPr>
              <w:sz w:val="20"/>
              <w:szCs w:val="20"/>
            </w:rPr>
          </w:pPr>
        </w:p>
      </w:tc>
      <w:tc>
        <w:tcPr>
          <w:tcW w:w="4080" w:type="dxa"/>
          <w:tcMar>
            <w:left w:w="0" w:type="dxa"/>
            <w:right w:w="0" w:type="dxa"/>
          </w:tcMar>
        </w:tcPr>
        <w:p w:rsidR="007C6357" w:rsidRPr="0044776A" w:rsidRDefault="007C6357" w:rsidP="0044776A">
          <w:pPr>
            <w:keepLines/>
            <w:widowControl w:val="0"/>
            <w:rPr>
              <w:sz w:val="20"/>
              <w:szCs w:val="20"/>
              <w:lang w:val="fr-CA"/>
            </w:rPr>
          </w:pPr>
          <w:r w:rsidRPr="0044776A">
            <w:rPr>
              <w:sz w:val="20"/>
              <w:szCs w:val="20"/>
              <w:lang w:val="fr-CA"/>
            </w:rPr>
            <w:t>DEMANDES SOUMISES À LA COUR DEPUIS LA DERNIÈRE PARUTION</w:t>
          </w:r>
        </w:p>
        <w:p w:rsidR="007C6357" w:rsidRPr="0044776A" w:rsidRDefault="007C6357" w:rsidP="0044776A">
          <w:pPr>
            <w:widowControl w:val="0"/>
            <w:rPr>
              <w:sz w:val="20"/>
              <w:szCs w:val="20"/>
              <w:lang w:val="fr-CA"/>
            </w:rPr>
          </w:pPr>
        </w:p>
      </w:tc>
    </w:tr>
  </w:tbl>
  <w:p w:rsidR="007C6357" w:rsidRPr="002E2327" w:rsidRDefault="007C6357">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57" w:rsidRDefault="007C635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C6357" w:rsidRPr="00835818">
      <w:tc>
        <w:tcPr>
          <w:tcW w:w="4200" w:type="dxa"/>
          <w:tcMar>
            <w:left w:w="0" w:type="dxa"/>
            <w:right w:w="0" w:type="dxa"/>
          </w:tcMar>
        </w:tcPr>
        <w:p w:rsidR="007C6357"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C6357"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C6357" w:rsidRDefault="007C63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C6357" w:rsidRPr="00FF6BA5" w:rsidRDefault="007C63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C6357" w:rsidRPr="00FF6BA5"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C6357" w:rsidRPr="00FF6BA5"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C6357" w:rsidRPr="00FF6BA5" w:rsidRDefault="007C63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C6357" w:rsidRPr="00835818" w:rsidTr="00245129">
      <w:tc>
        <w:tcPr>
          <w:tcW w:w="4200" w:type="dxa"/>
          <w:tcMar>
            <w:left w:w="0" w:type="dxa"/>
            <w:right w:w="0" w:type="dxa"/>
          </w:tcMar>
        </w:tcPr>
        <w:p w:rsidR="007C6357" w:rsidRPr="00755F22"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C6357" w:rsidRPr="00755F22" w:rsidRDefault="007C63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C6357" w:rsidRPr="00755F22" w:rsidRDefault="007C635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C6357" w:rsidRPr="00755F22" w:rsidRDefault="007C635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C6357" w:rsidRPr="00755F22" w:rsidRDefault="007C635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C6357" w:rsidRPr="00755F22" w:rsidRDefault="007C63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C6357" w:rsidRPr="00FF6BA5" w:rsidRDefault="007C6357"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28689"/>
  </w:hdrShapeDefaults>
  <w:footnotePr>
    <w:footnote w:id="-1"/>
    <w:footnote w:id="0"/>
  </w:footnotePr>
  <w:endnotePr>
    <w:endnote w:id="-1"/>
    <w:endnote w:id="0"/>
  </w:endnotePr>
  <w:compat/>
  <w:rsids>
    <w:rsidRoot w:val="00D5299C"/>
    <w:rsid w:val="0002130A"/>
    <w:rsid w:val="0003223B"/>
    <w:rsid w:val="000327B2"/>
    <w:rsid w:val="00096BD9"/>
    <w:rsid w:val="000A685E"/>
    <w:rsid w:val="000B3C9A"/>
    <w:rsid w:val="000B40A2"/>
    <w:rsid w:val="000B4624"/>
    <w:rsid w:val="000C0ACD"/>
    <w:rsid w:val="00102926"/>
    <w:rsid w:val="0010587F"/>
    <w:rsid w:val="00111C6B"/>
    <w:rsid w:val="0012102B"/>
    <w:rsid w:val="0013369E"/>
    <w:rsid w:val="00164E6D"/>
    <w:rsid w:val="001B157C"/>
    <w:rsid w:val="001B5C23"/>
    <w:rsid w:val="001D0D5F"/>
    <w:rsid w:val="001D6B8C"/>
    <w:rsid w:val="001F1F83"/>
    <w:rsid w:val="002021A9"/>
    <w:rsid w:val="00202470"/>
    <w:rsid w:val="00205DB9"/>
    <w:rsid w:val="002139A7"/>
    <w:rsid w:val="00215F7C"/>
    <w:rsid w:val="0022323B"/>
    <w:rsid w:val="002244A0"/>
    <w:rsid w:val="002410B8"/>
    <w:rsid w:val="00242AEE"/>
    <w:rsid w:val="00245129"/>
    <w:rsid w:val="00245879"/>
    <w:rsid w:val="00267FD5"/>
    <w:rsid w:val="00270729"/>
    <w:rsid w:val="002868D0"/>
    <w:rsid w:val="002A27D1"/>
    <w:rsid w:val="002A4AFA"/>
    <w:rsid w:val="002A53D2"/>
    <w:rsid w:val="002B516C"/>
    <w:rsid w:val="002D72EB"/>
    <w:rsid w:val="002E2327"/>
    <w:rsid w:val="002E3583"/>
    <w:rsid w:val="002E5576"/>
    <w:rsid w:val="002F706E"/>
    <w:rsid w:val="00331B52"/>
    <w:rsid w:val="003359D3"/>
    <w:rsid w:val="00355967"/>
    <w:rsid w:val="0035629B"/>
    <w:rsid w:val="003638D2"/>
    <w:rsid w:val="00366651"/>
    <w:rsid w:val="00382C47"/>
    <w:rsid w:val="00384384"/>
    <w:rsid w:val="003866AE"/>
    <w:rsid w:val="003A7395"/>
    <w:rsid w:val="003B3977"/>
    <w:rsid w:val="003C2A31"/>
    <w:rsid w:val="00425292"/>
    <w:rsid w:val="00430CF3"/>
    <w:rsid w:val="00432989"/>
    <w:rsid w:val="00440E24"/>
    <w:rsid w:val="0044776A"/>
    <w:rsid w:val="00460AFC"/>
    <w:rsid w:val="00466849"/>
    <w:rsid w:val="0047471F"/>
    <w:rsid w:val="00476EB0"/>
    <w:rsid w:val="00484C9D"/>
    <w:rsid w:val="004B195E"/>
    <w:rsid w:val="004B66B4"/>
    <w:rsid w:val="004B7F60"/>
    <w:rsid w:val="004C1AAC"/>
    <w:rsid w:val="004F090E"/>
    <w:rsid w:val="004F34E1"/>
    <w:rsid w:val="00527CC7"/>
    <w:rsid w:val="00533E25"/>
    <w:rsid w:val="00537706"/>
    <w:rsid w:val="00564DD3"/>
    <w:rsid w:val="00571CA4"/>
    <w:rsid w:val="00582136"/>
    <w:rsid w:val="00583E70"/>
    <w:rsid w:val="005862D7"/>
    <w:rsid w:val="005C6840"/>
    <w:rsid w:val="005D0E43"/>
    <w:rsid w:val="005F263E"/>
    <w:rsid w:val="00600252"/>
    <w:rsid w:val="00612A40"/>
    <w:rsid w:val="00675479"/>
    <w:rsid w:val="00696BF9"/>
    <w:rsid w:val="00697C62"/>
    <w:rsid w:val="006A329B"/>
    <w:rsid w:val="006A3E2B"/>
    <w:rsid w:val="006A7EB8"/>
    <w:rsid w:val="006B6926"/>
    <w:rsid w:val="006C3F47"/>
    <w:rsid w:val="006C5F7A"/>
    <w:rsid w:val="006D432F"/>
    <w:rsid w:val="006E06AF"/>
    <w:rsid w:val="006F350F"/>
    <w:rsid w:val="007054F8"/>
    <w:rsid w:val="00732DB7"/>
    <w:rsid w:val="00733447"/>
    <w:rsid w:val="0074238B"/>
    <w:rsid w:val="00745EF7"/>
    <w:rsid w:val="00755F22"/>
    <w:rsid w:val="0076424E"/>
    <w:rsid w:val="0076608A"/>
    <w:rsid w:val="00766C4D"/>
    <w:rsid w:val="00766E4A"/>
    <w:rsid w:val="00773CF9"/>
    <w:rsid w:val="007820CE"/>
    <w:rsid w:val="00782AE4"/>
    <w:rsid w:val="0079724F"/>
    <w:rsid w:val="007A3EAE"/>
    <w:rsid w:val="007C04FC"/>
    <w:rsid w:val="007C6357"/>
    <w:rsid w:val="007D3E0F"/>
    <w:rsid w:val="007F387B"/>
    <w:rsid w:val="00802863"/>
    <w:rsid w:val="00815B3C"/>
    <w:rsid w:val="0082783A"/>
    <w:rsid w:val="00831CA9"/>
    <w:rsid w:val="0083326C"/>
    <w:rsid w:val="00835818"/>
    <w:rsid w:val="00850E1F"/>
    <w:rsid w:val="0085476B"/>
    <w:rsid w:val="00890FEB"/>
    <w:rsid w:val="008C1620"/>
    <w:rsid w:val="008D292F"/>
    <w:rsid w:val="008E03DC"/>
    <w:rsid w:val="008F355F"/>
    <w:rsid w:val="00910E82"/>
    <w:rsid w:val="00924065"/>
    <w:rsid w:val="00924A07"/>
    <w:rsid w:val="00930D68"/>
    <w:rsid w:val="00932DB4"/>
    <w:rsid w:val="00941A4B"/>
    <w:rsid w:val="00946242"/>
    <w:rsid w:val="0095096B"/>
    <w:rsid w:val="00966793"/>
    <w:rsid w:val="00970CD3"/>
    <w:rsid w:val="009723FA"/>
    <w:rsid w:val="00984546"/>
    <w:rsid w:val="00996510"/>
    <w:rsid w:val="009D1F15"/>
    <w:rsid w:val="009D555E"/>
    <w:rsid w:val="009F3024"/>
    <w:rsid w:val="00A0355E"/>
    <w:rsid w:val="00A375D1"/>
    <w:rsid w:val="00A51D10"/>
    <w:rsid w:val="00A52A83"/>
    <w:rsid w:val="00A6552C"/>
    <w:rsid w:val="00A87207"/>
    <w:rsid w:val="00A935AA"/>
    <w:rsid w:val="00AA0FBD"/>
    <w:rsid w:val="00AA25A1"/>
    <w:rsid w:val="00AB2201"/>
    <w:rsid w:val="00AD3259"/>
    <w:rsid w:val="00AD6E77"/>
    <w:rsid w:val="00AF1715"/>
    <w:rsid w:val="00AF3904"/>
    <w:rsid w:val="00B010C0"/>
    <w:rsid w:val="00B4740D"/>
    <w:rsid w:val="00B530BC"/>
    <w:rsid w:val="00B61629"/>
    <w:rsid w:val="00B62B14"/>
    <w:rsid w:val="00B7374B"/>
    <w:rsid w:val="00B74340"/>
    <w:rsid w:val="00B87177"/>
    <w:rsid w:val="00B90DC0"/>
    <w:rsid w:val="00B94151"/>
    <w:rsid w:val="00BA116A"/>
    <w:rsid w:val="00BA5582"/>
    <w:rsid w:val="00BA6468"/>
    <w:rsid w:val="00BD06DA"/>
    <w:rsid w:val="00BD4217"/>
    <w:rsid w:val="00BF25F3"/>
    <w:rsid w:val="00C1697B"/>
    <w:rsid w:val="00C210F8"/>
    <w:rsid w:val="00C21CB5"/>
    <w:rsid w:val="00C50A5C"/>
    <w:rsid w:val="00C50FDF"/>
    <w:rsid w:val="00C63381"/>
    <w:rsid w:val="00C73D06"/>
    <w:rsid w:val="00C73E1B"/>
    <w:rsid w:val="00C759B4"/>
    <w:rsid w:val="00C7670A"/>
    <w:rsid w:val="00C77713"/>
    <w:rsid w:val="00CA1EAC"/>
    <w:rsid w:val="00CA7AAB"/>
    <w:rsid w:val="00CB43D5"/>
    <w:rsid w:val="00CC4D84"/>
    <w:rsid w:val="00CC690B"/>
    <w:rsid w:val="00CD29AC"/>
    <w:rsid w:val="00CE198A"/>
    <w:rsid w:val="00CE697B"/>
    <w:rsid w:val="00D5299C"/>
    <w:rsid w:val="00D64901"/>
    <w:rsid w:val="00D76BDF"/>
    <w:rsid w:val="00D862C1"/>
    <w:rsid w:val="00D93B50"/>
    <w:rsid w:val="00D94670"/>
    <w:rsid w:val="00DA46F6"/>
    <w:rsid w:val="00DD0B49"/>
    <w:rsid w:val="00DD7F10"/>
    <w:rsid w:val="00E06DFA"/>
    <w:rsid w:val="00E20A0A"/>
    <w:rsid w:val="00E3269C"/>
    <w:rsid w:val="00E356C7"/>
    <w:rsid w:val="00E45721"/>
    <w:rsid w:val="00E45FE4"/>
    <w:rsid w:val="00E63091"/>
    <w:rsid w:val="00E64FA7"/>
    <w:rsid w:val="00E770CB"/>
    <w:rsid w:val="00E903A1"/>
    <w:rsid w:val="00E940EB"/>
    <w:rsid w:val="00EB2B90"/>
    <w:rsid w:val="00EC715B"/>
    <w:rsid w:val="00ED7E83"/>
    <w:rsid w:val="00EE3FD6"/>
    <w:rsid w:val="00EF4B63"/>
    <w:rsid w:val="00F0068D"/>
    <w:rsid w:val="00F0576D"/>
    <w:rsid w:val="00F14E6D"/>
    <w:rsid w:val="00F15EA8"/>
    <w:rsid w:val="00F16C8D"/>
    <w:rsid w:val="00F23DC9"/>
    <w:rsid w:val="00F26C61"/>
    <w:rsid w:val="00F33CCE"/>
    <w:rsid w:val="00F37D48"/>
    <w:rsid w:val="00F40249"/>
    <w:rsid w:val="00F526C8"/>
    <w:rsid w:val="00F9272D"/>
    <w:rsid w:val="00F9518C"/>
    <w:rsid w:val="00FA316E"/>
    <w:rsid w:val="00FA59EF"/>
    <w:rsid w:val="00FB19A2"/>
    <w:rsid w:val="00FC17A0"/>
    <w:rsid w:val="00FC262F"/>
    <w:rsid w:val="00FD6996"/>
    <w:rsid w:val="00FE5B4D"/>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76424E"/>
    <w:pPr>
      <w:jc w:val="center"/>
    </w:pPr>
    <w:rPr>
      <w:rFonts w:eastAsia="Calibri" w:cs="Times New Roman"/>
      <w:lang w:val="fr-CA"/>
    </w:rPr>
  </w:style>
  <w:style w:type="character" w:customStyle="1" w:styleId="SCCLsocPartyChar">
    <w:name w:val="SCC.Lsoc.Party Char"/>
    <w:basedOn w:val="DefaultParagraphFont"/>
    <w:link w:val="SCCLsocParty"/>
    <w:rsid w:val="0076424E"/>
    <w:rPr>
      <w:rFonts w:eastAsia="Calibri" w:cs="Times New Roman"/>
      <w:lang w:val="fr-CA"/>
    </w:rPr>
  </w:style>
  <w:style w:type="paragraph" w:styleId="Quote">
    <w:name w:val="Quote"/>
    <w:basedOn w:val="Normal"/>
    <w:next w:val="Normal"/>
    <w:link w:val="QuoteChar"/>
    <w:uiPriority w:val="29"/>
    <w:qFormat/>
    <w:rsid w:val="00773CF9"/>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773CF9"/>
    <w:rPr>
      <w:rFonts w:eastAsia="Times New Roman" w:cs="Times New Roman"/>
      <w:i/>
      <w:iCs/>
      <w:color w:val="000000" w:themeColor="text1"/>
      <w:szCs w:val="20"/>
      <w:lang w:val="en-CA" w:eastAsia="en-CA"/>
    </w:rPr>
  </w:style>
  <w:style w:type="paragraph" w:customStyle="1" w:styleId="SCCLowerCourtNameLowercase">
    <w:name w:val="SCC.LowerCourtNameLowercase"/>
    <w:basedOn w:val="SCCNormalDoubleSpacing"/>
    <w:next w:val="SCCNormalDoubleSpacing"/>
    <w:rsid w:val="00773CF9"/>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header" Target="header26.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1AA4-4BAE-4BD9-907C-E06D4C05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10193</Words>
  <Characters>58101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2012-07-27T18:21:00Z</dcterms:created>
  <dcterms:modified xsi:type="dcterms:W3CDTF">2012-07-27T18:21:00Z</dcterms:modified>
</cp:coreProperties>
</file>