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57CA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57CA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57CA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57CA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57CA3" w:rsidTr="002E5576">
        <w:tc>
          <w:tcPr>
            <w:tcW w:w="4518" w:type="dxa"/>
          </w:tcPr>
          <w:p w:rsidR="00BF25F3" w:rsidRPr="002E2327" w:rsidRDefault="0075598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75598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57CA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57CA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051D42" w:rsidP="00F0068D">
      <w:pPr>
        <w:pBdr>
          <w:bottom w:val="single" w:sz="6" w:space="1" w:color="auto"/>
        </w:pBdr>
        <w:tabs>
          <w:tab w:val="center" w:pos="4680"/>
          <w:tab w:val="right" w:pos="9360"/>
        </w:tabs>
        <w:rPr>
          <w:lang w:val="fr-CA"/>
        </w:rPr>
      </w:pPr>
      <w:r>
        <w:rPr>
          <w:lang w:val="fr-CA"/>
        </w:rPr>
        <w:t>Septembe</w:t>
      </w:r>
      <w:r w:rsidR="00C73D06">
        <w:rPr>
          <w:lang w:val="fr-CA"/>
        </w:rPr>
        <w:t>r</w:t>
      </w:r>
      <w:r w:rsidR="00440E24" w:rsidRPr="00675479">
        <w:rPr>
          <w:lang w:val="fr-CA"/>
        </w:rPr>
        <w:t xml:space="preserve"> </w:t>
      </w:r>
      <w:r w:rsidR="003359D3">
        <w:rPr>
          <w:lang w:val="fr-CA"/>
        </w:rPr>
        <w:t>1</w:t>
      </w:r>
      <w:r>
        <w:rPr>
          <w:lang w:val="fr-CA"/>
        </w:rPr>
        <w:t>4</w:t>
      </w:r>
      <w:r w:rsidR="00440E24" w:rsidRPr="00675479">
        <w:rPr>
          <w:lang w:val="fr-CA"/>
        </w:rPr>
        <w:t>, 201</w:t>
      </w:r>
      <w:r w:rsidR="00C73D06">
        <w:rPr>
          <w:lang w:val="fr-CA"/>
        </w:rPr>
        <w:t>2</w:t>
      </w:r>
      <w:r w:rsidR="00F0068D" w:rsidRPr="00675479">
        <w:rPr>
          <w:lang w:val="fr-CA"/>
        </w:rPr>
        <w:tab/>
        <w:t>1</w:t>
      </w:r>
      <w:r>
        <w:rPr>
          <w:lang w:val="fr-CA"/>
        </w:rPr>
        <w:t>303</w:t>
      </w:r>
      <w:r w:rsidR="00F0068D" w:rsidRPr="00675479">
        <w:rPr>
          <w:lang w:val="fr-CA"/>
        </w:rPr>
        <w:t xml:space="preserve"> - </w:t>
      </w:r>
      <w:r w:rsidR="002F2281">
        <w:rPr>
          <w:lang w:val="fr-CA"/>
        </w:rPr>
        <w:t>1314</w:t>
      </w:r>
      <w:r w:rsidR="00440E24" w:rsidRPr="00675479">
        <w:rPr>
          <w:lang w:val="fr-CA"/>
        </w:rPr>
        <w:tab/>
      </w:r>
      <w:r w:rsidR="00440E24" w:rsidRPr="002E2327">
        <w:rPr>
          <w:lang w:val="fr-CA"/>
        </w:rPr>
        <w:t>Le</w:t>
      </w:r>
      <w:r w:rsidR="00C73D06">
        <w:rPr>
          <w:lang w:val="fr-CA"/>
        </w:rPr>
        <w:t xml:space="preserve"> </w:t>
      </w:r>
      <w:r w:rsidR="003359D3">
        <w:rPr>
          <w:lang w:val="fr-CA"/>
        </w:rPr>
        <w:t>1</w:t>
      </w:r>
      <w:r>
        <w:rPr>
          <w:lang w:val="fr-CA"/>
        </w:rPr>
        <w:t>4</w:t>
      </w:r>
      <w:r w:rsidR="00C73D06">
        <w:rPr>
          <w:lang w:val="fr-CA"/>
        </w:rPr>
        <w:t xml:space="preserve"> </w:t>
      </w:r>
      <w:r>
        <w:rPr>
          <w:lang w:val="fr-CA"/>
        </w:rPr>
        <w:t>sept</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106515"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E31C11">
            <w:pPr>
              <w:tabs>
                <w:tab w:val="right" w:pos="9360"/>
              </w:tabs>
              <w:rPr>
                <w:rFonts w:cs="Times New Roman"/>
                <w:sz w:val="20"/>
                <w:szCs w:val="20"/>
              </w:rPr>
            </w:pPr>
          </w:p>
        </w:tc>
        <w:tc>
          <w:tcPr>
            <w:tcW w:w="1980" w:type="dxa"/>
          </w:tcPr>
          <w:p w:rsidR="0095096B" w:rsidRPr="002E2327" w:rsidRDefault="00E31C11" w:rsidP="0095096B">
            <w:pPr>
              <w:jc w:val="center"/>
              <w:rPr>
                <w:rFonts w:cs="Times New Roman"/>
                <w:sz w:val="20"/>
                <w:szCs w:val="20"/>
              </w:rPr>
            </w:pPr>
            <w:r>
              <w:rPr>
                <w:rFonts w:cs="Times New Roman"/>
                <w:sz w:val="20"/>
                <w:szCs w:val="20"/>
              </w:rPr>
              <w:t>1303</w:t>
            </w:r>
            <w:r w:rsidR="00755986" w:rsidRPr="002E2327">
              <w:rPr>
                <w:rFonts w:cs="Times New Roman"/>
                <w:sz w:val="20"/>
                <w:szCs w:val="20"/>
              </w:rPr>
              <w:fldChar w:fldCharType="begin"/>
            </w:r>
            <w:r w:rsidR="0095096B" w:rsidRPr="002E2327">
              <w:rPr>
                <w:rFonts w:cs="Times New Roman"/>
                <w:sz w:val="20"/>
                <w:szCs w:val="20"/>
              </w:rPr>
              <w:instrText xml:space="preserve"> SEQ CHAPTER \h \r 1</w:instrText>
            </w:r>
            <w:r w:rsidR="00755986"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31C11" w:rsidP="0095096B">
            <w:pPr>
              <w:jc w:val="center"/>
              <w:rPr>
                <w:rFonts w:cs="Times New Roman"/>
                <w:sz w:val="20"/>
                <w:szCs w:val="20"/>
              </w:rPr>
            </w:pPr>
            <w:r>
              <w:rPr>
                <w:rFonts w:cs="Times New Roman"/>
                <w:sz w:val="20"/>
                <w:szCs w:val="20"/>
              </w:rPr>
              <w:t>1304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31C11" w:rsidP="0095096B">
            <w:pPr>
              <w:jc w:val="center"/>
              <w:rPr>
                <w:rFonts w:cs="Times New Roman"/>
                <w:sz w:val="20"/>
                <w:szCs w:val="20"/>
              </w:rPr>
            </w:pPr>
            <w:r>
              <w:rPr>
                <w:rFonts w:cs="Times New Roman"/>
                <w:sz w:val="20"/>
                <w:szCs w:val="20"/>
              </w:rPr>
              <w:t xml:space="preserve">1305 </w:t>
            </w:r>
            <w:r w:rsidR="0095096B" w:rsidRPr="002E2327">
              <w:rPr>
                <w:rFonts w:cs="Times New Roman"/>
                <w:sz w:val="20"/>
                <w:szCs w:val="20"/>
              </w:rPr>
              <w:t>-</w:t>
            </w:r>
            <w:r w:rsidR="002F2281">
              <w:rPr>
                <w:rFonts w:cs="Times New Roman"/>
                <w:sz w:val="20"/>
                <w:szCs w:val="20"/>
              </w:rPr>
              <w:t xml:space="preserve"> 1313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F2281" w:rsidP="0095096B">
            <w:pPr>
              <w:jc w:val="center"/>
              <w:rPr>
                <w:rFonts w:cs="Times New Roman"/>
                <w:sz w:val="20"/>
                <w:szCs w:val="20"/>
              </w:rPr>
            </w:pPr>
            <w:r>
              <w:rPr>
                <w:rFonts w:cs="Times New Roman"/>
                <w:sz w:val="20"/>
                <w:szCs w:val="20"/>
              </w:rPr>
              <w:t>1314</w:t>
            </w:r>
          </w:p>
          <w:p w:rsidR="00A87207" w:rsidRPr="002E2327" w:rsidRDefault="00A87207" w:rsidP="00E31C11">
            <w:pPr>
              <w:jc w:val="center"/>
              <w:rPr>
                <w:rFonts w:cs="Times New Roman"/>
                <w:sz w:val="20"/>
                <w:szCs w:val="20"/>
              </w:rPr>
            </w:pPr>
          </w:p>
        </w:tc>
        <w:tc>
          <w:tcPr>
            <w:tcW w:w="3888" w:type="dxa"/>
          </w:tcPr>
          <w:p w:rsidR="0095096B" w:rsidRPr="002E2327" w:rsidRDefault="0075598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E31C11">
            <w:pPr>
              <w:tabs>
                <w:tab w:val="right" w:pos="9360"/>
              </w:tabs>
              <w:rPr>
                <w:rFonts w:cs="Times New Roman"/>
                <w:sz w:val="20"/>
                <w:szCs w:val="20"/>
                <w:lang w:val="fr-CA"/>
              </w:rPr>
            </w:pPr>
          </w:p>
        </w:tc>
      </w:tr>
    </w:tbl>
    <w:p w:rsidR="0095096B" w:rsidRPr="00106515" w:rsidRDefault="0095096B" w:rsidP="0095096B">
      <w:pPr>
        <w:tabs>
          <w:tab w:val="right" w:pos="9360"/>
        </w:tabs>
        <w:rPr>
          <w:lang w:val="fr-CA"/>
        </w:rPr>
      </w:pPr>
    </w:p>
    <w:p w:rsidR="00CC757C" w:rsidRPr="00106515" w:rsidRDefault="00CC757C" w:rsidP="0095096B">
      <w:pPr>
        <w:tabs>
          <w:tab w:val="right" w:pos="9360"/>
        </w:tabs>
        <w:rPr>
          <w:lang w:val="fr-CA"/>
        </w:rPr>
      </w:pPr>
    </w:p>
    <w:p w:rsidR="00CC757C" w:rsidRPr="00106515" w:rsidRDefault="00CC757C" w:rsidP="0095096B">
      <w:pPr>
        <w:tabs>
          <w:tab w:val="right" w:pos="9360"/>
        </w:tabs>
        <w:rPr>
          <w:lang w:val="fr-CA"/>
        </w:rPr>
      </w:pPr>
    </w:p>
    <w:p w:rsidR="00CC757C" w:rsidRPr="00106515" w:rsidRDefault="00CC757C" w:rsidP="0095096B">
      <w:pPr>
        <w:tabs>
          <w:tab w:val="right" w:pos="9360"/>
        </w:tabs>
        <w:rPr>
          <w:lang w:val="fr-CA"/>
        </w:rPr>
      </w:pPr>
    </w:p>
    <w:p w:rsidR="00CC757C" w:rsidRPr="00106515" w:rsidRDefault="00CC757C" w:rsidP="0095096B">
      <w:pPr>
        <w:tabs>
          <w:tab w:val="right" w:pos="9360"/>
        </w:tabs>
        <w:rPr>
          <w:lang w:val="fr-CA"/>
        </w:rPr>
      </w:pPr>
    </w:p>
    <w:p w:rsidR="00CC757C" w:rsidRPr="00106515" w:rsidRDefault="00CC757C" w:rsidP="0095096B">
      <w:pPr>
        <w:tabs>
          <w:tab w:val="right" w:pos="9360"/>
        </w:tabs>
        <w:rPr>
          <w:lang w:val="fr-CA"/>
        </w:rPr>
      </w:pPr>
    </w:p>
    <w:tbl>
      <w:tblPr>
        <w:tblStyle w:val="TableGrid"/>
        <w:tblW w:w="0" w:type="auto"/>
        <w:tblLook w:val="04A0"/>
      </w:tblPr>
      <w:tblGrid>
        <w:gridCol w:w="9576"/>
      </w:tblGrid>
      <w:tr w:rsidR="0079724F" w:rsidRPr="00257CA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E31C11" w:rsidRDefault="00E31C11" w:rsidP="003B3977">
            <w:pPr>
              <w:rPr>
                <w:b/>
                <w:sz w:val="20"/>
                <w:szCs w:val="20"/>
                <w:lang w:val="fr-CA"/>
              </w:rPr>
            </w:pPr>
            <w:r w:rsidRPr="00E31C11">
              <w:rPr>
                <w:b/>
                <w:sz w:val="20"/>
                <w:szCs w:val="20"/>
                <w:lang w:val="fr-CA"/>
              </w:rPr>
              <w:t>Todd Terrance Leclair</w:t>
            </w:r>
          </w:p>
          <w:p w:rsidR="00242AEE" w:rsidRPr="00E31C11" w:rsidRDefault="00242AEE" w:rsidP="003B3977">
            <w:pPr>
              <w:tabs>
                <w:tab w:val="left" w:pos="-1440"/>
                <w:tab w:val="left" w:pos="-720"/>
              </w:tabs>
              <w:rPr>
                <w:sz w:val="20"/>
                <w:szCs w:val="20"/>
                <w:lang w:val="fr-CA"/>
              </w:rPr>
            </w:pPr>
            <w:r w:rsidRPr="00E31C11">
              <w:rPr>
                <w:sz w:val="20"/>
                <w:szCs w:val="20"/>
                <w:lang w:val="fr-CA"/>
              </w:rPr>
              <w:tab/>
            </w:r>
            <w:r w:rsidR="00E31C11" w:rsidRPr="00E31C11">
              <w:rPr>
                <w:sz w:val="20"/>
                <w:szCs w:val="20"/>
                <w:lang w:val="fr-CA"/>
              </w:rPr>
              <w:t>Todd Terrance Leclair</w:t>
            </w:r>
          </w:p>
          <w:p w:rsidR="00242AEE" w:rsidRPr="00E31C11" w:rsidRDefault="00242AEE" w:rsidP="003B3977">
            <w:pPr>
              <w:tabs>
                <w:tab w:val="left" w:pos="-1440"/>
                <w:tab w:val="left" w:pos="-720"/>
              </w:tabs>
              <w:rPr>
                <w:sz w:val="20"/>
                <w:szCs w:val="20"/>
                <w:lang w:val="fr-CA"/>
              </w:rPr>
            </w:pPr>
          </w:p>
          <w:p w:rsidR="00242AEE" w:rsidRPr="00A935AA" w:rsidRDefault="00242AEE" w:rsidP="003B3977">
            <w:pPr>
              <w:tabs>
                <w:tab w:val="left" w:pos="-1440"/>
                <w:tab w:val="left" w:pos="-720"/>
              </w:tabs>
              <w:rPr>
                <w:sz w:val="20"/>
                <w:szCs w:val="20"/>
              </w:rPr>
            </w:pPr>
            <w:r w:rsidRPr="00E31C11">
              <w:rPr>
                <w:sz w:val="20"/>
                <w:szCs w:val="20"/>
                <w:lang w:val="fr-CA"/>
              </w:rPr>
              <w:tab/>
            </w:r>
            <w:r w:rsidRPr="00A935AA">
              <w:rPr>
                <w:sz w:val="20"/>
                <w:szCs w:val="20"/>
              </w:rPr>
              <w:t>v. (3</w:t>
            </w:r>
            <w:r w:rsidR="002B1F29">
              <w:rPr>
                <w:sz w:val="20"/>
                <w:szCs w:val="20"/>
              </w:rPr>
              <w:t>4</w:t>
            </w:r>
            <w:r w:rsidR="00E31C11">
              <w:rPr>
                <w:sz w:val="20"/>
                <w:szCs w:val="20"/>
              </w:rPr>
              <w:t>936</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E31C11"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N.</w:t>
            </w:r>
            <w:r w:rsidR="00242AEE" w:rsidRPr="00A935AA">
              <w:rPr>
                <w:b/>
                <w:sz w:val="20"/>
                <w:szCs w:val="20"/>
              </w:rPr>
              <w:t>B.)</w:t>
            </w:r>
          </w:p>
          <w:p w:rsidR="00242AEE" w:rsidRPr="00A935AA" w:rsidRDefault="00242AEE" w:rsidP="003B3977">
            <w:pPr>
              <w:tabs>
                <w:tab w:val="left" w:pos="-1440"/>
                <w:tab w:val="left" w:pos="-720"/>
              </w:tabs>
              <w:rPr>
                <w:sz w:val="20"/>
                <w:szCs w:val="20"/>
              </w:rPr>
            </w:pPr>
            <w:r w:rsidRPr="00A935AA">
              <w:rPr>
                <w:sz w:val="20"/>
                <w:szCs w:val="20"/>
              </w:rPr>
              <w:tab/>
            </w:r>
            <w:r w:rsidR="00E31C11">
              <w:rPr>
                <w:sz w:val="20"/>
                <w:szCs w:val="20"/>
              </w:rPr>
              <w:t>Suhanya P. Edwards</w:t>
            </w:r>
          </w:p>
          <w:p w:rsidR="00242AEE" w:rsidRPr="00A935AA" w:rsidRDefault="00242AEE" w:rsidP="003B3977">
            <w:pPr>
              <w:tabs>
                <w:tab w:val="left" w:pos="-1440"/>
                <w:tab w:val="left" w:pos="-720"/>
              </w:tabs>
              <w:rPr>
                <w:sz w:val="20"/>
                <w:szCs w:val="20"/>
              </w:rPr>
            </w:pPr>
            <w:r w:rsidRPr="00A935AA">
              <w:rPr>
                <w:sz w:val="20"/>
                <w:szCs w:val="20"/>
              </w:rPr>
              <w:tab/>
            </w:r>
            <w:r w:rsidR="00E31C11">
              <w:rPr>
                <w:sz w:val="20"/>
                <w:szCs w:val="20"/>
              </w:rPr>
              <w:t>Public Prosecution Service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E31C11">
              <w:rPr>
                <w:sz w:val="20"/>
                <w:szCs w:val="20"/>
              </w:rPr>
              <w:t>13</w:t>
            </w:r>
            <w:r w:rsidRPr="00A935AA">
              <w:rPr>
                <w:sz w:val="20"/>
                <w:szCs w:val="20"/>
              </w:rPr>
              <w:t>.0</w:t>
            </w:r>
            <w:r w:rsidR="00E31C11">
              <w:rPr>
                <w:sz w:val="20"/>
                <w:szCs w:val="20"/>
              </w:rPr>
              <w:t>8</w:t>
            </w:r>
            <w:r w:rsidRPr="00A935AA">
              <w:rPr>
                <w:sz w:val="20"/>
                <w:szCs w:val="20"/>
              </w:rPr>
              <w:t>.201</w:t>
            </w:r>
            <w:r w:rsidR="002B1F29">
              <w:rPr>
                <w:sz w:val="20"/>
                <w:szCs w:val="20"/>
              </w:rPr>
              <w:t>2</w:t>
            </w:r>
          </w:p>
          <w:p w:rsidR="00242AEE" w:rsidRPr="00A935AA" w:rsidRDefault="00755986" w:rsidP="003B3977">
            <w:pPr>
              <w:rPr>
                <w:sz w:val="20"/>
                <w:szCs w:val="20"/>
              </w:rPr>
            </w:pPr>
            <w:r w:rsidRPr="00755986">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E31C11" w:rsidP="003B3977">
            <w:pPr>
              <w:keepNext/>
              <w:keepLines/>
              <w:tabs>
                <w:tab w:val="left" w:pos="-1440"/>
                <w:tab w:val="left" w:pos="-720"/>
              </w:tabs>
              <w:rPr>
                <w:b/>
                <w:sz w:val="20"/>
                <w:szCs w:val="20"/>
              </w:rPr>
            </w:pPr>
            <w:r>
              <w:rPr>
                <w:b/>
                <w:sz w:val="20"/>
                <w:szCs w:val="20"/>
              </w:rPr>
              <w:t>Brian Conception</w:t>
            </w:r>
          </w:p>
          <w:p w:rsidR="00242AEE" w:rsidRPr="00A935AA" w:rsidRDefault="00242AEE" w:rsidP="003B3977">
            <w:pPr>
              <w:keepNext/>
              <w:keepLines/>
              <w:tabs>
                <w:tab w:val="left" w:pos="-1440"/>
                <w:tab w:val="left" w:pos="-720"/>
              </w:tabs>
              <w:rPr>
                <w:sz w:val="20"/>
                <w:szCs w:val="20"/>
              </w:rPr>
            </w:pPr>
            <w:r w:rsidRPr="00A935AA">
              <w:rPr>
                <w:sz w:val="20"/>
                <w:szCs w:val="20"/>
              </w:rPr>
              <w:tab/>
            </w:r>
            <w:r w:rsidR="00E31C11">
              <w:rPr>
                <w:sz w:val="20"/>
                <w:szCs w:val="20"/>
              </w:rPr>
              <w:t>Frank Addario</w:t>
            </w:r>
          </w:p>
          <w:p w:rsidR="00242AEE" w:rsidRPr="00A935AA" w:rsidRDefault="00242AEE" w:rsidP="003B3977">
            <w:pPr>
              <w:keepNext/>
              <w:keepLines/>
              <w:tabs>
                <w:tab w:val="left" w:pos="-1440"/>
                <w:tab w:val="left" w:pos="-720"/>
              </w:tabs>
              <w:rPr>
                <w:sz w:val="20"/>
                <w:szCs w:val="20"/>
              </w:rPr>
            </w:pPr>
            <w:r w:rsidRPr="00A935AA">
              <w:rPr>
                <w:sz w:val="20"/>
                <w:szCs w:val="20"/>
              </w:rPr>
              <w:tab/>
            </w:r>
            <w:r w:rsidR="00E31C11">
              <w:rPr>
                <w:sz w:val="20"/>
                <w:szCs w:val="20"/>
              </w:rPr>
              <w:t>Addario Law Group</w:t>
            </w:r>
          </w:p>
          <w:p w:rsidR="00242AEE" w:rsidRPr="00A935AA" w:rsidRDefault="00242AEE" w:rsidP="003B3977">
            <w:pPr>
              <w:keepNext/>
              <w:keepLines/>
              <w:tabs>
                <w:tab w:val="left" w:pos="-1440"/>
                <w:tab w:val="left" w:pos="-720"/>
              </w:tabs>
              <w:rPr>
                <w:sz w:val="20"/>
                <w:szCs w:val="20"/>
              </w:rPr>
            </w:pPr>
          </w:p>
          <w:p w:rsidR="00242AEE" w:rsidRPr="00E31C11" w:rsidRDefault="00242AEE" w:rsidP="003B3977">
            <w:pPr>
              <w:keepNext/>
              <w:keepLines/>
              <w:tabs>
                <w:tab w:val="left" w:pos="-1440"/>
                <w:tab w:val="left" w:pos="-720"/>
              </w:tabs>
              <w:rPr>
                <w:sz w:val="20"/>
                <w:szCs w:val="20"/>
              </w:rPr>
            </w:pPr>
            <w:r w:rsidRPr="00A935AA">
              <w:rPr>
                <w:sz w:val="20"/>
                <w:szCs w:val="20"/>
              </w:rPr>
              <w:tab/>
            </w:r>
            <w:r w:rsidRPr="00E31C11">
              <w:rPr>
                <w:sz w:val="20"/>
                <w:szCs w:val="20"/>
              </w:rPr>
              <w:t>v. (3</w:t>
            </w:r>
            <w:r w:rsidR="002B1F29" w:rsidRPr="00E31C11">
              <w:rPr>
                <w:sz w:val="20"/>
                <w:szCs w:val="20"/>
              </w:rPr>
              <w:t>4</w:t>
            </w:r>
            <w:r w:rsidR="00E31C11" w:rsidRPr="00E31C11">
              <w:rPr>
                <w:sz w:val="20"/>
                <w:szCs w:val="20"/>
              </w:rPr>
              <w:t>930</w:t>
            </w:r>
            <w:r w:rsidRPr="00E31C11">
              <w:rPr>
                <w:sz w:val="20"/>
                <w:szCs w:val="20"/>
              </w:rPr>
              <w:t>)</w:t>
            </w:r>
          </w:p>
          <w:p w:rsidR="00242AEE" w:rsidRPr="00E31C11" w:rsidRDefault="00242AEE" w:rsidP="003B3977">
            <w:pPr>
              <w:keepNext/>
              <w:keepLines/>
              <w:tabs>
                <w:tab w:val="left" w:pos="-1440"/>
                <w:tab w:val="left" w:pos="-720"/>
              </w:tabs>
              <w:rPr>
                <w:sz w:val="20"/>
                <w:szCs w:val="20"/>
              </w:rPr>
            </w:pPr>
          </w:p>
          <w:p w:rsidR="00242AEE" w:rsidRPr="00E31C11" w:rsidRDefault="00E31C11" w:rsidP="003B3977">
            <w:pPr>
              <w:keepNext/>
              <w:keepLines/>
              <w:tabs>
                <w:tab w:val="left" w:pos="-1440"/>
                <w:tab w:val="left" w:pos="-720"/>
              </w:tabs>
              <w:rPr>
                <w:b/>
                <w:sz w:val="20"/>
                <w:szCs w:val="20"/>
              </w:rPr>
            </w:pPr>
            <w:r w:rsidRPr="00E31C11">
              <w:rPr>
                <w:b/>
                <w:sz w:val="20"/>
                <w:szCs w:val="20"/>
              </w:rPr>
              <w:t xml:space="preserve">Her Majesty the Queen </w:t>
            </w:r>
            <w:r w:rsidR="00242AEE" w:rsidRPr="00E31C11">
              <w:rPr>
                <w:b/>
                <w:sz w:val="20"/>
                <w:szCs w:val="20"/>
              </w:rPr>
              <w:t>(Ont.)</w:t>
            </w:r>
          </w:p>
          <w:p w:rsidR="00242AEE" w:rsidRPr="00E31C11" w:rsidRDefault="00242AEE" w:rsidP="003B3977">
            <w:pPr>
              <w:keepNext/>
              <w:keepLines/>
              <w:tabs>
                <w:tab w:val="left" w:pos="-1440"/>
                <w:tab w:val="left" w:pos="-720"/>
              </w:tabs>
              <w:rPr>
                <w:sz w:val="20"/>
                <w:szCs w:val="20"/>
              </w:rPr>
            </w:pPr>
            <w:r w:rsidRPr="00E31C11">
              <w:rPr>
                <w:sz w:val="20"/>
                <w:szCs w:val="20"/>
              </w:rPr>
              <w:tab/>
            </w:r>
            <w:r w:rsidR="00E31C11">
              <w:rPr>
                <w:sz w:val="20"/>
                <w:szCs w:val="20"/>
              </w:rPr>
              <w:t>Grace Choi</w:t>
            </w:r>
          </w:p>
          <w:p w:rsidR="00242AEE" w:rsidRPr="00E31C11" w:rsidRDefault="00242AEE" w:rsidP="003B3977">
            <w:pPr>
              <w:keepNext/>
              <w:keepLines/>
              <w:tabs>
                <w:tab w:val="left" w:pos="-1440"/>
                <w:tab w:val="left" w:pos="-720"/>
              </w:tabs>
              <w:rPr>
                <w:sz w:val="20"/>
                <w:szCs w:val="20"/>
              </w:rPr>
            </w:pPr>
            <w:r w:rsidRPr="00E31C11">
              <w:rPr>
                <w:sz w:val="20"/>
                <w:szCs w:val="20"/>
              </w:rPr>
              <w:tab/>
            </w:r>
            <w:r w:rsidR="00E31C11">
              <w:rPr>
                <w:sz w:val="20"/>
                <w:szCs w:val="20"/>
              </w:rPr>
              <w:t>A.G. of Ontario</w:t>
            </w:r>
          </w:p>
          <w:p w:rsidR="00242AEE" w:rsidRPr="00E31C11" w:rsidRDefault="00242AEE" w:rsidP="003B3977">
            <w:pPr>
              <w:keepNext/>
              <w:keepLines/>
              <w:tabs>
                <w:tab w:val="left" w:pos="-1440"/>
                <w:tab w:val="left" w:pos="-720"/>
              </w:tabs>
              <w:rPr>
                <w:sz w:val="20"/>
                <w:szCs w:val="20"/>
              </w:rPr>
            </w:pPr>
          </w:p>
          <w:p w:rsidR="00242AEE" w:rsidRPr="00A935AA" w:rsidRDefault="00242AEE" w:rsidP="00E31C11">
            <w:pPr>
              <w:rPr>
                <w:sz w:val="20"/>
                <w:szCs w:val="20"/>
              </w:rPr>
            </w:pPr>
            <w:r w:rsidRPr="00A935AA">
              <w:rPr>
                <w:sz w:val="20"/>
                <w:szCs w:val="20"/>
              </w:rPr>
              <w:t xml:space="preserve">FILING DATE: </w:t>
            </w:r>
            <w:r w:rsidR="00E31C11">
              <w:rPr>
                <w:sz w:val="20"/>
                <w:szCs w:val="20"/>
              </w:rPr>
              <w:t>15</w:t>
            </w:r>
            <w:r w:rsidRPr="00A935AA">
              <w:rPr>
                <w:sz w:val="20"/>
                <w:szCs w:val="20"/>
              </w:rPr>
              <w:t>.0</w:t>
            </w:r>
            <w:r w:rsidR="00E31C11">
              <w:rPr>
                <w:sz w:val="20"/>
                <w:szCs w:val="20"/>
              </w:rPr>
              <w:t>8</w:t>
            </w:r>
            <w:r w:rsidRPr="00A935AA">
              <w:rPr>
                <w:sz w:val="20"/>
                <w:szCs w:val="20"/>
              </w:rPr>
              <w:t>.201</w:t>
            </w:r>
            <w:r w:rsidR="002B1F29">
              <w:rPr>
                <w:sz w:val="20"/>
                <w:szCs w:val="20"/>
              </w:rPr>
              <w:t>2</w:t>
            </w:r>
            <w:r w:rsidR="00755986" w:rsidRPr="00755986">
              <w:rPr>
                <w:sz w:val="20"/>
                <w:szCs w:val="20"/>
                <w:lang w:val="fr-CA"/>
              </w:rPr>
              <w:pict>
                <v:rect id="_x0000_i1026"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051D42">
          <w:headerReference w:type="default" r:id="rId16"/>
          <w:footerReference w:type="default" r:id="rId17"/>
          <w:headerReference w:type="first" r:id="rId18"/>
          <w:footerReference w:type="first" r:id="rId19"/>
          <w:pgSz w:w="12240" w:h="15840"/>
          <w:pgMar w:top="720" w:right="965" w:bottom="1080" w:left="1656" w:header="706" w:footer="706" w:gutter="0"/>
          <w:pgNumType w:start="130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257CA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2B1F29" w:rsidP="004B7F60">
      <w:pPr>
        <w:widowControl w:val="0"/>
        <w:rPr>
          <w:b/>
          <w:sz w:val="20"/>
          <w:szCs w:val="20"/>
        </w:rPr>
      </w:pPr>
      <w:r>
        <w:rPr>
          <w:b/>
          <w:sz w:val="20"/>
          <w:szCs w:val="20"/>
        </w:rPr>
        <w:t>SEPT</w:t>
      </w:r>
      <w:r w:rsidR="004B7F60">
        <w:rPr>
          <w:b/>
          <w:sz w:val="20"/>
          <w:szCs w:val="20"/>
        </w:rPr>
        <w:t>EMBER</w:t>
      </w:r>
      <w:r w:rsidR="004B7F60" w:rsidRPr="00C50A5C">
        <w:rPr>
          <w:b/>
          <w:sz w:val="20"/>
          <w:szCs w:val="20"/>
        </w:rPr>
        <w:t xml:space="preserve"> </w:t>
      </w:r>
      <w:r>
        <w:rPr>
          <w:b/>
          <w:sz w:val="20"/>
          <w:szCs w:val="20"/>
        </w:rPr>
        <w:t>10</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10 SEPT</w:t>
      </w:r>
      <w:r w:rsidR="004B7F60">
        <w:rPr>
          <w:b/>
          <w:sz w:val="20"/>
          <w:szCs w:val="20"/>
        </w:rPr>
        <w:t>EMBRE</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6B30BC" w:rsidP="004B7F60">
      <w:pPr>
        <w:pStyle w:val="ListParagraph"/>
        <w:widowControl w:val="0"/>
        <w:numPr>
          <w:ilvl w:val="0"/>
          <w:numId w:val="1"/>
        </w:numPr>
        <w:ind w:hanging="720"/>
        <w:jc w:val="both"/>
        <w:rPr>
          <w:sz w:val="20"/>
          <w:szCs w:val="20"/>
        </w:rPr>
      </w:pPr>
      <w:r w:rsidRPr="006B30BC">
        <w:rPr>
          <w:i/>
          <w:sz w:val="20"/>
          <w:szCs w:val="20"/>
        </w:rPr>
        <w:t>Nicole Lacroix et al. v. Canada Mortgage and Housing Corporation et al.</w:t>
      </w:r>
      <w:r w:rsidRPr="00C965AD">
        <w:rPr>
          <w:sz w:val="20"/>
          <w:szCs w:val="20"/>
        </w:rPr>
        <w:t xml:space="preserve"> (Ont.) (Civil) (By Leave)</w:t>
      </w:r>
      <w:r w:rsidRPr="00C50A5C">
        <w:rPr>
          <w:sz w:val="20"/>
          <w:szCs w:val="20"/>
        </w:rPr>
        <w:t xml:space="preserve"> </w:t>
      </w:r>
      <w:r w:rsidR="004B7F60" w:rsidRPr="00C50A5C">
        <w:rPr>
          <w:sz w:val="20"/>
          <w:szCs w:val="20"/>
        </w:rPr>
        <w:t>(3</w:t>
      </w:r>
      <w:r w:rsidR="004B7F60">
        <w:rPr>
          <w:sz w:val="20"/>
          <w:szCs w:val="20"/>
        </w:rPr>
        <w:t>4</w:t>
      </w:r>
      <w:r>
        <w:rPr>
          <w:sz w:val="20"/>
          <w:szCs w:val="20"/>
        </w:rPr>
        <w:t>827</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106515" w:rsidP="004B7F60">
      <w:pPr>
        <w:pStyle w:val="ListParagraph"/>
        <w:widowControl w:val="0"/>
        <w:numPr>
          <w:ilvl w:val="0"/>
          <w:numId w:val="1"/>
        </w:numPr>
        <w:ind w:hanging="720"/>
        <w:jc w:val="both"/>
        <w:rPr>
          <w:sz w:val="20"/>
          <w:szCs w:val="20"/>
        </w:rPr>
      </w:pPr>
      <w:r w:rsidRPr="00106515">
        <w:rPr>
          <w:i/>
          <w:sz w:val="20"/>
          <w:szCs w:val="20"/>
        </w:rPr>
        <w:t>Richard Rousseau v. Scotia Bank</w:t>
      </w:r>
      <w:r w:rsidRPr="00C965AD">
        <w:rPr>
          <w:sz w:val="20"/>
          <w:szCs w:val="20"/>
        </w:rPr>
        <w:t xml:space="preserve"> (Ont.) (Civil) (By Leave)</w:t>
      </w:r>
      <w:r>
        <w:rPr>
          <w:sz w:val="20"/>
          <w:szCs w:val="20"/>
        </w:rPr>
        <w:t xml:space="preserve"> </w:t>
      </w:r>
      <w:r w:rsidR="004B7F60" w:rsidRPr="00C612D0">
        <w:rPr>
          <w:sz w:val="20"/>
          <w:szCs w:val="20"/>
        </w:rPr>
        <w:t>(34</w:t>
      </w:r>
      <w:r w:rsidR="006B30BC">
        <w:rPr>
          <w:sz w:val="20"/>
          <w:szCs w:val="20"/>
        </w:rPr>
        <w:t>891</w:t>
      </w:r>
      <w:r w:rsidR="004B7F60" w:rsidRPr="00C612D0">
        <w:rPr>
          <w:sz w:val="20"/>
          <w:szCs w:val="20"/>
        </w:rPr>
        <w:t>)</w:t>
      </w:r>
    </w:p>
    <w:p w:rsidR="004B7F60" w:rsidRDefault="004B7F60" w:rsidP="004B7F60">
      <w:pPr>
        <w:widowControl w:val="0"/>
        <w:jc w:val="both"/>
        <w:rPr>
          <w:sz w:val="20"/>
          <w:szCs w:val="20"/>
        </w:rPr>
      </w:pPr>
    </w:p>
    <w:p w:rsidR="00C965AD" w:rsidRDefault="00C965AD" w:rsidP="004B7F60">
      <w:pPr>
        <w:widowControl w:val="0"/>
        <w:jc w:val="both"/>
        <w:rPr>
          <w:sz w:val="20"/>
          <w:szCs w:val="20"/>
        </w:rPr>
      </w:pPr>
    </w:p>
    <w:p w:rsidR="00C965AD" w:rsidRPr="00C50A5C" w:rsidRDefault="00C965AD" w:rsidP="00C965AD">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C965AD" w:rsidRPr="00C50A5C" w:rsidRDefault="00C965AD" w:rsidP="00C965AD">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C965AD" w:rsidRPr="00C965AD" w:rsidRDefault="00C965AD" w:rsidP="004B7F60">
      <w:pPr>
        <w:widowControl w:val="0"/>
        <w:jc w:val="both"/>
        <w:rPr>
          <w:sz w:val="20"/>
          <w:szCs w:val="20"/>
          <w:lang w:val="fr-CA"/>
        </w:rPr>
      </w:pPr>
    </w:p>
    <w:p w:rsidR="004B7F60" w:rsidRPr="00C50A5C" w:rsidRDefault="00106515" w:rsidP="004B7F60">
      <w:pPr>
        <w:pStyle w:val="ListParagraph"/>
        <w:widowControl w:val="0"/>
        <w:numPr>
          <w:ilvl w:val="0"/>
          <w:numId w:val="1"/>
        </w:numPr>
        <w:ind w:hanging="720"/>
        <w:jc w:val="both"/>
        <w:rPr>
          <w:sz w:val="20"/>
          <w:szCs w:val="20"/>
        </w:rPr>
      </w:pPr>
      <w:r w:rsidRPr="00106515">
        <w:rPr>
          <w:i/>
          <w:sz w:val="20"/>
          <w:szCs w:val="20"/>
        </w:rPr>
        <w:t>Her Majesty the Queen v. Ronald Robertson et al.</w:t>
      </w:r>
      <w:r w:rsidRPr="00C965AD">
        <w:rPr>
          <w:sz w:val="20"/>
          <w:szCs w:val="20"/>
        </w:rPr>
        <w:t xml:space="preserve"> (F</w:t>
      </w:r>
      <w:r>
        <w:rPr>
          <w:sz w:val="20"/>
          <w:szCs w:val="20"/>
        </w:rPr>
        <w:t>.</w:t>
      </w:r>
      <w:r w:rsidRPr="00C965AD">
        <w:rPr>
          <w:sz w:val="20"/>
          <w:szCs w:val="20"/>
        </w:rPr>
        <w:t>C</w:t>
      </w:r>
      <w:r>
        <w:rPr>
          <w:sz w:val="20"/>
          <w:szCs w:val="20"/>
        </w:rPr>
        <w:t>.</w:t>
      </w:r>
      <w:r w:rsidRPr="00C965AD">
        <w:rPr>
          <w:sz w:val="20"/>
          <w:szCs w:val="20"/>
        </w:rPr>
        <w:t>) (Civil) (By Leave)</w:t>
      </w:r>
      <w:r w:rsidRPr="00940CAD">
        <w:rPr>
          <w:sz w:val="20"/>
          <w:szCs w:val="20"/>
        </w:rPr>
        <w:t xml:space="preserve"> </w:t>
      </w:r>
      <w:r w:rsidR="004B7F60" w:rsidRPr="00940CAD">
        <w:rPr>
          <w:sz w:val="20"/>
          <w:szCs w:val="20"/>
        </w:rPr>
        <w:t>(34</w:t>
      </w:r>
      <w:r w:rsidR="006B30BC">
        <w:rPr>
          <w:sz w:val="20"/>
          <w:szCs w:val="20"/>
        </w:rPr>
        <w:t>834</w:t>
      </w:r>
      <w:r w:rsidR="004B7F60" w:rsidRPr="00940CAD">
        <w:rPr>
          <w:sz w:val="20"/>
          <w:szCs w:val="20"/>
        </w:rPr>
        <w:t>)</w:t>
      </w:r>
    </w:p>
    <w:p w:rsidR="004B7F60" w:rsidRPr="00C50A5C" w:rsidRDefault="004B7F60" w:rsidP="004B7F60">
      <w:pPr>
        <w:widowControl w:val="0"/>
        <w:rPr>
          <w:sz w:val="20"/>
          <w:szCs w:val="20"/>
        </w:rPr>
      </w:pPr>
    </w:p>
    <w:p w:rsidR="004B7F60" w:rsidRPr="00C50A5C" w:rsidRDefault="00106515" w:rsidP="004B7F60">
      <w:pPr>
        <w:pStyle w:val="ListParagraph"/>
        <w:widowControl w:val="0"/>
        <w:numPr>
          <w:ilvl w:val="0"/>
          <w:numId w:val="1"/>
        </w:numPr>
        <w:ind w:hanging="720"/>
        <w:jc w:val="both"/>
        <w:rPr>
          <w:sz w:val="20"/>
          <w:szCs w:val="20"/>
        </w:rPr>
      </w:pPr>
      <w:r w:rsidRPr="00106515">
        <w:rPr>
          <w:i/>
          <w:sz w:val="20"/>
          <w:szCs w:val="20"/>
        </w:rPr>
        <w:t>Her Majesty the Queen v. Ronald Ballantyne</w:t>
      </w:r>
      <w:r w:rsidRPr="00C965AD">
        <w:rPr>
          <w:sz w:val="20"/>
          <w:szCs w:val="20"/>
        </w:rPr>
        <w:t xml:space="preserve"> </w:t>
      </w:r>
      <w:r>
        <w:rPr>
          <w:sz w:val="20"/>
          <w:szCs w:val="20"/>
        </w:rPr>
        <w:t>(</w:t>
      </w:r>
      <w:r w:rsidRPr="00C965AD">
        <w:rPr>
          <w:sz w:val="20"/>
          <w:szCs w:val="20"/>
        </w:rPr>
        <w:t>F</w:t>
      </w:r>
      <w:r>
        <w:rPr>
          <w:sz w:val="20"/>
          <w:szCs w:val="20"/>
        </w:rPr>
        <w:t>.</w:t>
      </w:r>
      <w:r w:rsidRPr="00C965AD">
        <w:rPr>
          <w:sz w:val="20"/>
          <w:szCs w:val="20"/>
        </w:rPr>
        <w:t>C</w:t>
      </w:r>
      <w:r>
        <w:rPr>
          <w:sz w:val="20"/>
          <w:szCs w:val="20"/>
        </w:rPr>
        <w:t>.</w:t>
      </w:r>
      <w:r w:rsidRPr="00C965AD">
        <w:rPr>
          <w:sz w:val="20"/>
          <w:szCs w:val="20"/>
        </w:rPr>
        <w:t>) (Civil) (By Leave)</w:t>
      </w:r>
      <w:r w:rsidRPr="00C50A5C">
        <w:rPr>
          <w:sz w:val="20"/>
          <w:szCs w:val="20"/>
        </w:rPr>
        <w:t xml:space="preserve"> </w:t>
      </w:r>
      <w:r w:rsidR="004B7F60" w:rsidRPr="00C50A5C">
        <w:rPr>
          <w:sz w:val="20"/>
          <w:szCs w:val="20"/>
        </w:rPr>
        <w:t>(3</w:t>
      </w:r>
      <w:r w:rsidR="004B7F60">
        <w:rPr>
          <w:sz w:val="20"/>
          <w:szCs w:val="20"/>
        </w:rPr>
        <w:t>4</w:t>
      </w:r>
      <w:r w:rsidR="006B30BC">
        <w:rPr>
          <w:sz w:val="20"/>
          <w:szCs w:val="20"/>
        </w:rPr>
        <w:t>840</w:t>
      </w:r>
      <w:r w:rsidR="004B7F60" w:rsidRPr="00C50A5C">
        <w:rPr>
          <w:sz w:val="20"/>
          <w:szCs w:val="20"/>
        </w:rPr>
        <w:t>)</w:t>
      </w:r>
    </w:p>
    <w:p w:rsidR="004B7F60" w:rsidRDefault="004B7F60" w:rsidP="004B7F60">
      <w:pPr>
        <w:widowControl w:val="0"/>
        <w:jc w:val="both"/>
        <w:rPr>
          <w:sz w:val="20"/>
          <w:szCs w:val="20"/>
        </w:rPr>
      </w:pPr>
    </w:p>
    <w:p w:rsidR="004B7F60" w:rsidRPr="00106515" w:rsidRDefault="00106515" w:rsidP="004B7F60">
      <w:pPr>
        <w:pStyle w:val="ListParagraph"/>
        <w:widowControl w:val="0"/>
        <w:numPr>
          <w:ilvl w:val="0"/>
          <w:numId w:val="1"/>
        </w:numPr>
        <w:ind w:hanging="720"/>
        <w:jc w:val="both"/>
        <w:rPr>
          <w:sz w:val="20"/>
          <w:szCs w:val="20"/>
        </w:rPr>
      </w:pPr>
      <w:r w:rsidRPr="00106515">
        <w:rPr>
          <w:i/>
          <w:sz w:val="20"/>
          <w:szCs w:val="20"/>
        </w:rPr>
        <w:t>476605 B.C. Ltd. v. Insurance Corporation of British Columbia</w:t>
      </w:r>
      <w:r w:rsidRPr="00C965AD">
        <w:rPr>
          <w:sz w:val="20"/>
          <w:szCs w:val="20"/>
        </w:rPr>
        <w:t xml:space="preserve"> (B.C.) (Civil) (By Leave)</w:t>
      </w:r>
      <w:r w:rsidRPr="00106515">
        <w:rPr>
          <w:sz w:val="20"/>
          <w:szCs w:val="20"/>
        </w:rPr>
        <w:t xml:space="preserve"> </w:t>
      </w:r>
      <w:r w:rsidR="004B7F60" w:rsidRPr="00106515">
        <w:rPr>
          <w:sz w:val="20"/>
          <w:szCs w:val="20"/>
        </w:rPr>
        <w:t>(34</w:t>
      </w:r>
      <w:r w:rsidR="006B30BC" w:rsidRPr="00106515">
        <w:rPr>
          <w:sz w:val="20"/>
          <w:szCs w:val="20"/>
        </w:rPr>
        <w:t>901</w:t>
      </w:r>
      <w:r w:rsidR="004B7F60" w:rsidRPr="00106515">
        <w:rPr>
          <w:sz w:val="20"/>
          <w:szCs w:val="20"/>
        </w:rPr>
        <w:t>)</w:t>
      </w:r>
    </w:p>
    <w:p w:rsidR="004B7F60" w:rsidRPr="00106515" w:rsidRDefault="004B7F60" w:rsidP="004B7F60">
      <w:pPr>
        <w:widowControl w:val="0"/>
        <w:rPr>
          <w:sz w:val="20"/>
          <w:szCs w:val="20"/>
        </w:rPr>
      </w:pPr>
    </w:p>
    <w:p w:rsidR="00C965AD" w:rsidRPr="00106515" w:rsidRDefault="00C965AD" w:rsidP="004B7F60">
      <w:pPr>
        <w:widowControl w:val="0"/>
        <w:rPr>
          <w:sz w:val="20"/>
          <w:szCs w:val="20"/>
        </w:rPr>
      </w:pPr>
    </w:p>
    <w:p w:rsidR="00C965AD" w:rsidRPr="00CC757C" w:rsidRDefault="00C965AD" w:rsidP="00C965AD">
      <w:pPr>
        <w:widowControl w:val="0"/>
        <w:jc w:val="center"/>
        <w:rPr>
          <w:b/>
          <w:sz w:val="20"/>
          <w:szCs w:val="20"/>
        </w:rPr>
      </w:pPr>
      <w:r w:rsidRPr="00CC757C">
        <w:rPr>
          <w:b/>
          <w:sz w:val="20"/>
          <w:szCs w:val="20"/>
        </w:rPr>
        <w:t xml:space="preserve">CORAM: Fish, </w:t>
      </w:r>
      <w:r>
        <w:rPr>
          <w:b/>
          <w:sz w:val="20"/>
          <w:szCs w:val="20"/>
        </w:rPr>
        <w:t>Cromwell</w:t>
      </w:r>
      <w:r w:rsidRPr="00CC757C">
        <w:rPr>
          <w:b/>
          <w:sz w:val="20"/>
          <w:szCs w:val="20"/>
        </w:rPr>
        <w:t xml:space="preserve"> and Karakatsanis JJ.</w:t>
      </w:r>
    </w:p>
    <w:p w:rsidR="00C965AD" w:rsidRPr="00C50A5C" w:rsidRDefault="00C965AD" w:rsidP="00C965AD">
      <w:pPr>
        <w:widowControl w:val="0"/>
        <w:jc w:val="center"/>
        <w:rPr>
          <w:b/>
          <w:sz w:val="20"/>
          <w:szCs w:val="20"/>
          <w:lang w:val="fr-CA"/>
        </w:rPr>
      </w:pPr>
      <w:r w:rsidRPr="00C50A5C">
        <w:rPr>
          <w:b/>
          <w:sz w:val="20"/>
          <w:szCs w:val="20"/>
          <w:lang w:val="fr-CA"/>
        </w:rPr>
        <w:t xml:space="preserve">Les juges </w:t>
      </w:r>
      <w:r>
        <w:rPr>
          <w:b/>
          <w:sz w:val="20"/>
          <w:szCs w:val="20"/>
          <w:lang w:val="fr-CA"/>
        </w:rPr>
        <w:t>Fish, Cromwell</w:t>
      </w:r>
      <w:r w:rsidRPr="00C50A5C">
        <w:rPr>
          <w:b/>
          <w:sz w:val="20"/>
          <w:szCs w:val="20"/>
          <w:lang w:val="fr-CA"/>
        </w:rPr>
        <w:t xml:space="preserve"> et </w:t>
      </w:r>
      <w:r>
        <w:rPr>
          <w:b/>
          <w:sz w:val="20"/>
          <w:szCs w:val="20"/>
          <w:lang w:val="fr-CA"/>
        </w:rPr>
        <w:t>Karakatsanis</w:t>
      </w:r>
    </w:p>
    <w:p w:rsidR="00C965AD" w:rsidRPr="00C50A5C" w:rsidRDefault="00C965AD" w:rsidP="00C965AD">
      <w:pPr>
        <w:widowControl w:val="0"/>
        <w:rPr>
          <w:sz w:val="20"/>
          <w:szCs w:val="20"/>
          <w:lang w:val="fr-CA"/>
        </w:rPr>
      </w:pPr>
    </w:p>
    <w:p w:rsidR="004B7F60" w:rsidRPr="00115C9E" w:rsidRDefault="00106515" w:rsidP="004B7F60">
      <w:pPr>
        <w:pStyle w:val="ListParagraph"/>
        <w:widowControl w:val="0"/>
        <w:numPr>
          <w:ilvl w:val="0"/>
          <w:numId w:val="1"/>
        </w:numPr>
        <w:ind w:hanging="720"/>
        <w:jc w:val="both"/>
        <w:rPr>
          <w:sz w:val="20"/>
          <w:szCs w:val="20"/>
          <w:lang w:val="fr-CA"/>
        </w:rPr>
      </w:pPr>
      <w:r w:rsidRPr="00106515">
        <w:rPr>
          <w:i/>
          <w:sz w:val="20"/>
          <w:szCs w:val="20"/>
        </w:rPr>
        <w:t>Debbie Brake-Patten v. Abraham Gallant</w:t>
      </w:r>
      <w:r w:rsidRPr="00C965AD">
        <w:rPr>
          <w:sz w:val="20"/>
          <w:szCs w:val="20"/>
        </w:rPr>
        <w:t xml:space="preserve"> (N.L.) (Civil) (By Leave)</w:t>
      </w:r>
      <w:r>
        <w:rPr>
          <w:sz w:val="20"/>
          <w:szCs w:val="20"/>
        </w:rPr>
        <w:t xml:space="preserve"> </w:t>
      </w:r>
      <w:r w:rsidR="004B7F60" w:rsidRPr="00115C9E">
        <w:rPr>
          <w:sz w:val="20"/>
          <w:szCs w:val="20"/>
          <w:lang w:val="fr-CA"/>
        </w:rPr>
        <w:t>(34</w:t>
      </w:r>
      <w:r w:rsidR="006B30BC">
        <w:rPr>
          <w:sz w:val="20"/>
          <w:szCs w:val="20"/>
          <w:lang w:val="fr-CA"/>
        </w:rPr>
        <w:t>861</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106515" w:rsidP="004B7F60">
      <w:pPr>
        <w:pStyle w:val="ListParagraph"/>
        <w:widowControl w:val="0"/>
        <w:numPr>
          <w:ilvl w:val="0"/>
          <w:numId w:val="1"/>
        </w:numPr>
        <w:ind w:hanging="720"/>
        <w:jc w:val="both"/>
        <w:rPr>
          <w:sz w:val="20"/>
          <w:szCs w:val="20"/>
          <w:lang w:val="fr-CA"/>
        </w:rPr>
      </w:pPr>
      <w:r w:rsidRPr="00106515">
        <w:rPr>
          <w:i/>
          <w:sz w:val="20"/>
          <w:szCs w:val="20"/>
        </w:rPr>
        <w:t xml:space="preserve">Amec Americas Limited, dba: AMEC Earth &amp; Environmental, a body corporate v. Lee MacWilliams </w:t>
      </w:r>
      <w:r w:rsidRPr="00C965AD">
        <w:rPr>
          <w:sz w:val="20"/>
          <w:szCs w:val="20"/>
        </w:rPr>
        <w:t>(N.B.) (Civil) (By Leave)</w:t>
      </w:r>
      <w:r w:rsidRPr="00115C9E">
        <w:rPr>
          <w:sz w:val="20"/>
          <w:szCs w:val="20"/>
          <w:lang w:val="fr-CA"/>
        </w:rPr>
        <w:t xml:space="preserve"> </w:t>
      </w:r>
      <w:r w:rsidR="004B7F60" w:rsidRPr="00115C9E">
        <w:rPr>
          <w:sz w:val="20"/>
          <w:szCs w:val="20"/>
          <w:lang w:val="fr-CA"/>
        </w:rPr>
        <w:t>(34</w:t>
      </w:r>
      <w:r w:rsidR="006B30BC">
        <w:rPr>
          <w:sz w:val="20"/>
          <w:szCs w:val="20"/>
          <w:lang w:val="fr-CA"/>
        </w:rPr>
        <w:t>905</w:t>
      </w:r>
      <w:r w:rsidR="004B7F60" w:rsidRPr="00115C9E">
        <w:rPr>
          <w:sz w:val="20"/>
          <w:szCs w:val="20"/>
          <w:lang w:val="fr-CA"/>
        </w:rPr>
        <w:t>)</w:t>
      </w:r>
    </w:p>
    <w:p w:rsidR="002E2327" w:rsidRDefault="002E2327" w:rsidP="002E2327">
      <w:pPr>
        <w:widowControl w:val="0"/>
        <w:rPr>
          <w:sz w:val="20"/>
          <w:szCs w:val="20"/>
          <w:lang w:val="fr-CA"/>
        </w:rPr>
      </w:pPr>
    </w:p>
    <w:p w:rsidR="002E2327" w:rsidRPr="00C50A5C" w:rsidRDefault="00755986" w:rsidP="002E2327">
      <w:pPr>
        <w:widowControl w:val="0"/>
        <w:rPr>
          <w:sz w:val="20"/>
          <w:szCs w:val="20"/>
        </w:rPr>
      </w:pPr>
      <w:r w:rsidRPr="00755986">
        <w:rPr>
          <w:sz w:val="20"/>
          <w:szCs w:val="20"/>
        </w:rPr>
        <w:pict>
          <v:rect id="_x0000_i1029"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257CA3"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106515" w:rsidP="008D292F">
      <w:pPr>
        <w:rPr>
          <w:b/>
          <w:sz w:val="20"/>
          <w:szCs w:val="20"/>
        </w:rPr>
      </w:pPr>
      <w:r>
        <w:rPr>
          <w:b/>
          <w:sz w:val="20"/>
          <w:szCs w:val="20"/>
        </w:rPr>
        <w:t>SE</w:t>
      </w:r>
      <w:r w:rsidR="008D292F" w:rsidRPr="00C50A5C">
        <w:rPr>
          <w:b/>
          <w:sz w:val="20"/>
          <w:szCs w:val="20"/>
        </w:rPr>
        <w:t>P</w:t>
      </w:r>
      <w:r>
        <w:rPr>
          <w:b/>
          <w:sz w:val="20"/>
          <w:szCs w:val="20"/>
        </w:rPr>
        <w:t>TEMBE</w:t>
      </w:r>
      <w:r w:rsidR="008D292F" w:rsidRPr="00C50A5C">
        <w:rPr>
          <w:b/>
          <w:sz w:val="20"/>
          <w:szCs w:val="20"/>
        </w:rPr>
        <w:t xml:space="preserve">R </w:t>
      </w:r>
      <w:r>
        <w:rPr>
          <w:b/>
          <w:sz w:val="20"/>
          <w:szCs w:val="20"/>
        </w:rPr>
        <w:t>13</w:t>
      </w:r>
      <w:r w:rsidR="008D292F" w:rsidRPr="00C50A5C">
        <w:rPr>
          <w:b/>
          <w:sz w:val="20"/>
          <w:szCs w:val="20"/>
        </w:rPr>
        <w:t>, 201</w:t>
      </w:r>
      <w:r>
        <w:rPr>
          <w:b/>
          <w:sz w:val="20"/>
          <w:szCs w:val="20"/>
        </w:rPr>
        <w:t>2</w:t>
      </w:r>
      <w:r w:rsidR="008D292F" w:rsidRPr="00C50A5C">
        <w:rPr>
          <w:b/>
          <w:sz w:val="20"/>
          <w:szCs w:val="20"/>
        </w:rPr>
        <w:t xml:space="preserve"> / LE </w:t>
      </w:r>
      <w:r>
        <w:rPr>
          <w:b/>
          <w:sz w:val="20"/>
          <w:szCs w:val="20"/>
        </w:rPr>
        <w:t>13</w:t>
      </w:r>
      <w:r w:rsidR="008D292F" w:rsidRPr="00C50A5C">
        <w:rPr>
          <w:b/>
          <w:sz w:val="20"/>
          <w:szCs w:val="20"/>
        </w:rPr>
        <w:t xml:space="preserve"> </w:t>
      </w:r>
      <w:r>
        <w:rPr>
          <w:b/>
          <w:sz w:val="20"/>
          <w:szCs w:val="20"/>
        </w:rPr>
        <w:t>SEPTEMB</w:t>
      </w:r>
      <w:r w:rsidR="008D292F" w:rsidRPr="00C50A5C">
        <w:rPr>
          <w:b/>
          <w:sz w:val="20"/>
          <w:szCs w:val="20"/>
        </w:rPr>
        <w:t>R</w:t>
      </w:r>
      <w:r>
        <w:rPr>
          <w:b/>
          <w:sz w:val="20"/>
          <w:szCs w:val="20"/>
        </w:rPr>
        <w:t>E</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056F0" w:rsidRPr="00257CA3" w:rsidTr="005056F0">
        <w:trPr>
          <w:cantSplit/>
        </w:trPr>
        <w:tc>
          <w:tcPr>
            <w:tcW w:w="1458" w:type="dxa"/>
          </w:tcPr>
          <w:p w:rsidR="005056F0" w:rsidRPr="00353B4A" w:rsidRDefault="005056F0" w:rsidP="005056F0">
            <w:pPr>
              <w:rPr>
                <w:rFonts w:cs="Times New Roman"/>
                <w:sz w:val="20"/>
                <w:szCs w:val="20"/>
              </w:rPr>
            </w:pPr>
            <w:r w:rsidRPr="00353B4A">
              <w:rPr>
                <w:rStyle w:val="SCCFileNumberChar"/>
                <w:sz w:val="20"/>
                <w:szCs w:val="20"/>
              </w:rPr>
              <w:t>34624</w:t>
            </w:r>
          </w:p>
          <w:p w:rsidR="005056F0" w:rsidRPr="00353B4A" w:rsidRDefault="005056F0" w:rsidP="005056F0">
            <w:pPr>
              <w:rPr>
                <w:rFonts w:cs="Times New Roman"/>
                <w:b/>
                <w:sz w:val="20"/>
                <w:szCs w:val="20"/>
                <w:lang w:val="fr-CA"/>
              </w:rPr>
            </w:pPr>
          </w:p>
        </w:tc>
        <w:tc>
          <w:tcPr>
            <w:tcW w:w="8118" w:type="dxa"/>
          </w:tcPr>
          <w:p w:rsidR="005056F0" w:rsidRPr="00353B4A" w:rsidRDefault="005056F0" w:rsidP="005056F0">
            <w:pPr>
              <w:rPr>
                <w:rFonts w:cs="Times New Roman"/>
                <w:sz w:val="20"/>
                <w:szCs w:val="20"/>
                <w:lang w:val="fr-CA"/>
              </w:rPr>
            </w:pPr>
            <w:r w:rsidRPr="00353B4A">
              <w:rPr>
                <w:rStyle w:val="SCCLsocChar"/>
                <w:rFonts w:cs="Times New Roman"/>
                <w:sz w:val="20"/>
                <w:szCs w:val="20"/>
              </w:rPr>
              <w:t>Stephen Goldman c. Barreau du Québec</w:t>
            </w:r>
            <w:r>
              <w:rPr>
                <w:rStyle w:val="SCCLsocChar"/>
                <w:rFonts w:cs="Times New Roman"/>
                <w:szCs w:val="20"/>
              </w:rPr>
              <w:t xml:space="preserve"> et</w:t>
            </w:r>
            <w:r w:rsidRPr="00353B4A">
              <w:rPr>
                <w:rStyle w:val="SCCLsocChar"/>
                <w:rFonts w:cs="Times New Roman"/>
                <w:sz w:val="20"/>
                <w:szCs w:val="20"/>
              </w:rPr>
              <w:t xml:space="preserve"> Anne-Marie Lauriault</w:t>
            </w:r>
            <w:r w:rsidRPr="00353B4A">
              <w:rPr>
                <w:rFonts w:cs="Times New Roman"/>
                <w:sz w:val="20"/>
                <w:szCs w:val="20"/>
                <w:lang w:val="fr-CA"/>
              </w:rPr>
              <w:t xml:space="preserve"> (Qc) (Civile) (Autorisation)</w:t>
            </w:r>
          </w:p>
          <w:p w:rsidR="005056F0" w:rsidRPr="00353B4A" w:rsidRDefault="005056F0" w:rsidP="005056F0">
            <w:pPr>
              <w:rPr>
                <w:rFonts w:cs="Times New Roman"/>
                <w:sz w:val="20"/>
                <w:szCs w:val="20"/>
                <w:lang w:val="fr-CA"/>
              </w:rPr>
            </w:pPr>
          </w:p>
        </w:tc>
      </w:tr>
      <w:tr w:rsidR="005056F0" w:rsidRPr="00257CA3" w:rsidTr="005056F0">
        <w:trPr>
          <w:cantSplit/>
        </w:trPr>
        <w:tc>
          <w:tcPr>
            <w:tcW w:w="1458" w:type="dxa"/>
          </w:tcPr>
          <w:p w:rsidR="005056F0" w:rsidRPr="00353B4A" w:rsidRDefault="005056F0" w:rsidP="005056F0">
            <w:pPr>
              <w:rPr>
                <w:rFonts w:cs="Times New Roman"/>
                <w:sz w:val="20"/>
                <w:szCs w:val="20"/>
              </w:rPr>
            </w:pPr>
            <w:r w:rsidRPr="00353B4A">
              <w:rPr>
                <w:rFonts w:cs="Times New Roman"/>
                <w:sz w:val="20"/>
                <w:szCs w:val="20"/>
              </w:rPr>
              <w:t>Coram :</w:t>
            </w:r>
          </w:p>
        </w:tc>
        <w:tc>
          <w:tcPr>
            <w:tcW w:w="8118" w:type="dxa"/>
          </w:tcPr>
          <w:p w:rsidR="005056F0" w:rsidRPr="00353B4A" w:rsidRDefault="005056F0" w:rsidP="005056F0">
            <w:pPr>
              <w:rPr>
                <w:rFonts w:cs="Times New Roman"/>
                <w:sz w:val="20"/>
                <w:szCs w:val="20"/>
                <w:lang w:val="fr-CA"/>
              </w:rPr>
            </w:pPr>
            <w:r w:rsidRPr="00353B4A">
              <w:rPr>
                <w:rStyle w:val="SCCCoramChar"/>
                <w:rFonts w:cs="Times New Roman"/>
                <w:sz w:val="20"/>
                <w:szCs w:val="20"/>
              </w:rPr>
              <w:t>Les juges Deschamps, Fish et Karakatsanis</w:t>
            </w:r>
          </w:p>
          <w:p w:rsidR="005056F0" w:rsidRPr="00353B4A" w:rsidRDefault="005056F0" w:rsidP="005056F0">
            <w:pPr>
              <w:rPr>
                <w:rFonts w:cs="Times New Roman"/>
                <w:sz w:val="20"/>
                <w:szCs w:val="20"/>
                <w:u w:val="single"/>
                <w:lang w:val="fr-CA"/>
              </w:rPr>
            </w:pPr>
          </w:p>
        </w:tc>
      </w:tr>
      <w:tr w:rsidR="005056F0" w:rsidRPr="00353B4A" w:rsidTr="005056F0">
        <w:trPr>
          <w:cantSplit/>
        </w:trPr>
        <w:tc>
          <w:tcPr>
            <w:tcW w:w="9576" w:type="dxa"/>
            <w:gridSpan w:val="2"/>
          </w:tcPr>
          <w:p w:rsidR="005056F0" w:rsidRPr="00353B4A" w:rsidRDefault="005056F0" w:rsidP="005056F0">
            <w:pPr>
              <w:pStyle w:val="SCCShortJudgment"/>
              <w:rPr>
                <w:rFonts w:cs="Times New Roman"/>
                <w:szCs w:val="20"/>
                <w:lang w:val="fr-CA"/>
              </w:rPr>
            </w:pPr>
            <w:r w:rsidRPr="00353B4A">
              <w:rPr>
                <w:rFonts w:cs="Times New Roman"/>
                <w:szCs w:val="20"/>
                <w:lang w:val="fr-CA"/>
              </w:rPr>
              <w:t>La requête en prorogation du délai de signification et de dépôt de la demande d’autorisation d’appel de l’arrêt de la Cour d’appel du Québec (Montréal), numéro 500-09-021587-118, 2011 QCCA 2088, daté du 7 novembre 2011, est rejetée.</w:t>
            </w:r>
          </w:p>
          <w:p w:rsidR="005056F0" w:rsidRPr="00353B4A" w:rsidRDefault="005056F0" w:rsidP="005056F0">
            <w:pPr>
              <w:pStyle w:val="SCCShortJudgment"/>
              <w:ind w:firstLine="0"/>
              <w:rPr>
                <w:rFonts w:cs="Times New Roman"/>
                <w:szCs w:val="20"/>
                <w:lang w:val="fr-CA"/>
              </w:rPr>
            </w:pPr>
          </w:p>
          <w:p w:rsidR="005056F0" w:rsidRPr="00353B4A" w:rsidRDefault="005056F0" w:rsidP="005056F0">
            <w:pPr>
              <w:pStyle w:val="SCCShortJudgment"/>
              <w:rPr>
                <w:rFonts w:cs="Times New Roman"/>
                <w:szCs w:val="20"/>
              </w:rPr>
            </w:pPr>
            <w:r w:rsidRPr="00353B4A">
              <w:rPr>
                <w:rFonts w:cs="Times New Roman"/>
                <w:szCs w:val="20"/>
              </w:rPr>
              <w:t>The motion for an extension of time to serve and file an application for leave to appeal from the judgment of the Court of Appeal of Quebec (Montréal), Number 500-09-021587-118, 2011 QCCA 2088, dated November 7, 2011, is dismissed.</w:t>
            </w:r>
          </w:p>
        </w:tc>
      </w:tr>
    </w:tbl>
    <w:p w:rsidR="00106515" w:rsidRPr="005056F0" w:rsidRDefault="00106515" w:rsidP="00106515">
      <w:pPr>
        <w:rPr>
          <w:sz w:val="20"/>
          <w:szCs w:val="20"/>
        </w:rPr>
      </w:pPr>
    </w:p>
    <w:p w:rsidR="00106515" w:rsidRPr="001B157C" w:rsidRDefault="00106515" w:rsidP="00106515">
      <w:pPr>
        <w:rPr>
          <w:sz w:val="20"/>
          <w:szCs w:val="20"/>
          <w:u w:val="single"/>
        </w:rPr>
      </w:pPr>
      <w:r w:rsidRPr="001B157C">
        <w:rPr>
          <w:sz w:val="20"/>
          <w:szCs w:val="20"/>
          <w:u w:val="single"/>
        </w:rPr>
        <w:t>CASE SUMMARY</w:t>
      </w:r>
    </w:p>
    <w:p w:rsidR="00106515" w:rsidRDefault="00106515"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6B2" w:rsidRPr="006D31D9" w:rsidTr="00016940">
        <w:tc>
          <w:tcPr>
            <w:tcW w:w="5000" w:type="pct"/>
            <w:gridSpan w:val="3"/>
          </w:tcPr>
          <w:p w:rsidR="00E566B2" w:rsidRPr="006D31D9" w:rsidRDefault="00E566B2" w:rsidP="00016940">
            <w:pPr>
              <w:jc w:val="both"/>
              <w:rPr>
                <w:rFonts w:eastAsia="Calibri"/>
                <w:sz w:val="20"/>
                <w:szCs w:val="20"/>
              </w:rPr>
            </w:pPr>
            <w:r w:rsidRPr="006D31D9">
              <w:rPr>
                <w:rFonts w:eastAsia="Calibri"/>
                <w:sz w:val="20"/>
                <w:szCs w:val="20"/>
              </w:rPr>
              <w:t>Civil procedure – Dismissal of motion for relief from certificate attesting to abandonment of appeal and for extension of time to file factum – Court of Appeal holding that proposed appeal had no reasonable chance of success – Whether motion should have been allowed.</w:t>
            </w:r>
          </w:p>
        </w:tc>
      </w:tr>
      <w:tr w:rsidR="00E566B2" w:rsidRPr="006D31D9" w:rsidTr="00016940">
        <w:tc>
          <w:tcPr>
            <w:tcW w:w="5000" w:type="pct"/>
            <w:gridSpan w:val="3"/>
          </w:tcPr>
          <w:p w:rsidR="00E566B2" w:rsidRPr="006D31D9" w:rsidRDefault="00E566B2" w:rsidP="00016940">
            <w:pPr>
              <w:jc w:val="both"/>
              <w:rPr>
                <w:rFonts w:eastAsia="Calibri"/>
                <w:sz w:val="20"/>
                <w:szCs w:val="20"/>
              </w:rPr>
            </w:pPr>
          </w:p>
        </w:tc>
      </w:tr>
      <w:tr w:rsidR="00E566B2" w:rsidRPr="006D31D9" w:rsidTr="00016940">
        <w:tc>
          <w:tcPr>
            <w:tcW w:w="5000" w:type="pct"/>
            <w:gridSpan w:val="3"/>
          </w:tcPr>
          <w:p w:rsidR="00E566B2" w:rsidRPr="006D31D9" w:rsidRDefault="00E566B2" w:rsidP="00016940">
            <w:pPr>
              <w:jc w:val="both"/>
              <w:rPr>
                <w:rFonts w:eastAsia="Calibri"/>
                <w:sz w:val="20"/>
                <w:szCs w:val="20"/>
              </w:rPr>
            </w:pPr>
            <w:r w:rsidRPr="006D31D9">
              <w:rPr>
                <w:rFonts w:eastAsia="Calibri"/>
                <w:sz w:val="20"/>
                <w:szCs w:val="20"/>
              </w:rPr>
              <w:t>Mr. Goldman instituted an action against the respondents, the Barreau du Québec and Ms. Lauriault, following the publication of a notice of disbarment concerning him that was [</w:t>
            </w:r>
            <w:r w:rsidRPr="006D31D9">
              <w:rPr>
                <w:rFonts w:eastAsia="Calibri"/>
                <w:smallCaps/>
                <w:sz w:val="20"/>
                <w:szCs w:val="20"/>
              </w:rPr>
              <w:t>translation</w:t>
            </w:r>
            <w:r w:rsidRPr="006D31D9">
              <w:rPr>
                <w:rFonts w:eastAsia="Calibri"/>
                <w:sz w:val="20"/>
                <w:szCs w:val="20"/>
              </w:rPr>
              <w:t>] “enforceable notwithstanding an appeal”.  He claimed $30,000 in compensatory damages and $40,000 in exemplary damages.</w:t>
            </w:r>
          </w:p>
          <w:p w:rsidR="00E566B2" w:rsidRPr="006D31D9" w:rsidRDefault="00E566B2" w:rsidP="00016940">
            <w:pPr>
              <w:jc w:val="both"/>
              <w:rPr>
                <w:rFonts w:eastAsia="Calibri"/>
                <w:sz w:val="20"/>
                <w:szCs w:val="20"/>
              </w:rPr>
            </w:pPr>
          </w:p>
          <w:p w:rsidR="00E566B2" w:rsidRPr="006D31D9" w:rsidRDefault="00E566B2" w:rsidP="00016940">
            <w:pPr>
              <w:jc w:val="both"/>
              <w:rPr>
                <w:rFonts w:eastAsia="Calibri"/>
                <w:sz w:val="20"/>
                <w:szCs w:val="20"/>
              </w:rPr>
            </w:pPr>
            <w:r w:rsidRPr="006D31D9">
              <w:rPr>
                <w:rFonts w:eastAsia="Calibri"/>
                <w:sz w:val="20"/>
                <w:szCs w:val="20"/>
              </w:rPr>
              <w:t>Emery J. of the Superior Court dismissed the action.  In his view, the evidence showed that the publication of a notice that was enforceable notwithstanding an appeal had been an error made in good faith by the respondents in the performance of their duties – indeed, the notice had been corrected once the Barreau was informed of the error.  Emery J. found that the respondents were immune from prosecution in this regard, which justified dismissing the action.  He added that, in any event. Mr. Goldman had not established that the respondents had committed a civil fault in this case.  There was also no causal connection, since Mr. Goldman could have contacted the Barreau as soon as he learned of the error and the Barreau would have corrected it.  Finally, damage had not been proved.</w:t>
            </w:r>
          </w:p>
          <w:p w:rsidR="00E566B2" w:rsidRPr="006D31D9" w:rsidRDefault="00E566B2" w:rsidP="00016940">
            <w:pPr>
              <w:jc w:val="both"/>
              <w:rPr>
                <w:rFonts w:eastAsia="Calibri"/>
                <w:sz w:val="20"/>
                <w:szCs w:val="20"/>
              </w:rPr>
            </w:pPr>
          </w:p>
          <w:p w:rsidR="00E566B2" w:rsidRPr="006D31D9" w:rsidRDefault="00E566B2" w:rsidP="00016940">
            <w:pPr>
              <w:jc w:val="both"/>
              <w:rPr>
                <w:rFonts w:eastAsia="Calibri"/>
                <w:sz w:val="20"/>
                <w:szCs w:val="20"/>
              </w:rPr>
            </w:pPr>
            <w:r w:rsidRPr="006D31D9">
              <w:rPr>
                <w:rFonts w:eastAsia="Calibri"/>
                <w:sz w:val="20"/>
                <w:szCs w:val="20"/>
              </w:rPr>
              <w:t>Mr. Goldman appealed the judgment, but a certificate attesting to the abandonment of the appeal was eventually issued.  Mr. Goldman then filed a motion for relief from default and for an extension of time to file his factum.  The Court of Appeal dismissed the motion on the ground that the appeal had no reasonable chance of success.</w:t>
            </w:r>
          </w:p>
          <w:p w:rsidR="00E566B2" w:rsidRPr="006D31D9" w:rsidRDefault="00E566B2" w:rsidP="00016940">
            <w:pPr>
              <w:jc w:val="both"/>
              <w:rPr>
                <w:rFonts w:eastAsia="Calibri"/>
                <w:sz w:val="20"/>
                <w:szCs w:val="20"/>
              </w:rPr>
            </w:pPr>
          </w:p>
        </w:tc>
      </w:tr>
      <w:tr w:rsidR="00E566B2" w:rsidRPr="006D31D9" w:rsidTr="00016940">
        <w:tc>
          <w:tcPr>
            <w:tcW w:w="2427" w:type="pct"/>
          </w:tcPr>
          <w:p w:rsidR="00E566B2" w:rsidRPr="006D31D9" w:rsidRDefault="00E566B2" w:rsidP="00016940">
            <w:pPr>
              <w:jc w:val="both"/>
              <w:rPr>
                <w:rFonts w:eastAsia="Calibri"/>
                <w:sz w:val="20"/>
                <w:szCs w:val="20"/>
              </w:rPr>
            </w:pPr>
            <w:r w:rsidRPr="006D31D9">
              <w:rPr>
                <w:rFonts w:eastAsia="Calibri"/>
                <w:sz w:val="20"/>
                <w:szCs w:val="20"/>
              </w:rPr>
              <w:t>March 8, 2011</w:t>
            </w:r>
          </w:p>
          <w:p w:rsidR="00E566B2" w:rsidRPr="006D31D9" w:rsidRDefault="00E566B2" w:rsidP="00016940">
            <w:pPr>
              <w:jc w:val="both"/>
              <w:rPr>
                <w:rFonts w:eastAsia="Calibri"/>
                <w:sz w:val="20"/>
                <w:szCs w:val="20"/>
              </w:rPr>
            </w:pPr>
            <w:r w:rsidRPr="006D31D9">
              <w:rPr>
                <w:rFonts w:eastAsia="Calibri"/>
                <w:sz w:val="20"/>
                <w:szCs w:val="20"/>
              </w:rPr>
              <w:t>Quebec Superior Court</w:t>
            </w:r>
          </w:p>
          <w:p w:rsidR="00E566B2" w:rsidRPr="006D31D9" w:rsidRDefault="00E566B2" w:rsidP="00016940">
            <w:pPr>
              <w:jc w:val="both"/>
              <w:rPr>
                <w:rFonts w:eastAsia="Calibri"/>
                <w:sz w:val="20"/>
                <w:szCs w:val="20"/>
              </w:rPr>
            </w:pPr>
            <w:r w:rsidRPr="006D31D9">
              <w:rPr>
                <w:rFonts w:eastAsia="Calibri"/>
                <w:sz w:val="20"/>
                <w:szCs w:val="20"/>
              </w:rPr>
              <w:t>(Emery J.)</w:t>
            </w:r>
          </w:p>
          <w:p w:rsidR="00E566B2" w:rsidRPr="006D31D9" w:rsidRDefault="00E566B2" w:rsidP="00016940">
            <w:pPr>
              <w:jc w:val="both"/>
              <w:rPr>
                <w:rFonts w:eastAsia="Calibri"/>
                <w:sz w:val="20"/>
                <w:szCs w:val="20"/>
              </w:rPr>
            </w:pPr>
            <w:r w:rsidRPr="006D31D9">
              <w:rPr>
                <w:rFonts w:eastAsia="Calibri"/>
                <w:sz w:val="20"/>
                <w:szCs w:val="20"/>
              </w:rPr>
              <w:t>2011 QCCS 972</w:t>
            </w:r>
          </w:p>
          <w:p w:rsidR="00E566B2" w:rsidRPr="006D31D9" w:rsidRDefault="00E566B2" w:rsidP="00016940">
            <w:pPr>
              <w:jc w:val="both"/>
              <w:rPr>
                <w:rFonts w:eastAsia="Calibri"/>
                <w:sz w:val="20"/>
                <w:szCs w:val="20"/>
              </w:rPr>
            </w:pPr>
          </w:p>
        </w:tc>
        <w:tc>
          <w:tcPr>
            <w:tcW w:w="243" w:type="pct"/>
          </w:tcPr>
          <w:p w:rsidR="00E566B2" w:rsidRPr="006D31D9" w:rsidRDefault="00E566B2" w:rsidP="00016940">
            <w:pPr>
              <w:jc w:val="both"/>
              <w:rPr>
                <w:rFonts w:eastAsia="Calibri"/>
                <w:sz w:val="20"/>
                <w:szCs w:val="20"/>
              </w:rPr>
            </w:pPr>
          </w:p>
        </w:tc>
        <w:tc>
          <w:tcPr>
            <w:tcW w:w="2330" w:type="pct"/>
          </w:tcPr>
          <w:p w:rsidR="00E566B2" w:rsidRPr="006D31D9" w:rsidRDefault="00E566B2" w:rsidP="00016940">
            <w:pPr>
              <w:jc w:val="both"/>
              <w:rPr>
                <w:rFonts w:eastAsia="Calibri"/>
                <w:sz w:val="20"/>
                <w:szCs w:val="20"/>
              </w:rPr>
            </w:pPr>
            <w:r w:rsidRPr="006D31D9">
              <w:rPr>
                <w:rFonts w:eastAsia="Calibri"/>
                <w:sz w:val="20"/>
                <w:szCs w:val="20"/>
              </w:rPr>
              <w:t>Action dismissed</w:t>
            </w:r>
          </w:p>
          <w:p w:rsidR="00E566B2" w:rsidRPr="006D31D9" w:rsidRDefault="00E566B2" w:rsidP="00016940">
            <w:pPr>
              <w:jc w:val="both"/>
              <w:rPr>
                <w:rFonts w:eastAsia="Calibri"/>
                <w:sz w:val="20"/>
                <w:szCs w:val="20"/>
              </w:rPr>
            </w:pPr>
          </w:p>
        </w:tc>
      </w:tr>
      <w:tr w:rsidR="00E566B2" w:rsidRPr="006D31D9" w:rsidTr="00016940">
        <w:tc>
          <w:tcPr>
            <w:tcW w:w="2427" w:type="pct"/>
          </w:tcPr>
          <w:p w:rsidR="00E566B2" w:rsidRPr="006D31D9" w:rsidRDefault="00E566B2" w:rsidP="00016940">
            <w:pPr>
              <w:jc w:val="both"/>
              <w:rPr>
                <w:rFonts w:eastAsia="Calibri"/>
                <w:sz w:val="20"/>
                <w:szCs w:val="20"/>
              </w:rPr>
            </w:pPr>
            <w:r w:rsidRPr="006D31D9">
              <w:rPr>
                <w:rFonts w:eastAsia="Calibri"/>
                <w:sz w:val="20"/>
                <w:szCs w:val="20"/>
              </w:rPr>
              <w:t>November 7, 2011</w:t>
            </w:r>
          </w:p>
          <w:p w:rsidR="00E566B2" w:rsidRPr="006D31D9" w:rsidRDefault="00E566B2" w:rsidP="00016940">
            <w:pPr>
              <w:jc w:val="both"/>
              <w:rPr>
                <w:rFonts w:eastAsia="Calibri"/>
                <w:sz w:val="20"/>
                <w:szCs w:val="20"/>
              </w:rPr>
            </w:pPr>
            <w:r w:rsidRPr="006D31D9">
              <w:rPr>
                <w:rFonts w:eastAsia="Calibri"/>
                <w:sz w:val="20"/>
                <w:szCs w:val="20"/>
              </w:rPr>
              <w:t>Quebec Court of Appeal (Montréal)</w:t>
            </w:r>
          </w:p>
          <w:p w:rsidR="00E566B2" w:rsidRPr="006D31D9" w:rsidRDefault="00E566B2" w:rsidP="00016940">
            <w:pPr>
              <w:jc w:val="both"/>
              <w:rPr>
                <w:rFonts w:eastAsia="Calibri"/>
                <w:sz w:val="20"/>
                <w:szCs w:val="20"/>
              </w:rPr>
            </w:pPr>
            <w:r w:rsidRPr="006D31D9">
              <w:rPr>
                <w:rFonts w:eastAsia="Calibri"/>
                <w:sz w:val="20"/>
                <w:szCs w:val="20"/>
              </w:rPr>
              <w:t>(Forget, Rochon and Fournier JJ.A.)</w:t>
            </w:r>
          </w:p>
          <w:p w:rsidR="00E566B2" w:rsidRPr="006D31D9" w:rsidRDefault="00E566B2" w:rsidP="00E566B2">
            <w:pPr>
              <w:jc w:val="both"/>
              <w:rPr>
                <w:rFonts w:eastAsia="Calibri"/>
                <w:sz w:val="20"/>
                <w:szCs w:val="20"/>
              </w:rPr>
            </w:pPr>
            <w:r w:rsidRPr="006D31D9">
              <w:rPr>
                <w:rFonts w:eastAsia="Calibri"/>
                <w:sz w:val="20"/>
                <w:szCs w:val="20"/>
              </w:rPr>
              <w:t>2011 QCCA 2088</w:t>
            </w:r>
          </w:p>
        </w:tc>
        <w:tc>
          <w:tcPr>
            <w:tcW w:w="243" w:type="pct"/>
          </w:tcPr>
          <w:p w:rsidR="00E566B2" w:rsidRPr="006D31D9" w:rsidRDefault="00E566B2" w:rsidP="00016940">
            <w:pPr>
              <w:jc w:val="both"/>
              <w:rPr>
                <w:rFonts w:eastAsia="Calibri"/>
                <w:sz w:val="20"/>
                <w:szCs w:val="20"/>
              </w:rPr>
            </w:pPr>
          </w:p>
        </w:tc>
        <w:tc>
          <w:tcPr>
            <w:tcW w:w="2330" w:type="pct"/>
          </w:tcPr>
          <w:p w:rsidR="00E566B2" w:rsidRPr="006D31D9" w:rsidRDefault="00E566B2" w:rsidP="00016940">
            <w:pPr>
              <w:jc w:val="both"/>
              <w:rPr>
                <w:rFonts w:eastAsia="Calibri"/>
                <w:sz w:val="20"/>
                <w:szCs w:val="20"/>
              </w:rPr>
            </w:pPr>
            <w:r w:rsidRPr="006D31D9">
              <w:rPr>
                <w:rFonts w:eastAsia="Calibri"/>
                <w:sz w:val="20"/>
                <w:szCs w:val="20"/>
              </w:rPr>
              <w:t>Motion for relief from certificate attesting to abandonment of appeal and for extension of time to file factum dismissed</w:t>
            </w:r>
          </w:p>
          <w:p w:rsidR="00E566B2" w:rsidRPr="006D31D9" w:rsidRDefault="00E566B2" w:rsidP="00016940">
            <w:pPr>
              <w:jc w:val="both"/>
              <w:rPr>
                <w:rFonts w:eastAsia="Calibri"/>
                <w:sz w:val="20"/>
                <w:szCs w:val="20"/>
              </w:rPr>
            </w:pPr>
          </w:p>
        </w:tc>
      </w:tr>
    </w:tbl>
    <w:p w:rsidR="00E566B2" w:rsidRDefault="00E566B2"/>
    <w:p w:rsidR="00E566B2" w:rsidRDefault="00E566B2">
      <w:r>
        <w:br w:type="page"/>
      </w:r>
    </w:p>
    <w:tbl>
      <w:tblPr>
        <w:tblW w:w="4952" w:type="pct"/>
        <w:tblLayout w:type="fixed"/>
        <w:tblCellMar>
          <w:left w:w="0" w:type="dxa"/>
          <w:bottom w:w="99" w:type="dxa"/>
          <w:right w:w="0" w:type="dxa"/>
        </w:tblCellMar>
        <w:tblLook w:val="04A0"/>
      </w:tblPr>
      <w:tblGrid>
        <w:gridCol w:w="4624"/>
        <w:gridCol w:w="463"/>
        <w:gridCol w:w="4440"/>
      </w:tblGrid>
      <w:tr w:rsidR="00E566B2" w:rsidRPr="006D31D9" w:rsidTr="00E566B2">
        <w:trPr>
          <w:cantSplit/>
        </w:trPr>
        <w:tc>
          <w:tcPr>
            <w:tcW w:w="2427" w:type="pct"/>
          </w:tcPr>
          <w:p w:rsidR="00E566B2" w:rsidRPr="006D31D9" w:rsidRDefault="00E566B2" w:rsidP="00016940">
            <w:pPr>
              <w:jc w:val="both"/>
              <w:rPr>
                <w:rFonts w:eastAsia="Calibri"/>
                <w:sz w:val="20"/>
                <w:szCs w:val="20"/>
              </w:rPr>
            </w:pPr>
            <w:r w:rsidRPr="006D31D9">
              <w:rPr>
                <w:rFonts w:eastAsia="Calibri"/>
                <w:sz w:val="20"/>
                <w:szCs w:val="20"/>
              </w:rPr>
              <w:lastRenderedPageBreak/>
              <w:t>January 18, 2012</w:t>
            </w:r>
          </w:p>
          <w:p w:rsidR="00E566B2" w:rsidRPr="006D31D9" w:rsidRDefault="00E566B2" w:rsidP="00016940">
            <w:pPr>
              <w:jc w:val="both"/>
              <w:rPr>
                <w:rFonts w:eastAsia="Calibri"/>
                <w:sz w:val="20"/>
                <w:szCs w:val="20"/>
              </w:rPr>
            </w:pPr>
            <w:r w:rsidRPr="006D31D9">
              <w:rPr>
                <w:rFonts w:eastAsia="Calibri"/>
                <w:sz w:val="20"/>
                <w:szCs w:val="20"/>
              </w:rPr>
              <w:t>Supreme Court of Canada</w:t>
            </w:r>
          </w:p>
        </w:tc>
        <w:tc>
          <w:tcPr>
            <w:tcW w:w="243" w:type="pct"/>
          </w:tcPr>
          <w:p w:rsidR="00E566B2" w:rsidRPr="006D31D9" w:rsidRDefault="00E566B2" w:rsidP="00016940">
            <w:pPr>
              <w:jc w:val="both"/>
              <w:rPr>
                <w:rFonts w:eastAsia="Calibri"/>
                <w:sz w:val="20"/>
                <w:szCs w:val="20"/>
              </w:rPr>
            </w:pPr>
          </w:p>
        </w:tc>
        <w:tc>
          <w:tcPr>
            <w:tcW w:w="2330" w:type="pct"/>
          </w:tcPr>
          <w:p w:rsidR="00E566B2" w:rsidRPr="006D31D9" w:rsidRDefault="00E566B2" w:rsidP="00016940">
            <w:pPr>
              <w:jc w:val="both"/>
              <w:rPr>
                <w:rFonts w:eastAsia="Calibri"/>
                <w:sz w:val="20"/>
                <w:szCs w:val="20"/>
              </w:rPr>
            </w:pPr>
            <w:r w:rsidRPr="006D31D9">
              <w:rPr>
                <w:rFonts w:eastAsia="Calibri"/>
                <w:sz w:val="20"/>
                <w:szCs w:val="20"/>
              </w:rPr>
              <w:t>Motion to extend time to serve and file application for leave to appeal and application for leave to appeal filed</w:t>
            </w:r>
          </w:p>
        </w:tc>
      </w:tr>
    </w:tbl>
    <w:p w:rsidR="00106515" w:rsidRPr="00C50A5C" w:rsidRDefault="00106515" w:rsidP="00106515">
      <w:pPr>
        <w:rPr>
          <w:sz w:val="20"/>
          <w:szCs w:val="20"/>
        </w:rPr>
      </w:pPr>
    </w:p>
    <w:p w:rsidR="00106515" w:rsidRPr="00C50A5C" w:rsidRDefault="00755986" w:rsidP="00106515">
      <w:pPr>
        <w:rPr>
          <w:sz w:val="20"/>
          <w:szCs w:val="20"/>
        </w:rPr>
      </w:pPr>
      <w:r w:rsidRPr="00755986">
        <w:rPr>
          <w:sz w:val="20"/>
          <w:szCs w:val="20"/>
          <w:lang w:val="fr-CA"/>
        </w:rPr>
        <w:pict>
          <v:rect id="_x0000_i1032" style="width:2in;height:1pt" o:hrpct="0" o:hralign="center" o:hrstd="t" o:hrnoshade="t" o:hr="t" fillcolor="black [3213]" stroked="f"/>
        </w:pict>
      </w:r>
    </w:p>
    <w:p w:rsidR="00106515" w:rsidRDefault="00106515" w:rsidP="00106515">
      <w:pPr>
        <w:rPr>
          <w:sz w:val="20"/>
          <w:szCs w:val="20"/>
        </w:rPr>
      </w:pPr>
    </w:p>
    <w:p w:rsidR="00106515" w:rsidRPr="001B157C" w:rsidRDefault="00106515" w:rsidP="00106515">
      <w:pPr>
        <w:rPr>
          <w:sz w:val="20"/>
          <w:szCs w:val="20"/>
          <w:u w:val="single"/>
          <w:lang w:val="fr-CA"/>
        </w:rPr>
      </w:pPr>
      <w:r w:rsidRPr="001B157C">
        <w:rPr>
          <w:sz w:val="20"/>
          <w:szCs w:val="20"/>
          <w:u w:val="single"/>
          <w:lang w:val="fr-CA"/>
        </w:rPr>
        <w:t>RÉSUMÉ DE L’AFFAIRE</w:t>
      </w:r>
    </w:p>
    <w:p w:rsidR="00106515" w:rsidRDefault="00106515"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6B2" w:rsidRPr="00257CA3" w:rsidTr="00016940">
        <w:tc>
          <w:tcPr>
            <w:tcW w:w="5000" w:type="pct"/>
            <w:gridSpan w:val="3"/>
          </w:tcPr>
          <w:p w:rsidR="00E566B2" w:rsidRPr="006D31D9" w:rsidRDefault="00E566B2" w:rsidP="00016940">
            <w:pPr>
              <w:jc w:val="both"/>
              <w:rPr>
                <w:rFonts w:eastAsia="Calibri"/>
                <w:sz w:val="20"/>
                <w:szCs w:val="20"/>
                <w:lang w:val="fr-CA"/>
              </w:rPr>
            </w:pPr>
            <w:r w:rsidRPr="006D31D9">
              <w:rPr>
                <w:rFonts w:eastAsia="Calibri"/>
                <w:sz w:val="20"/>
                <w:szCs w:val="20"/>
                <w:lang w:val="fr-CA"/>
              </w:rPr>
              <w:t>Procédure civile – Rejet d’une requête pour être relevé d’un certificat d’appel déserté et pour obtenir un délai additionnel pour produire un mémoire – Cour d’appel jugeant que l’appel projeté ne présentait aucune chance raisonnable de succès – La requête aurait-elle dû être accueillie?</w:t>
            </w:r>
          </w:p>
        </w:tc>
      </w:tr>
      <w:tr w:rsidR="00E566B2" w:rsidRPr="00257CA3" w:rsidTr="00016940">
        <w:tc>
          <w:tcPr>
            <w:tcW w:w="5000" w:type="pct"/>
            <w:gridSpan w:val="3"/>
          </w:tcPr>
          <w:p w:rsidR="00E566B2" w:rsidRPr="006D31D9" w:rsidRDefault="00E566B2" w:rsidP="00016940">
            <w:pPr>
              <w:jc w:val="both"/>
              <w:rPr>
                <w:rFonts w:eastAsia="Calibri"/>
                <w:sz w:val="20"/>
                <w:szCs w:val="20"/>
                <w:lang w:val="fr-CA"/>
              </w:rPr>
            </w:pPr>
          </w:p>
        </w:tc>
      </w:tr>
      <w:tr w:rsidR="00E566B2" w:rsidRPr="00257CA3" w:rsidTr="00016940">
        <w:tc>
          <w:tcPr>
            <w:tcW w:w="5000" w:type="pct"/>
            <w:gridSpan w:val="3"/>
          </w:tcPr>
          <w:p w:rsidR="00E566B2" w:rsidRPr="006D31D9" w:rsidRDefault="00E566B2" w:rsidP="00016940">
            <w:pPr>
              <w:jc w:val="both"/>
              <w:rPr>
                <w:rFonts w:eastAsia="Calibri"/>
                <w:sz w:val="20"/>
                <w:szCs w:val="20"/>
                <w:lang w:val="fr-CA"/>
              </w:rPr>
            </w:pPr>
            <w:r w:rsidRPr="006D31D9">
              <w:rPr>
                <w:rFonts w:eastAsia="Calibri"/>
                <w:sz w:val="20"/>
                <w:szCs w:val="20"/>
                <w:lang w:val="fr-CA"/>
              </w:rPr>
              <w:t>M. Goldman a intenté une action contre les intimés Barreau du Québec et Mme Lauriault, après la publication d’un avis de radiation « exécutoire nonobstant appel » le concernant. Il réclame 30 000 $ à titre de dommages-intérêts compensatoires et 40 000 $ en dommages-intérêts exemplaires.</w:t>
            </w:r>
          </w:p>
          <w:p w:rsidR="00E566B2" w:rsidRPr="006D31D9" w:rsidRDefault="00E566B2" w:rsidP="00016940">
            <w:pPr>
              <w:jc w:val="both"/>
              <w:rPr>
                <w:rFonts w:eastAsia="Calibri"/>
                <w:sz w:val="20"/>
                <w:szCs w:val="20"/>
                <w:lang w:val="fr-CA"/>
              </w:rPr>
            </w:pPr>
          </w:p>
          <w:p w:rsidR="00E566B2" w:rsidRPr="006D31D9" w:rsidRDefault="00E566B2" w:rsidP="00016940">
            <w:pPr>
              <w:jc w:val="both"/>
              <w:rPr>
                <w:rFonts w:eastAsia="Calibri"/>
                <w:sz w:val="20"/>
                <w:szCs w:val="20"/>
                <w:lang w:val="fr-CA"/>
              </w:rPr>
            </w:pPr>
            <w:r w:rsidRPr="006D31D9">
              <w:rPr>
                <w:rFonts w:eastAsia="Calibri"/>
                <w:sz w:val="20"/>
                <w:szCs w:val="20"/>
                <w:lang w:val="fr-CA"/>
              </w:rPr>
              <w:t>Le juge Emery de la Cour supérieure rejette l’action. Selon lui, la preuve établit que la publication d’un avis « exécutoire nonobstant appel » était une erreur commise de bonne foi par les intimés dans l’exécution de leurs fonctions – d’ailleurs, l’avis a été corrigé dès que le Barreau a été informé de l’erreur. Il estime que les intimés jouissent d’une immunité de poursuite à cet égard, ce qui justifie le rejet de l’action. Il ajoute qu’à tout événement, M. Goldman n’a pas établi que les intimés avaient commis une faute civile en l’espèce. Il y a absence, aussi, de lien de causalité, car M. Goldman aurait pu contacter le Barreau dès le moment où il a eu connaissance de l’erreur et celui-ci l’aurait corrigée. Enfin, la preuve de dommages n’a pas été faite.</w:t>
            </w:r>
          </w:p>
          <w:p w:rsidR="00E566B2" w:rsidRPr="006D31D9" w:rsidRDefault="00E566B2" w:rsidP="00016940">
            <w:pPr>
              <w:jc w:val="both"/>
              <w:rPr>
                <w:rFonts w:eastAsia="Calibri"/>
                <w:sz w:val="20"/>
                <w:szCs w:val="20"/>
                <w:lang w:val="fr-CA"/>
              </w:rPr>
            </w:pPr>
          </w:p>
          <w:p w:rsidR="00E566B2" w:rsidRPr="006D31D9" w:rsidRDefault="00E566B2" w:rsidP="00016940">
            <w:pPr>
              <w:jc w:val="both"/>
              <w:rPr>
                <w:rFonts w:eastAsia="Calibri"/>
                <w:sz w:val="20"/>
                <w:szCs w:val="20"/>
                <w:lang w:val="fr-CA"/>
              </w:rPr>
            </w:pPr>
            <w:r w:rsidRPr="006D31D9">
              <w:rPr>
                <w:rFonts w:eastAsia="Calibri"/>
                <w:sz w:val="20"/>
                <w:szCs w:val="20"/>
                <w:lang w:val="fr-CA"/>
              </w:rPr>
              <w:t>M. Goldman porte le jugement en appel, mais, éventuellement, un certificat d’appel déserté est émis. M. Goldman dépose alors une requête pour être relevé de son défaut et pour obtenir un délai additionnel pour produire son mémoire. La Cour d’appel rejette la requête au motif que l’appel ne présente aucune chance raisonnable de succès.</w:t>
            </w:r>
          </w:p>
          <w:p w:rsidR="00E566B2" w:rsidRPr="006D31D9" w:rsidRDefault="00E566B2" w:rsidP="00016940">
            <w:pPr>
              <w:jc w:val="both"/>
              <w:rPr>
                <w:rFonts w:eastAsia="Calibri"/>
                <w:sz w:val="20"/>
                <w:szCs w:val="20"/>
                <w:lang w:val="fr-CA"/>
              </w:rPr>
            </w:pPr>
          </w:p>
        </w:tc>
      </w:tr>
      <w:tr w:rsidR="00E566B2" w:rsidRPr="006D31D9" w:rsidTr="00016940">
        <w:tc>
          <w:tcPr>
            <w:tcW w:w="2427" w:type="pct"/>
          </w:tcPr>
          <w:p w:rsidR="00E566B2" w:rsidRPr="006D31D9" w:rsidRDefault="00E566B2" w:rsidP="00016940">
            <w:pPr>
              <w:jc w:val="both"/>
              <w:rPr>
                <w:rFonts w:eastAsia="Calibri"/>
                <w:sz w:val="20"/>
                <w:szCs w:val="20"/>
                <w:lang w:val="fr-CA"/>
              </w:rPr>
            </w:pPr>
            <w:r w:rsidRPr="006D31D9">
              <w:rPr>
                <w:rFonts w:eastAsia="Calibri"/>
                <w:sz w:val="20"/>
                <w:szCs w:val="20"/>
                <w:lang w:val="fr-CA"/>
              </w:rPr>
              <w:t>Le 8 mars 2011</w:t>
            </w:r>
          </w:p>
          <w:p w:rsidR="00E566B2" w:rsidRPr="006D31D9" w:rsidRDefault="00E566B2" w:rsidP="00016940">
            <w:pPr>
              <w:jc w:val="both"/>
              <w:rPr>
                <w:rFonts w:eastAsia="Calibri"/>
                <w:sz w:val="20"/>
                <w:szCs w:val="20"/>
                <w:lang w:val="fr-CA"/>
              </w:rPr>
            </w:pPr>
            <w:r w:rsidRPr="006D31D9">
              <w:rPr>
                <w:rFonts w:eastAsia="Calibri"/>
                <w:sz w:val="20"/>
                <w:szCs w:val="20"/>
                <w:lang w:val="fr-CA"/>
              </w:rPr>
              <w:t>Cour supérieure du Québec</w:t>
            </w:r>
          </w:p>
          <w:p w:rsidR="00E566B2" w:rsidRPr="006D31D9" w:rsidRDefault="00E566B2" w:rsidP="00016940">
            <w:pPr>
              <w:jc w:val="both"/>
              <w:rPr>
                <w:rFonts w:eastAsia="Calibri"/>
                <w:sz w:val="20"/>
                <w:szCs w:val="20"/>
                <w:lang w:val="fr-CA"/>
              </w:rPr>
            </w:pPr>
            <w:r w:rsidRPr="006D31D9">
              <w:rPr>
                <w:rFonts w:eastAsia="Calibri"/>
                <w:sz w:val="20"/>
                <w:szCs w:val="20"/>
                <w:lang w:val="fr-CA"/>
              </w:rPr>
              <w:t>(Le juge Emery)</w:t>
            </w:r>
          </w:p>
          <w:p w:rsidR="00E566B2" w:rsidRPr="006D31D9" w:rsidRDefault="00E566B2" w:rsidP="00016940">
            <w:pPr>
              <w:jc w:val="both"/>
              <w:rPr>
                <w:rFonts w:eastAsia="Calibri"/>
                <w:sz w:val="20"/>
                <w:szCs w:val="20"/>
                <w:lang w:val="fr-CA"/>
              </w:rPr>
            </w:pPr>
            <w:r w:rsidRPr="006D31D9">
              <w:rPr>
                <w:rFonts w:eastAsia="Calibri"/>
                <w:sz w:val="20"/>
                <w:szCs w:val="20"/>
                <w:lang w:val="fr-CA"/>
              </w:rPr>
              <w:t>2011 QCCS 972</w:t>
            </w:r>
          </w:p>
          <w:p w:rsidR="00E566B2" w:rsidRPr="006D31D9" w:rsidRDefault="00E566B2" w:rsidP="00016940">
            <w:pPr>
              <w:jc w:val="both"/>
              <w:rPr>
                <w:rFonts w:eastAsia="Calibri"/>
                <w:sz w:val="20"/>
                <w:szCs w:val="20"/>
              </w:rPr>
            </w:pPr>
          </w:p>
        </w:tc>
        <w:tc>
          <w:tcPr>
            <w:tcW w:w="243" w:type="pct"/>
          </w:tcPr>
          <w:p w:rsidR="00E566B2" w:rsidRPr="006D31D9" w:rsidRDefault="00E566B2" w:rsidP="00016940">
            <w:pPr>
              <w:jc w:val="both"/>
              <w:rPr>
                <w:rFonts w:eastAsia="Calibri"/>
                <w:sz w:val="20"/>
                <w:szCs w:val="20"/>
              </w:rPr>
            </w:pPr>
          </w:p>
        </w:tc>
        <w:tc>
          <w:tcPr>
            <w:tcW w:w="2330" w:type="pct"/>
          </w:tcPr>
          <w:p w:rsidR="00E566B2" w:rsidRPr="006D31D9" w:rsidRDefault="00E566B2" w:rsidP="00016940">
            <w:pPr>
              <w:jc w:val="both"/>
              <w:rPr>
                <w:rFonts w:eastAsia="Calibri"/>
                <w:sz w:val="20"/>
                <w:szCs w:val="20"/>
                <w:lang w:val="fr-CA"/>
              </w:rPr>
            </w:pPr>
            <w:r w:rsidRPr="006D31D9">
              <w:rPr>
                <w:rFonts w:eastAsia="Calibri"/>
                <w:sz w:val="20"/>
                <w:szCs w:val="20"/>
                <w:lang w:val="fr-CA"/>
              </w:rPr>
              <w:t>Action rejetée</w:t>
            </w:r>
          </w:p>
          <w:p w:rsidR="00E566B2" w:rsidRPr="006D31D9" w:rsidRDefault="00E566B2" w:rsidP="00016940">
            <w:pPr>
              <w:jc w:val="both"/>
              <w:rPr>
                <w:rFonts w:eastAsia="Calibri"/>
                <w:sz w:val="20"/>
                <w:szCs w:val="20"/>
                <w:lang w:val="fr-CA"/>
              </w:rPr>
            </w:pPr>
          </w:p>
        </w:tc>
      </w:tr>
      <w:tr w:rsidR="00E566B2" w:rsidRPr="00257CA3" w:rsidTr="00016940">
        <w:tc>
          <w:tcPr>
            <w:tcW w:w="2427" w:type="pct"/>
          </w:tcPr>
          <w:p w:rsidR="00E566B2" w:rsidRPr="006D31D9" w:rsidRDefault="00E566B2" w:rsidP="00016940">
            <w:pPr>
              <w:jc w:val="both"/>
              <w:rPr>
                <w:rFonts w:eastAsia="Calibri"/>
                <w:sz w:val="20"/>
                <w:szCs w:val="20"/>
                <w:lang w:val="fr-CA"/>
              </w:rPr>
            </w:pPr>
            <w:r w:rsidRPr="006D31D9">
              <w:rPr>
                <w:rFonts w:eastAsia="Calibri"/>
                <w:sz w:val="20"/>
                <w:szCs w:val="20"/>
                <w:lang w:val="fr-CA"/>
              </w:rPr>
              <w:t>Le 7 novembre 2011</w:t>
            </w:r>
          </w:p>
          <w:p w:rsidR="00E566B2" w:rsidRPr="006D31D9" w:rsidRDefault="00E566B2" w:rsidP="00016940">
            <w:pPr>
              <w:jc w:val="both"/>
              <w:rPr>
                <w:rFonts w:eastAsia="Calibri"/>
                <w:sz w:val="20"/>
                <w:szCs w:val="20"/>
                <w:lang w:val="fr-CA"/>
              </w:rPr>
            </w:pPr>
            <w:r w:rsidRPr="006D31D9">
              <w:rPr>
                <w:rFonts w:eastAsia="Calibri"/>
                <w:sz w:val="20"/>
                <w:szCs w:val="20"/>
                <w:lang w:val="fr-CA"/>
              </w:rPr>
              <w:t>Cour d’appel du Québec (Montréal)</w:t>
            </w:r>
          </w:p>
          <w:p w:rsidR="00E566B2" w:rsidRPr="006D31D9" w:rsidRDefault="00E566B2" w:rsidP="00016940">
            <w:pPr>
              <w:jc w:val="both"/>
              <w:rPr>
                <w:rFonts w:eastAsia="Calibri"/>
                <w:sz w:val="20"/>
                <w:szCs w:val="20"/>
                <w:lang w:val="fr-CA"/>
              </w:rPr>
            </w:pPr>
            <w:r w:rsidRPr="006D31D9">
              <w:rPr>
                <w:rFonts w:eastAsia="Calibri"/>
                <w:sz w:val="20"/>
                <w:szCs w:val="20"/>
                <w:lang w:val="fr-CA"/>
              </w:rPr>
              <w:t>(Les juges Forget, Rochon et Fournier)</w:t>
            </w:r>
          </w:p>
          <w:p w:rsidR="00E566B2" w:rsidRPr="006D31D9" w:rsidRDefault="00E566B2" w:rsidP="00016940">
            <w:pPr>
              <w:jc w:val="both"/>
              <w:rPr>
                <w:rFonts w:eastAsia="Calibri"/>
                <w:sz w:val="20"/>
                <w:szCs w:val="20"/>
                <w:lang w:val="fr-CA"/>
              </w:rPr>
            </w:pPr>
            <w:r w:rsidRPr="006D31D9">
              <w:rPr>
                <w:rFonts w:eastAsia="Calibri"/>
                <w:sz w:val="20"/>
                <w:szCs w:val="20"/>
                <w:lang w:val="fr-CA"/>
              </w:rPr>
              <w:t>2011 QCCA 2088</w:t>
            </w:r>
          </w:p>
          <w:p w:rsidR="00E566B2" w:rsidRPr="006D31D9" w:rsidRDefault="00E566B2" w:rsidP="00016940">
            <w:pPr>
              <w:jc w:val="both"/>
              <w:rPr>
                <w:rFonts w:eastAsia="Calibri"/>
                <w:sz w:val="20"/>
                <w:szCs w:val="20"/>
                <w:lang w:val="fr-CA"/>
              </w:rPr>
            </w:pPr>
          </w:p>
        </w:tc>
        <w:tc>
          <w:tcPr>
            <w:tcW w:w="243" w:type="pct"/>
          </w:tcPr>
          <w:p w:rsidR="00E566B2" w:rsidRPr="006D31D9" w:rsidRDefault="00E566B2" w:rsidP="00016940">
            <w:pPr>
              <w:jc w:val="both"/>
              <w:rPr>
                <w:rFonts w:eastAsia="Calibri"/>
                <w:sz w:val="20"/>
                <w:szCs w:val="20"/>
                <w:lang w:val="fr-CA"/>
              </w:rPr>
            </w:pPr>
          </w:p>
        </w:tc>
        <w:tc>
          <w:tcPr>
            <w:tcW w:w="2330" w:type="pct"/>
          </w:tcPr>
          <w:p w:rsidR="00E566B2" w:rsidRPr="006D31D9" w:rsidRDefault="00E566B2" w:rsidP="00016940">
            <w:pPr>
              <w:jc w:val="both"/>
              <w:rPr>
                <w:rFonts w:eastAsia="Calibri"/>
                <w:sz w:val="20"/>
                <w:szCs w:val="20"/>
                <w:lang w:val="fr-CA"/>
              </w:rPr>
            </w:pPr>
            <w:r w:rsidRPr="006D31D9">
              <w:rPr>
                <w:rFonts w:eastAsia="Calibri"/>
                <w:sz w:val="20"/>
                <w:szCs w:val="20"/>
                <w:lang w:val="fr-CA"/>
              </w:rPr>
              <w:t>Requête pour être relevé d’un certificat d’appel déserté et pour obtenir un délai additionnel pour produire un mémoire rejetée</w:t>
            </w:r>
          </w:p>
          <w:p w:rsidR="00E566B2" w:rsidRPr="006D31D9" w:rsidRDefault="00E566B2" w:rsidP="00016940">
            <w:pPr>
              <w:jc w:val="both"/>
              <w:rPr>
                <w:rFonts w:eastAsia="Calibri"/>
                <w:sz w:val="20"/>
                <w:szCs w:val="20"/>
                <w:lang w:val="fr-CA"/>
              </w:rPr>
            </w:pPr>
          </w:p>
        </w:tc>
      </w:tr>
      <w:tr w:rsidR="00E566B2" w:rsidRPr="00257CA3" w:rsidTr="00016940">
        <w:tc>
          <w:tcPr>
            <w:tcW w:w="2427" w:type="pct"/>
          </w:tcPr>
          <w:p w:rsidR="00E566B2" w:rsidRPr="006D31D9" w:rsidRDefault="00E566B2" w:rsidP="00016940">
            <w:pPr>
              <w:jc w:val="both"/>
              <w:rPr>
                <w:rFonts w:eastAsia="Calibri"/>
                <w:sz w:val="20"/>
                <w:szCs w:val="20"/>
                <w:lang w:val="fr-CA"/>
              </w:rPr>
            </w:pPr>
            <w:r w:rsidRPr="006D31D9">
              <w:rPr>
                <w:rFonts w:eastAsia="Calibri"/>
                <w:sz w:val="20"/>
                <w:szCs w:val="20"/>
                <w:lang w:val="fr-CA"/>
              </w:rPr>
              <w:t>Le 18 janvier 2012</w:t>
            </w:r>
          </w:p>
          <w:p w:rsidR="00E566B2" w:rsidRPr="006D31D9" w:rsidRDefault="00E566B2" w:rsidP="00016940">
            <w:pPr>
              <w:jc w:val="both"/>
              <w:rPr>
                <w:rFonts w:eastAsia="Calibri"/>
                <w:sz w:val="20"/>
                <w:szCs w:val="20"/>
                <w:lang w:val="fr-CA"/>
              </w:rPr>
            </w:pPr>
            <w:r w:rsidRPr="006D31D9">
              <w:rPr>
                <w:rFonts w:eastAsia="Calibri"/>
                <w:sz w:val="20"/>
                <w:szCs w:val="20"/>
                <w:lang w:val="fr-CA"/>
              </w:rPr>
              <w:t>Cour suprême du Canada</w:t>
            </w:r>
          </w:p>
        </w:tc>
        <w:tc>
          <w:tcPr>
            <w:tcW w:w="243" w:type="pct"/>
          </w:tcPr>
          <w:p w:rsidR="00E566B2" w:rsidRPr="006D31D9" w:rsidRDefault="00E566B2" w:rsidP="00016940">
            <w:pPr>
              <w:jc w:val="both"/>
              <w:rPr>
                <w:rFonts w:eastAsia="Calibri"/>
                <w:sz w:val="20"/>
                <w:szCs w:val="20"/>
                <w:lang w:val="fr-CA"/>
              </w:rPr>
            </w:pPr>
          </w:p>
        </w:tc>
        <w:tc>
          <w:tcPr>
            <w:tcW w:w="2330" w:type="pct"/>
          </w:tcPr>
          <w:p w:rsidR="00E566B2" w:rsidRPr="006D31D9" w:rsidRDefault="00E566B2" w:rsidP="00016940">
            <w:pPr>
              <w:jc w:val="both"/>
              <w:rPr>
                <w:rFonts w:eastAsia="Calibri"/>
                <w:sz w:val="20"/>
                <w:szCs w:val="20"/>
                <w:lang w:val="fr-CA"/>
              </w:rPr>
            </w:pPr>
            <w:r w:rsidRPr="006D31D9">
              <w:rPr>
                <w:rFonts w:eastAsia="Calibri"/>
                <w:sz w:val="20"/>
                <w:szCs w:val="20"/>
                <w:lang w:val="fr-CA"/>
              </w:rPr>
              <w:t>Requête en prorogation du délai de signification et dépôt d’une demande d’autorisation d’appel et demande d'autorisation d'appel déposées</w:t>
            </w:r>
          </w:p>
        </w:tc>
      </w:tr>
    </w:tbl>
    <w:p w:rsidR="00106515" w:rsidRDefault="00106515" w:rsidP="00106515">
      <w:pPr>
        <w:rPr>
          <w:sz w:val="20"/>
          <w:szCs w:val="20"/>
          <w:lang w:val="fr-CA"/>
        </w:rPr>
      </w:pPr>
    </w:p>
    <w:p w:rsidR="00106515" w:rsidRDefault="00755986" w:rsidP="00106515">
      <w:pPr>
        <w:rPr>
          <w:sz w:val="20"/>
          <w:szCs w:val="20"/>
          <w:lang w:val="fr-CA"/>
        </w:rPr>
      </w:pPr>
      <w:r w:rsidRPr="00755986">
        <w:rPr>
          <w:sz w:val="20"/>
          <w:szCs w:val="20"/>
          <w:lang w:val="fr-CA"/>
        </w:rPr>
        <w:pict>
          <v:rect id="_x0000_i1033" style="width:2in;height:1pt" o:hrpct="0" o:hralign="center" o:hrstd="t" o:hrnoshade="t" o:hr="t" fillcolor="black [3213]" stroked="f"/>
        </w:pict>
      </w:r>
    </w:p>
    <w:p w:rsidR="00E566B2" w:rsidRDefault="00E566B2">
      <w:pPr>
        <w:rPr>
          <w:sz w:val="20"/>
          <w:szCs w:val="20"/>
          <w:lang w:val="fr-CA"/>
        </w:rPr>
      </w:pPr>
    </w:p>
    <w:p w:rsidR="00E566B2" w:rsidRDefault="00E566B2">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056F0" w:rsidRPr="00257CA3" w:rsidTr="005056F0">
        <w:trPr>
          <w:cantSplit/>
        </w:trPr>
        <w:tc>
          <w:tcPr>
            <w:tcW w:w="1458" w:type="dxa"/>
          </w:tcPr>
          <w:p w:rsidR="005056F0" w:rsidRPr="00353B4A" w:rsidRDefault="005056F0" w:rsidP="005056F0">
            <w:pPr>
              <w:rPr>
                <w:rFonts w:cs="Times New Roman"/>
                <w:sz w:val="20"/>
                <w:szCs w:val="20"/>
              </w:rPr>
            </w:pPr>
            <w:r w:rsidRPr="00353B4A">
              <w:rPr>
                <w:rStyle w:val="SCCFileNumberChar"/>
                <w:sz w:val="20"/>
                <w:szCs w:val="20"/>
              </w:rPr>
              <w:lastRenderedPageBreak/>
              <w:t>34653</w:t>
            </w:r>
          </w:p>
          <w:p w:rsidR="005056F0" w:rsidRPr="00353B4A" w:rsidRDefault="005056F0" w:rsidP="005056F0">
            <w:pPr>
              <w:rPr>
                <w:rFonts w:cs="Times New Roman"/>
                <w:b/>
                <w:sz w:val="20"/>
                <w:szCs w:val="20"/>
                <w:lang w:val="fr-CA"/>
              </w:rPr>
            </w:pPr>
          </w:p>
        </w:tc>
        <w:tc>
          <w:tcPr>
            <w:tcW w:w="8118" w:type="dxa"/>
          </w:tcPr>
          <w:p w:rsidR="005056F0" w:rsidRPr="00353B4A" w:rsidRDefault="005056F0" w:rsidP="005056F0">
            <w:pPr>
              <w:rPr>
                <w:rFonts w:cs="Times New Roman"/>
                <w:sz w:val="20"/>
                <w:szCs w:val="20"/>
                <w:lang w:val="fr-CA"/>
              </w:rPr>
            </w:pPr>
            <w:r w:rsidRPr="00353B4A">
              <w:rPr>
                <w:rStyle w:val="SCCLsocChar"/>
                <w:rFonts w:cs="Times New Roman"/>
                <w:sz w:val="20"/>
                <w:szCs w:val="20"/>
              </w:rPr>
              <w:t>Mihai Ibanescu c. Sa Majesté la Reine</w:t>
            </w:r>
            <w:r w:rsidRPr="00353B4A">
              <w:rPr>
                <w:rFonts w:cs="Times New Roman"/>
                <w:sz w:val="20"/>
                <w:szCs w:val="20"/>
                <w:lang w:val="fr-CA"/>
              </w:rPr>
              <w:t xml:space="preserve"> (Qc) (Criminelle) (Autorisation)</w:t>
            </w:r>
          </w:p>
          <w:p w:rsidR="005056F0" w:rsidRPr="00353B4A" w:rsidRDefault="005056F0" w:rsidP="005056F0">
            <w:pPr>
              <w:rPr>
                <w:rFonts w:cs="Times New Roman"/>
                <w:sz w:val="20"/>
                <w:szCs w:val="20"/>
                <w:lang w:val="fr-CA"/>
              </w:rPr>
            </w:pPr>
          </w:p>
        </w:tc>
      </w:tr>
      <w:tr w:rsidR="005056F0" w:rsidRPr="00257CA3" w:rsidTr="005056F0">
        <w:trPr>
          <w:cantSplit/>
        </w:trPr>
        <w:tc>
          <w:tcPr>
            <w:tcW w:w="1458" w:type="dxa"/>
          </w:tcPr>
          <w:p w:rsidR="005056F0" w:rsidRPr="00353B4A" w:rsidRDefault="005056F0" w:rsidP="005056F0">
            <w:pPr>
              <w:rPr>
                <w:rFonts w:cs="Times New Roman"/>
                <w:sz w:val="20"/>
                <w:szCs w:val="20"/>
              </w:rPr>
            </w:pPr>
            <w:r w:rsidRPr="00353B4A">
              <w:rPr>
                <w:rFonts w:cs="Times New Roman"/>
                <w:sz w:val="20"/>
                <w:szCs w:val="20"/>
              </w:rPr>
              <w:t>Coram :</w:t>
            </w:r>
          </w:p>
        </w:tc>
        <w:tc>
          <w:tcPr>
            <w:tcW w:w="8118" w:type="dxa"/>
          </w:tcPr>
          <w:p w:rsidR="005056F0" w:rsidRPr="00353B4A" w:rsidRDefault="005056F0" w:rsidP="005056F0">
            <w:pPr>
              <w:rPr>
                <w:rFonts w:cs="Times New Roman"/>
                <w:sz w:val="20"/>
                <w:szCs w:val="20"/>
                <w:lang w:val="fr-CA"/>
              </w:rPr>
            </w:pPr>
            <w:r w:rsidRPr="00353B4A">
              <w:rPr>
                <w:rStyle w:val="SCCCoramChar"/>
                <w:rFonts w:cs="Times New Roman"/>
                <w:sz w:val="20"/>
                <w:szCs w:val="20"/>
              </w:rPr>
              <w:t>Les juges Deschamps, Fish et Karakatsanis</w:t>
            </w:r>
          </w:p>
          <w:p w:rsidR="005056F0" w:rsidRPr="00353B4A" w:rsidRDefault="005056F0" w:rsidP="005056F0">
            <w:pPr>
              <w:rPr>
                <w:rFonts w:cs="Times New Roman"/>
                <w:sz w:val="20"/>
                <w:szCs w:val="20"/>
                <w:u w:val="single"/>
                <w:lang w:val="fr-CA"/>
              </w:rPr>
            </w:pPr>
          </w:p>
        </w:tc>
      </w:tr>
      <w:tr w:rsidR="005056F0" w:rsidRPr="00353B4A" w:rsidTr="005056F0">
        <w:trPr>
          <w:cantSplit/>
        </w:trPr>
        <w:tc>
          <w:tcPr>
            <w:tcW w:w="9576" w:type="dxa"/>
            <w:gridSpan w:val="2"/>
          </w:tcPr>
          <w:p w:rsidR="005056F0" w:rsidRPr="00353B4A" w:rsidRDefault="005056F0" w:rsidP="005056F0">
            <w:pPr>
              <w:pStyle w:val="SCCShortJudgment"/>
              <w:rPr>
                <w:rFonts w:cs="Times New Roman"/>
                <w:szCs w:val="20"/>
                <w:lang w:val="fr-CA"/>
              </w:rPr>
            </w:pPr>
            <w:r w:rsidRPr="00353B4A">
              <w:rPr>
                <w:rFonts w:cs="Times New Roman"/>
                <w:szCs w:val="20"/>
                <w:lang w:val="fr-CA"/>
              </w:rPr>
              <w:t>La demande d’autorisation d’appel de l’arrêt de la Cour d’appel du Québec (Montréal), numéro 500-10-004554-109, 2011 QCCA 2304, daté du 18 janvier 2012, est accueillie.</w:t>
            </w:r>
          </w:p>
          <w:p w:rsidR="005056F0" w:rsidRPr="00353B4A" w:rsidRDefault="005056F0" w:rsidP="005056F0">
            <w:pPr>
              <w:pStyle w:val="SCCShortJudgment"/>
              <w:ind w:firstLine="0"/>
              <w:rPr>
                <w:rFonts w:cs="Times New Roman"/>
                <w:szCs w:val="20"/>
                <w:lang w:val="fr-CA"/>
              </w:rPr>
            </w:pPr>
          </w:p>
          <w:p w:rsidR="005056F0" w:rsidRPr="00353B4A" w:rsidRDefault="005056F0" w:rsidP="005056F0">
            <w:pPr>
              <w:pStyle w:val="SCCShortJudgment"/>
              <w:rPr>
                <w:rFonts w:cs="Times New Roman"/>
                <w:szCs w:val="20"/>
              </w:rPr>
            </w:pPr>
            <w:r w:rsidRPr="00353B4A">
              <w:rPr>
                <w:rFonts w:cs="Times New Roman"/>
                <w:szCs w:val="20"/>
              </w:rPr>
              <w:t>The application for leave to appeal from the judgment of the Court of Appeal of Quebec (Montréal), Number 500-10-004554-109, 2011 QCCA 2304, dated January 18, 2012, is granted.</w:t>
            </w:r>
          </w:p>
        </w:tc>
      </w:tr>
    </w:tbl>
    <w:p w:rsidR="00106515" w:rsidRPr="005056F0" w:rsidRDefault="00106515" w:rsidP="00106515">
      <w:pPr>
        <w:rPr>
          <w:sz w:val="20"/>
          <w:szCs w:val="20"/>
        </w:rPr>
      </w:pPr>
    </w:p>
    <w:p w:rsidR="00106515" w:rsidRPr="001B157C" w:rsidRDefault="00106515" w:rsidP="00106515">
      <w:pPr>
        <w:rPr>
          <w:sz w:val="20"/>
          <w:szCs w:val="20"/>
          <w:u w:val="single"/>
        </w:rPr>
      </w:pPr>
      <w:r w:rsidRPr="001B157C">
        <w:rPr>
          <w:sz w:val="20"/>
          <w:szCs w:val="20"/>
          <w:u w:val="single"/>
        </w:rPr>
        <w:t>CASE SUMMARY</w:t>
      </w:r>
    </w:p>
    <w:p w:rsidR="00106515" w:rsidRDefault="00106515" w:rsidP="0010651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6B2" w:rsidRPr="006D31D9" w:rsidTr="00016940">
        <w:tc>
          <w:tcPr>
            <w:tcW w:w="5000" w:type="pct"/>
            <w:gridSpan w:val="3"/>
          </w:tcPr>
          <w:p w:rsidR="00E566B2" w:rsidRPr="006D31D9" w:rsidRDefault="00E566B2" w:rsidP="00F761DC">
            <w:pPr>
              <w:jc w:val="both"/>
              <w:rPr>
                <w:rFonts w:eastAsia="Calibri"/>
                <w:sz w:val="20"/>
                <w:szCs w:val="20"/>
              </w:rPr>
            </w:pPr>
            <w:r w:rsidRPr="006D31D9">
              <w:rPr>
                <w:rFonts w:eastAsia="Calibri"/>
                <w:sz w:val="20"/>
                <w:szCs w:val="20"/>
              </w:rPr>
              <w:t>Criminal law – Offences – Driving with more than 80 mg of alcohol in 100 ml of blood – Impaired driving – Evidence</w:t>
            </w:r>
            <w:r w:rsidR="00F761DC">
              <w:rPr>
                <w:rFonts w:eastAsia="Calibri"/>
                <w:sz w:val="20"/>
                <w:szCs w:val="20"/>
              </w:rPr>
              <w:t> </w:t>
            </w:r>
            <w:r w:rsidRPr="006D31D9">
              <w:rPr>
                <w:rFonts w:eastAsia="Calibri"/>
                <w:sz w:val="20"/>
                <w:szCs w:val="20"/>
              </w:rPr>
              <w:t xml:space="preserve">– Presumptions – Breathalyzer tests – Straddle evidence – Whether Court of Appeal erred in law in its analysis of </w:t>
            </w:r>
            <w:r w:rsidRPr="006D31D9">
              <w:rPr>
                <w:rFonts w:eastAsia="Calibri"/>
                <w:i/>
                <w:sz w:val="20"/>
                <w:szCs w:val="20"/>
              </w:rPr>
              <w:t>R. v. Gibson</w:t>
            </w:r>
            <w:r w:rsidRPr="006D31D9">
              <w:rPr>
                <w:rFonts w:eastAsia="Calibri"/>
                <w:sz w:val="20"/>
                <w:szCs w:val="20"/>
              </w:rPr>
              <w:t xml:space="preserve">, [2008] 1 S.C.R. 397 – Whether Quebec Court of Appeal erred in law in not complying with </w:t>
            </w:r>
            <w:r w:rsidRPr="006D31D9">
              <w:rPr>
                <w:rFonts w:eastAsia="Calibri"/>
                <w:i/>
                <w:sz w:val="20"/>
                <w:szCs w:val="20"/>
              </w:rPr>
              <w:t>stare decisis</w:t>
            </w:r>
            <w:r w:rsidRPr="006D31D9">
              <w:rPr>
                <w:rFonts w:eastAsia="Calibri"/>
                <w:sz w:val="20"/>
                <w:szCs w:val="20"/>
              </w:rPr>
              <w:t xml:space="preserve"> rule – State of law in Canada with regard to straddle evidence following </w:t>
            </w:r>
            <w:r w:rsidRPr="006D31D9">
              <w:rPr>
                <w:rFonts w:eastAsia="Calibri"/>
                <w:i/>
                <w:sz w:val="20"/>
                <w:szCs w:val="20"/>
              </w:rPr>
              <w:t>R. v. Gibson</w:t>
            </w:r>
            <w:r w:rsidRPr="006D31D9">
              <w:rPr>
                <w:rFonts w:eastAsia="Calibri"/>
                <w:sz w:val="20"/>
                <w:szCs w:val="20"/>
              </w:rPr>
              <w:t>.</w:t>
            </w:r>
          </w:p>
        </w:tc>
      </w:tr>
      <w:tr w:rsidR="00E566B2" w:rsidRPr="006D31D9" w:rsidTr="00016940">
        <w:tc>
          <w:tcPr>
            <w:tcW w:w="5000" w:type="pct"/>
            <w:gridSpan w:val="3"/>
          </w:tcPr>
          <w:p w:rsidR="00E566B2" w:rsidRPr="006D31D9" w:rsidRDefault="00E566B2" w:rsidP="00016940">
            <w:pPr>
              <w:jc w:val="both"/>
              <w:rPr>
                <w:rFonts w:eastAsia="Calibri"/>
                <w:sz w:val="20"/>
                <w:szCs w:val="20"/>
              </w:rPr>
            </w:pPr>
          </w:p>
        </w:tc>
      </w:tr>
      <w:tr w:rsidR="00E566B2" w:rsidRPr="006D31D9" w:rsidTr="00016940">
        <w:tc>
          <w:tcPr>
            <w:tcW w:w="5000" w:type="pct"/>
            <w:gridSpan w:val="3"/>
          </w:tcPr>
          <w:p w:rsidR="00E566B2" w:rsidRPr="006D31D9" w:rsidRDefault="00E566B2" w:rsidP="00016940">
            <w:pPr>
              <w:jc w:val="both"/>
              <w:rPr>
                <w:rFonts w:eastAsia="Calibri"/>
                <w:sz w:val="20"/>
                <w:szCs w:val="20"/>
              </w:rPr>
            </w:pPr>
            <w:r w:rsidRPr="006D31D9">
              <w:rPr>
                <w:rFonts w:eastAsia="Calibri"/>
                <w:sz w:val="20"/>
                <w:szCs w:val="20"/>
              </w:rPr>
              <w:t xml:space="preserve">On January 15, 2006, following car accidents and a loss of control, Mihai Ibanescu’s vehicle came to a stop around 2:15 a.m.  A Transports Québec patrol officer and some witnesses prevented Mr. Ibanescu from leaving.  The police arrived around 2:37 a.m.  After some checks were done and Mr. Ibanescu was read his rights, he was arrested and taken to the police station.  The breathalyzer test administered at 3:59 a.m. measured a blood alcohol concentration of 104 mg / 100 ml. </w:t>
            </w:r>
          </w:p>
          <w:p w:rsidR="00E566B2" w:rsidRPr="006D31D9" w:rsidRDefault="00E566B2" w:rsidP="00016940">
            <w:pPr>
              <w:jc w:val="both"/>
              <w:rPr>
                <w:rFonts w:eastAsia="Calibri"/>
                <w:sz w:val="20"/>
                <w:szCs w:val="20"/>
              </w:rPr>
            </w:pPr>
          </w:p>
          <w:p w:rsidR="00E566B2" w:rsidRPr="006D31D9" w:rsidRDefault="00E566B2" w:rsidP="00016940">
            <w:pPr>
              <w:jc w:val="both"/>
              <w:rPr>
                <w:rFonts w:eastAsia="Calibri"/>
                <w:sz w:val="20"/>
                <w:szCs w:val="20"/>
              </w:rPr>
            </w:pPr>
            <w:r w:rsidRPr="006D31D9">
              <w:rPr>
                <w:rFonts w:eastAsia="Calibri"/>
                <w:sz w:val="20"/>
                <w:szCs w:val="20"/>
              </w:rPr>
              <w:t>Two charges were laid against Mr. Ibanescu: driving with a blood alcohol level over the legal limit and impaired driving.</w:t>
            </w:r>
          </w:p>
          <w:p w:rsidR="00E566B2" w:rsidRPr="006D31D9" w:rsidRDefault="00E566B2" w:rsidP="00016940">
            <w:pPr>
              <w:jc w:val="both"/>
              <w:rPr>
                <w:rFonts w:eastAsia="Calibri"/>
                <w:sz w:val="20"/>
                <w:szCs w:val="20"/>
              </w:rPr>
            </w:pPr>
          </w:p>
        </w:tc>
      </w:tr>
      <w:tr w:rsidR="00E566B2" w:rsidRPr="006D31D9" w:rsidTr="00016940">
        <w:tc>
          <w:tcPr>
            <w:tcW w:w="2427" w:type="pct"/>
          </w:tcPr>
          <w:p w:rsidR="00E566B2" w:rsidRPr="006D31D9" w:rsidRDefault="00E566B2" w:rsidP="00016940">
            <w:pPr>
              <w:jc w:val="both"/>
              <w:rPr>
                <w:rFonts w:eastAsia="Calibri"/>
                <w:sz w:val="20"/>
                <w:szCs w:val="20"/>
              </w:rPr>
            </w:pPr>
            <w:r w:rsidRPr="006D31D9">
              <w:rPr>
                <w:rFonts w:eastAsia="Calibri"/>
                <w:sz w:val="20"/>
                <w:szCs w:val="20"/>
              </w:rPr>
              <w:t>May 15, 2009</w:t>
            </w:r>
          </w:p>
          <w:p w:rsidR="00E566B2" w:rsidRPr="006D31D9" w:rsidRDefault="00E566B2" w:rsidP="00016940">
            <w:pPr>
              <w:jc w:val="both"/>
              <w:rPr>
                <w:rFonts w:eastAsia="Calibri"/>
                <w:sz w:val="20"/>
                <w:szCs w:val="20"/>
              </w:rPr>
            </w:pPr>
            <w:r w:rsidRPr="006D31D9">
              <w:rPr>
                <w:rFonts w:eastAsia="Calibri"/>
                <w:sz w:val="20"/>
                <w:szCs w:val="20"/>
              </w:rPr>
              <w:t>Court of Québec</w:t>
            </w:r>
          </w:p>
          <w:p w:rsidR="00E566B2" w:rsidRPr="006D31D9" w:rsidRDefault="00E566B2" w:rsidP="00016940">
            <w:pPr>
              <w:jc w:val="both"/>
              <w:rPr>
                <w:rFonts w:eastAsia="Calibri"/>
                <w:sz w:val="20"/>
                <w:szCs w:val="20"/>
              </w:rPr>
            </w:pPr>
            <w:r w:rsidRPr="006D31D9">
              <w:rPr>
                <w:rFonts w:eastAsia="Calibri"/>
                <w:sz w:val="20"/>
                <w:szCs w:val="20"/>
              </w:rPr>
              <w:t>(Judge Vauclair)</w:t>
            </w:r>
          </w:p>
          <w:p w:rsidR="00E566B2" w:rsidRPr="006D31D9" w:rsidRDefault="00E566B2" w:rsidP="00016940">
            <w:pPr>
              <w:jc w:val="both"/>
              <w:rPr>
                <w:rFonts w:eastAsia="Calibri"/>
                <w:sz w:val="20"/>
                <w:szCs w:val="20"/>
              </w:rPr>
            </w:pPr>
            <w:r w:rsidRPr="006D31D9">
              <w:rPr>
                <w:rFonts w:eastAsia="Calibri"/>
                <w:sz w:val="20"/>
                <w:szCs w:val="20"/>
              </w:rPr>
              <w:t>2009 QCCQ 4279</w:t>
            </w:r>
          </w:p>
          <w:p w:rsidR="00E566B2" w:rsidRPr="006D31D9" w:rsidRDefault="00E566B2" w:rsidP="00016940">
            <w:pPr>
              <w:jc w:val="both"/>
              <w:rPr>
                <w:rFonts w:eastAsia="Calibri"/>
                <w:sz w:val="20"/>
                <w:szCs w:val="20"/>
              </w:rPr>
            </w:pPr>
          </w:p>
        </w:tc>
        <w:tc>
          <w:tcPr>
            <w:tcW w:w="243" w:type="pct"/>
          </w:tcPr>
          <w:p w:rsidR="00E566B2" w:rsidRPr="006D31D9" w:rsidRDefault="00E566B2" w:rsidP="00016940">
            <w:pPr>
              <w:jc w:val="both"/>
              <w:rPr>
                <w:rFonts w:eastAsia="Calibri"/>
                <w:sz w:val="20"/>
                <w:szCs w:val="20"/>
              </w:rPr>
            </w:pPr>
          </w:p>
        </w:tc>
        <w:tc>
          <w:tcPr>
            <w:tcW w:w="2330" w:type="pct"/>
          </w:tcPr>
          <w:p w:rsidR="00E566B2" w:rsidRPr="006D31D9" w:rsidRDefault="00E566B2" w:rsidP="00016940">
            <w:pPr>
              <w:jc w:val="both"/>
              <w:rPr>
                <w:rFonts w:eastAsia="Calibri"/>
                <w:sz w:val="20"/>
                <w:szCs w:val="20"/>
              </w:rPr>
            </w:pPr>
            <w:r w:rsidRPr="006D31D9">
              <w:rPr>
                <w:rFonts w:eastAsia="Calibri"/>
                <w:sz w:val="20"/>
                <w:szCs w:val="20"/>
              </w:rPr>
              <w:t>Acquittal entered on two charges: driving with more than 80 mg of alcohol in blood (s. 253(1)(</w:t>
            </w:r>
            <w:r w:rsidRPr="006D31D9">
              <w:rPr>
                <w:rFonts w:eastAsia="Calibri"/>
                <w:i/>
                <w:sz w:val="20"/>
                <w:szCs w:val="20"/>
              </w:rPr>
              <w:t>b</w:t>
            </w:r>
            <w:r w:rsidRPr="006D31D9">
              <w:rPr>
                <w:rFonts w:eastAsia="Calibri"/>
                <w:sz w:val="20"/>
                <w:szCs w:val="20"/>
              </w:rPr>
              <w:t>) Cr.C.) and impaired driving (s. 253(1)(</w:t>
            </w:r>
            <w:r w:rsidRPr="006D31D9">
              <w:rPr>
                <w:rFonts w:eastAsia="Calibri"/>
                <w:i/>
                <w:sz w:val="20"/>
                <w:szCs w:val="20"/>
              </w:rPr>
              <w:t>a</w:t>
            </w:r>
            <w:r w:rsidRPr="006D31D9">
              <w:rPr>
                <w:rFonts w:eastAsia="Calibri"/>
                <w:sz w:val="20"/>
                <w:szCs w:val="20"/>
              </w:rPr>
              <w:t>) Cr.C.)</w:t>
            </w:r>
          </w:p>
        </w:tc>
      </w:tr>
      <w:tr w:rsidR="00E566B2" w:rsidRPr="006D31D9" w:rsidTr="00016940">
        <w:tc>
          <w:tcPr>
            <w:tcW w:w="2427" w:type="pct"/>
          </w:tcPr>
          <w:p w:rsidR="00E566B2" w:rsidRPr="006D31D9" w:rsidRDefault="00E566B2" w:rsidP="00016940">
            <w:pPr>
              <w:jc w:val="both"/>
              <w:rPr>
                <w:rFonts w:eastAsia="Calibri"/>
                <w:sz w:val="20"/>
                <w:szCs w:val="20"/>
              </w:rPr>
            </w:pPr>
            <w:r w:rsidRPr="006D31D9">
              <w:rPr>
                <w:rFonts w:eastAsia="Calibri"/>
                <w:sz w:val="20"/>
                <w:szCs w:val="20"/>
              </w:rPr>
              <w:t>December 16, 2009</w:t>
            </w:r>
          </w:p>
          <w:p w:rsidR="00E566B2" w:rsidRPr="006D31D9" w:rsidRDefault="00E566B2" w:rsidP="00016940">
            <w:pPr>
              <w:jc w:val="both"/>
              <w:rPr>
                <w:rFonts w:eastAsia="Calibri"/>
                <w:sz w:val="20"/>
                <w:szCs w:val="20"/>
              </w:rPr>
            </w:pPr>
            <w:r w:rsidRPr="006D31D9">
              <w:rPr>
                <w:rFonts w:eastAsia="Calibri"/>
                <w:sz w:val="20"/>
                <w:szCs w:val="20"/>
              </w:rPr>
              <w:t>Quebec Superior Court</w:t>
            </w:r>
          </w:p>
          <w:p w:rsidR="00E566B2" w:rsidRPr="006D31D9" w:rsidRDefault="00E566B2" w:rsidP="00016940">
            <w:pPr>
              <w:jc w:val="both"/>
              <w:rPr>
                <w:rFonts w:eastAsia="Calibri"/>
                <w:sz w:val="20"/>
                <w:szCs w:val="20"/>
              </w:rPr>
            </w:pPr>
            <w:r w:rsidRPr="006D31D9">
              <w:rPr>
                <w:rFonts w:eastAsia="Calibri"/>
                <w:sz w:val="20"/>
                <w:szCs w:val="20"/>
              </w:rPr>
              <w:t>(Delorme J.)</w:t>
            </w:r>
          </w:p>
          <w:p w:rsidR="00E566B2" w:rsidRPr="006D31D9" w:rsidRDefault="00E566B2" w:rsidP="00016940">
            <w:pPr>
              <w:jc w:val="both"/>
              <w:rPr>
                <w:rFonts w:eastAsia="Calibri"/>
                <w:sz w:val="20"/>
                <w:szCs w:val="20"/>
              </w:rPr>
            </w:pPr>
            <w:r w:rsidRPr="006D31D9">
              <w:rPr>
                <w:rFonts w:eastAsia="Calibri"/>
                <w:sz w:val="20"/>
                <w:szCs w:val="20"/>
              </w:rPr>
              <w:t>2009 QCCS 6404</w:t>
            </w:r>
          </w:p>
          <w:p w:rsidR="00E566B2" w:rsidRPr="006D31D9" w:rsidRDefault="00E566B2" w:rsidP="00016940">
            <w:pPr>
              <w:jc w:val="both"/>
              <w:rPr>
                <w:rFonts w:eastAsia="Calibri"/>
                <w:sz w:val="20"/>
                <w:szCs w:val="20"/>
              </w:rPr>
            </w:pPr>
          </w:p>
        </w:tc>
        <w:tc>
          <w:tcPr>
            <w:tcW w:w="243" w:type="pct"/>
          </w:tcPr>
          <w:p w:rsidR="00E566B2" w:rsidRPr="006D31D9" w:rsidRDefault="00E566B2" w:rsidP="00016940">
            <w:pPr>
              <w:jc w:val="both"/>
              <w:rPr>
                <w:rFonts w:eastAsia="Calibri"/>
                <w:sz w:val="20"/>
                <w:szCs w:val="20"/>
              </w:rPr>
            </w:pPr>
          </w:p>
        </w:tc>
        <w:tc>
          <w:tcPr>
            <w:tcW w:w="2330" w:type="pct"/>
          </w:tcPr>
          <w:p w:rsidR="00E566B2" w:rsidRPr="006D31D9" w:rsidRDefault="00E566B2" w:rsidP="00016940">
            <w:pPr>
              <w:jc w:val="both"/>
              <w:rPr>
                <w:rFonts w:eastAsia="Calibri"/>
                <w:sz w:val="20"/>
                <w:szCs w:val="20"/>
              </w:rPr>
            </w:pPr>
            <w:r w:rsidRPr="006D31D9">
              <w:rPr>
                <w:rFonts w:eastAsia="Calibri"/>
                <w:sz w:val="20"/>
                <w:szCs w:val="20"/>
              </w:rPr>
              <w:t>Appeal dismissed</w:t>
            </w:r>
          </w:p>
        </w:tc>
      </w:tr>
      <w:tr w:rsidR="00E566B2" w:rsidRPr="006D31D9" w:rsidTr="00016940">
        <w:tc>
          <w:tcPr>
            <w:tcW w:w="2427" w:type="pct"/>
          </w:tcPr>
          <w:p w:rsidR="00E566B2" w:rsidRPr="006D31D9" w:rsidRDefault="00E566B2" w:rsidP="00016940">
            <w:pPr>
              <w:jc w:val="both"/>
              <w:rPr>
                <w:rFonts w:eastAsia="Calibri"/>
                <w:sz w:val="20"/>
                <w:szCs w:val="20"/>
              </w:rPr>
            </w:pPr>
            <w:r w:rsidRPr="006D31D9">
              <w:rPr>
                <w:rFonts w:eastAsia="Calibri"/>
                <w:sz w:val="20"/>
                <w:szCs w:val="20"/>
              </w:rPr>
              <w:t>January 18, 2012</w:t>
            </w:r>
          </w:p>
          <w:p w:rsidR="00E566B2" w:rsidRPr="006D31D9" w:rsidRDefault="00E566B2" w:rsidP="00016940">
            <w:pPr>
              <w:jc w:val="both"/>
              <w:rPr>
                <w:rFonts w:eastAsia="Calibri"/>
                <w:sz w:val="20"/>
                <w:szCs w:val="20"/>
              </w:rPr>
            </w:pPr>
            <w:r w:rsidRPr="006D31D9">
              <w:rPr>
                <w:rFonts w:eastAsia="Calibri"/>
                <w:sz w:val="20"/>
                <w:szCs w:val="20"/>
              </w:rPr>
              <w:t>Quebec Court of Appeal (Montréal)</w:t>
            </w:r>
          </w:p>
          <w:p w:rsidR="00E566B2" w:rsidRPr="006D31D9" w:rsidRDefault="00E566B2" w:rsidP="00016940">
            <w:pPr>
              <w:jc w:val="both"/>
              <w:rPr>
                <w:rFonts w:eastAsia="Calibri"/>
                <w:sz w:val="20"/>
                <w:szCs w:val="20"/>
              </w:rPr>
            </w:pPr>
            <w:r w:rsidRPr="006D31D9">
              <w:rPr>
                <w:rFonts w:eastAsia="Calibri"/>
                <w:sz w:val="20"/>
                <w:szCs w:val="20"/>
              </w:rPr>
              <w:t>(Duval Hesler C.J. (dissenting) and Dalphond and Bich JJ.A.)</w:t>
            </w:r>
          </w:p>
          <w:p w:rsidR="00E566B2" w:rsidRPr="006D31D9" w:rsidRDefault="00E566B2" w:rsidP="00016940">
            <w:pPr>
              <w:jc w:val="both"/>
              <w:rPr>
                <w:rFonts w:eastAsia="Calibri"/>
                <w:sz w:val="20"/>
                <w:szCs w:val="20"/>
              </w:rPr>
            </w:pPr>
            <w:r w:rsidRPr="006D31D9">
              <w:rPr>
                <w:rFonts w:eastAsia="Calibri"/>
                <w:sz w:val="20"/>
                <w:szCs w:val="20"/>
              </w:rPr>
              <w:t>2011 QCCA 2304</w:t>
            </w:r>
          </w:p>
          <w:p w:rsidR="00E566B2" w:rsidRPr="006D31D9" w:rsidRDefault="00E566B2" w:rsidP="00016940">
            <w:pPr>
              <w:jc w:val="both"/>
              <w:rPr>
                <w:rFonts w:eastAsia="Calibri"/>
                <w:sz w:val="20"/>
                <w:szCs w:val="20"/>
              </w:rPr>
            </w:pPr>
          </w:p>
        </w:tc>
        <w:tc>
          <w:tcPr>
            <w:tcW w:w="243" w:type="pct"/>
          </w:tcPr>
          <w:p w:rsidR="00E566B2" w:rsidRPr="006D31D9" w:rsidRDefault="00E566B2" w:rsidP="00016940">
            <w:pPr>
              <w:jc w:val="both"/>
              <w:rPr>
                <w:rFonts w:eastAsia="Calibri"/>
                <w:sz w:val="20"/>
                <w:szCs w:val="20"/>
              </w:rPr>
            </w:pPr>
          </w:p>
        </w:tc>
        <w:tc>
          <w:tcPr>
            <w:tcW w:w="2330" w:type="pct"/>
          </w:tcPr>
          <w:p w:rsidR="00E566B2" w:rsidRPr="006D31D9" w:rsidRDefault="00E566B2" w:rsidP="00016940">
            <w:pPr>
              <w:jc w:val="both"/>
              <w:rPr>
                <w:rFonts w:eastAsia="Calibri"/>
                <w:sz w:val="20"/>
                <w:szCs w:val="20"/>
              </w:rPr>
            </w:pPr>
            <w:r w:rsidRPr="006D31D9">
              <w:rPr>
                <w:rFonts w:eastAsia="Calibri"/>
                <w:sz w:val="20"/>
                <w:szCs w:val="20"/>
              </w:rPr>
              <w:t>Appeal allowed;</w:t>
            </w:r>
          </w:p>
          <w:p w:rsidR="00E566B2" w:rsidRPr="006D31D9" w:rsidRDefault="00E566B2" w:rsidP="00016940">
            <w:pPr>
              <w:jc w:val="both"/>
              <w:rPr>
                <w:rFonts w:eastAsia="Calibri"/>
                <w:sz w:val="20"/>
                <w:szCs w:val="20"/>
              </w:rPr>
            </w:pPr>
            <w:r w:rsidRPr="006D31D9">
              <w:rPr>
                <w:rFonts w:eastAsia="Calibri"/>
                <w:sz w:val="20"/>
                <w:szCs w:val="20"/>
              </w:rPr>
              <w:t>Guilty verdict entered only on charge of operation of vehicle with blood alcohol level over legal limit</w:t>
            </w:r>
          </w:p>
          <w:p w:rsidR="00E566B2" w:rsidRPr="006D31D9" w:rsidRDefault="00E566B2" w:rsidP="00016940">
            <w:pPr>
              <w:jc w:val="both"/>
              <w:rPr>
                <w:rFonts w:eastAsia="Calibri"/>
                <w:sz w:val="20"/>
                <w:szCs w:val="20"/>
              </w:rPr>
            </w:pPr>
          </w:p>
        </w:tc>
      </w:tr>
      <w:tr w:rsidR="00E566B2" w:rsidRPr="006D31D9" w:rsidTr="00016940">
        <w:tc>
          <w:tcPr>
            <w:tcW w:w="2427" w:type="pct"/>
          </w:tcPr>
          <w:p w:rsidR="00E566B2" w:rsidRPr="006D31D9" w:rsidRDefault="00E566B2" w:rsidP="00016940">
            <w:pPr>
              <w:jc w:val="both"/>
              <w:rPr>
                <w:rFonts w:eastAsia="Calibri"/>
                <w:sz w:val="20"/>
                <w:szCs w:val="20"/>
              </w:rPr>
            </w:pPr>
            <w:r w:rsidRPr="006D31D9">
              <w:rPr>
                <w:rFonts w:eastAsia="Calibri"/>
                <w:sz w:val="20"/>
                <w:szCs w:val="20"/>
              </w:rPr>
              <w:t>February 6, 2012</w:t>
            </w:r>
          </w:p>
          <w:p w:rsidR="00E566B2" w:rsidRPr="006D31D9" w:rsidRDefault="00E566B2" w:rsidP="00016940">
            <w:pPr>
              <w:jc w:val="both"/>
              <w:rPr>
                <w:rFonts w:eastAsia="Calibri"/>
                <w:sz w:val="20"/>
                <w:szCs w:val="20"/>
              </w:rPr>
            </w:pPr>
            <w:r w:rsidRPr="006D31D9">
              <w:rPr>
                <w:rFonts w:eastAsia="Calibri"/>
                <w:sz w:val="20"/>
                <w:szCs w:val="20"/>
              </w:rPr>
              <w:t>Supreme Court of Canada</w:t>
            </w:r>
          </w:p>
        </w:tc>
        <w:tc>
          <w:tcPr>
            <w:tcW w:w="243" w:type="pct"/>
          </w:tcPr>
          <w:p w:rsidR="00E566B2" w:rsidRPr="006D31D9" w:rsidRDefault="00E566B2" w:rsidP="00016940">
            <w:pPr>
              <w:jc w:val="both"/>
              <w:rPr>
                <w:rFonts w:eastAsia="Calibri"/>
                <w:sz w:val="20"/>
                <w:szCs w:val="20"/>
              </w:rPr>
            </w:pPr>
          </w:p>
        </w:tc>
        <w:tc>
          <w:tcPr>
            <w:tcW w:w="2330" w:type="pct"/>
          </w:tcPr>
          <w:p w:rsidR="00E566B2" w:rsidRPr="006D31D9" w:rsidRDefault="00E566B2" w:rsidP="00016940">
            <w:pPr>
              <w:jc w:val="both"/>
              <w:rPr>
                <w:rFonts w:eastAsia="Calibri"/>
                <w:sz w:val="20"/>
                <w:szCs w:val="20"/>
              </w:rPr>
            </w:pPr>
            <w:r w:rsidRPr="006D31D9">
              <w:rPr>
                <w:rFonts w:eastAsia="Calibri"/>
                <w:sz w:val="20"/>
                <w:szCs w:val="20"/>
              </w:rPr>
              <w:t>Application for leave to appeal filed</w:t>
            </w:r>
          </w:p>
          <w:p w:rsidR="00E566B2" w:rsidRPr="006D31D9" w:rsidRDefault="00E566B2" w:rsidP="00016940">
            <w:pPr>
              <w:jc w:val="both"/>
              <w:rPr>
                <w:rFonts w:eastAsia="Calibri"/>
                <w:sz w:val="20"/>
                <w:szCs w:val="20"/>
              </w:rPr>
            </w:pPr>
          </w:p>
        </w:tc>
      </w:tr>
    </w:tbl>
    <w:p w:rsidR="00106515" w:rsidRPr="00C50A5C" w:rsidRDefault="00106515" w:rsidP="00106515">
      <w:pPr>
        <w:rPr>
          <w:sz w:val="20"/>
          <w:szCs w:val="20"/>
        </w:rPr>
      </w:pPr>
    </w:p>
    <w:p w:rsidR="00106515" w:rsidRPr="00C50A5C" w:rsidRDefault="00755986" w:rsidP="00106515">
      <w:pPr>
        <w:rPr>
          <w:sz w:val="20"/>
          <w:szCs w:val="20"/>
        </w:rPr>
      </w:pPr>
      <w:r w:rsidRPr="00755986">
        <w:rPr>
          <w:sz w:val="20"/>
          <w:szCs w:val="20"/>
          <w:lang w:val="fr-CA"/>
        </w:rPr>
        <w:pict>
          <v:rect id="_x0000_i1034" style="width:2in;height:1pt" o:hrpct="0" o:hralign="center" o:hrstd="t" o:hrnoshade="t" o:hr="t" fillcolor="black [3213]" stroked="f"/>
        </w:pict>
      </w:r>
    </w:p>
    <w:p w:rsidR="00106515" w:rsidRDefault="00106515" w:rsidP="00106515">
      <w:pPr>
        <w:rPr>
          <w:sz w:val="20"/>
          <w:szCs w:val="20"/>
        </w:rPr>
      </w:pPr>
    </w:p>
    <w:p w:rsidR="00016940" w:rsidRDefault="00016940">
      <w:pPr>
        <w:rPr>
          <w:sz w:val="20"/>
          <w:szCs w:val="20"/>
          <w:u w:val="single"/>
          <w:lang w:val="fr-CA"/>
        </w:rPr>
      </w:pPr>
      <w:r>
        <w:rPr>
          <w:sz w:val="20"/>
          <w:szCs w:val="20"/>
          <w:u w:val="single"/>
          <w:lang w:val="fr-CA"/>
        </w:rPr>
        <w:br w:type="page"/>
      </w:r>
    </w:p>
    <w:p w:rsidR="00106515" w:rsidRPr="001B157C" w:rsidRDefault="00106515" w:rsidP="00106515">
      <w:pPr>
        <w:rPr>
          <w:sz w:val="20"/>
          <w:szCs w:val="20"/>
          <w:u w:val="single"/>
          <w:lang w:val="fr-CA"/>
        </w:rPr>
      </w:pPr>
      <w:r w:rsidRPr="001B157C">
        <w:rPr>
          <w:sz w:val="20"/>
          <w:szCs w:val="20"/>
          <w:u w:val="single"/>
          <w:lang w:val="fr-CA"/>
        </w:rPr>
        <w:lastRenderedPageBreak/>
        <w:t>RÉSUMÉ DE L’AFFAIRE</w:t>
      </w:r>
    </w:p>
    <w:p w:rsidR="00106515" w:rsidRDefault="00106515" w:rsidP="0010651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6940" w:rsidRPr="00257CA3" w:rsidTr="00016940">
        <w:tc>
          <w:tcPr>
            <w:tcW w:w="5000" w:type="pct"/>
            <w:gridSpan w:val="3"/>
          </w:tcPr>
          <w:p w:rsidR="00016940" w:rsidRPr="006D31D9" w:rsidRDefault="00016940" w:rsidP="00016940">
            <w:pPr>
              <w:jc w:val="both"/>
              <w:rPr>
                <w:rFonts w:eastAsia="Calibri"/>
                <w:sz w:val="20"/>
                <w:szCs w:val="20"/>
                <w:lang w:val="fr-CA"/>
              </w:rPr>
            </w:pPr>
            <w:r w:rsidRPr="006D31D9">
              <w:rPr>
                <w:rFonts w:eastAsia="Calibri"/>
                <w:sz w:val="20"/>
                <w:szCs w:val="20"/>
                <w:lang w:val="fr-CA"/>
              </w:rPr>
              <w:t xml:space="preserve">Droit criminel – Infractions – Conduite avec plus de 80 mg d’alcool / 100 ml dans le sang – Conduite avec les capacités affaiblies – Preuve – Présomptions – Alcootests – Preuve de chevauchement – La Cour d’appel a-t-elle erré en droit dans son analyse de l’arrêt </w:t>
            </w:r>
            <w:r w:rsidRPr="006D31D9">
              <w:rPr>
                <w:rFonts w:eastAsia="Calibri"/>
                <w:i/>
                <w:sz w:val="20"/>
                <w:szCs w:val="20"/>
                <w:lang w:val="fr-CA"/>
              </w:rPr>
              <w:t>R. c. Gibson</w:t>
            </w:r>
            <w:r w:rsidRPr="006D31D9">
              <w:rPr>
                <w:rFonts w:eastAsia="Calibri"/>
                <w:sz w:val="20"/>
                <w:szCs w:val="20"/>
                <w:lang w:val="fr-CA"/>
              </w:rPr>
              <w:t xml:space="preserve">, [2008] 1 R.C.S. 397? – La Cour d’appel du Québec a-t-elle erré en droit en ne respectant pas la règle du </w:t>
            </w:r>
            <w:r w:rsidRPr="006D31D9">
              <w:rPr>
                <w:rFonts w:eastAsia="Calibri"/>
                <w:i/>
                <w:sz w:val="20"/>
                <w:szCs w:val="20"/>
                <w:lang w:val="fr-CA"/>
              </w:rPr>
              <w:t>stare decisis</w:t>
            </w:r>
            <w:r w:rsidRPr="006D31D9">
              <w:rPr>
                <w:rFonts w:eastAsia="Calibri"/>
                <w:sz w:val="20"/>
                <w:szCs w:val="20"/>
                <w:lang w:val="fr-CA"/>
              </w:rPr>
              <w:t xml:space="preserve">? – Quel est l’état du droit au Canada relativement à la preuve de chevauchement, suite à l’arrêt </w:t>
            </w:r>
            <w:r w:rsidRPr="006D31D9">
              <w:rPr>
                <w:rFonts w:eastAsia="Calibri"/>
                <w:i/>
                <w:sz w:val="20"/>
                <w:szCs w:val="20"/>
                <w:lang w:val="fr-CA"/>
              </w:rPr>
              <w:t>R. c. Gibson</w:t>
            </w:r>
            <w:r w:rsidRPr="006D31D9">
              <w:rPr>
                <w:rFonts w:eastAsia="Calibri"/>
                <w:sz w:val="20"/>
                <w:szCs w:val="20"/>
                <w:lang w:val="fr-CA"/>
              </w:rPr>
              <w:t>?</w:t>
            </w:r>
          </w:p>
        </w:tc>
      </w:tr>
      <w:tr w:rsidR="00016940" w:rsidRPr="00257CA3" w:rsidTr="00016940">
        <w:tc>
          <w:tcPr>
            <w:tcW w:w="5000" w:type="pct"/>
            <w:gridSpan w:val="3"/>
          </w:tcPr>
          <w:p w:rsidR="00016940" w:rsidRPr="006D31D9" w:rsidRDefault="00016940" w:rsidP="00016940">
            <w:pPr>
              <w:jc w:val="both"/>
              <w:rPr>
                <w:rFonts w:eastAsia="Calibri"/>
                <w:sz w:val="20"/>
                <w:szCs w:val="20"/>
                <w:lang w:val="fr-CA"/>
              </w:rPr>
            </w:pPr>
          </w:p>
        </w:tc>
      </w:tr>
      <w:tr w:rsidR="00016940" w:rsidRPr="00257CA3" w:rsidTr="00016940">
        <w:tc>
          <w:tcPr>
            <w:tcW w:w="5000" w:type="pct"/>
            <w:gridSpan w:val="3"/>
          </w:tcPr>
          <w:p w:rsidR="00016940" w:rsidRPr="006D31D9" w:rsidRDefault="00016940" w:rsidP="00016940">
            <w:pPr>
              <w:jc w:val="both"/>
              <w:rPr>
                <w:rFonts w:eastAsia="Calibri"/>
                <w:sz w:val="20"/>
                <w:szCs w:val="20"/>
                <w:lang w:val="fr-CA"/>
              </w:rPr>
            </w:pPr>
            <w:r w:rsidRPr="006D31D9">
              <w:rPr>
                <w:rFonts w:eastAsia="Calibri"/>
                <w:sz w:val="20"/>
                <w:szCs w:val="20"/>
                <w:lang w:val="fr-CA"/>
              </w:rPr>
              <w:t xml:space="preserve">Le 15 janvier 2006, à la suite d’accidents de la route puis d’une perte de contrôle, le véhicule de M. Mihai Ibanescu s’immobilise vers 2h15. Un patrouilleur de Transports Québec et des témoins l’empêchent de repartir. Les policiers arrivent vers 2h37. Après certaines vérifications et la lecture de ses droits, il est arrêté et amené au poste de police. Le test de l’éthylomètre, subi à 3h59, mesure une concentration de 104 mg / 100 ml d’alcool dans son sang. </w:t>
            </w:r>
          </w:p>
          <w:p w:rsidR="00016940" w:rsidRPr="006D31D9" w:rsidRDefault="00016940" w:rsidP="00016940">
            <w:pPr>
              <w:jc w:val="both"/>
              <w:rPr>
                <w:rFonts w:eastAsia="Calibri"/>
                <w:sz w:val="20"/>
                <w:szCs w:val="20"/>
                <w:lang w:val="fr-CA"/>
              </w:rPr>
            </w:pPr>
          </w:p>
          <w:p w:rsidR="00016940" w:rsidRPr="006D31D9" w:rsidRDefault="00016940" w:rsidP="00016940">
            <w:pPr>
              <w:jc w:val="both"/>
              <w:rPr>
                <w:rFonts w:eastAsia="Calibri"/>
                <w:sz w:val="20"/>
                <w:szCs w:val="20"/>
                <w:lang w:val="fr-CA"/>
              </w:rPr>
            </w:pPr>
            <w:r w:rsidRPr="006D31D9">
              <w:rPr>
                <w:rFonts w:eastAsia="Calibri"/>
                <w:sz w:val="20"/>
                <w:szCs w:val="20"/>
                <w:lang w:val="fr-CA"/>
              </w:rPr>
              <w:t xml:space="preserve">Deux chefs d’accusation sont portés contre M. Ibanescu : en premier lieu, celui de conduite avec un taux d’alcool supérieur à celui autorisé et, en second lieu, celui de conduite avec faculté affaiblies. </w:t>
            </w:r>
          </w:p>
          <w:p w:rsidR="00016940" w:rsidRPr="006D31D9" w:rsidRDefault="00016940" w:rsidP="00016940">
            <w:pPr>
              <w:jc w:val="both"/>
              <w:rPr>
                <w:rFonts w:eastAsia="Calibri"/>
                <w:sz w:val="20"/>
                <w:szCs w:val="20"/>
                <w:lang w:val="fr-CA"/>
              </w:rPr>
            </w:pPr>
          </w:p>
        </w:tc>
      </w:tr>
      <w:tr w:rsidR="00016940" w:rsidRPr="00257CA3" w:rsidTr="00016940">
        <w:tc>
          <w:tcPr>
            <w:tcW w:w="2427"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Le 15 mai 2009</w:t>
            </w:r>
          </w:p>
          <w:p w:rsidR="00016940" w:rsidRPr="006D31D9" w:rsidRDefault="00016940" w:rsidP="00016940">
            <w:pPr>
              <w:jc w:val="both"/>
              <w:rPr>
                <w:rFonts w:eastAsia="Calibri"/>
                <w:sz w:val="20"/>
                <w:szCs w:val="20"/>
                <w:lang w:val="fr-CA"/>
              </w:rPr>
            </w:pPr>
            <w:r w:rsidRPr="006D31D9">
              <w:rPr>
                <w:rFonts w:eastAsia="Calibri"/>
                <w:sz w:val="20"/>
                <w:szCs w:val="20"/>
                <w:lang w:val="fr-CA"/>
              </w:rPr>
              <w:t>Cour du Québec</w:t>
            </w:r>
          </w:p>
          <w:p w:rsidR="00016940" w:rsidRPr="006D31D9" w:rsidRDefault="00016940" w:rsidP="00016940">
            <w:pPr>
              <w:jc w:val="both"/>
              <w:rPr>
                <w:rFonts w:eastAsia="Calibri"/>
                <w:sz w:val="20"/>
                <w:szCs w:val="20"/>
                <w:lang w:val="fr-CA"/>
              </w:rPr>
            </w:pPr>
            <w:r w:rsidRPr="006D31D9">
              <w:rPr>
                <w:rFonts w:eastAsia="Calibri"/>
                <w:sz w:val="20"/>
                <w:szCs w:val="20"/>
                <w:lang w:val="fr-CA"/>
              </w:rPr>
              <w:t>(Le juge Vauclair)</w:t>
            </w:r>
          </w:p>
          <w:p w:rsidR="00016940" w:rsidRPr="006D31D9" w:rsidRDefault="00016940" w:rsidP="00016940">
            <w:pPr>
              <w:jc w:val="both"/>
              <w:rPr>
                <w:rFonts w:eastAsia="Calibri"/>
                <w:sz w:val="20"/>
                <w:szCs w:val="20"/>
                <w:lang w:val="fr-CA"/>
              </w:rPr>
            </w:pPr>
            <w:r w:rsidRPr="006D31D9">
              <w:rPr>
                <w:rFonts w:eastAsia="Calibri"/>
                <w:sz w:val="20"/>
                <w:szCs w:val="20"/>
                <w:lang w:val="fr-CA"/>
              </w:rPr>
              <w:t>2009 QCCQ 4279</w:t>
            </w:r>
          </w:p>
          <w:p w:rsidR="00016940" w:rsidRPr="006D31D9" w:rsidRDefault="00016940" w:rsidP="00016940">
            <w:pPr>
              <w:jc w:val="both"/>
              <w:rPr>
                <w:rFonts w:eastAsia="Calibri"/>
                <w:sz w:val="20"/>
                <w:szCs w:val="20"/>
                <w:lang w:val="fr-CA"/>
              </w:rPr>
            </w:pPr>
          </w:p>
        </w:tc>
        <w:tc>
          <w:tcPr>
            <w:tcW w:w="243" w:type="pct"/>
          </w:tcPr>
          <w:p w:rsidR="00016940" w:rsidRPr="006D31D9" w:rsidRDefault="00016940" w:rsidP="00016940">
            <w:pPr>
              <w:jc w:val="both"/>
              <w:rPr>
                <w:rFonts w:eastAsia="Calibri"/>
                <w:sz w:val="20"/>
                <w:szCs w:val="20"/>
                <w:lang w:val="fr-CA"/>
              </w:rPr>
            </w:pPr>
          </w:p>
        </w:tc>
        <w:tc>
          <w:tcPr>
            <w:tcW w:w="2330"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Acquittement prononcé à l’égard de deux chefs d’accusation : conduite avec plus de 80 mg d’alcool dans le sang (253</w:t>
            </w:r>
            <w:r w:rsidRPr="006D31D9">
              <w:rPr>
                <w:rFonts w:eastAsia="Calibri"/>
                <w:i/>
                <w:sz w:val="20"/>
                <w:szCs w:val="20"/>
                <w:lang w:val="fr-CA"/>
              </w:rPr>
              <w:t>b</w:t>
            </w:r>
            <w:r w:rsidRPr="006D31D9">
              <w:rPr>
                <w:rFonts w:eastAsia="Calibri"/>
                <w:sz w:val="20"/>
                <w:szCs w:val="20"/>
                <w:lang w:val="fr-CA"/>
              </w:rPr>
              <w:t>) C.cr.) et conduite avec les capacités affaiblies (253</w:t>
            </w:r>
            <w:r w:rsidRPr="006D31D9">
              <w:rPr>
                <w:rFonts w:eastAsia="Calibri"/>
                <w:i/>
                <w:sz w:val="20"/>
                <w:szCs w:val="20"/>
                <w:lang w:val="fr-CA"/>
              </w:rPr>
              <w:t>a</w:t>
            </w:r>
            <w:r w:rsidRPr="006D31D9">
              <w:rPr>
                <w:rFonts w:eastAsia="Calibri"/>
                <w:sz w:val="20"/>
                <w:szCs w:val="20"/>
                <w:lang w:val="fr-CA"/>
              </w:rPr>
              <w:t>) C.cr.).</w:t>
            </w:r>
          </w:p>
        </w:tc>
      </w:tr>
      <w:tr w:rsidR="00016940" w:rsidRPr="006D31D9" w:rsidTr="00016940">
        <w:tc>
          <w:tcPr>
            <w:tcW w:w="2427"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Le 16 décembre 2009</w:t>
            </w:r>
          </w:p>
          <w:p w:rsidR="00016940" w:rsidRPr="006D31D9" w:rsidRDefault="00016940" w:rsidP="00016940">
            <w:pPr>
              <w:jc w:val="both"/>
              <w:rPr>
                <w:rFonts w:eastAsia="Calibri"/>
                <w:sz w:val="20"/>
                <w:szCs w:val="20"/>
                <w:lang w:val="fr-CA"/>
              </w:rPr>
            </w:pPr>
            <w:r w:rsidRPr="006D31D9">
              <w:rPr>
                <w:rFonts w:eastAsia="Calibri"/>
                <w:sz w:val="20"/>
                <w:szCs w:val="20"/>
                <w:lang w:val="fr-CA"/>
              </w:rPr>
              <w:t>Cour supérieure du Québec</w:t>
            </w:r>
          </w:p>
          <w:p w:rsidR="00016940" w:rsidRPr="006D31D9" w:rsidRDefault="00016940" w:rsidP="00016940">
            <w:pPr>
              <w:jc w:val="both"/>
              <w:rPr>
                <w:rFonts w:eastAsia="Calibri"/>
                <w:sz w:val="20"/>
                <w:szCs w:val="20"/>
                <w:lang w:val="fr-CA"/>
              </w:rPr>
            </w:pPr>
            <w:r w:rsidRPr="006D31D9">
              <w:rPr>
                <w:rFonts w:eastAsia="Calibri"/>
                <w:sz w:val="20"/>
                <w:szCs w:val="20"/>
                <w:lang w:val="fr-CA"/>
              </w:rPr>
              <w:t>(Le juge Delorme)</w:t>
            </w:r>
          </w:p>
          <w:p w:rsidR="00016940" w:rsidRPr="006D31D9" w:rsidRDefault="00016940" w:rsidP="00016940">
            <w:pPr>
              <w:jc w:val="both"/>
              <w:rPr>
                <w:rFonts w:eastAsia="Calibri"/>
                <w:sz w:val="20"/>
                <w:szCs w:val="20"/>
                <w:lang w:val="fr-CA"/>
              </w:rPr>
            </w:pPr>
            <w:r w:rsidRPr="006D31D9">
              <w:rPr>
                <w:rFonts w:eastAsia="Calibri"/>
                <w:sz w:val="20"/>
                <w:szCs w:val="20"/>
                <w:lang w:val="fr-CA"/>
              </w:rPr>
              <w:t>2009 QCCS 6404</w:t>
            </w:r>
          </w:p>
          <w:p w:rsidR="00016940" w:rsidRPr="006D31D9" w:rsidRDefault="00016940" w:rsidP="00016940">
            <w:pPr>
              <w:jc w:val="both"/>
              <w:rPr>
                <w:rFonts w:eastAsia="Calibri"/>
                <w:sz w:val="20"/>
                <w:szCs w:val="20"/>
              </w:rPr>
            </w:pPr>
          </w:p>
        </w:tc>
        <w:tc>
          <w:tcPr>
            <w:tcW w:w="243" w:type="pct"/>
          </w:tcPr>
          <w:p w:rsidR="00016940" w:rsidRPr="006D31D9" w:rsidRDefault="00016940" w:rsidP="00016940">
            <w:pPr>
              <w:jc w:val="both"/>
              <w:rPr>
                <w:rFonts w:eastAsia="Calibri"/>
                <w:sz w:val="20"/>
                <w:szCs w:val="20"/>
              </w:rPr>
            </w:pPr>
          </w:p>
        </w:tc>
        <w:tc>
          <w:tcPr>
            <w:tcW w:w="2330"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Appel rejeté.</w:t>
            </w:r>
          </w:p>
        </w:tc>
      </w:tr>
      <w:tr w:rsidR="00016940" w:rsidRPr="00257CA3" w:rsidTr="00016940">
        <w:tc>
          <w:tcPr>
            <w:tcW w:w="2427"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Le 18 janvier 2012</w:t>
            </w:r>
          </w:p>
          <w:p w:rsidR="00016940" w:rsidRPr="006D31D9" w:rsidRDefault="00016940" w:rsidP="00016940">
            <w:pPr>
              <w:jc w:val="both"/>
              <w:rPr>
                <w:rFonts w:eastAsia="Calibri"/>
                <w:sz w:val="20"/>
                <w:szCs w:val="20"/>
                <w:lang w:val="fr-CA"/>
              </w:rPr>
            </w:pPr>
            <w:r w:rsidRPr="006D31D9">
              <w:rPr>
                <w:rFonts w:eastAsia="Calibri"/>
                <w:sz w:val="20"/>
                <w:szCs w:val="20"/>
                <w:lang w:val="fr-CA"/>
              </w:rPr>
              <w:t>Cour d’appel du Québec (Montréal)</w:t>
            </w:r>
          </w:p>
          <w:p w:rsidR="00016940" w:rsidRPr="006D31D9" w:rsidRDefault="00016940" w:rsidP="00016940">
            <w:pPr>
              <w:jc w:val="both"/>
              <w:rPr>
                <w:rFonts w:eastAsia="Calibri"/>
                <w:sz w:val="20"/>
                <w:szCs w:val="20"/>
                <w:lang w:val="fr-CA"/>
              </w:rPr>
            </w:pPr>
            <w:r w:rsidRPr="006D31D9">
              <w:rPr>
                <w:rFonts w:eastAsia="Calibri"/>
                <w:sz w:val="20"/>
                <w:szCs w:val="20"/>
                <w:lang w:val="fr-CA"/>
              </w:rPr>
              <w:t>(La juge en chef Duval Hesler (dissidente) et les juges Dalphond et Bich)</w:t>
            </w:r>
          </w:p>
          <w:p w:rsidR="00016940" w:rsidRDefault="00016940" w:rsidP="00016940">
            <w:pPr>
              <w:jc w:val="both"/>
              <w:rPr>
                <w:rFonts w:eastAsia="Calibri"/>
                <w:sz w:val="20"/>
                <w:szCs w:val="20"/>
                <w:lang w:val="fr-CA"/>
              </w:rPr>
            </w:pPr>
            <w:r w:rsidRPr="006D31D9">
              <w:rPr>
                <w:rFonts w:eastAsia="Calibri"/>
                <w:sz w:val="20"/>
                <w:szCs w:val="20"/>
                <w:lang w:val="fr-CA"/>
              </w:rPr>
              <w:t>2011 QCCA 2304</w:t>
            </w:r>
          </w:p>
          <w:p w:rsidR="00016940" w:rsidRPr="006D31D9" w:rsidRDefault="00016940" w:rsidP="00016940">
            <w:pPr>
              <w:jc w:val="both"/>
              <w:rPr>
                <w:rFonts w:eastAsia="Calibri"/>
                <w:sz w:val="20"/>
                <w:szCs w:val="20"/>
                <w:lang w:val="fr-CA"/>
              </w:rPr>
            </w:pPr>
          </w:p>
        </w:tc>
        <w:tc>
          <w:tcPr>
            <w:tcW w:w="243" w:type="pct"/>
          </w:tcPr>
          <w:p w:rsidR="00016940" w:rsidRPr="006D31D9" w:rsidRDefault="00016940" w:rsidP="00016940">
            <w:pPr>
              <w:jc w:val="both"/>
              <w:rPr>
                <w:rFonts w:eastAsia="Calibri"/>
                <w:sz w:val="20"/>
                <w:szCs w:val="20"/>
                <w:lang w:val="fr-CA"/>
              </w:rPr>
            </w:pPr>
          </w:p>
        </w:tc>
        <w:tc>
          <w:tcPr>
            <w:tcW w:w="2330"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Appel accueilli;</w:t>
            </w:r>
          </w:p>
          <w:p w:rsidR="00016940" w:rsidRPr="006D31D9" w:rsidRDefault="00016940" w:rsidP="00016940">
            <w:pPr>
              <w:jc w:val="both"/>
              <w:rPr>
                <w:rFonts w:eastAsia="Calibri"/>
                <w:sz w:val="20"/>
                <w:szCs w:val="20"/>
                <w:lang w:val="fr-CA"/>
              </w:rPr>
            </w:pPr>
            <w:r w:rsidRPr="006D31D9">
              <w:rPr>
                <w:rFonts w:eastAsia="Calibri"/>
                <w:sz w:val="20"/>
                <w:szCs w:val="20"/>
                <w:lang w:val="fr-CA"/>
              </w:rPr>
              <w:t>Verdict de culpabilité prononcé seulement à l’égard du chef d’accusation concernant la conduite d’un véhicule avec un taux d’alcool supérieur à celui autorisé.</w:t>
            </w:r>
          </w:p>
        </w:tc>
      </w:tr>
      <w:tr w:rsidR="00016940" w:rsidRPr="006D31D9" w:rsidTr="00016940">
        <w:tc>
          <w:tcPr>
            <w:tcW w:w="2427"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Le 6 février 2012</w:t>
            </w:r>
          </w:p>
          <w:p w:rsidR="00016940" w:rsidRPr="006D31D9" w:rsidRDefault="00016940" w:rsidP="009414B2">
            <w:pPr>
              <w:jc w:val="both"/>
              <w:rPr>
                <w:rFonts w:eastAsia="Calibri"/>
                <w:sz w:val="20"/>
                <w:szCs w:val="20"/>
                <w:lang w:val="fr-CA"/>
              </w:rPr>
            </w:pPr>
            <w:r w:rsidRPr="006D31D9">
              <w:rPr>
                <w:rFonts w:eastAsia="Calibri"/>
                <w:sz w:val="20"/>
                <w:szCs w:val="20"/>
                <w:lang w:val="fr-CA"/>
              </w:rPr>
              <w:t>Cour suprême du Canada</w:t>
            </w:r>
          </w:p>
        </w:tc>
        <w:tc>
          <w:tcPr>
            <w:tcW w:w="243" w:type="pct"/>
          </w:tcPr>
          <w:p w:rsidR="00016940" w:rsidRPr="006D31D9" w:rsidRDefault="00016940" w:rsidP="00016940">
            <w:pPr>
              <w:jc w:val="both"/>
              <w:rPr>
                <w:rFonts w:eastAsia="Calibri"/>
                <w:sz w:val="20"/>
                <w:szCs w:val="20"/>
                <w:lang w:val="fr-CA"/>
              </w:rPr>
            </w:pPr>
          </w:p>
        </w:tc>
        <w:tc>
          <w:tcPr>
            <w:tcW w:w="2330"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Demande d’autorisation d'appel déposée.</w:t>
            </w:r>
          </w:p>
          <w:p w:rsidR="00016940" w:rsidRPr="006D31D9" w:rsidRDefault="00016940" w:rsidP="00016940">
            <w:pPr>
              <w:jc w:val="both"/>
              <w:rPr>
                <w:rFonts w:eastAsia="Calibri"/>
                <w:sz w:val="20"/>
                <w:szCs w:val="20"/>
                <w:lang w:val="fr-CA"/>
              </w:rPr>
            </w:pPr>
          </w:p>
        </w:tc>
      </w:tr>
    </w:tbl>
    <w:p w:rsidR="00106515" w:rsidRDefault="00106515" w:rsidP="008D292F">
      <w:pPr>
        <w:rPr>
          <w:sz w:val="20"/>
          <w:szCs w:val="20"/>
        </w:rPr>
      </w:pPr>
    </w:p>
    <w:p w:rsidR="00106515" w:rsidRDefault="00755986" w:rsidP="008D292F">
      <w:pPr>
        <w:rPr>
          <w:sz w:val="20"/>
          <w:szCs w:val="20"/>
        </w:rPr>
      </w:pPr>
      <w:r w:rsidRPr="00755986">
        <w:rPr>
          <w:sz w:val="20"/>
          <w:szCs w:val="20"/>
          <w:lang w:val="fr-CA"/>
        </w:rPr>
        <w:pict>
          <v:rect id="_x0000_i1035" style="width:2in;height:1pt" o:hrpct="0" o:hralign="center" o:hrstd="t" o:hrnoshade="t" o:hr="t" fillcolor="black [3213]" stroked="f"/>
        </w:pict>
      </w:r>
    </w:p>
    <w:p w:rsidR="00106515" w:rsidRDefault="00106515"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056F0" w:rsidRPr="00353B4A" w:rsidTr="005056F0">
        <w:trPr>
          <w:cantSplit/>
        </w:trPr>
        <w:tc>
          <w:tcPr>
            <w:tcW w:w="1458" w:type="dxa"/>
          </w:tcPr>
          <w:p w:rsidR="005056F0" w:rsidRPr="00353B4A" w:rsidRDefault="005056F0" w:rsidP="005056F0">
            <w:pPr>
              <w:rPr>
                <w:rFonts w:cs="Times New Roman"/>
                <w:sz w:val="20"/>
                <w:szCs w:val="20"/>
              </w:rPr>
            </w:pPr>
            <w:r w:rsidRPr="00353B4A">
              <w:rPr>
                <w:rStyle w:val="SCCFileNumberChar"/>
                <w:sz w:val="20"/>
                <w:szCs w:val="20"/>
              </w:rPr>
              <w:t>34659</w:t>
            </w:r>
          </w:p>
          <w:p w:rsidR="005056F0" w:rsidRPr="00353B4A" w:rsidRDefault="005056F0" w:rsidP="005056F0">
            <w:pPr>
              <w:rPr>
                <w:rFonts w:cs="Times New Roman"/>
                <w:b/>
                <w:sz w:val="20"/>
                <w:szCs w:val="20"/>
                <w:lang w:val="fr-CA"/>
              </w:rPr>
            </w:pPr>
          </w:p>
        </w:tc>
        <w:tc>
          <w:tcPr>
            <w:tcW w:w="8118" w:type="dxa"/>
          </w:tcPr>
          <w:p w:rsidR="005056F0" w:rsidRPr="00353B4A" w:rsidRDefault="005056F0" w:rsidP="005056F0">
            <w:pPr>
              <w:rPr>
                <w:rFonts w:cs="Times New Roman"/>
                <w:sz w:val="20"/>
                <w:szCs w:val="20"/>
              </w:rPr>
            </w:pPr>
            <w:r w:rsidRPr="00353B4A">
              <w:rPr>
                <w:rStyle w:val="SCCLsocChar"/>
                <w:rFonts w:cs="Times New Roman"/>
                <w:sz w:val="20"/>
                <w:szCs w:val="20"/>
                <w:lang w:val="en-CA"/>
              </w:rPr>
              <w:t>Fernand Robichaud v. Her Majesty the Queen</w:t>
            </w:r>
            <w:r w:rsidRPr="00353B4A">
              <w:rPr>
                <w:rFonts w:cs="Times New Roman"/>
                <w:sz w:val="20"/>
                <w:szCs w:val="20"/>
              </w:rPr>
              <w:t xml:space="preserve"> (N.B.) (Criminal) (By Leave)</w:t>
            </w:r>
          </w:p>
          <w:p w:rsidR="005056F0" w:rsidRPr="00353B4A" w:rsidRDefault="005056F0" w:rsidP="005056F0">
            <w:pPr>
              <w:rPr>
                <w:rFonts w:cs="Times New Roman"/>
                <w:sz w:val="20"/>
                <w:szCs w:val="20"/>
              </w:rPr>
            </w:pPr>
          </w:p>
        </w:tc>
      </w:tr>
      <w:tr w:rsidR="005056F0" w:rsidRPr="00353B4A" w:rsidTr="005056F0">
        <w:trPr>
          <w:cantSplit/>
        </w:trPr>
        <w:tc>
          <w:tcPr>
            <w:tcW w:w="1458" w:type="dxa"/>
          </w:tcPr>
          <w:p w:rsidR="005056F0" w:rsidRPr="00353B4A" w:rsidRDefault="005056F0" w:rsidP="005056F0">
            <w:pPr>
              <w:rPr>
                <w:rFonts w:cs="Times New Roman"/>
                <w:sz w:val="20"/>
                <w:szCs w:val="20"/>
              </w:rPr>
            </w:pPr>
            <w:r w:rsidRPr="00353B4A">
              <w:rPr>
                <w:rFonts w:cs="Times New Roman"/>
                <w:sz w:val="20"/>
                <w:szCs w:val="20"/>
              </w:rPr>
              <w:t>Coram :</w:t>
            </w:r>
          </w:p>
        </w:tc>
        <w:tc>
          <w:tcPr>
            <w:tcW w:w="8118" w:type="dxa"/>
          </w:tcPr>
          <w:p w:rsidR="005056F0" w:rsidRPr="00353B4A" w:rsidRDefault="005056F0" w:rsidP="005056F0">
            <w:pPr>
              <w:rPr>
                <w:rFonts w:cs="Times New Roman"/>
                <w:sz w:val="20"/>
                <w:szCs w:val="20"/>
              </w:rPr>
            </w:pPr>
            <w:r w:rsidRPr="00353B4A">
              <w:rPr>
                <w:rStyle w:val="SCCCoramChar"/>
                <w:rFonts w:cs="Times New Roman"/>
                <w:sz w:val="20"/>
                <w:szCs w:val="20"/>
                <w:lang w:val="en-CA"/>
              </w:rPr>
              <w:t>Deschamps, Fish and Karakatsanis JJ.</w:t>
            </w:r>
          </w:p>
          <w:p w:rsidR="005056F0" w:rsidRPr="00353B4A" w:rsidRDefault="005056F0" w:rsidP="005056F0">
            <w:pPr>
              <w:rPr>
                <w:rFonts w:cs="Times New Roman"/>
                <w:sz w:val="20"/>
                <w:szCs w:val="20"/>
                <w:u w:val="single"/>
              </w:rPr>
            </w:pPr>
          </w:p>
        </w:tc>
      </w:tr>
      <w:tr w:rsidR="005056F0" w:rsidRPr="00257CA3" w:rsidTr="005056F0">
        <w:trPr>
          <w:cantSplit/>
        </w:trPr>
        <w:tc>
          <w:tcPr>
            <w:tcW w:w="9576" w:type="dxa"/>
            <w:gridSpan w:val="2"/>
          </w:tcPr>
          <w:p w:rsidR="005056F0" w:rsidRPr="00353B4A" w:rsidRDefault="005056F0" w:rsidP="005056F0">
            <w:pPr>
              <w:pStyle w:val="SCCShortJudgment"/>
              <w:rPr>
                <w:rFonts w:cs="Times New Roman"/>
                <w:szCs w:val="20"/>
              </w:rPr>
            </w:pPr>
            <w:r w:rsidRPr="00353B4A">
              <w:rPr>
                <w:rFonts w:cs="Times New Roman"/>
                <w:szCs w:val="20"/>
              </w:rPr>
              <w:t>The motions to hold the application for leave to appeal in abeyance and for a stay of execution are moot. The application for leave to appeal from the judgment of the Court of Appeal of New Brunswick, Number 112-10-CA, 2011 NBCA 112, dated May 17, 2012, is dismissed without costs.</w:t>
            </w:r>
          </w:p>
          <w:p w:rsidR="005056F0" w:rsidRPr="00353B4A" w:rsidRDefault="005056F0" w:rsidP="005056F0">
            <w:pPr>
              <w:pStyle w:val="SCCShortJudgment"/>
              <w:ind w:firstLine="0"/>
              <w:rPr>
                <w:rFonts w:cs="Times New Roman"/>
                <w:szCs w:val="20"/>
              </w:rPr>
            </w:pPr>
          </w:p>
          <w:p w:rsidR="005056F0" w:rsidRPr="00353B4A" w:rsidRDefault="005056F0" w:rsidP="005056F0">
            <w:pPr>
              <w:pStyle w:val="SCCShortJudgment"/>
              <w:rPr>
                <w:rFonts w:cs="Times New Roman"/>
                <w:szCs w:val="20"/>
                <w:lang w:val="fr-CA"/>
              </w:rPr>
            </w:pPr>
            <w:r w:rsidRPr="00353B4A">
              <w:rPr>
                <w:rFonts w:cs="Times New Roman"/>
                <w:szCs w:val="20"/>
                <w:lang w:val="fr-CA"/>
              </w:rPr>
              <w:t>Les requêtes en vue de faire suspendre la demande d’autorisation d’appel et pour solliciter le sursis à l’exécution sont sans objet. La demande d’autorisation d’appel de l’arrêt de la Cour d’appel du Nouveau-Brunswick, numéro 112-10-CA, 2011 NBCA 112, daté du 17 mai 2012, est rejetée sans dépens.</w:t>
            </w:r>
          </w:p>
        </w:tc>
      </w:tr>
    </w:tbl>
    <w:p w:rsidR="00106515" w:rsidRPr="005056F0" w:rsidRDefault="00106515" w:rsidP="008D292F">
      <w:pPr>
        <w:rPr>
          <w:sz w:val="20"/>
          <w:szCs w:val="20"/>
          <w:lang w:val="fr-CA"/>
        </w:rPr>
      </w:pPr>
    </w:p>
    <w:p w:rsidR="009414B2" w:rsidRPr="00257CA3" w:rsidRDefault="009414B2">
      <w:pPr>
        <w:rPr>
          <w:sz w:val="20"/>
          <w:szCs w:val="20"/>
          <w:u w:val="single"/>
          <w:lang w:val="fr-CA"/>
        </w:rPr>
      </w:pPr>
      <w:r w:rsidRPr="00257CA3">
        <w:rPr>
          <w:sz w:val="20"/>
          <w:szCs w:val="20"/>
          <w:u w:val="single"/>
          <w:lang w:val="fr-CA"/>
        </w:rPr>
        <w:br w:type="page"/>
      </w:r>
    </w:p>
    <w:p w:rsidR="00106515" w:rsidRPr="001B157C" w:rsidRDefault="00106515" w:rsidP="00106515">
      <w:pPr>
        <w:rPr>
          <w:sz w:val="20"/>
          <w:szCs w:val="20"/>
          <w:u w:val="single"/>
        </w:rPr>
      </w:pPr>
      <w:r w:rsidRPr="001B157C">
        <w:rPr>
          <w:sz w:val="20"/>
          <w:szCs w:val="20"/>
          <w:u w:val="single"/>
        </w:rPr>
        <w:lastRenderedPageBreak/>
        <w:t>CASE SUMMARY</w:t>
      </w:r>
    </w:p>
    <w:p w:rsidR="00106515" w:rsidRDefault="00106515" w:rsidP="0010651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6940" w:rsidRPr="006D31D9" w:rsidTr="00016940">
        <w:tc>
          <w:tcPr>
            <w:tcW w:w="5000" w:type="pct"/>
            <w:gridSpan w:val="3"/>
          </w:tcPr>
          <w:p w:rsidR="00016940" w:rsidRPr="006D31D9" w:rsidRDefault="00016940" w:rsidP="00016940">
            <w:pPr>
              <w:jc w:val="both"/>
              <w:rPr>
                <w:rFonts w:eastAsia="Calibri"/>
                <w:color w:val="000000"/>
                <w:sz w:val="20"/>
                <w:szCs w:val="20"/>
              </w:rPr>
            </w:pPr>
            <w:r w:rsidRPr="006D31D9">
              <w:rPr>
                <w:rFonts w:eastAsia="Calibri"/>
                <w:iCs/>
                <w:color w:val="000000"/>
                <w:sz w:val="20"/>
                <w:szCs w:val="20"/>
              </w:rPr>
              <w:t xml:space="preserve">Criminal law — Sentencing — </w:t>
            </w:r>
            <w:r w:rsidRPr="006D31D9">
              <w:rPr>
                <w:rFonts w:eastAsia="Calibri"/>
                <w:i/>
                <w:iCs/>
                <w:color w:val="000000"/>
                <w:sz w:val="20"/>
                <w:szCs w:val="20"/>
              </w:rPr>
              <w:t>Criminal Code</w:t>
            </w:r>
            <w:r w:rsidRPr="006D31D9">
              <w:rPr>
                <w:rFonts w:eastAsia="Calibri"/>
                <w:iCs/>
                <w:color w:val="000000"/>
                <w:sz w:val="20"/>
                <w:szCs w:val="20"/>
              </w:rPr>
              <w:t xml:space="preserve"> offences — Offences against rights of property —  Break and enter a dwelling-house — Particular sanctions — Imprisonment — Fines — Sentencing considerations — Maximum or minimum sentence available — Application by Crown to correct decision granting Crown's cross-appeal in part from sentences imposed for two break and enter convictions allowed— Term of imprisonment on default of payment of $19,400 fine was reduced to nine months' imprisonment from 20 months to reflect court's intention to impose a term of imprisonment at midpoint between minimum and maximum prescribed sentence - </w:t>
            </w:r>
            <w:r w:rsidRPr="006D31D9">
              <w:rPr>
                <w:rFonts w:eastAsia="Calibri"/>
                <w:i/>
                <w:color w:val="000000"/>
                <w:sz w:val="20"/>
                <w:szCs w:val="20"/>
              </w:rPr>
              <w:t>Criminal Code</w:t>
            </w:r>
            <w:r w:rsidRPr="006D31D9">
              <w:rPr>
                <w:rFonts w:eastAsia="Calibri"/>
                <w:color w:val="000000"/>
                <w:sz w:val="20"/>
                <w:szCs w:val="20"/>
              </w:rPr>
              <w:t>, ss. 462.37(4)(a)(ii), 462.37(4)(a)(vi)</w:t>
            </w:r>
          </w:p>
          <w:p w:rsidR="00016940" w:rsidRPr="006D31D9" w:rsidRDefault="00016940" w:rsidP="00016940">
            <w:pPr>
              <w:jc w:val="both"/>
              <w:rPr>
                <w:rFonts w:eastAsia="Calibri"/>
                <w:color w:val="000000"/>
                <w:sz w:val="20"/>
                <w:szCs w:val="20"/>
              </w:rPr>
            </w:pPr>
          </w:p>
        </w:tc>
      </w:tr>
      <w:tr w:rsidR="00016940" w:rsidRPr="006D31D9" w:rsidTr="00016940">
        <w:tc>
          <w:tcPr>
            <w:tcW w:w="5000" w:type="pct"/>
            <w:gridSpan w:val="3"/>
          </w:tcPr>
          <w:p w:rsidR="00016940" w:rsidRPr="006D31D9" w:rsidRDefault="00016940" w:rsidP="00016940">
            <w:pPr>
              <w:jc w:val="both"/>
              <w:rPr>
                <w:rFonts w:eastAsia="Calibri"/>
                <w:color w:val="000000"/>
                <w:sz w:val="20"/>
                <w:szCs w:val="20"/>
              </w:rPr>
            </w:pPr>
            <w:r w:rsidRPr="006D31D9">
              <w:rPr>
                <w:rFonts w:eastAsia="Calibri"/>
                <w:color w:val="000000"/>
                <w:sz w:val="20"/>
                <w:szCs w:val="20"/>
              </w:rPr>
              <w:t xml:space="preserve">The accused, who possessed a lengthy criminal record, broke into two homes to steal safes that were inside. Both safes contained significant amounts of cash. At the time of trial, the accused had squandered all of the $19,500 contained in the first safe. $475,000 was recovered from the second safe and the judge ordered this amount to be returned to the owner. The accused argued that the sentence was excessive. The Crown argued that the sentence imposed was too lenient and that the trial judge erred in dismissing the Crown's application for the imposition of fines instead of forfeiture on the ground that the cash the accused stole was not his property but rather that of the victims. At trial, a global sentence of seven years and eight months' imprisonment was imposed for break and enter and theft and breach of undertaking. The Crown's application for the imposition of fines instead of forfeiture pursuant to s. 462.37(3) was dismissed. </w:t>
            </w:r>
          </w:p>
          <w:p w:rsidR="00016940" w:rsidRPr="006D31D9" w:rsidRDefault="00016940" w:rsidP="00016940">
            <w:pPr>
              <w:jc w:val="both"/>
              <w:rPr>
                <w:rFonts w:eastAsia="Calibri"/>
                <w:sz w:val="20"/>
                <w:szCs w:val="20"/>
              </w:rPr>
            </w:pPr>
          </w:p>
        </w:tc>
      </w:tr>
      <w:tr w:rsidR="00016940" w:rsidRPr="006D31D9" w:rsidTr="00016940">
        <w:tc>
          <w:tcPr>
            <w:tcW w:w="2427" w:type="pct"/>
          </w:tcPr>
          <w:p w:rsidR="00016940" w:rsidRPr="006D31D9" w:rsidRDefault="00016940" w:rsidP="00016940">
            <w:pPr>
              <w:jc w:val="both"/>
              <w:rPr>
                <w:rFonts w:eastAsia="Calibri"/>
                <w:sz w:val="20"/>
                <w:szCs w:val="20"/>
              </w:rPr>
            </w:pPr>
            <w:r w:rsidRPr="006D31D9">
              <w:rPr>
                <w:rFonts w:eastAsia="Calibri"/>
                <w:sz w:val="20"/>
                <w:szCs w:val="20"/>
              </w:rPr>
              <w:t>August 10, 2010</w:t>
            </w:r>
          </w:p>
          <w:p w:rsidR="00016940" w:rsidRPr="006D31D9" w:rsidRDefault="00016940" w:rsidP="00016940">
            <w:pPr>
              <w:jc w:val="both"/>
              <w:rPr>
                <w:rFonts w:eastAsia="Calibri"/>
                <w:sz w:val="20"/>
                <w:szCs w:val="20"/>
              </w:rPr>
            </w:pPr>
            <w:r w:rsidRPr="006D31D9">
              <w:rPr>
                <w:rFonts w:eastAsia="Calibri"/>
                <w:sz w:val="20"/>
                <w:szCs w:val="20"/>
              </w:rPr>
              <w:t>Court of Queen’s Bench of New Brunswick</w:t>
            </w:r>
          </w:p>
          <w:p w:rsidR="00016940" w:rsidRPr="006D31D9" w:rsidRDefault="00016940" w:rsidP="00016940">
            <w:pPr>
              <w:jc w:val="both"/>
              <w:rPr>
                <w:rFonts w:eastAsia="Calibri"/>
                <w:sz w:val="20"/>
                <w:szCs w:val="20"/>
              </w:rPr>
            </w:pPr>
            <w:r w:rsidRPr="006D31D9">
              <w:rPr>
                <w:rFonts w:eastAsia="Calibri"/>
                <w:sz w:val="20"/>
                <w:szCs w:val="20"/>
              </w:rPr>
              <w:t>(Ouellette J.)</w:t>
            </w:r>
          </w:p>
          <w:p w:rsidR="00016940" w:rsidRPr="006D31D9" w:rsidRDefault="00016940" w:rsidP="00016940">
            <w:pPr>
              <w:jc w:val="both"/>
              <w:rPr>
                <w:rFonts w:eastAsia="Calibri"/>
                <w:sz w:val="20"/>
                <w:szCs w:val="20"/>
              </w:rPr>
            </w:pPr>
          </w:p>
        </w:tc>
        <w:tc>
          <w:tcPr>
            <w:tcW w:w="243" w:type="pct"/>
          </w:tcPr>
          <w:p w:rsidR="00016940" w:rsidRPr="006D31D9" w:rsidRDefault="00016940" w:rsidP="00016940">
            <w:pPr>
              <w:jc w:val="both"/>
              <w:rPr>
                <w:rFonts w:eastAsia="Calibri"/>
                <w:sz w:val="20"/>
                <w:szCs w:val="20"/>
              </w:rPr>
            </w:pPr>
          </w:p>
        </w:tc>
        <w:tc>
          <w:tcPr>
            <w:tcW w:w="2330" w:type="pct"/>
          </w:tcPr>
          <w:p w:rsidR="00016940" w:rsidRPr="006D31D9" w:rsidRDefault="00016940" w:rsidP="00016940">
            <w:pPr>
              <w:jc w:val="both"/>
              <w:rPr>
                <w:rFonts w:eastAsia="Calibri"/>
                <w:sz w:val="20"/>
                <w:szCs w:val="20"/>
              </w:rPr>
            </w:pPr>
            <w:r w:rsidRPr="006D31D9">
              <w:rPr>
                <w:rFonts w:eastAsia="Calibri"/>
                <w:sz w:val="20"/>
                <w:szCs w:val="20"/>
              </w:rPr>
              <w:t xml:space="preserve">Sentence: </w:t>
            </w:r>
            <w:r w:rsidRPr="006D31D9">
              <w:rPr>
                <w:rFonts w:eastAsia="Calibri"/>
                <w:color w:val="000000"/>
                <w:sz w:val="20"/>
                <w:szCs w:val="20"/>
              </w:rPr>
              <w:t>global sentence of seven years and eight months' imprisonment imposed for break and enter and theft and breach of undertaking under s. 348(1)(</w:t>
            </w:r>
            <w:r w:rsidRPr="006D31D9">
              <w:rPr>
                <w:rFonts w:eastAsia="Calibri"/>
                <w:i/>
                <w:iCs/>
                <w:color w:val="000000"/>
                <w:sz w:val="20"/>
                <w:szCs w:val="20"/>
              </w:rPr>
              <w:t>b</w:t>
            </w:r>
            <w:r w:rsidRPr="006D31D9">
              <w:rPr>
                <w:rFonts w:eastAsia="Calibri"/>
                <w:color w:val="000000"/>
                <w:sz w:val="20"/>
                <w:szCs w:val="20"/>
              </w:rPr>
              <w:t>) (break, enter and theft): Crown's application for the imposition of fines instead of forfeiture pursuant to s. 462.37(3) dismissed.</w:t>
            </w:r>
          </w:p>
          <w:p w:rsidR="00016940" w:rsidRPr="006D31D9" w:rsidRDefault="00016940" w:rsidP="00016940">
            <w:pPr>
              <w:jc w:val="both"/>
              <w:rPr>
                <w:rFonts w:eastAsia="Calibri"/>
                <w:sz w:val="20"/>
                <w:szCs w:val="20"/>
              </w:rPr>
            </w:pPr>
          </w:p>
        </w:tc>
      </w:tr>
      <w:tr w:rsidR="00016940" w:rsidRPr="006D31D9" w:rsidTr="00016940">
        <w:tc>
          <w:tcPr>
            <w:tcW w:w="2427" w:type="pct"/>
          </w:tcPr>
          <w:p w:rsidR="00016940" w:rsidRPr="006D31D9" w:rsidRDefault="00016940" w:rsidP="00016940">
            <w:pPr>
              <w:jc w:val="both"/>
              <w:rPr>
                <w:rFonts w:eastAsia="Calibri"/>
                <w:sz w:val="20"/>
                <w:szCs w:val="20"/>
              </w:rPr>
            </w:pPr>
            <w:r w:rsidRPr="006D31D9">
              <w:rPr>
                <w:rFonts w:eastAsia="Calibri"/>
                <w:sz w:val="20"/>
                <w:szCs w:val="20"/>
              </w:rPr>
              <w:t>December 15, 2011</w:t>
            </w:r>
          </w:p>
          <w:p w:rsidR="00016940" w:rsidRPr="006D31D9" w:rsidRDefault="00016940" w:rsidP="00016940">
            <w:pPr>
              <w:jc w:val="both"/>
              <w:rPr>
                <w:rFonts w:eastAsia="Calibri"/>
                <w:sz w:val="20"/>
                <w:szCs w:val="20"/>
              </w:rPr>
            </w:pPr>
            <w:r w:rsidRPr="006D31D9">
              <w:rPr>
                <w:rFonts w:eastAsia="Calibri"/>
                <w:sz w:val="20"/>
                <w:szCs w:val="20"/>
              </w:rPr>
              <w:t>Court of Appeal of New Brunswick</w:t>
            </w:r>
          </w:p>
          <w:p w:rsidR="00016940" w:rsidRPr="006D31D9" w:rsidRDefault="00016940" w:rsidP="00016940">
            <w:pPr>
              <w:jc w:val="both"/>
              <w:rPr>
                <w:rFonts w:eastAsia="Calibri"/>
                <w:sz w:val="20"/>
                <w:szCs w:val="20"/>
              </w:rPr>
            </w:pPr>
            <w:r w:rsidRPr="006D31D9">
              <w:rPr>
                <w:rFonts w:eastAsia="Calibri"/>
                <w:sz w:val="20"/>
                <w:szCs w:val="20"/>
              </w:rPr>
              <w:t>(Drapeau C.J.N.B., Deschênes and Quigg JJ.A.)</w:t>
            </w:r>
          </w:p>
          <w:p w:rsidR="00016940" w:rsidRPr="006D31D9" w:rsidRDefault="00016940" w:rsidP="00016940">
            <w:pPr>
              <w:jc w:val="both"/>
              <w:rPr>
                <w:rFonts w:eastAsia="Calibri"/>
                <w:sz w:val="20"/>
                <w:szCs w:val="20"/>
              </w:rPr>
            </w:pPr>
          </w:p>
        </w:tc>
        <w:tc>
          <w:tcPr>
            <w:tcW w:w="243" w:type="pct"/>
          </w:tcPr>
          <w:p w:rsidR="00016940" w:rsidRPr="006D31D9" w:rsidRDefault="00016940" w:rsidP="00016940">
            <w:pPr>
              <w:jc w:val="both"/>
              <w:rPr>
                <w:rFonts w:eastAsia="Calibri"/>
                <w:sz w:val="20"/>
                <w:szCs w:val="20"/>
              </w:rPr>
            </w:pPr>
          </w:p>
        </w:tc>
        <w:tc>
          <w:tcPr>
            <w:tcW w:w="2330" w:type="pct"/>
          </w:tcPr>
          <w:p w:rsidR="00016940" w:rsidRPr="006D31D9" w:rsidRDefault="00016940" w:rsidP="00016940">
            <w:pPr>
              <w:jc w:val="both"/>
              <w:rPr>
                <w:rFonts w:eastAsia="Calibri"/>
                <w:sz w:val="20"/>
                <w:szCs w:val="20"/>
              </w:rPr>
            </w:pPr>
            <w:r w:rsidRPr="006D31D9">
              <w:rPr>
                <w:rFonts w:eastAsia="Calibri"/>
                <w:iCs/>
                <w:color w:val="000000"/>
                <w:sz w:val="20"/>
                <w:szCs w:val="20"/>
              </w:rPr>
              <w:t>Appeal by accused from global sentence of seven years and eight months' imprisonment for break and enter and theft and breach of undertaking dismissed. Cross-appeal by Crown allowed in part:</w:t>
            </w:r>
            <w:r w:rsidRPr="006D31D9">
              <w:rPr>
                <w:rFonts w:eastAsia="Calibri"/>
                <w:color w:val="000000"/>
                <w:sz w:val="20"/>
                <w:szCs w:val="20"/>
              </w:rPr>
              <w:t xml:space="preserve"> sentence varied by deleting the forfeiture orders and ordering pursuant to ss. 462.37(3) and (4) of the </w:t>
            </w:r>
            <w:r w:rsidRPr="006D31D9">
              <w:rPr>
                <w:rFonts w:eastAsia="Calibri"/>
                <w:i/>
                <w:iCs/>
                <w:color w:val="000000"/>
                <w:sz w:val="20"/>
                <w:szCs w:val="20"/>
              </w:rPr>
              <w:t>Criminal Code</w:t>
            </w:r>
            <w:r w:rsidRPr="006D31D9">
              <w:rPr>
                <w:rFonts w:eastAsia="Calibri"/>
                <w:color w:val="000000"/>
                <w:sz w:val="20"/>
                <w:szCs w:val="20"/>
              </w:rPr>
              <w:t>,  the accused to pay fines of $19,500 and $475,000 or, in default, serving 20 months' or four years' imprisonment, respectively.</w:t>
            </w:r>
          </w:p>
          <w:p w:rsidR="00016940" w:rsidRPr="006D31D9" w:rsidRDefault="00016940" w:rsidP="00016940">
            <w:pPr>
              <w:jc w:val="both"/>
              <w:rPr>
                <w:rFonts w:eastAsia="Calibri"/>
                <w:sz w:val="20"/>
                <w:szCs w:val="20"/>
              </w:rPr>
            </w:pPr>
          </w:p>
        </w:tc>
      </w:tr>
      <w:tr w:rsidR="00016940" w:rsidRPr="006D31D9" w:rsidTr="00016940">
        <w:tc>
          <w:tcPr>
            <w:tcW w:w="2427" w:type="pct"/>
          </w:tcPr>
          <w:p w:rsidR="00016940" w:rsidRPr="006D31D9" w:rsidRDefault="00016940" w:rsidP="00016940">
            <w:pPr>
              <w:jc w:val="both"/>
              <w:rPr>
                <w:rFonts w:eastAsia="Calibri"/>
                <w:sz w:val="20"/>
                <w:szCs w:val="20"/>
              </w:rPr>
            </w:pPr>
            <w:r w:rsidRPr="006D31D9">
              <w:rPr>
                <w:rFonts w:eastAsia="Calibri"/>
                <w:sz w:val="20"/>
                <w:szCs w:val="20"/>
              </w:rPr>
              <w:t>January 9, 2012</w:t>
            </w:r>
          </w:p>
          <w:p w:rsidR="00016940" w:rsidRPr="006D31D9" w:rsidRDefault="00016940" w:rsidP="00016940">
            <w:pPr>
              <w:jc w:val="both"/>
              <w:rPr>
                <w:rFonts w:eastAsia="Calibri"/>
                <w:sz w:val="20"/>
                <w:szCs w:val="20"/>
              </w:rPr>
            </w:pPr>
            <w:r w:rsidRPr="006D31D9">
              <w:rPr>
                <w:rFonts w:eastAsia="Calibri"/>
                <w:sz w:val="20"/>
                <w:szCs w:val="20"/>
              </w:rPr>
              <w:t>Supreme Court of Canada</w:t>
            </w:r>
          </w:p>
          <w:p w:rsidR="00016940" w:rsidRPr="006D31D9" w:rsidRDefault="00016940" w:rsidP="00016940">
            <w:pPr>
              <w:jc w:val="both"/>
              <w:rPr>
                <w:rFonts w:eastAsia="Calibri"/>
                <w:sz w:val="20"/>
                <w:szCs w:val="20"/>
              </w:rPr>
            </w:pPr>
          </w:p>
        </w:tc>
        <w:tc>
          <w:tcPr>
            <w:tcW w:w="243" w:type="pct"/>
          </w:tcPr>
          <w:p w:rsidR="00016940" w:rsidRPr="006D31D9" w:rsidRDefault="00016940" w:rsidP="00016940">
            <w:pPr>
              <w:jc w:val="both"/>
              <w:rPr>
                <w:rFonts w:eastAsia="Calibri"/>
                <w:sz w:val="20"/>
                <w:szCs w:val="20"/>
              </w:rPr>
            </w:pPr>
          </w:p>
        </w:tc>
        <w:tc>
          <w:tcPr>
            <w:tcW w:w="2330" w:type="pct"/>
          </w:tcPr>
          <w:p w:rsidR="00016940" w:rsidRPr="006D31D9" w:rsidRDefault="00016940" w:rsidP="00016940">
            <w:pPr>
              <w:jc w:val="both"/>
              <w:rPr>
                <w:rFonts w:eastAsia="Calibri"/>
                <w:sz w:val="20"/>
                <w:szCs w:val="20"/>
              </w:rPr>
            </w:pPr>
            <w:r w:rsidRPr="006D31D9">
              <w:rPr>
                <w:rFonts w:eastAsia="Calibri"/>
                <w:sz w:val="20"/>
                <w:szCs w:val="20"/>
              </w:rPr>
              <w:t>Application for leave to appeal filed</w:t>
            </w:r>
          </w:p>
          <w:p w:rsidR="00016940" w:rsidRPr="006D31D9" w:rsidRDefault="00016940" w:rsidP="00016940">
            <w:pPr>
              <w:jc w:val="both"/>
              <w:rPr>
                <w:rFonts w:eastAsia="Calibri"/>
                <w:sz w:val="20"/>
                <w:szCs w:val="20"/>
              </w:rPr>
            </w:pPr>
          </w:p>
        </w:tc>
      </w:tr>
      <w:tr w:rsidR="00016940" w:rsidRPr="006D31D9" w:rsidTr="00016940">
        <w:tc>
          <w:tcPr>
            <w:tcW w:w="2427" w:type="pct"/>
          </w:tcPr>
          <w:p w:rsidR="00016940" w:rsidRPr="006D31D9" w:rsidRDefault="00016940" w:rsidP="00016940">
            <w:pPr>
              <w:jc w:val="both"/>
              <w:rPr>
                <w:rFonts w:eastAsia="Calibri"/>
                <w:sz w:val="20"/>
                <w:szCs w:val="20"/>
              </w:rPr>
            </w:pPr>
            <w:r w:rsidRPr="006D31D9">
              <w:rPr>
                <w:rFonts w:eastAsia="Calibri"/>
                <w:sz w:val="20"/>
                <w:szCs w:val="20"/>
              </w:rPr>
              <w:t>March 6, 2012</w:t>
            </w:r>
          </w:p>
          <w:p w:rsidR="00016940" w:rsidRPr="006D31D9" w:rsidRDefault="00016940" w:rsidP="00016940">
            <w:pPr>
              <w:jc w:val="both"/>
              <w:rPr>
                <w:rFonts w:eastAsia="Calibri"/>
                <w:sz w:val="20"/>
                <w:szCs w:val="20"/>
              </w:rPr>
            </w:pPr>
            <w:r w:rsidRPr="006D31D9">
              <w:rPr>
                <w:rFonts w:eastAsia="Calibri"/>
                <w:sz w:val="20"/>
                <w:szCs w:val="20"/>
              </w:rPr>
              <w:t>Supreme Court of Canada</w:t>
            </w:r>
          </w:p>
          <w:p w:rsidR="00016940" w:rsidRPr="006D31D9" w:rsidRDefault="00016940" w:rsidP="00016940">
            <w:pPr>
              <w:jc w:val="both"/>
              <w:rPr>
                <w:rFonts w:eastAsia="Calibri"/>
                <w:sz w:val="20"/>
                <w:szCs w:val="20"/>
              </w:rPr>
            </w:pPr>
          </w:p>
        </w:tc>
        <w:tc>
          <w:tcPr>
            <w:tcW w:w="243" w:type="pct"/>
          </w:tcPr>
          <w:p w:rsidR="00016940" w:rsidRPr="006D31D9" w:rsidRDefault="00016940" w:rsidP="00016940">
            <w:pPr>
              <w:jc w:val="both"/>
              <w:rPr>
                <w:rFonts w:eastAsia="Calibri"/>
                <w:sz w:val="20"/>
                <w:szCs w:val="20"/>
              </w:rPr>
            </w:pPr>
          </w:p>
        </w:tc>
        <w:tc>
          <w:tcPr>
            <w:tcW w:w="2330" w:type="pct"/>
          </w:tcPr>
          <w:p w:rsidR="00016940" w:rsidRPr="006D31D9" w:rsidRDefault="00016940" w:rsidP="00016940">
            <w:pPr>
              <w:jc w:val="both"/>
              <w:rPr>
                <w:rFonts w:eastAsia="Calibri"/>
                <w:sz w:val="20"/>
                <w:szCs w:val="20"/>
              </w:rPr>
            </w:pPr>
            <w:r w:rsidRPr="006D31D9">
              <w:rPr>
                <w:rFonts w:eastAsia="Calibri"/>
                <w:sz w:val="20"/>
                <w:szCs w:val="20"/>
              </w:rPr>
              <w:t>Miscellaneous motion, to hold application for leave to appeal in abeyance, filed</w:t>
            </w:r>
          </w:p>
        </w:tc>
      </w:tr>
      <w:tr w:rsidR="00016940" w:rsidRPr="006D31D9" w:rsidTr="00016940">
        <w:trPr>
          <w:cantSplit/>
        </w:trPr>
        <w:tc>
          <w:tcPr>
            <w:tcW w:w="2427" w:type="pct"/>
          </w:tcPr>
          <w:p w:rsidR="00016940" w:rsidRPr="006D31D9" w:rsidRDefault="00016940" w:rsidP="00016940">
            <w:pPr>
              <w:jc w:val="both"/>
              <w:rPr>
                <w:rFonts w:eastAsia="Calibri"/>
                <w:sz w:val="20"/>
                <w:szCs w:val="20"/>
              </w:rPr>
            </w:pPr>
            <w:r w:rsidRPr="006D31D9">
              <w:rPr>
                <w:rFonts w:eastAsia="Calibri"/>
                <w:sz w:val="20"/>
                <w:szCs w:val="20"/>
              </w:rPr>
              <w:lastRenderedPageBreak/>
              <w:t>May 17, 2012</w:t>
            </w:r>
          </w:p>
          <w:p w:rsidR="00016940" w:rsidRPr="006D31D9" w:rsidRDefault="00016940" w:rsidP="00016940">
            <w:pPr>
              <w:jc w:val="both"/>
              <w:rPr>
                <w:rFonts w:eastAsia="Calibri"/>
                <w:sz w:val="20"/>
                <w:szCs w:val="20"/>
              </w:rPr>
            </w:pPr>
            <w:r w:rsidRPr="006D31D9">
              <w:rPr>
                <w:rFonts w:eastAsia="Calibri"/>
                <w:sz w:val="20"/>
                <w:szCs w:val="20"/>
              </w:rPr>
              <w:t>Court of Appeal of New Brunswick</w:t>
            </w:r>
          </w:p>
          <w:p w:rsidR="00016940" w:rsidRPr="006D31D9" w:rsidRDefault="00016940" w:rsidP="00016940">
            <w:pPr>
              <w:jc w:val="both"/>
              <w:rPr>
                <w:rFonts w:eastAsia="Calibri"/>
                <w:sz w:val="20"/>
                <w:szCs w:val="20"/>
                <w:lang w:val="fr-CA"/>
              </w:rPr>
            </w:pPr>
            <w:r w:rsidRPr="006D31D9">
              <w:rPr>
                <w:rFonts w:eastAsia="Calibri"/>
                <w:sz w:val="20"/>
                <w:szCs w:val="20"/>
                <w:lang w:val="fr-CA"/>
              </w:rPr>
              <w:t>(Drapeau, Deschênes and Quigg JJ.A.)</w:t>
            </w:r>
          </w:p>
          <w:p w:rsidR="00016940" w:rsidRPr="006D31D9" w:rsidRDefault="00016940" w:rsidP="00016940">
            <w:pPr>
              <w:jc w:val="both"/>
              <w:rPr>
                <w:rFonts w:eastAsia="Calibri"/>
                <w:sz w:val="20"/>
                <w:szCs w:val="20"/>
              </w:rPr>
            </w:pPr>
            <w:r w:rsidRPr="006D31D9">
              <w:rPr>
                <w:rFonts w:eastAsia="Calibri"/>
                <w:sz w:val="20"/>
                <w:szCs w:val="20"/>
              </w:rPr>
              <w:t>2012 N.B.J. 175</w:t>
            </w:r>
          </w:p>
          <w:p w:rsidR="00016940" w:rsidRPr="006D31D9" w:rsidRDefault="00016940" w:rsidP="00016940">
            <w:pPr>
              <w:jc w:val="both"/>
              <w:rPr>
                <w:rFonts w:eastAsia="Calibri"/>
                <w:sz w:val="20"/>
                <w:szCs w:val="20"/>
              </w:rPr>
            </w:pPr>
          </w:p>
        </w:tc>
        <w:tc>
          <w:tcPr>
            <w:tcW w:w="243" w:type="pct"/>
          </w:tcPr>
          <w:p w:rsidR="00016940" w:rsidRPr="006D31D9" w:rsidRDefault="00016940" w:rsidP="00016940">
            <w:pPr>
              <w:jc w:val="both"/>
              <w:rPr>
                <w:rFonts w:eastAsia="Calibri"/>
                <w:sz w:val="20"/>
                <w:szCs w:val="20"/>
              </w:rPr>
            </w:pPr>
          </w:p>
        </w:tc>
        <w:tc>
          <w:tcPr>
            <w:tcW w:w="2330" w:type="pct"/>
          </w:tcPr>
          <w:p w:rsidR="00016940" w:rsidRPr="006D31D9" w:rsidRDefault="00016940" w:rsidP="00016940">
            <w:pPr>
              <w:jc w:val="both"/>
              <w:rPr>
                <w:rFonts w:eastAsia="Calibri"/>
                <w:sz w:val="20"/>
                <w:szCs w:val="20"/>
              </w:rPr>
            </w:pPr>
            <w:r w:rsidRPr="006D31D9">
              <w:rPr>
                <w:rFonts w:eastAsia="Calibri"/>
                <w:color w:val="000000"/>
                <w:sz w:val="20"/>
                <w:szCs w:val="20"/>
              </w:rPr>
              <w:t>Crown application to correct decision granting the Crown's cross-appeal in part from sentences imposed for two break and enter convictions allowed and fine of $19,400 and nine months' imprisonment on default for first break and enter; fine of $475,000 and four years' imprisonment on default for second break and enter substituted; Accused’s application to stay execution of the decision on cross-appeal pending determination of leave application to the Supreme Court of Canada allowed.</w:t>
            </w:r>
          </w:p>
        </w:tc>
      </w:tr>
    </w:tbl>
    <w:p w:rsidR="00106515" w:rsidRPr="00C50A5C" w:rsidRDefault="00106515" w:rsidP="00106515">
      <w:pPr>
        <w:rPr>
          <w:sz w:val="20"/>
          <w:szCs w:val="20"/>
        </w:rPr>
      </w:pPr>
    </w:p>
    <w:p w:rsidR="00106515" w:rsidRPr="00C50A5C" w:rsidRDefault="00755986" w:rsidP="00106515">
      <w:pPr>
        <w:rPr>
          <w:sz w:val="20"/>
          <w:szCs w:val="20"/>
        </w:rPr>
      </w:pPr>
      <w:r w:rsidRPr="00755986">
        <w:rPr>
          <w:sz w:val="20"/>
          <w:szCs w:val="20"/>
          <w:lang w:val="fr-CA"/>
        </w:rPr>
        <w:pict>
          <v:rect id="_x0000_i1036" style="width:2in;height:1pt" o:hrpct="0" o:hralign="center" o:hrstd="t" o:hrnoshade="t" o:hr="t" fillcolor="black [3213]" stroked="f"/>
        </w:pict>
      </w:r>
    </w:p>
    <w:p w:rsidR="00106515" w:rsidRDefault="00106515" w:rsidP="00106515">
      <w:pPr>
        <w:rPr>
          <w:sz w:val="20"/>
          <w:szCs w:val="20"/>
        </w:rPr>
      </w:pPr>
    </w:p>
    <w:p w:rsidR="00106515" w:rsidRPr="001B157C" w:rsidRDefault="00106515" w:rsidP="00106515">
      <w:pPr>
        <w:rPr>
          <w:sz w:val="20"/>
          <w:szCs w:val="20"/>
          <w:u w:val="single"/>
          <w:lang w:val="fr-CA"/>
        </w:rPr>
      </w:pPr>
      <w:r w:rsidRPr="001B157C">
        <w:rPr>
          <w:sz w:val="20"/>
          <w:szCs w:val="20"/>
          <w:u w:val="single"/>
          <w:lang w:val="fr-CA"/>
        </w:rPr>
        <w:t>RÉSUMÉ DE L’AFFAIRE</w:t>
      </w:r>
    </w:p>
    <w:p w:rsidR="00106515" w:rsidRDefault="00106515" w:rsidP="0010651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16940" w:rsidRPr="006D31D9" w:rsidTr="00016940">
        <w:tc>
          <w:tcPr>
            <w:tcW w:w="5000" w:type="pct"/>
            <w:gridSpan w:val="3"/>
          </w:tcPr>
          <w:p w:rsidR="00016940" w:rsidRPr="006D31D9" w:rsidRDefault="00016940" w:rsidP="00016940">
            <w:pPr>
              <w:ind w:right="251"/>
              <w:jc w:val="both"/>
              <w:rPr>
                <w:rFonts w:eastAsia="Calibri"/>
                <w:color w:val="000000"/>
                <w:sz w:val="20"/>
                <w:szCs w:val="20"/>
                <w:lang w:val="fr-CA"/>
              </w:rPr>
            </w:pPr>
            <w:r w:rsidRPr="006D31D9">
              <w:rPr>
                <w:rFonts w:eastAsia="Calibri"/>
                <w:iCs/>
                <w:color w:val="000000"/>
                <w:sz w:val="20"/>
                <w:szCs w:val="20"/>
                <w:lang w:val="fr-CA"/>
              </w:rPr>
              <w:t>Droit criminel — Détermination de la peine — Infractions au</w:t>
            </w:r>
            <w:r w:rsidRPr="006D31D9">
              <w:rPr>
                <w:rFonts w:eastAsia="Calibri"/>
                <w:i/>
                <w:iCs/>
                <w:color w:val="000000"/>
                <w:sz w:val="20"/>
                <w:szCs w:val="20"/>
                <w:lang w:val="fr-CA"/>
              </w:rPr>
              <w:t xml:space="preserve"> Code criminel </w:t>
            </w:r>
            <w:r w:rsidRPr="006D31D9">
              <w:rPr>
                <w:rFonts w:eastAsia="Calibri"/>
                <w:iCs/>
                <w:color w:val="000000"/>
                <w:sz w:val="20"/>
                <w:szCs w:val="20"/>
                <w:lang w:val="fr-CA"/>
              </w:rPr>
              <w:t>— Infractions contre les droits de propriété — Introduction par effraction dans une maison d'habitation — Sanctions particulières — Emprisonnement — Amendes — Considérations dans la détermination de la peine — Peine minimale ou maximale susceptible d'être imposée — Demande du ministère public en rectification de la décision accueillant en partie son appel reconventionnel des peines imposées pour deux introductions par effraction, accueillie — La peine d'emprisonnement imposée à défaut de paiement de l'amende de 19 400 $ a été réduite à une peine de neuf mois plutôt que de 20 mois pour refléter l'intention de la Cour d'imposer une peine d'emprisonnement dont la durée serait à mi-chemin entre les peines minimale et maximale prescrites -</w:t>
            </w:r>
            <w:r w:rsidRPr="006D31D9">
              <w:rPr>
                <w:rFonts w:eastAsia="Calibri"/>
                <w:i/>
                <w:color w:val="000000"/>
                <w:sz w:val="20"/>
                <w:szCs w:val="20"/>
                <w:lang w:val="fr-CA"/>
              </w:rPr>
              <w:t xml:space="preserve"> Code criminel</w:t>
            </w:r>
            <w:r w:rsidRPr="006D31D9">
              <w:rPr>
                <w:rFonts w:eastAsia="Calibri"/>
                <w:color w:val="000000"/>
                <w:sz w:val="20"/>
                <w:szCs w:val="20"/>
                <w:lang w:val="fr-CA"/>
              </w:rPr>
              <w:t>, sous-al. 462.37(4)</w:t>
            </w:r>
            <w:r w:rsidRPr="006D31D9">
              <w:rPr>
                <w:rFonts w:eastAsia="Calibri"/>
                <w:i/>
                <w:color w:val="000000"/>
                <w:sz w:val="20"/>
                <w:szCs w:val="20"/>
                <w:lang w:val="fr-CA"/>
              </w:rPr>
              <w:t>a</w:t>
            </w:r>
            <w:r w:rsidRPr="006D31D9">
              <w:rPr>
                <w:rFonts w:eastAsia="Calibri"/>
                <w:color w:val="000000"/>
                <w:sz w:val="20"/>
                <w:szCs w:val="20"/>
                <w:lang w:val="fr-CA"/>
              </w:rPr>
              <w:t>)(ii), 462.37(4)</w:t>
            </w:r>
            <w:r w:rsidRPr="006D31D9">
              <w:rPr>
                <w:rFonts w:eastAsia="Calibri"/>
                <w:i/>
                <w:color w:val="000000"/>
                <w:sz w:val="20"/>
                <w:szCs w:val="20"/>
                <w:lang w:val="fr-CA"/>
              </w:rPr>
              <w:t>a</w:t>
            </w:r>
            <w:r w:rsidRPr="006D31D9">
              <w:rPr>
                <w:rFonts w:eastAsia="Calibri"/>
                <w:color w:val="000000"/>
                <w:sz w:val="20"/>
                <w:szCs w:val="20"/>
                <w:lang w:val="fr-CA"/>
              </w:rPr>
              <w:t>)(vi)</w:t>
            </w:r>
          </w:p>
          <w:p w:rsidR="00016940" w:rsidRPr="006D31D9" w:rsidRDefault="00016940" w:rsidP="00016940">
            <w:pPr>
              <w:ind w:right="251"/>
              <w:jc w:val="both"/>
              <w:rPr>
                <w:rFonts w:eastAsia="Calibri"/>
                <w:color w:val="000000"/>
                <w:sz w:val="20"/>
                <w:szCs w:val="20"/>
                <w:lang w:val="fr-CA"/>
              </w:rPr>
            </w:pPr>
          </w:p>
        </w:tc>
      </w:tr>
      <w:tr w:rsidR="00016940" w:rsidRPr="00257CA3" w:rsidTr="00016940">
        <w:tc>
          <w:tcPr>
            <w:tcW w:w="5000" w:type="pct"/>
            <w:gridSpan w:val="3"/>
          </w:tcPr>
          <w:p w:rsidR="00016940" w:rsidRPr="006D31D9" w:rsidRDefault="00016940" w:rsidP="00016940">
            <w:pPr>
              <w:jc w:val="both"/>
              <w:rPr>
                <w:rFonts w:eastAsia="Calibri"/>
                <w:color w:val="000000"/>
                <w:sz w:val="20"/>
                <w:szCs w:val="20"/>
                <w:lang w:val="fr-CA"/>
              </w:rPr>
            </w:pPr>
            <w:r w:rsidRPr="006D31D9">
              <w:rPr>
                <w:rFonts w:eastAsia="Calibri"/>
                <w:color w:val="000000"/>
                <w:sz w:val="20"/>
                <w:szCs w:val="20"/>
                <w:lang w:val="fr-CA"/>
              </w:rPr>
              <w:t xml:space="preserve">L'accusé, qui possédait un lourd casier judiciaire, s'est introduit par effraction dans deux maisons pour y voler des coffres-forts. Les deux coffres-forts renfermaient d'importantes sommes d'argent. Au moment du procès, l'accusé avait dilapidé la totalité des 19 500 $ qui se trouvaient dans le premier coffre-fort. La somme de 475 000 $ a été recouvrée du deuxième coffre-fort et le juge a ordonné que ce montant soit restitué au propriétaire. L'accusé a plaidé que la peine était excessive. Le ministère public a plaidé que la peine imposée était trop clémente et que le juge du procès avait eu tort de rejeter sa demande d'imposer des amendes plutôt que d’ordonner la confiscation au motif que les sommes d'argent que l'accusé avait volées ne lui appartenait pas mais appartenaient plutôt aux victimes. Au procès, une peine globale de sept ans et huit mois d'emprisonnement a été imposée pour l'introduction par effraction, le vol et le manquement à un engagement. La demande du ministère public d'imposer des amendes plutôt que d’ordonner la confiscation aux termes du par. 462.37(3) a été rejetée. </w:t>
            </w:r>
          </w:p>
          <w:p w:rsidR="00016940" w:rsidRPr="006D31D9" w:rsidRDefault="00016940" w:rsidP="00016940">
            <w:pPr>
              <w:jc w:val="both"/>
              <w:rPr>
                <w:rFonts w:eastAsia="Calibri"/>
                <w:sz w:val="20"/>
                <w:szCs w:val="20"/>
                <w:lang w:val="fr-CA"/>
              </w:rPr>
            </w:pPr>
          </w:p>
        </w:tc>
      </w:tr>
      <w:tr w:rsidR="00016940" w:rsidRPr="00257CA3" w:rsidTr="00016940">
        <w:tc>
          <w:tcPr>
            <w:tcW w:w="2427"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10 août 2010</w:t>
            </w:r>
          </w:p>
          <w:p w:rsidR="00016940" w:rsidRPr="006D31D9" w:rsidRDefault="00016940" w:rsidP="00016940">
            <w:pPr>
              <w:jc w:val="both"/>
              <w:rPr>
                <w:rFonts w:eastAsia="Calibri"/>
                <w:sz w:val="20"/>
                <w:szCs w:val="20"/>
                <w:lang w:val="fr-CA"/>
              </w:rPr>
            </w:pPr>
            <w:r w:rsidRPr="006D31D9">
              <w:rPr>
                <w:rFonts w:eastAsia="Calibri"/>
                <w:sz w:val="20"/>
                <w:szCs w:val="20"/>
                <w:lang w:val="fr-CA"/>
              </w:rPr>
              <w:t>Cour du Banc de la Reine du Nouveau-Brunswick</w:t>
            </w:r>
          </w:p>
          <w:p w:rsidR="00016940" w:rsidRPr="006D31D9" w:rsidRDefault="00016940" w:rsidP="00016940">
            <w:pPr>
              <w:jc w:val="both"/>
              <w:rPr>
                <w:rFonts w:eastAsia="Calibri"/>
                <w:sz w:val="20"/>
                <w:szCs w:val="20"/>
                <w:lang w:val="fr-CA"/>
              </w:rPr>
            </w:pPr>
            <w:r w:rsidRPr="006D31D9">
              <w:rPr>
                <w:rFonts w:eastAsia="Calibri"/>
                <w:sz w:val="20"/>
                <w:szCs w:val="20"/>
                <w:lang w:val="fr-CA"/>
              </w:rPr>
              <w:t>(Juge Ouellette)</w:t>
            </w:r>
          </w:p>
          <w:p w:rsidR="00016940" w:rsidRPr="006D31D9" w:rsidRDefault="00016940" w:rsidP="00016940">
            <w:pPr>
              <w:jc w:val="both"/>
              <w:rPr>
                <w:rFonts w:eastAsia="Calibri"/>
                <w:sz w:val="20"/>
                <w:szCs w:val="20"/>
                <w:lang w:val="fr-CA"/>
              </w:rPr>
            </w:pPr>
          </w:p>
        </w:tc>
        <w:tc>
          <w:tcPr>
            <w:tcW w:w="243" w:type="pct"/>
          </w:tcPr>
          <w:p w:rsidR="00016940" w:rsidRPr="006D31D9" w:rsidRDefault="00016940" w:rsidP="00016940">
            <w:pPr>
              <w:jc w:val="both"/>
              <w:rPr>
                <w:rFonts w:eastAsia="Calibri"/>
                <w:sz w:val="20"/>
                <w:szCs w:val="20"/>
                <w:lang w:val="fr-CA"/>
              </w:rPr>
            </w:pPr>
          </w:p>
        </w:tc>
        <w:tc>
          <w:tcPr>
            <w:tcW w:w="2330"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Peine :</w:t>
            </w:r>
            <w:r w:rsidRPr="006D31D9">
              <w:rPr>
                <w:rFonts w:eastAsia="Calibri"/>
                <w:color w:val="000000"/>
                <w:sz w:val="20"/>
                <w:szCs w:val="20"/>
                <w:lang w:val="fr-CA"/>
              </w:rPr>
              <w:t xml:space="preserve"> peine globale d'emprisonnement de sept ans et huit mois imposée pour l'introduction par effraction, le vol et le manquement à un engagement aux termes de l'al. 348(1)</w:t>
            </w:r>
            <w:r w:rsidRPr="006D31D9">
              <w:rPr>
                <w:rFonts w:eastAsia="Calibri"/>
                <w:i/>
                <w:iCs/>
                <w:color w:val="000000"/>
                <w:sz w:val="20"/>
                <w:szCs w:val="20"/>
                <w:lang w:val="fr-CA"/>
              </w:rPr>
              <w:t>b</w:t>
            </w:r>
            <w:r w:rsidRPr="006D31D9">
              <w:rPr>
                <w:rFonts w:eastAsia="Calibri"/>
                <w:color w:val="000000"/>
                <w:sz w:val="20"/>
                <w:szCs w:val="20"/>
                <w:lang w:val="fr-CA"/>
              </w:rPr>
              <w:t>) (introductions par effraction et vol); demande du ministère public d’imposer des amendes plutôt que d’ordonner la confiscation aux termes du par. 462.37(3), rejetée.</w:t>
            </w:r>
          </w:p>
          <w:p w:rsidR="00016940" w:rsidRPr="006D31D9" w:rsidRDefault="00016940" w:rsidP="00016940">
            <w:pPr>
              <w:jc w:val="both"/>
              <w:rPr>
                <w:rFonts w:eastAsia="Calibri"/>
                <w:sz w:val="20"/>
                <w:szCs w:val="20"/>
                <w:lang w:val="fr-CA"/>
              </w:rPr>
            </w:pPr>
          </w:p>
        </w:tc>
      </w:tr>
      <w:tr w:rsidR="00016940" w:rsidRPr="00257CA3" w:rsidTr="00F761DC">
        <w:trPr>
          <w:cantSplit/>
        </w:trPr>
        <w:tc>
          <w:tcPr>
            <w:tcW w:w="2427"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lastRenderedPageBreak/>
              <w:t>15 décembre 2011</w:t>
            </w:r>
          </w:p>
          <w:p w:rsidR="00016940" w:rsidRPr="006D31D9" w:rsidRDefault="00016940" w:rsidP="00016940">
            <w:pPr>
              <w:jc w:val="both"/>
              <w:rPr>
                <w:rFonts w:eastAsia="Calibri"/>
                <w:sz w:val="20"/>
                <w:szCs w:val="20"/>
                <w:lang w:val="fr-CA"/>
              </w:rPr>
            </w:pPr>
            <w:r w:rsidRPr="006D31D9">
              <w:rPr>
                <w:rFonts w:eastAsia="Calibri"/>
                <w:sz w:val="20"/>
                <w:szCs w:val="20"/>
                <w:lang w:val="fr-CA"/>
              </w:rPr>
              <w:t xml:space="preserve">Cour d'appel du Nouveau-Brunswick </w:t>
            </w:r>
          </w:p>
          <w:p w:rsidR="00016940" w:rsidRPr="006D31D9" w:rsidRDefault="00016940" w:rsidP="00016940">
            <w:pPr>
              <w:jc w:val="both"/>
              <w:rPr>
                <w:rFonts w:eastAsia="Calibri"/>
                <w:sz w:val="20"/>
                <w:szCs w:val="20"/>
                <w:lang w:val="fr-CA"/>
              </w:rPr>
            </w:pPr>
            <w:r w:rsidRPr="006D31D9">
              <w:rPr>
                <w:rFonts w:eastAsia="Calibri"/>
                <w:sz w:val="20"/>
                <w:szCs w:val="20"/>
                <w:lang w:val="fr-CA"/>
              </w:rPr>
              <w:t>(Juge en chef Drapeau, juges Deschênes et Quigg)</w:t>
            </w:r>
          </w:p>
          <w:p w:rsidR="00016940" w:rsidRPr="006D31D9" w:rsidRDefault="00016940" w:rsidP="00016940">
            <w:pPr>
              <w:jc w:val="both"/>
              <w:rPr>
                <w:rFonts w:eastAsia="Calibri"/>
                <w:sz w:val="20"/>
                <w:szCs w:val="20"/>
                <w:lang w:val="fr-CA"/>
              </w:rPr>
            </w:pPr>
          </w:p>
        </w:tc>
        <w:tc>
          <w:tcPr>
            <w:tcW w:w="243" w:type="pct"/>
          </w:tcPr>
          <w:p w:rsidR="00016940" w:rsidRPr="006D31D9" w:rsidRDefault="00016940" w:rsidP="00016940">
            <w:pPr>
              <w:jc w:val="both"/>
              <w:rPr>
                <w:rFonts w:eastAsia="Calibri"/>
                <w:sz w:val="20"/>
                <w:szCs w:val="20"/>
                <w:lang w:val="fr-CA"/>
              </w:rPr>
            </w:pPr>
          </w:p>
        </w:tc>
        <w:tc>
          <w:tcPr>
            <w:tcW w:w="2330" w:type="pct"/>
          </w:tcPr>
          <w:p w:rsidR="00016940" w:rsidRPr="006D31D9" w:rsidRDefault="00016940" w:rsidP="00016940">
            <w:pPr>
              <w:jc w:val="both"/>
              <w:rPr>
                <w:rFonts w:eastAsia="Calibri"/>
                <w:sz w:val="20"/>
                <w:szCs w:val="20"/>
                <w:lang w:val="fr-CA"/>
              </w:rPr>
            </w:pPr>
            <w:r w:rsidRPr="006D31D9">
              <w:rPr>
                <w:rFonts w:eastAsia="Calibri"/>
                <w:iCs/>
                <w:color w:val="000000"/>
                <w:sz w:val="20"/>
                <w:szCs w:val="20"/>
                <w:lang w:val="fr-CA"/>
              </w:rPr>
              <w:t xml:space="preserve">Appel de l'accusé de la </w:t>
            </w:r>
            <w:r w:rsidRPr="006D31D9">
              <w:rPr>
                <w:rFonts w:eastAsia="Calibri"/>
                <w:color w:val="000000"/>
                <w:sz w:val="20"/>
                <w:szCs w:val="20"/>
                <w:lang w:val="fr-CA"/>
              </w:rPr>
              <w:t>peine globale d'emprisonnement de sept ans et huit mois imposée pour l'introduction par effraction, le vol et le manquement à un engagement,</w:t>
            </w:r>
            <w:r w:rsidRPr="006D31D9">
              <w:rPr>
                <w:rFonts w:eastAsia="Calibri"/>
                <w:iCs/>
                <w:color w:val="000000"/>
                <w:sz w:val="20"/>
                <w:szCs w:val="20"/>
                <w:lang w:val="fr-CA"/>
              </w:rPr>
              <w:t xml:space="preserve"> rejeté. Appel reconventionnel du ministère public, accueilli en partie</w:t>
            </w:r>
            <w:r w:rsidR="00F761DC">
              <w:rPr>
                <w:rFonts w:eastAsia="Calibri"/>
                <w:iCs/>
                <w:color w:val="000000"/>
                <w:sz w:val="20"/>
                <w:szCs w:val="20"/>
                <w:lang w:val="fr-CA"/>
              </w:rPr>
              <w:t> </w:t>
            </w:r>
            <w:r w:rsidRPr="006D31D9">
              <w:rPr>
                <w:rFonts w:eastAsia="Calibri"/>
                <w:iCs/>
                <w:color w:val="000000"/>
                <w:sz w:val="20"/>
                <w:szCs w:val="20"/>
                <w:lang w:val="fr-CA"/>
              </w:rPr>
              <w:t>:</w:t>
            </w:r>
            <w:r w:rsidRPr="006D31D9">
              <w:rPr>
                <w:rFonts w:eastAsia="Calibri"/>
                <w:color w:val="000000"/>
                <w:sz w:val="20"/>
                <w:szCs w:val="20"/>
                <w:lang w:val="fr-CA"/>
              </w:rPr>
              <w:t xml:space="preserve"> la peine est modifiée par l'annulation des ordonnances de confiscation et l'accusé est condamné à payer, en vertu des par. 462.37(3) et (4) du</w:t>
            </w:r>
            <w:r w:rsidRPr="006D31D9">
              <w:rPr>
                <w:rFonts w:eastAsia="Calibri"/>
                <w:i/>
                <w:iCs/>
                <w:color w:val="000000"/>
                <w:sz w:val="20"/>
                <w:szCs w:val="20"/>
                <w:lang w:val="fr-CA"/>
              </w:rPr>
              <w:t xml:space="preserve"> Code criminel</w:t>
            </w:r>
            <w:r w:rsidRPr="006D31D9">
              <w:rPr>
                <w:rFonts w:eastAsia="Calibri"/>
                <w:color w:val="000000"/>
                <w:sz w:val="20"/>
                <w:szCs w:val="20"/>
                <w:lang w:val="fr-CA"/>
              </w:rPr>
              <w:t>, des amendes de 19 500 $ et de 475 000 $ ou, à défaut, à purger des peines d’emprisonnement de 20 mois et de quatre ans, respectivement.</w:t>
            </w:r>
          </w:p>
          <w:p w:rsidR="00016940" w:rsidRPr="006D31D9" w:rsidRDefault="00016940" w:rsidP="00016940">
            <w:pPr>
              <w:jc w:val="both"/>
              <w:rPr>
                <w:rFonts w:eastAsia="Calibri"/>
                <w:sz w:val="20"/>
                <w:szCs w:val="20"/>
                <w:lang w:val="fr-CA"/>
              </w:rPr>
            </w:pPr>
          </w:p>
        </w:tc>
      </w:tr>
      <w:tr w:rsidR="00016940" w:rsidRPr="006D31D9" w:rsidTr="00F761DC">
        <w:trPr>
          <w:cantSplit/>
        </w:trPr>
        <w:tc>
          <w:tcPr>
            <w:tcW w:w="2427"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9 janvier 2012</w:t>
            </w:r>
          </w:p>
          <w:p w:rsidR="00016940" w:rsidRPr="006D31D9" w:rsidRDefault="00016940" w:rsidP="00016940">
            <w:pPr>
              <w:jc w:val="both"/>
              <w:rPr>
                <w:rFonts w:eastAsia="Calibri"/>
                <w:sz w:val="20"/>
                <w:szCs w:val="20"/>
                <w:lang w:val="fr-CA"/>
              </w:rPr>
            </w:pPr>
            <w:r w:rsidRPr="006D31D9">
              <w:rPr>
                <w:rFonts w:eastAsia="Calibri"/>
                <w:sz w:val="20"/>
                <w:szCs w:val="20"/>
                <w:lang w:val="fr-CA"/>
              </w:rPr>
              <w:t>Cour suprême du Canada</w:t>
            </w:r>
          </w:p>
          <w:p w:rsidR="00016940" w:rsidRPr="006D31D9" w:rsidRDefault="00016940" w:rsidP="00016940">
            <w:pPr>
              <w:jc w:val="both"/>
              <w:rPr>
                <w:rFonts w:eastAsia="Calibri"/>
                <w:sz w:val="20"/>
                <w:szCs w:val="20"/>
                <w:lang w:val="fr-CA"/>
              </w:rPr>
            </w:pPr>
          </w:p>
        </w:tc>
        <w:tc>
          <w:tcPr>
            <w:tcW w:w="243" w:type="pct"/>
          </w:tcPr>
          <w:p w:rsidR="00016940" w:rsidRPr="006D31D9" w:rsidRDefault="00016940" w:rsidP="00016940">
            <w:pPr>
              <w:jc w:val="both"/>
              <w:rPr>
                <w:rFonts w:eastAsia="Calibri"/>
                <w:sz w:val="20"/>
                <w:szCs w:val="20"/>
                <w:lang w:val="fr-CA"/>
              </w:rPr>
            </w:pPr>
          </w:p>
        </w:tc>
        <w:tc>
          <w:tcPr>
            <w:tcW w:w="2330"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Demande d'autorisation d'appel, déposée</w:t>
            </w:r>
          </w:p>
          <w:p w:rsidR="00016940" w:rsidRPr="006D31D9" w:rsidRDefault="00016940" w:rsidP="00016940">
            <w:pPr>
              <w:jc w:val="both"/>
              <w:rPr>
                <w:rFonts w:eastAsia="Calibri"/>
                <w:sz w:val="20"/>
                <w:szCs w:val="20"/>
                <w:lang w:val="fr-CA"/>
              </w:rPr>
            </w:pPr>
          </w:p>
        </w:tc>
      </w:tr>
      <w:tr w:rsidR="00016940" w:rsidRPr="00257CA3" w:rsidTr="00F761DC">
        <w:trPr>
          <w:cantSplit/>
        </w:trPr>
        <w:tc>
          <w:tcPr>
            <w:tcW w:w="2427"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6 mars 2012</w:t>
            </w:r>
          </w:p>
          <w:p w:rsidR="00016940" w:rsidRPr="006D31D9" w:rsidRDefault="00016940" w:rsidP="00016940">
            <w:pPr>
              <w:jc w:val="both"/>
              <w:rPr>
                <w:rFonts w:eastAsia="Calibri"/>
                <w:sz w:val="20"/>
                <w:szCs w:val="20"/>
                <w:lang w:val="fr-CA"/>
              </w:rPr>
            </w:pPr>
            <w:r w:rsidRPr="006D31D9">
              <w:rPr>
                <w:rFonts w:eastAsia="Calibri"/>
                <w:sz w:val="20"/>
                <w:szCs w:val="20"/>
                <w:lang w:val="fr-CA"/>
              </w:rPr>
              <w:t>Cour suprême du Canada</w:t>
            </w:r>
          </w:p>
          <w:p w:rsidR="00016940" w:rsidRPr="006D31D9" w:rsidRDefault="00016940" w:rsidP="00016940">
            <w:pPr>
              <w:jc w:val="both"/>
              <w:rPr>
                <w:rFonts w:eastAsia="Calibri"/>
                <w:sz w:val="20"/>
                <w:szCs w:val="20"/>
                <w:lang w:val="fr-CA"/>
              </w:rPr>
            </w:pPr>
          </w:p>
        </w:tc>
        <w:tc>
          <w:tcPr>
            <w:tcW w:w="243" w:type="pct"/>
          </w:tcPr>
          <w:p w:rsidR="00016940" w:rsidRPr="006D31D9" w:rsidRDefault="00016940" w:rsidP="00016940">
            <w:pPr>
              <w:jc w:val="both"/>
              <w:rPr>
                <w:rFonts w:eastAsia="Calibri"/>
                <w:sz w:val="20"/>
                <w:szCs w:val="20"/>
                <w:lang w:val="fr-CA"/>
              </w:rPr>
            </w:pPr>
          </w:p>
        </w:tc>
        <w:tc>
          <w:tcPr>
            <w:tcW w:w="2330"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Requête diverse en suspension de la demande d'autorisation d'appel, déposée</w:t>
            </w:r>
          </w:p>
        </w:tc>
      </w:tr>
      <w:tr w:rsidR="00016940" w:rsidRPr="00257CA3" w:rsidTr="00F761DC">
        <w:trPr>
          <w:cantSplit/>
        </w:trPr>
        <w:tc>
          <w:tcPr>
            <w:tcW w:w="2427" w:type="pct"/>
          </w:tcPr>
          <w:p w:rsidR="00016940" w:rsidRPr="006D31D9" w:rsidRDefault="00016940" w:rsidP="00016940">
            <w:pPr>
              <w:jc w:val="both"/>
              <w:rPr>
                <w:rFonts w:eastAsia="Calibri"/>
                <w:sz w:val="20"/>
                <w:szCs w:val="20"/>
                <w:lang w:val="fr-CA"/>
              </w:rPr>
            </w:pPr>
            <w:r w:rsidRPr="006D31D9">
              <w:rPr>
                <w:rFonts w:eastAsia="Calibri"/>
                <w:sz w:val="20"/>
                <w:szCs w:val="20"/>
                <w:lang w:val="fr-CA"/>
              </w:rPr>
              <w:t>17 mai 2012</w:t>
            </w:r>
          </w:p>
          <w:p w:rsidR="00016940" w:rsidRPr="006D31D9" w:rsidRDefault="00016940" w:rsidP="00016940">
            <w:pPr>
              <w:jc w:val="both"/>
              <w:rPr>
                <w:rFonts w:eastAsia="Calibri"/>
                <w:sz w:val="20"/>
                <w:szCs w:val="20"/>
                <w:lang w:val="fr-CA"/>
              </w:rPr>
            </w:pPr>
            <w:r w:rsidRPr="006D31D9">
              <w:rPr>
                <w:rFonts w:eastAsia="Calibri"/>
                <w:sz w:val="20"/>
                <w:szCs w:val="20"/>
                <w:lang w:val="fr-CA"/>
              </w:rPr>
              <w:t xml:space="preserve">Cour d'appel du Nouveau-Brunswick </w:t>
            </w:r>
          </w:p>
          <w:p w:rsidR="00016940" w:rsidRPr="006D31D9" w:rsidRDefault="00016940" w:rsidP="00016940">
            <w:pPr>
              <w:jc w:val="both"/>
              <w:rPr>
                <w:rFonts w:eastAsia="Calibri"/>
                <w:sz w:val="20"/>
                <w:szCs w:val="20"/>
                <w:lang w:val="fr-CA"/>
              </w:rPr>
            </w:pPr>
            <w:r w:rsidRPr="006D31D9">
              <w:rPr>
                <w:rFonts w:eastAsia="Calibri"/>
                <w:sz w:val="20"/>
                <w:szCs w:val="20"/>
                <w:lang w:val="fr-CA"/>
              </w:rPr>
              <w:t>(Juge en chef Drapeau, juges Deschênes et Quigg)</w:t>
            </w:r>
          </w:p>
          <w:p w:rsidR="00016940" w:rsidRPr="006D31D9" w:rsidRDefault="00016940" w:rsidP="00016940">
            <w:pPr>
              <w:jc w:val="both"/>
              <w:rPr>
                <w:rFonts w:eastAsia="Calibri"/>
                <w:sz w:val="20"/>
                <w:szCs w:val="20"/>
                <w:lang w:val="fr-CA"/>
              </w:rPr>
            </w:pPr>
            <w:r w:rsidRPr="006D31D9">
              <w:rPr>
                <w:rFonts w:eastAsia="Calibri"/>
                <w:sz w:val="20"/>
                <w:szCs w:val="20"/>
                <w:lang w:val="fr-CA"/>
              </w:rPr>
              <w:t>2012 N.B.J. 175</w:t>
            </w:r>
          </w:p>
          <w:p w:rsidR="00016940" w:rsidRPr="006D31D9" w:rsidRDefault="00016940" w:rsidP="00016940">
            <w:pPr>
              <w:jc w:val="both"/>
              <w:rPr>
                <w:rFonts w:eastAsia="Calibri"/>
                <w:sz w:val="20"/>
                <w:szCs w:val="20"/>
                <w:lang w:val="fr-CA"/>
              </w:rPr>
            </w:pPr>
          </w:p>
        </w:tc>
        <w:tc>
          <w:tcPr>
            <w:tcW w:w="243" w:type="pct"/>
          </w:tcPr>
          <w:p w:rsidR="00016940" w:rsidRPr="006D31D9" w:rsidRDefault="00016940" w:rsidP="00016940">
            <w:pPr>
              <w:jc w:val="both"/>
              <w:rPr>
                <w:rFonts w:eastAsia="Calibri"/>
                <w:sz w:val="20"/>
                <w:szCs w:val="20"/>
                <w:lang w:val="fr-CA"/>
              </w:rPr>
            </w:pPr>
          </w:p>
        </w:tc>
        <w:tc>
          <w:tcPr>
            <w:tcW w:w="2330" w:type="pct"/>
          </w:tcPr>
          <w:p w:rsidR="00016940" w:rsidRPr="006D31D9" w:rsidRDefault="00016940" w:rsidP="00016940">
            <w:pPr>
              <w:jc w:val="both"/>
              <w:rPr>
                <w:rFonts w:eastAsia="Calibri"/>
                <w:sz w:val="20"/>
                <w:szCs w:val="20"/>
                <w:lang w:val="fr-CA"/>
              </w:rPr>
            </w:pPr>
            <w:r w:rsidRPr="006D31D9">
              <w:rPr>
                <w:rFonts w:eastAsia="Calibri"/>
                <w:color w:val="000000"/>
                <w:sz w:val="20"/>
                <w:szCs w:val="20"/>
                <w:lang w:val="fr-CA"/>
              </w:rPr>
              <w:t>Demande du ministère public visant à corriger la décision accueillant en partie son appel reconventionnel des peines imposées pour les deux déclarations de culpabilité d'introduction par infraction, accueillie et amende de 19 400 $ et peine d'emprisonnement de neuf mois à défaut de paiement pour la première introduction par effraction et amende de 475 000 $ et peine d'emprisonnement de quatre ans à défaut de paiement pour la deuxième introduction par effraction imposées à la place; demande de l'accusé visant à sursoir à l'exécution de la décision en appel reconventionnel en attendant qu'il soit statué sur la demande d'autorisation d'appel à la Cour suprême du Canada, accueillie.</w:t>
            </w:r>
          </w:p>
        </w:tc>
      </w:tr>
    </w:tbl>
    <w:p w:rsidR="00106515" w:rsidRDefault="00106515" w:rsidP="00106515">
      <w:pPr>
        <w:rPr>
          <w:sz w:val="20"/>
          <w:szCs w:val="20"/>
          <w:lang w:val="fr-CA"/>
        </w:rPr>
      </w:pPr>
    </w:p>
    <w:p w:rsidR="00106515" w:rsidRDefault="00755986" w:rsidP="00106515">
      <w:pPr>
        <w:rPr>
          <w:sz w:val="20"/>
          <w:szCs w:val="20"/>
          <w:lang w:val="fr-CA"/>
        </w:rPr>
      </w:pPr>
      <w:r w:rsidRPr="00755986">
        <w:rPr>
          <w:sz w:val="20"/>
          <w:szCs w:val="20"/>
          <w:lang w:val="fr-CA"/>
        </w:rPr>
        <w:pict>
          <v:rect id="_x0000_i1037" style="width:2in;height:1pt" o:hrpct="0" o:hralign="center" o:hrstd="t" o:hrnoshade="t" o:hr="t" fillcolor="black [3213]" stroked="f"/>
        </w:pict>
      </w:r>
    </w:p>
    <w:p w:rsidR="00106515" w:rsidRDefault="00106515" w:rsidP="00106515">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A2F7C" w:rsidRPr="00257CA3" w:rsidTr="005834D2">
        <w:trPr>
          <w:cantSplit/>
        </w:trPr>
        <w:tc>
          <w:tcPr>
            <w:tcW w:w="1458" w:type="dxa"/>
          </w:tcPr>
          <w:p w:rsidR="006A2F7C" w:rsidRPr="006A2F7C" w:rsidRDefault="006A2F7C" w:rsidP="005834D2">
            <w:pPr>
              <w:rPr>
                <w:rFonts w:cs="Times New Roman"/>
                <w:sz w:val="20"/>
                <w:szCs w:val="20"/>
              </w:rPr>
            </w:pPr>
            <w:r w:rsidRPr="006A2F7C">
              <w:rPr>
                <w:rStyle w:val="SCCFileNumberChar"/>
                <w:sz w:val="20"/>
                <w:szCs w:val="20"/>
              </w:rPr>
              <w:t>34821</w:t>
            </w:r>
          </w:p>
          <w:p w:rsidR="006A2F7C" w:rsidRPr="006A2F7C" w:rsidRDefault="006A2F7C" w:rsidP="005834D2">
            <w:pPr>
              <w:rPr>
                <w:rFonts w:cs="Times New Roman"/>
                <w:b/>
                <w:sz w:val="20"/>
                <w:szCs w:val="20"/>
                <w:lang w:val="fr-CA"/>
              </w:rPr>
            </w:pPr>
          </w:p>
        </w:tc>
        <w:tc>
          <w:tcPr>
            <w:tcW w:w="8118" w:type="dxa"/>
          </w:tcPr>
          <w:p w:rsidR="006A2F7C" w:rsidRPr="006A2F7C" w:rsidRDefault="006A2F7C" w:rsidP="005834D2">
            <w:pPr>
              <w:jc w:val="both"/>
              <w:rPr>
                <w:rFonts w:cs="Times New Roman"/>
                <w:sz w:val="20"/>
                <w:szCs w:val="20"/>
                <w:lang w:val="fr-CA"/>
              </w:rPr>
            </w:pPr>
            <w:r w:rsidRPr="006A2F7C">
              <w:rPr>
                <w:rStyle w:val="SCCLsocChar"/>
                <w:rFonts w:cs="Times New Roman"/>
                <w:sz w:val="20"/>
                <w:szCs w:val="20"/>
              </w:rPr>
              <w:t>Marché d'alimentation Géo Pilon inc. c. Sous-ministre du Revenu du Québec</w:t>
            </w:r>
            <w:r w:rsidRPr="006A2F7C">
              <w:rPr>
                <w:rFonts w:cs="Times New Roman"/>
                <w:sz w:val="20"/>
                <w:szCs w:val="20"/>
                <w:lang w:val="fr-CA"/>
              </w:rPr>
              <w:t xml:space="preserve"> (Qc) (Civile) (Autorisation)</w:t>
            </w:r>
          </w:p>
          <w:p w:rsidR="006A2F7C" w:rsidRPr="006A2F7C" w:rsidRDefault="006A2F7C" w:rsidP="005834D2">
            <w:pPr>
              <w:rPr>
                <w:rFonts w:cs="Times New Roman"/>
                <w:sz w:val="20"/>
                <w:szCs w:val="20"/>
                <w:lang w:val="fr-CA"/>
              </w:rPr>
            </w:pPr>
          </w:p>
        </w:tc>
      </w:tr>
      <w:tr w:rsidR="006A2F7C" w:rsidRPr="00257CA3" w:rsidTr="005834D2">
        <w:trPr>
          <w:cantSplit/>
        </w:trPr>
        <w:tc>
          <w:tcPr>
            <w:tcW w:w="1458" w:type="dxa"/>
          </w:tcPr>
          <w:p w:rsidR="006A2F7C" w:rsidRPr="006A2F7C" w:rsidRDefault="006A2F7C" w:rsidP="005834D2">
            <w:pPr>
              <w:rPr>
                <w:rFonts w:cs="Times New Roman"/>
                <w:sz w:val="20"/>
                <w:szCs w:val="20"/>
              </w:rPr>
            </w:pPr>
            <w:r w:rsidRPr="006A2F7C">
              <w:rPr>
                <w:rFonts w:cs="Times New Roman"/>
                <w:sz w:val="20"/>
                <w:szCs w:val="20"/>
              </w:rPr>
              <w:t>Coram :</w:t>
            </w:r>
          </w:p>
        </w:tc>
        <w:tc>
          <w:tcPr>
            <w:tcW w:w="8118" w:type="dxa"/>
          </w:tcPr>
          <w:p w:rsidR="006A2F7C" w:rsidRPr="006A2F7C" w:rsidRDefault="006A2F7C" w:rsidP="005834D2">
            <w:pPr>
              <w:rPr>
                <w:rFonts w:cs="Times New Roman"/>
                <w:sz w:val="20"/>
                <w:szCs w:val="20"/>
                <w:lang w:val="fr-CA"/>
              </w:rPr>
            </w:pPr>
            <w:r w:rsidRPr="006A2F7C">
              <w:rPr>
                <w:rStyle w:val="SCCCoramChar"/>
                <w:rFonts w:cs="Times New Roman"/>
                <w:sz w:val="20"/>
                <w:szCs w:val="20"/>
              </w:rPr>
              <w:t>Les juges Deschamps, Fish et Karakatsanis</w:t>
            </w:r>
          </w:p>
          <w:p w:rsidR="006A2F7C" w:rsidRPr="006A2F7C" w:rsidRDefault="006A2F7C" w:rsidP="005834D2">
            <w:pPr>
              <w:rPr>
                <w:rFonts w:cs="Times New Roman"/>
                <w:sz w:val="20"/>
                <w:szCs w:val="20"/>
                <w:u w:val="single"/>
                <w:lang w:val="fr-CA"/>
              </w:rPr>
            </w:pPr>
          </w:p>
        </w:tc>
      </w:tr>
      <w:tr w:rsidR="006A2F7C" w:rsidRPr="006A2F7C" w:rsidTr="005834D2">
        <w:trPr>
          <w:cantSplit/>
        </w:trPr>
        <w:tc>
          <w:tcPr>
            <w:tcW w:w="9576" w:type="dxa"/>
            <w:gridSpan w:val="2"/>
          </w:tcPr>
          <w:p w:rsidR="006A2F7C" w:rsidRPr="006A2F7C" w:rsidRDefault="006A2F7C" w:rsidP="005834D2">
            <w:pPr>
              <w:pStyle w:val="SCCShortJudgment"/>
              <w:rPr>
                <w:rFonts w:cs="Times New Roman"/>
                <w:szCs w:val="20"/>
                <w:lang w:val="fr-CA"/>
              </w:rPr>
            </w:pPr>
            <w:r w:rsidRPr="006A2F7C">
              <w:rPr>
                <w:rFonts w:cs="Times New Roman"/>
                <w:szCs w:val="20"/>
                <w:lang w:val="fr-CA"/>
              </w:rPr>
              <w:t>La demande d’autorisation d’appel de l’arrêt de la Cour d’appel du Québec (Montréal), numéro 500-09-020890-109, 2012 QCCA 472, daté du 15 mars 2012, est rejetée avec dépens.</w:t>
            </w:r>
          </w:p>
          <w:p w:rsidR="006A2F7C" w:rsidRPr="006A2F7C" w:rsidRDefault="006A2F7C" w:rsidP="005834D2">
            <w:pPr>
              <w:pStyle w:val="SCCShortJudgment"/>
              <w:ind w:firstLine="0"/>
              <w:rPr>
                <w:rFonts w:cs="Times New Roman"/>
                <w:szCs w:val="20"/>
                <w:lang w:val="fr-CA"/>
              </w:rPr>
            </w:pPr>
          </w:p>
          <w:p w:rsidR="006A2F7C" w:rsidRPr="006A2F7C" w:rsidRDefault="006A2F7C" w:rsidP="005834D2">
            <w:pPr>
              <w:pStyle w:val="SCCShortJudgment"/>
              <w:rPr>
                <w:rFonts w:cs="Times New Roman"/>
                <w:szCs w:val="20"/>
              </w:rPr>
            </w:pPr>
            <w:r w:rsidRPr="006A2F7C">
              <w:rPr>
                <w:rFonts w:cs="Times New Roman"/>
                <w:szCs w:val="20"/>
              </w:rPr>
              <w:t>The application for leave to appeal from the judgment of the Court of Appeal of Quebec (Montréal), Number 500-09-020890-109, 2012 QCCA 472, dated March 15, 2012, is dismissed with costs.</w:t>
            </w:r>
          </w:p>
        </w:tc>
      </w:tr>
    </w:tbl>
    <w:p w:rsidR="00106515" w:rsidRPr="006A2F7C" w:rsidRDefault="00106515" w:rsidP="00106515">
      <w:pPr>
        <w:rPr>
          <w:sz w:val="20"/>
          <w:szCs w:val="20"/>
        </w:rPr>
      </w:pPr>
    </w:p>
    <w:p w:rsidR="00106515" w:rsidRPr="001B157C" w:rsidRDefault="00106515" w:rsidP="00106515">
      <w:pPr>
        <w:rPr>
          <w:sz w:val="20"/>
          <w:szCs w:val="20"/>
          <w:u w:val="single"/>
        </w:rPr>
      </w:pPr>
      <w:r w:rsidRPr="001B157C">
        <w:rPr>
          <w:sz w:val="20"/>
          <w:szCs w:val="20"/>
          <w:u w:val="single"/>
        </w:rPr>
        <w:t>CASE SUMMARY</w:t>
      </w:r>
    </w:p>
    <w:p w:rsidR="00106515" w:rsidRDefault="00106515" w:rsidP="0010651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A2F7C" w:rsidRPr="006D31D9" w:rsidTr="005834D2">
        <w:tc>
          <w:tcPr>
            <w:tcW w:w="5000" w:type="pct"/>
            <w:gridSpan w:val="3"/>
          </w:tcPr>
          <w:p w:rsidR="006A2F7C" w:rsidRPr="006D31D9" w:rsidRDefault="006A2F7C" w:rsidP="005834D2">
            <w:pPr>
              <w:jc w:val="both"/>
              <w:rPr>
                <w:rFonts w:eastAsia="Calibri"/>
                <w:sz w:val="20"/>
              </w:rPr>
            </w:pPr>
            <w:r w:rsidRPr="006D31D9">
              <w:rPr>
                <w:rFonts w:eastAsia="Calibri"/>
                <w:sz w:val="20"/>
              </w:rPr>
              <w:t xml:space="preserve">Taxation — Income tax — Assessment — Whether judgment rendered by Court of Appeal wrongly changed existing law as regards interpretation and application of tax law to agreements entered into by taxpayers by giving precedence to form of juridical operations while ignoring substance of contracts involving associated corporations in applying </w:t>
            </w:r>
            <w:r w:rsidRPr="006D31D9">
              <w:rPr>
                <w:rFonts w:eastAsia="Calibri"/>
                <w:sz w:val="20"/>
              </w:rPr>
              <w:lastRenderedPageBreak/>
              <w:t xml:space="preserve">ss. 771.3 and 771.4 of </w:t>
            </w:r>
            <w:r w:rsidRPr="006D31D9">
              <w:rPr>
                <w:rFonts w:eastAsia="Calibri"/>
                <w:i/>
                <w:sz w:val="20"/>
              </w:rPr>
              <w:t>Taxation Act</w:t>
            </w:r>
            <w:r w:rsidRPr="006D31D9">
              <w:rPr>
                <w:rFonts w:eastAsia="Calibri"/>
                <w:sz w:val="20"/>
              </w:rPr>
              <w:t>, R.S.Q. c. I</w:t>
            </w:r>
            <w:r w:rsidRPr="006D31D9">
              <w:rPr>
                <w:rFonts w:eastAsia="Calibri"/>
                <w:sz w:val="20"/>
              </w:rPr>
              <w:noBreakHyphen/>
              <w:t xml:space="preserve">3 — Whether judgment of Court of Appeal had effect of overturning principles recognized in administration of tax law whereby, </w:t>
            </w:r>
            <w:r w:rsidRPr="006D31D9">
              <w:rPr>
                <w:rFonts w:eastAsia="Calibri"/>
                <w:i/>
                <w:sz w:val="20"/>
              </w:rPr>
              <w:t>inter alia</w:t>
            </w:r>
            <w:r w:rsidRPr="006D31D9">
              <w:rPr>
                <w:rFonts w:eastAsia="Calibri"/>
                <w:sz w:val="20"/>
              </w:rPr>
              <w:t xml:space="preserve">, taxpayer free to arrange affairs so as to minimize tax burden — By failing to take account of actual </w:t>
            </w:r>
            <w:r w:rsidRPr="006D31D9">
              <w:rPr>
                <w:rFonts w:eastAsia="Calibri"/>
                <w:i/>
                <w:sz w:val="20"/>
              </w:rPr>
              <w:t>bona fide</w:t>
            </w:r>
            <w:r w:rsidRPr="006D31D9">
              <w:rPr>
                <w:rFonts w:eastAsia="Calibri"/>
                <w:sz w:val="20"/>
              </w:rPr>
              <w:t xml:space="preserve"> legal relationship between applicant and associated corporation within meaning of s. 21.20 of </w:t>
            </w:r>
            <w:r w:rsidRPr="006D31D9">
              <w:rPr>
                <w:rFonts w:eastAsia="Calibri"/>
                <w:i/>
                <w:sz w:val="20"/>
              </w:rPr>
              <w:t>Taxation Act</w:t>
            </w:r>
            <w:r w:rsidRPr="006D31D9">
              <w:rPr>
                <w:rFonts w:eastAsia="Calibri"/>
                <w:sz w:val="20"/>
              </w:rPr>
              <w:t>, whether Court of Appeal erred by going against principles of certainty and predictability that must prevail in tax matters in Canada, its analysis having disregarded or eliminated substance of agreements entered into by associated corporations, creating unpredictability in application of tax legislation to agreements entered into in this case.</w:t>
            </w:r>
          </w:p>
        </w:tc>
      </w:tr>
      <w:tr w:rsidR="006A2F7C" w:rsidRPr="006D31D9" w:rsidTr="005834D2">
        <w:tc>
          <w:tcPr>
            <w:tcW w:w="5000" w:type="pct"/>
            <w:gridSpan w:val="3"/>
          </w:tcPr>
          <w:p w:rsidR="006A2F7C" w:rsidRPr="006D31D9" w:rsidRDefault="006A2F7C" w:rsidP="005834D2">
            <w:pPr>
              <w:jc w:val="both"/>
              <w:rPr>
                <w:rFonts w:eastAsia="Calibri"/>
                <w:sz w:val="20"/>
              </w:rPr>
            </w:pPr>
          </w:p>
        </w:tc>
      </w:tr>
      <w:tr w:rsidR="006A2F7C" w:rsidRPr="006D31D9" w:rsidTr="005834D2">
        <w:tc>
          <w:tcPr>
            <w:tcW w:w="5000" w:type="pct"/>
            <w:gridSpan w:val="3"/>
          </w:tcPr>
          <w:p w:rsidR="006A2F7C" w:rsidRPr="006D31D9" w:rsidRDefault="006A2F7C" w:rsidP="005834D2">
            <w:pPr>
              <w:jc w:val="both"/>
              <w:rPr>
                <w:rFonts w:eastAsia="Calibri"/>
                <w:sz w:val="20"/>
              </w:rPr>
            </w:pPr>
            <w:r w:rsidRPr="006D31D9">
              <w:rPr>
                <w:rFonts w:eastAsia="Calibri"/>
                <w:sz w:val="20"/>
              </w:rPr>
              <w:t>Under Quebec tax law, rental income is considered income from property for taxation purposes.  However, where the income comes from an associated corporation, it is instead considered business income under ss. 21.20(</w:t>
            </w:r>
            <w:r w:rsidRPr="006D31D9">
              <w:rPr>
                <w:rFonts w:eastAsia="Calibri"/>
                <w:i/>
                <w:sz w:val="20"/>
              </w:rPr>
              <w:t>b</w:t>
            </w:r>
            <w:r w:rsidRPr="006D31D9">
              <w:rPr>
                <w:rFonts w:eastAsia="Calibri"/>
                <w:sz w:val="20"/>
              </w:rPr>
              <w:t xml:space="preserve">), 771.3 and 771.4 of the </w:t>
            </w:r>
            <w:r w:rsidRPr="006D31D9">
              <w:rPr>
                <w:rFonts w:eastAsia="Calibri"/>
                <w:i/>
                <w:sz w:val="20"/>
              </w:rPr>
              <w:t>Taxation Act</w:t>
            </w:r>
            <w:r w:rsidRPr="006D31D9">
              <w:rPr>
                <w:rFonts w:eastAsia="Calibri"/>
                <w:sz w:val="20"/>
              </w:rPr>
              <w:t>.  The applicant Marché d’alimentation Géo Pilon inc. challenged the decision of the respondent Deputy Minister of Revenue of Quebec to consider the rent paid by an associated corporation, Supermarché Crevier Joliette inc., to be income from property.  According to the applicant, under ss. 771.3 and 771.4, the rent had to be taxed as business income.  Revenu Québec maintained that those provisions did not apply because the rent was not paid directly to the applicant by Crevier but was paid through a franchisor, Sobeys, which was the applicant’s real lessee, since Crevier was only a sublessee of Sobeys.  The dispute concerned the interpretation of s. 771.3, particularly whether the rent had to be paid directly by Crevier to the applicant or could go through the franchisor, Sobeys.</w:t>
            </w:r>
          </w:p>
          <w:p w:rsidR="006A2F7C" w:rsidRPr="006D31D9" w:rsidRDefault="006A2F7C" w:rsidP="005834D2">
            <w:pPr>
              <w:jc w:val="both"/>
              <w:rPr>
                <w:rFonts w:eastAsia="Calibri"/>
                <w:sz w:val="20"/>
              </w:rPr>
            </w:pPr>
          </w:p>
        </w:tc>
      </w:tr>
      <w:tr w:rsidR="006A2F7C" w:rsidRPr="006D31D9" w:rsidTr="005834D2">
        <w:tc>
          <w:tcPr>
            <w:tcW w:w="2427" w:type="pct"/>
          </w:tcPr>
          <w:p w:rsidR="006A2F7C" w:rsidRPr="006D31D9" w:rsidRDefault="006A2F7C" w:rsidP="005834D2">
            <w:pPr>
              <w:jc w:val="both"/>
              <w:rPr>
                <w:rFonts w:eastAsia="Calibri"/>
                <w:sz w:val="20"/>
              </w:rPr>
            </w:pPr>
            <w:r w:rsidRPr="006D31D9">
              <w:rPr>
                <w:rFonts w:eastAsia="Calibri"/>
                <w:sz w:val="20"/>
              </w:rPr>
              <w:t>June 30, 2010</w:t>
            </w:r>
          </w:p>
          <w:p w:rsidR="006A2F7C" w:rsidRPr="006D31D9" w:rsidRDefault="006A2F7C" w:rsidP="005834D2">
            <w:pPr>
              <w:jc w:val="both"/>
              <w:rPr>
                <w:rFonts w:eastAsia="Calibri"/>
                <w:sz w:val="20"/>
              </w:rPr>
            </w:pPr>
            <w:r w:rsidRPr="006D31D9">
              <w:rPr>
                <w:rFonts w:eastAsia="Calibri"/>
                <w:sz w:val="20"/>
              </w:rPr>
              <w:t>Court of Québec, Civil Division</w:t>
            </w:r>
          </w:p>
          <w:p w:rsidR="006A2F7C" w:rsidRPr="006D31D9" w:rsidRDefault="006A2F7C" w:rsidP="005834D2">
            <w:pPr>
              <w:jc w:val="both"/>
              <w:rPr>
                <w:rFonts w:eastAsia="Calibri"/>
                <w:sz w:val="20"/>
              </w:rPr>
            </w:pPr>
            <w:r w:rsidRPr="006D31D9">
              <w:rPr>
                <w:rFonts w:eastAsia="Calibri"/>
                <w:sz w:val="20"/>
              </w:rPr>
              <w:t>(Judge Landry)</w:t>
            </w:r>
          </w:p>
          <w:p w:rsidR="006A2F7C" w:rsidRPr="006D31D9" w:rsidRDefault="006A2F7C" w:rsidP="005834D2">
            <w:pPr>
              <w:jc w:val="both"/>
              <w:rPr>
                <w:rFonts w:eastAsia="Calibri"/>
                <w:sz w:val="20"/>
              </w:rPr>
            </w:pPr>
            <w:r w:rsidRPr="006D31D9">
              <w:rPr>
                <w:rFonts w:eastAsia="Calibri"/>
                <w:sz w:val="20"/>
              </w:rPr>
              <w:t>Neutral citation: 2010 QCCQ 6257</w:t>
            </w:r>
          </w:p>
          <w:p w:rsidR="006A2F7C" w:rsidRPr="006D31D9" w:rsidRDefault="006A2F7C" w:rsidP="005834D2">
            <w:pPr>
              <w:jc w:val="both"/>
              <w:rPr>
                <w:rFonts w:eastAsia="Calibri"/>
                <w:sz w:val="20"/>
              </w:rPr>
            </w:pPr>
          </w:p>
        </w:tc>
        <w:tc>
          <w:tcPr>
            <w:tcW w:w="243" w:type="pct"/>
          </w:tcPr>
          <w:p w:rsidR="006A2F7C" w:rsidRPr="006D31D9" w:rsidRDefault="006A2F7C" w:rsidP="005834D2">
            <w:pPr>
              <w:jc w:val="both"/>
              <w:rPr>
                <w:rFonts w:eastAsia="Calibri"/>
                <w:sz w:val="20"/>
              </w:rPr>
            </w:pPr>
          </w:p>
        </w:tc>
        <w:tc>
          <w:tcPr>
            <w:tcW w:w="2330" w:type="pct"/>
          </w:tcPr>
          <w:p w:rsidR="006A2F7C" w:rsidRPr="006D31D9" w:rsidRDefault="006A2F7C" w:rsidP="005834D2">
            <w:pPr>
              <w:jc w:val="both"/>
              <w:rPr>
                <w:rFonts w:eastAsia="Calibri"/>
                <w:sz w:val="20"/>
              </w:rPr>
            </w:pPr>
            <w:r w:rsidRPr="006D31D9">
              <w:rPr>
                <w:rFonts w:eastAsia="Calibri"/>
                <w:sz w:val="20"/>
              </w:rPr>
              <w:t>Appeal from decision of Deputy Minister of Revenue allowed</w:t>
            </w:r>
          </w:p>
          <w:p w:rsidR="006A2F7C" w:rsidRPr="006D31D9" w:rsidRDefault="006A2F7C" w:rsidP="005834D2">
            <w:pPr>
              <w:jc w:val="both"/>
              <w:rPr>
                <w:rFonts w:eastAsia="Calibri"/>
                <w:sz w:val="20"/>
              </w:rPr>
            </w:pPr>
          </w:p>
        </w:tc>
      </w:tr>
      <w:tr w:rsidR="006A2F7C" w:rsidRPr="006D31D9" w:rsidTr="005834D2">
        <w:tc>
          <w:tcPr>
            <w:tcW w:w="2427" w:type="pct"/>
          </w:tcPr>
          <w:p w:rsidR="006A2F7C" w:rsidRPr="006D31D9" w:rsidRDefault="006A2F7C" w:rsidP="005834D2">
            <w:pPr>
              <w:jc w:val="both"/>
              <w:rPr>
                <w:rFonts w:eastAsia="Calibri"/>
                <w:sz w:val="20"/>
              </w:rPr>
            </w:pPr>
            <w:r w:rsidRPr="006D31D9">
              <w:rPr>
                <w:rFonts w:eastAsia="Calibri"/>
                <w:sz w:val="20"/>
              </w:rPr>
              <w:t>March 15, 2012</w:t>
            </w:r>
          </w:p>
          <w:p w:rsidR="006A2F7C" w:rsidRPr="006D31D9" w:rsidRDefault="006A2F7C" w:rsidP="005834D2">
            <w:pPr>
              <w:jc w:val="both"/>
              <w:rPr>
                <w:rFonts w:eastAsia="Calibri"/>
                <w:sz w:val="20"/>
              </w:rPr>
            </w:pPr>
            <w:r w:rsidRPr="006D31D9">
              <w:rPr>
                <w:rFonts w:eastAsia="Calibri"/>
                <w:sz w:val="20"/>
              </w:rPr>
              <w:t>Quebec Court of Appeal (Montréal)</w:t>
            </w:r>
          </w:p>
          <w:p w:rsidR="006A2F7C" w:rsidRPr="006D31D9" w:rsidRDefault="006A2F7C" w:rsidP="005834D2">
            <w:pPr>
              <w:jc w:val="both"/>
              <w:rPr>
                <w:rFonts w:eastAsia="Calibri"/>
                <w:sz w:val="20"/>
              </w:rPr>
            </w:pPr>
            <w:r w:rsidRPr="006D31D9">
              <w:rPr>
                <w:rFonts w:eastAsia="Calibri"/>
                <w:sz w:val="20"/>
              </w:rPr>
              <w:t>(Thibault, Doyon and Bich JJ.A.)</w:t>
            </w:r>
          </w:p>
          <w:p w:rsidR="006A2F7C" w:rsidRPr="006D31D9" w:rsidRDefault="006A2F7C" w:rsidP="005834D2">
            <w:pPr>
              <w:jc w:val="both"/>
              <w:rPr>
                <w:rFonts w:eastAsia="Calibri"/>
                <w:sz w:val="20"/>
              </w:rPr>
            </w:pPr>
            <w:r w:rsidRPr="006D31D9">
              <w:rPr>
                <w:rFonts w:eastAsia="Calibri"/>
                <w:sz w:val="20"/>
              </w:rPr>
              <w:t>Neutral citation: 2012 QCCA 472</w:t>
            </w:r>
          </w:p>
          <w:p w:rsidR="006A2F7C" w:rsidRPr="006D31D9" w:rsidRDefault="006A2F7C" w:rsidP="005834D2">
            <w:pPr>
              <w:jc w:val="both"/>
              <w:rPr>
                <w:rFonts w:eastAsia="Calibri"/>
                <w:sz w:val="20"/>
              </w:rPr>
            </w:pPr>
          </w:p>
        </w:tc>
        <w:tc>
          <w:tcPr>
            <w:tcW w:w="243" w:type="pct"/>
          </w:tcPr>
          <w:p w:rsidR="006A2F7C" w:rsidRPr="006D31D9" w:rsidRDefault="006A2F7C" w:rsidP="005834D2">
            <w:pPr>
              <w:jc w:val="both"/>
              <w:rPr>
                <w:rFonts w:eastAsia="Calibri"/>
                <w:sz w:val="20"/>
              </w:rPr>
            </w:pPr>
          </w:p>
        </w:tc>
        <w:tc>
          <w:tcPr>
            <w:tcW w:w="2330" w:type="pct"/>
          </w:tcPr>
          <w:p w:rsidR="006A2F7C" w:rsidRPr="006D31D9" w:rsidRDefault="006A2F7C" w:rsidP="005834D2">
            <w:pPr>
              <w:jc w:val="both"/>
              <w:rPr>
                <w:rFonts w:eastAsia="Calibri"/>
                <w:sz w:val="20"/>
              </w:rPr>
            </w:pPr>
            <w:r w:rsidRPr="006D31D9">
              <w:rPr>
                <w:rFonts w:eastAsia="Calibri"/>
                <w:sz w:val="20"/>
              </w:rPr>
              <w:t>Appeal allowed and judgment of Court of Québec set aside</w:t>
            </w:r>
          </w:p>
        </w:tc>
      </w:tr>
      <w:tr w:rsidR="006A2F7C" w:rsidRPr="006D31D9" w:rsidTr="005834D2">
        <w:tc>
          <w:tcPr>
            <w:tcW w:w="2427" w:type="pct"/>
          </w:tcPr>
          <w:p w:rsidR="006A2F7C" w:rsidRPr="006D31D9" w:rsidRDefault="006A2F7C" w:rsidP="005834D2">
            <w:pPr>
              <w:jc w:val="both"/>
              <w:rPr>
                <w:rFonts w:eastAsia="Calibri"/>
                <w:sz w:val="20"/>
              </w:rPr>
            </w:pPr>
            <w:r w:rsidRPr="006D31D9">
              <w:rPr>
                <w:rFonts w:eastAsia="Calibri"/>
                <w:sz w:val="20"/>
              </w:rPr>
              <w:t>May 14, 2012</w:t>
            </w:r>
          </w:p>
          <w:p w:rsidR="006A2F7C" w:rsidRPr="006D31D9" w:rsidRDefault="006A2F7C" w:rsidP="005834D2">
            <w:pPr>
              <w:jc w:val="both"/>
              <w:rPr>
                <w:rFonts w:eastAsia="Calibri"/>
                <w:sz w:val="20"/>
              </w:rPr>
            </w:pPr>
            <w:r w:rsidRPr="006D31D9">
              <w:rPr>
                <w:rFonts w:eastAsia="Calibri"/>
                <w:sz w:val="20"/>
              </w:rPr>
              <w:t>Supreme Court of Canada</w:t>
            </w:r>
          </w:p>
        </w:tc>
        <w:tc>
          <w:tcPr>
            <w:tcW w:w="243" w:type="pct"/>
          </w:tcPr>
          <w:p w:rsidR="006A2F7C" w:rsidRPr="006D31D9" w:rsidRDefault="006A2F7C" w:rsidP="005834D2">
            <w:pPr>
              <w:jc w:val="both"/>
              <w:rPr>
                <w:rFonts w:eastAsia="Calibri"/>
                <w:sz w:val="20"/>
              </w:rPr>
            </w:pPr>
          </w:p>
        </w:tc>
        <w:tc>
          <w:tcPr>
            <w:tcW w:w="2330" w:type="pct"/>
          </w:tcPr>
          <w:p w:rsidR="006A2F7C" w:rsidRPr="006D31D9" w:rsidRDefault="006A2F7C" w:rsidP="005834D2">
            <w:pPr>
              <w:jc w:val="both"/>
              <w:rPr>
                <w:rFonts w:eastAsia="Calibri"/>
                <w:sz w:val="20"/>
              </w:rPr>
            </w:pPr>
            <w:r w:rsidRPr="006D31D9">
              <w:rPr>
                <w:rFonts w:eastAsia="Calibri"/>
                <w:sz w:val="20"/>
              </w:rPr>
              <w:t>Application for leave to appeal filed</w:t>
            </w:r>
          </w:p>
        </w:tc>
      </w:tr>
    </w:tbl>
    <w:p w:rsidR="00106515" w:rsidRPr="00C50A5C" w:rsidRDefault="00106515" w:rsidP="00106515">
      <w:pPr>
        <w:rPr>
          <w:sz w:val="20"/>
          <w:szCs w:val="20"/>
        </w:rPr>
      </w:pPr>
    </w:p>
    <w:p w:rsidR="00106515" w:rsidRPr="00C50A5C" w:rsidRDefault="00755986" w:rsidP="00106515">
      <w:pPr>
        <w:rPr>
          <w:sz w:val="20"/>
          <w:szCs w:val="20"/>
        </w:rPr>
      </w:pPr>
      <w:r w:rsidRPr="00755986">
        <w:rPr>
          <w:sz w:val="20"/>
          <w:szCs w:val="20"/>
          <w:lang w:val="fr-CA"/>
        </w:rPr>
        <w:pict>
          <v:rect id="_x0000_i1038" style="width:2in;height:1pt" o:hrpct="0" o:hralign="center" o:hrstd="t" o:hrnoshade="t" o:hr="t" fillcolor="black [3213]" stroked="f"/>
        </w:pict>
      </w:r>
    </w:p>
    <w:p w:rsidR="00106515" w:rsidRDefault="00106515" w:rsidP="00106515">
      <w:pPr>
        <w:rPr>
          <w:sz w:val="20"/>
          <w:szCs w:val="20"/>
        </w:rPr>
      </w:pPr>
    </w:p>
    <w:p w:rsidR="00106515" w:rsidRPr="001B157C" w:rsidRDefault="00106515" w:rsidP="00106515">
      <w:pPr>
        <w:rPr>
          <w:sz w:val="20"/>
          <w:szCs w:val="20"/>
          <w:u w:val="single"/>
          <w:lang w:val="fr-CA"/>
        </w:rPr>
      </w:pPr>
      <w:r w:rsidRPr="001B157C">
        <w:rPr>
          <w:sz w:val="20"/>
          <w:szCs w:val="20"/>
          <w:u w:val="single"/>
          <w:lang w:val="fr-CA"/>
        </w:rPr>
        <w:t>RÉSUMÉ DE L’AFFAIRE</w:t>
      </w:r>
    </w:p>
    <w:p w:rsidR="00106515" w:rsidRDefault="00106515" w:rsidP="0010651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A2F7C" w:rsidRPr="00257CA3" w:rsidTr="005834D2">
        <w:tc>
          <w:tcPr>
            <w:tcW w:w="5000" w:type="pct"/>
            <w:gridSpan w:val="3"/>
          </w:tcPr>
          <w:p w:rsidR="006A2F7C" w:rsidRPr="006D31D9" w:rsidRDefault="006A2F7C" w:rsidP="005834D2">
            <w:pPr>
              <w:jc w:val="both"/>
              <w:rPr>
                <w:rFonts w:eastAsia="Calibri"/>
                <w:sz w:val="20"/>
                <w:lang w:val="fr-FR"/>
              </w:rPr>
            </w:pPr>
            <w:r w:rsidRPr="006D31D9">
              <w:rPr>
                <w:rFonts w:eastAsia="Calibri"/>
                <w:sz w:val="20"/>
                <w:lang w:val="fr-FR"/>
              </w:rPr>
              <w:t>Droit fiscal — Impôt sur le revenu — Cotisation — L’arrêt rendu par la Cour d’appel modifie</w:t>
            </w:r>
            <w:r w:rsidRPr="006D31D9">
              <w:rPr>
                <w:rFonts w:eastAsia="Calibri"/>
                <w:sz w:val="20"/>
                <w:lang w:val="fr-FR"/>
              </w:rPr>
              <w:noBreakHyphen/>
              <w:t>t</w:t>
            </w:r>
            <w:r w:rsidRPr="006D31D9">
              <w:rPr>
                <w:rFonts w:eastAsia="Calibri"/>
                <w:sz w:val="20"/>
                <w:lang w:val="fr-FR"/>
              </w:rPr>
              <w:noBreakHyphen/>
              <w:t xml:space="preserve">il erronément le droit prévalant en matière d’interprétation et d’application du droit fiscal aux conventions auxquelles sont partie les contribuables en donnant préséance à la forme des opérations juridiques intervenues en faisant abstraction de la substance des contrats impliquant des sociétés associées dans le cadre de l’application des art. 771.3 et 771.4 de la </w:t>
            </w:r>
            <w:r w:rsidRPr="006D31D9">
              <w:rPr>
                <w:rFonts w:eastAsia="Calibri"/>
                <w:i/>
                <w:sz w:val="20"/>
                <w:lang w:val="fr-FR"/>
              </w:rPr>
              <w:t>Loi sur les impôts</w:t>
            </w:r>
            <w:r w:rsidRPr="006D31D9">
              <w:rPr>
                <w:rFonts w:eastAsia="Calibri"/>
                <w:sz w:val="20"/>
                <w:lang w:val="fr-FR"/>
              </w:rPr>
              <w:t>, L.R.Q. ch. I</w:t>
            </w:r>
            <w:r w:rsidRPr="006D31D9">
              <w:rPr>
                <w:rFonts w:eastAsia="Calibri"/>
                <w:sz w:val="20"/>
                <w:lang w:val="fr-FR"/>
              </w:rPr>
              <w:noBreakHyphen/>
              <w:t>3? — L’arrêt de la Cour d’appel a</w:t>
            </w:r>
            <w:r w:rsidRPr="006D31D9">
              <w:rPr>
                <w:rFonts w:eastAsia="Calibri"/>
                <w:sz w:val="20"/>
                <w:lang w:val="fr-FR"/>
              </w:rPr>
              <w:noBreakHyphen/>
              <w:t>t</w:t>
            </w:r>
            <w:r w:rsidRPr="006D31D9">
              <w:rPr>
                <w:rFonts w:eastAsia="Calibri"/>
                <w:sz w:val="20"/>
                <w:lang w:val="fr-FR"/>
              </w:rPr>
              <w:noBreakHyphen/>
              <w:t xml:space="preserve">il pour effet de bouleverser les principes reconnus en matière d’administration du droit fiscal à l’effet qu’un contribuable est notamment libre d’organiser ses affaires de manière à minimiser son fardeau fiscal? — En omettant de tenir compte des rapports juridiques effectifs véritables impliquant la demanderesse et une société associée au sens de l’art. 21.20 de la </w:t>
            </w:r>
            <w:r w:rsidRPr="006D31D9">
              <w:rPr>
                <w:rFonts w:eastAsia="Calibri"/>
                <w:i/>
                <w:sz w:val="20"/>
                <w:lang w:val="fr-FR"/>
              </w:rPr>
              <w:t>Loi sur les impôts</w:t>
            </w:r>
            <w:r w:rsidRPr="006D31D9">
              <w:rPr>
                <w:rFonts w:eastAsia="Calibri"/>
                <w:sz w:val="20"/>
                <w:lang w:val="fr-FR"/>
              </w:rPr>
              <w:t>, la Cour d’appel a</w:t>
            </w:r>
            <w:r w:rsidRPr="006D31D9">
              <w:rPr>
                <w:rFonts w:eastAsia="Calibri"/>
                <w:sz w:val="20"/>
                <w:lang w:val="fr-FR"/>
              </w:rPr>
              <w:noBreakHyphen/>
              <w:t>t</w:t>
            </w:r>
            <w:r w:rsidRPr="006D31D9">
              <w:rPr>
                <w:rFonts w:eastAsia="Calibri"/>
                <w:sz w:val="20"/>
                <w:lang w:val="fr-FR"/>
              </w:rPr>
              <w:noBreakHyphen/>
              <w:t>elle erré en s’inscrivant à l’encontre des principes de certitude et de prévisibilité devant prévaloir en matière fiscale au Canada, son analyse faisant fi ou évacuant la substance des conventions auxquelles intervenaient des sociétés associées rendant imprévisible l’application de la loi fiscale aux conventions intervenues en l’espèce?</w:t>
            </w:r>
          </w:p>
        </w:tc>
      </w:tr>
      <w:tr w:rsidR="006A2F7C" w:rsidRPr="00257CA3" w:rsidTr="005834D2">
        <w:tc>
          <w:tcPr>
            <w:tcW w:w="5000" w:type="pct"/>
            <w:gridSpan w:val="3"/>
          </w:tcPr>
          <w:p w:rsidR="006A2F7C" w:rsidRPr="006D31D9" w:rsidRDefault="006A2F7C" w:rsidP="005834D2">
            <w:pPr>
              <w:jc w:val="both"/>
              <w:rPr>
                <w:rFonts w:eastAsia="Calibri"/>
                <w:sz w:val="20"/>
                <w:lang w:val="fr-FR"/>
              </w:rPr>
            </w:pPr>
          </w:p>
        </w:tc>
      </w:tr>
      <w:tr w:rsidR="006A2F7C" w:rsidRPr="00257CA3" w:rsidTr="005834D2">
        <w:tc>
          <w:tcPr>
            <w:tcW w:w="5000" w:type="pct"/>
            <w:gridSpan w:val="3"/>
          </w:tcPr>
          <w:p w:rsidR="006A2F7C" w:rsidRPr="006D31D9" w:rsidRDefault="006A2F7C" w:rsidP="005834D2">
            <w:pPr>
              <w:jc w:val="both"/>
              <w:rPr>
                <w:rFonts w:eastAsia="Calibri"/>
                <w:sz w:val="20"/>
                <w:lang w:val="fr-FR"/>
              </w:rPr>
            </w:pPr>
            <w:r w:rsidRPr="006D31D9">
              <w:rPr>
                <w:rFonts w:eastAsia="Calibri"/>
                <w:sz w:val="20"/>
                <w:lang w:val="fr-FR"/>
              </w:rPr>
              <w:t xml:space="preserve">En matière fiscale québécoise, les revenus provenant de loyers sont considérés comme des revenus de biens aux fins d’imposition. Toutefois, lorsque ces revenus proviennent d’une société associée, ils sont plutôt considérés comme des </w:t>
            </w:r>
            <w:r w:rsidRPr="006D31D9">
              <w:rPr>
                <w:rFonts w:eastAsia="Calibri"/>
                <w:sz w:val="20"/>
                <w:lang w:val="fr-FR"/>
              </w:rPr>
              <w:lastRenderedPageBreak/>
              <w:t xml:space="preserve">revenus d’entreprise en vertu des art. 21.20b), 771.3 et 771.4 de la </w:t>
            </w:r>
            <w:r w:rsidRPr="006D31D9">
              <w:rPr>
                <w:rFonts w:eastAsia="Calibri"/>
                <w:i/>
                <w:sz w:val="20"/>
                <w:lang w:val="fr-FR"/>
              </w:rPr>
              <w:t>Loi sur les impôts</w:t>
            </w:r>
            <w:r w:rsidRPr="006D31D9">
              <w:rPr>
                <w:rFonts w:eastAsia="Calibri"/>
                <w:sz w:val="20"/>
                <w:lang w:val="fr-FR"/>
              </w:rPr>
              <w:t>. La demanderesse Marché d’alimentation Géo Pilon inc. conteste la décision du Sous</w:t>
            </w:r>
            <w:r w:rsidRPr="006D31D9">
              <w:rPr>
                <w:rFonts w:eastAsia="Calibri"/>
                <w:sz w:val="20"/>
                <w:lang w:val="fr-FR"/>
              </w:rPr>
              <w:noBreakHyphen/>
              <w:t>ministre du Revenu du Québec intimé de considérer comme revenus de biens les loyers versés par une société associée, Supermarché Crevier Joliette inc. Selon la demanderesse, les art. 771.3 et 771.4 font en sorte que ces loyers doivent être imposés comme revenus d'entreprise. Revenu Québec maintient pour sa part que ces dispositions ne s’appliquent pas parce que les loyers ne sont pas payés directement par Crevier à la demanderesse, mais plutôt par l'entremise du franchiseur Sobeys qui est le véritable locataire de la demanderesse, Crevier n’étant que la sous</w:t>
            </w:r>
            <w:r w:rsidRPr="006D31D9">
              <w:rPr>
                <w:rFonts w:eastAsia="Calibri"/>
                <w:sz w:val="20"/>
                <w:lang w:val="fr-FR"/>
              </w:rPr>
              <w:noBreakHyphen/>
              <w:t>locataire de Sobeys. Le litige porte sur l’interprétation de l’art. 771.3, et plus particulièrement sur la question de savoir si le loyer doit être payé directement par Crevier à la demanderesse ou si ce montant peut transiger par le franchiseur Sobeys. </w:t>
            </w:r>
          </w:p>
          <w:p w:rsidR="006A2F7C" w:rsidRPr="006D31D9" w:rsidRDefault="006A2F7C" w:rsidP="005834D2">
            <w:pPr>
              <w:jc w:val="both"/>
              <w:rPr>
                <w:rFonts w:eastAsia="Calibri"/>
                <w:sz w:val="20"/>
                <w:lang w:val="fr-FR"/>
              </w:rPr>
            </w:pPr>
          </w:p>
        </w:tc>
      </w:tr>
      <w:tr w:rsidR="006A2F7C" w:rsidRPr="00257CA3" w:rsidTr="005834D2">
        <w:tc>
          <w:tcPr>
            <w:tcW w:w="2427" w:type="pct"/>
          </w:tcPr>
          <w:p w:rsidR="006A2F7C" w:rsidRPr="006D31D9" w:rsidRDefault="006A2F7C" w:rsidP="005834D2">
            <w:pPr>
              <w:jc w:val="both"/>
              <w:rPr>
                <w:rFonts w:eastAsia="Calibri"/>
                <w:sz w:val="20"/>
                <w:lang w:val="fr-FR"/>
              </w:rPr>
            </w:pPr>
            <w:r w:rsidRPr="006D31D9">
              <w:rPr>
                <w:rFonts w:eastAsia="Calibri"/>
                <w:sz w:val="20"/>
                <w:lang w:val="fr-FR"/>
              </w:rPr>
              <w:lastRenderedPageBreak/>
              <w:t>Le 30 juin 2010</w:t>
            </w:r>
          </w:p>
          <w:p w:rsidR="006A2F7C" w:rsidRPr="006D31D9" w:rsidRDefault="006A2F7C" w:rsidP="005834D2">
            <w:pPr>
              <w:jc w:val="both"/>
              <w:rPr>
                <w:rFonts w:eastAsia="Calibri"/>
                <w:sz w:val="20"/>
                <w:lang w:val="fr-FR"/>
              </w:rPr>
            </w:pPr>
            <w:r w:rsidRPr="006D31D9">
              <w:rPr>
                <w:rFonts w:eastAsia="Calibri"/>
                <w:sz w:val="20"/>
                <w:lang w:val="fr-FR"/>
              </w:rPr>
              <w:t>Cour du Québec, chambre civile</w:t>
            </w:r>
          </w:p>
          <w:p w:rsidR="006A2F7C" w:rsidRPr="006D31D9" w:rsidRDefault="006A2F7C" w:rsidP="005834D2">
            <w:pPr>
              <w:jc w:val="both"/>
              <w:rPr>
                <w:rFonts w:eastAsia="Calibri"/>
                <w:sz w:val="20"/>
                <w:lang w:val="fr-FR"/>
              </w:rPr>
            </w:pPr>
            <w:r w:rsidRPr="006D31D9">
              <w:rPr>
                <w:rFonts w:eastAsia="Calibri"/>
                <w:sz w:val="20"/>
                <w:lang w:val="fr-FR"/>
              </w:rPr>
              <w:t>(Le juge Landry)</w:t>
            </w:r>
          </w:p>
          <w:p w:rsidR="006A2F7C" w:rsidRPr="006D31D9" w:rsidRDefault="006A2F7C" w:rsidP="005834D2">
            <w:pPr>
              <w:jc w:val="both"/>
              <w:rPr>
                <w:rFonts w:eastAsia="Calibri"/>
                <w:sz w:val="20"/>
                <w:lang w:val="fr-FR"/>
              </w:rPr>
            </w:pPr>
            <w:r w:rsidRPr="006D31D9">
              <w:rPr>
                <w:rFonts w:eastAsia="Calibri"/>
                <w:sz w:val="20"/>
                <w:lang w:val="fr-FR"/>
              </w:rPr>
              <w:t>Référence neutre : 2010 QCCQ 6257</w:t>
            </w:r>
          </w:p>
          <w:p w:rsidR="006A2F7C" w:rsidRPr="006D31D9" w:rsidRDefault="006A2F7C" w:rsidP="005834D2">
            <w:pPr>
              <w:jc w:val="both"/>
              <w:rPr>
                <w:rFonts w:eastAsia="Calibri"/>
                <w:sz w:val="20"/>
                <w:lang w:val="fr-FR"/>
              </w:rPr>
            </w:pPr>
          </w:p>
        </w:tc>
        <w:tc>
          <w:tcPr>
            <w:tcW w:w="243" w:type="pct"/>
          </w:tcPr>
          <w:p w:rsidR="006A2F7C" w:rsidRPr="006D31D9" w:rsidRDefault="006A2F7C" w:rsidP="005834D2">
            <w:pPr>
              <w:jc w:val="both"/>
              <w:rPr>
                <w:rFonts w:eastAsia="Calibri"/>
                <w:sz w:val="20"/>
                <w:lang w:val="fr-FR"/>
              </w:rPr>
            </w:pPr>
          </w:p>
        </w:tc>
        <w:tc>
          <w:tcPr>
            <w:tcW w:w="2330" w:type="pct"/>
          </w:tcPr>
          <w:p w:rsidR="006A2F7C" w:rsidRPr="006D31D9" w:rsidRDefault="006A2F7C" w:rsidP="005834D2">
            <w:pPr>
              <w:jc w:val="both"/>
              <w:rPr>
                <w:rFonts w:eastAsia="Calibri"/>
                <w:sz w:val="20"/>
                <w:lang w:val="fr-FR"/>
              </w:rPr>
            </w:pPr>
            <w:r w:rsidRPr="006D31D9">
              <w:rPr>
                <w:rFonts w:eastAsia="Calibri"/>
                <w:sz w:val="20"/>
                <w:lang w:val="fr-FR"/>
              </w:rPr>
              <w:t>Appel contre la décision du Sous</w:t>
            </w:r>
            <w:r w:rsidRPr="006D31D9">
              <w:rPr>
                <w:rFonts w:eastAsia="Calibri"/>
                <w:sz w:val="20"/>
                <w:lang w:val="fr-FR"/>
              </w:rPr>
              <w:noBreakHyphen/>
              <w:t>ministre du Revenu accueilli</w:t>
            </w:r>
          </w:p>
          <w:p w:rsidR="006A2F7C" w:rsidRPr="006D31D9" w:rsidRDefault="006A2F7C" w:rsidP="005834D2">
            <w:pPr>
              <w:jc w:val="both"/>
              <w:rPr>
                <w:rFonts w:eastAsia="Calibri"/>
                <w:sz w:val="20"/>
                <w:lang w:val="fr-FR"/>
              </w:rPr>
            </w:pPr>
          </w:p>
        </w:tc>
      </w:tr>
      <w:tr w:rsidR="006A2F7C" w:rsidRPr="00257CA3" w:rsidTr="005834D2">
        <w:tc>
          <w:tcPr>
            <w:tcW w:w="2427" w:type="pct"/>
          </w:tcPr>
          <w:p w:rsidR="006A2F7C" w:rsidRPr="006D31D9" w:rsidRDefault="006A2F7C" w:rsidP="005834D2">
            <w:pPr>
              <w:jc w:val="both"/>
              <w:rPr>
                <w:rFonts w:eastAsia="Calibri"/>
                <w:sz w:val="20"/>
                <w:lang w:val="fr-FR"/>
              </w:rPr>
            </w:pPr>
            <w:r w:rsidRPr="006D31D9">
              <w:rPr>
                <w:rFonts w:eastAsia="Calibri"/>
                <w:sz w:val="20"/>
                <w:lang w:val="fr-FR"/>
              </w:rPr>
              <w:t>Le 15 mars 2012</w:t>
            </w:r>
          </w:p>
          <w:p w:rsidR="006A2F7C" w:rsidRPr="006D31D9" w:rsidRDefault="006A2F7C" w:rsidP="005834D2">
            <w:pPr>
              <w:jc w:val="both"/>
              <w:rPr>
                <w:rFonts w:eastAsia="Calibri"/>
                <w:sz w:val="20"/>
                <w:lang w:val="fr-FR"/>
              </w:rPr>
            </w:pPr>
            <w:r w:rsidRPr="006D31D9">
              <w:rPr>
                <w:rFonts w:eastAsia="Calibri"/>
                <w:sz w:val="20"/>
                <w:lang w:val="fr-FR"/>
              </w:rPr>
              <w:t>Cour d’appel du Québec (Montréal)</w:t>
            </w:r>
          </w:p>
          <w:p w:rsidR="006A2F7C" w:rsidRPr="006D31D9" w:rsidRDefault="006A2F7C" w:rsidP="005834D2">
            <w:pPr>
              <w:jc w:val="both"/>
              <w:rPr>
                <w:rFonts w:eastAsia="Calibri"/>
                <w:sz w:val="20"/>
                <w:lang w:val="fr-FR"/>
              </w:rPr>
            </w:pPr>
            <w:r w:rsidRPr="006D31D9">
              <w:rPr>
                <w:rFonts w:eastAsia="Calibri"/>
                <w:sz w:val="20"/>
                <w:lang w:val="fr-FR"/>
              </w:rPr>
              <w:t>(Les juges Thibault, Doyon et Bich)</w:t>
            </w:r>
          </w:p>
          <w:p w:rsidR="006A2F7C" w:rsidRPr="006D31D9" w:rsidRDefault="006A2F7C" w:rsidP="005834D2">
            <w:pPr>
              <w:jc w:val="both"/>
              <w:rPr>
                <w:rFonts w:eastAsia="Calibri"/>
                <w:sz w:val="20"/>
              </w:rPr>
            </w:pPr>
            <w:r w:rsidRPr="006D31D9">
              <w:rPr>
                <w:rFonts w:eastAsia="Calibri"/>
                <w:sz w:val="20"/>
              </w:rPr>
              <w:t>Référence neutre : 2012 QCCA 472</w:t>
            </w:r>
          </w:p>
          <w:p w:rsidR="006A2F7C" w:rsidRPr="006D31D9" w:rsidRDefault="006A2F7C" w:rsidP="005834D2">
            <w:pPr>
              <w:jc w:val="both"/>
              <w:rPr>
                <w:rFonts w:eastAsia="Calibri"/>
                <w:sz w:val="20"/>
              </w:rPr>
            </w:pPr>
          </w:p>
        </w:tc>
        <w:tc>
          <w:tcPr>
            <w:tcW w:w="243" w:type="pct"/>
          </w:tcPr>
          <w:p w:rsidR="006A2F7C" w:rsidRPr="006D31D9" w:rsidRDefault="006A2F7C" w:rsidP="005834D2">
            <w:pPr>
              <w:jc w:val="both"/>
              <w:rPr>
                <w:rFonts w:eastAsia="Calibri"/>
                <w:sz w:val="20"/>
                <w:lang w:val="fr-FR"/>
              </w:rPr>
            </w:pPr>
          </w:p>
        </w:tc>
        <w:tc>
          <w:tcPr>
            <w:tcW w:w="2330" w:type="pct"/>
          </w:tcPr>
          <w:p w:rsidR="006A2F7C" w:rsidRPr="006D31D9" w:rsidRDefault="006A2F7C" w:rsidP="005834D2">
            <w:pPr>
              <w:jc w:val="both"/>
              <w:rPr>
                <w:rFonts w:eastAsia="Calibri"/>
                <w:sz w:val="20"/>
                <w:lang w:val="fr-FR"/>
              </w:rPr>
            </w:pPr>
            <w:r w:rsidRPr="006D31D9">
              <w:rPr>
                <w:rFonts w:eastAsia="Calibri"/>
                <w:sz w:val="20"/>
                <w:lang w:val="fr-FR"/>
              </w:rPr>
              <w:t>Appel accueilli et jugement de la Cour du Québec infirmé</w:t>
            </w:r>
          </w:p>
        </w:tc>
      </w:tr>
      <w:tr w:rsidR="006A2F7C" w:rsidRPr="006D31D9" w:rsidTr="005834D2">
        <w:tc>
          <w:tcPr>
            <w:tcW w:w="2427" w:type="pct"/>
          </w:tcPr>
          <w:p w:rsidR="006A2F7C" w:rsidRPr="006D31D9" w:rsidRDefault="006A2F7C" w:rsidP="005834D2">
            <w:pPr>
              <w:jc w:val="both"/>
              <w:rPr>
                <w:rFonts w:eastAsia="Calibri"/>
                <w:sz w:val="20"/>
                <w:lang w:val="fr-FR"/>
              </w:rPr>
            </w:pPr>
            <w:r w:rsidRPr="006D31D9">
              <w:rPr>
                <w:rFonts w:eastAsia="Calibri"/>
                <w:sz w:val="20"/>
                <w:lang w:val="fr-FR"/>
              </w:rPr>
              <w:t>Le 14 mai 2012</w:t>
            </w:r>
          </w:p>
          <w:p w:rsidR="006A2F7C" w:rsidRPr="006D31D9" w:rsidRDefault="006A2F7C" w:rsidP="005834D2">
            <w:pPr>
              <w:jc w:val="both"/>
              <w:rPr>
                <w:rFonts w:eastAsia="Calibri"/>
                <w:sz w:val="20"/>
                <w:lang w:val="fr-CA"/>
              </w:rPr>
            </w:pPr>
            <w:r w:rsidRPr="006D31D9">
              <w:rPr>
                <w:rFonts w:eastAsia="Calibri"/>
                <w:sz w:val="20"/>
                <w:lang w:val="fr-FR"/>
              </w:rPr>
              <w:t>Cour suprême du Canada</w:t>
            </w:r>
          </w:p>
        </w:tc>
        <w:tc>
          <w:tcPr>
            <w:tcW w:w="243" w:type="pct"/>
          </w:tcPr>
          <w:p w:rsidR="006A2F7C" w:rsidRPr="006D31D9" w:rsidRDefault="006A2F7C" w:rsidP="005834D2">
            <w:pPr>
              <w:jc w:val="both"/>
              <w:rPr>
                <w:rFonts w:eastAsia="Calibri"/>
                <w:sz w:val="20"/>
                <w:lang w:val="fr-CA"/>
              </w:rPr>
            </w:pPr>
          </w:p>
        </w:tc>
        <w:tc>
          <w:tcPr>
            <w:tcW w:w="2330" w:type="pct"/>
          </w:tcPr>
          <w:p w:rsidR="006A2F7C" w:rsidRPr="006D31D9" w:rsidRDefault="006A2F7C" w:rsidP="005834D2">
            <w:pPr>
              <w:jc w:val="both"/>
              <w:rPr>
                <w:rFonts w:eastAsia="Calibri"/>
                <w:sz w:val="20"/>
              </w:rPr>
            </w:pPr>
            <w:r w:rsidRPr="006D31D9">
              <w:rPr>
                <w:rFonts w:eastAsia="Calibri"/>
                <w:sz w:val="20"/>
              </w:rPr>
              <w:t>Demande d’autorisation d’appel déposée</w:t>
            </w:r>
          </w:p>
        </w:tc>
      </w:tr>
    </w:tbl>
    <w:p w:rsidR="00106515" w:rsidRDefault="00106515" w:rsidP="00106515">
      <w:pPr>
        <w:rPr>
          <w:sz w:val="20"/>
          <w:szCs w:val="20"/>
        </w:rPr>
      </w:pPr>
    </w:p>
    <w:p w:rsidR="00106515" w:rsidRDefault="00755986" w:rsidP="00106515">
      <w:pPr>
        <w:rPr>
          <w:sz w:val="20"/>
          <w:szCs w:val="20"/>
        </w:rPr>
      </w:pPr>
      <w:r w:rsidRPr="00755986">
        <w:rPr>
          <w:sz w:val="20"/>
          <w:szCs w:val="20"/>
          <w:lang w:val="fr-CA"/>
        </w:rPr>
        <w:pict>
          <v:rect id="_x0000_i1039" style="width:2in;height:1pt" o:hrpct="0" o:hralign="center" o:hrstd="t" o:hrnoshade="t" o:hr="t" fillcolor="black [3213]" stroked="f"/>
        </w:pict>
      </w:r>
    </w:p>
    <w:p w:rsidR="00106515" w:rsidRDefault="00106515" w:rsidP="00106515">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257CA3"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106515" w:rsidRDefault="0066656F" w:rsidP="003B3977">
            <w:pPr>
              <w:rPr>
                <w:sz w:val="20"/>
                <w:szCs w:val="20"/>
                <w:lang w:val="fr-CA"/>
              </w:rPr>
            </w:pPr>
            <w:r w:rsidRPr="00106515">
              <w:rPr>
                <w:sz w:val="20"/>
                <w:szCs w:val="20"/>
                <w:lang w:val="fr-CA"/>
              </w:rPr>
              <w:t>27</w:t>
            </w:r>
            <w:r w:rsidR="0010587F" w:rsidRPr="00106515">
              <w:rPr>
                <w:sz w:val="20"/>
                <w:szCs w:val="20"/>
                <w:lang w:val="fr-CA"/>
              </w:rPr>
              <w:t>.0</w:t>
            </w:r>
            <w:r w:rsidRPr="00106515">
              <w:rPr>
                <w:sz w:val="20"/>
                <w:szCs w:val="20"/>
                <w:lang w:val="fr-CA"/>
              </w:rPr>
              <w:t>8</w:t>
            </w:r>
            <w:r w:rsidR="0010587F" w:rsidRPr="00106515">
              <w:rPr>
                <w:sz w:val="20"/>
                <w:szCs w:val="20"/>
                <w:lang w:val="fr-CA"/>
              </w:rPr>
              <w:t>.201</w:t>
            </w:r>
            <w:r w:rsidRPr="00106515">
              <w:rPr>
                <w:sz w:val="20"/>
                <w:szCs w:val="20"/>
                <w:lang w:val="fr-CA"/>
              </w:rPr>
              <w:t>2</w:t>
            </w:r>
          </w:p>
          <w:p w:rsidR="0010587F" w:rsidRPr="00106515" w:rsidRDefault="0010587F" w:rsidP="003B3977">
            <w:pPr>
              <w:rPr>
                <w:sz w:val="20"/>
                <w:szCs w:val="20"/>
                <w:lang w:val="fr-CA"/>
              </w:rPr>
            </w:pPr>
          </w:p>
          <w:p w:rsidR="0010587F" w:rsidRPr="00106515" w:rsidRDefault="0066656F" w:rsidP="003B3977">
            <w:pPr>
              <w:rPr>
                <w:b/>
                <w:sz w:val="20"/>
                <w:szCs w:val="20"/>
                <w:lang w:val="fr-CA"/>
              </w:rPr>
            </w:pPr>
            <w:r w:rsidRPr="00106515">
              <w:rPr>
                <w:b/>
                <w:sz w:val="20"/>
                <w:szCs w:val="20"/>
                <w:lang w:val="fr-CA"/>
              </w:rPr>
              <w:t xml:space="preserve">AIC </w:t>
            </w:r>
            <w:r w:rsidR="0010587F" w:rsidRPr="00106515">
              <w:rPr>
                <w:b/>
                <w:sz w:val="20"/>
                <w:szCs w:val="20"/>
                <w:lang w:val="fr-CA"/>
              </w:rPr>
              <w:t>L</w:t>
            </w:r>
            <w:r w:rsidRPr="00106515">
              <w:rPr>
                <w:b/>
                <w:sz w:val="20"/>
                <w:szCs w:val="20"/>
                <w:lang w:val="fr-CA"/>
              </w:rPr>
              <w:t>imit</w:t>
            </w:r>
            <w:r w:rsidR="0010587F" w:rsidRPr="00106515">
              <w:rPr>
                <w:b/>
                <w:sz w:val="20"/>
                <w:szCs w:val="20"/>
                <w:lang w:val="fr-CA"/>
              </w:rPr>
              <w:t>e</w:t>
            </w:r>
            <w:r w:rsidRPr="00106515">
              <w:rPr>
                <w:b/>
                <w:sz w:val="20"/>
                <w:szCs w:val="20"/>
                <w:lang w:val="fr-CA"/>
              </w:rPr>
              <w:t>d</w:t>
            </w:r>
          </w:p>
          <w:p w:rsidR="0010587F" w:rsidRPr="00106515" w:rsidRDefault="0010587F" w:rsidP="003B3977">
            <w:pPr>
              <w:rPr>
                <w:b/>
                <w:sz w:val="20"/>
                <w:szCs w:val="20"/>
                <w:lang w:val="fr-CA"/>
              </w:rPr>
            </w:pPr>
          </w:p>
          <w:p w:rsidR="0010587F" w:rsidRPr="00106515" w:rsidRDefault="0010587F" w:rsidP="003B3977">
            <w:pPr>
              <w:rPr>
                <w:b/>
                <w:sz w:val="20"/>
                <w:szCs w:val="20"/>
                <w:lang w:val="fr-CA"/>
              </w:rPr>
            </w:pPr>
            <w:r w:rsidRPr="00106515">
              <w:rPr>
                <w:b/>
                <w:sz w:val="20"/>
                <w:szCs w:val="20"/>
                <w:lang w:val="fr-CA"/>
              </w:rPr>
              <w:tab/>
              <w:t>v. (34</w:t>
            </w:r>
            <w:r w:rsidR="0066656F" w:rsidRPr="00106515">
              <w:rPr>
                <w:b/>
                <w:sz w:val="20"/>
                <w:szCs w:val="20"/>
                <w:lang w:val="fr-CA"/>
              </w:rPr>
              <w:t>738</w:t>
            </w:r>
            <w:r w:rsidRPr="00106515">
              <w:rPr>
                <w:b/>
                <w:sz w:val="20"/>
                <w:szCs w:val="20"/>
                <w:lang w:val="fr-CA"/>
              </w:rPr>
              <w:t>)</w:t>
            </w:r>
          </w:p>
          <w:p w:rsidR="0010587F" w:rsidRPr="00106515" w:rsidRDefault="0010587F" w:rsidP="003B3977">
            <w:pPr>
              <w:rPr>
                <w:b/>
                <w:sz w:val="20"/>
                <w:szCs w:val="20"/>
                <w:lang w:val="fr-CA"/>
              </w:rPr>
            </w:pPr>
          </w:p>
          <w:p w:rsidR="0010587F" w:rsidRPr="0066656F" w:rsidRDefault="0066656F" w:rsidP="003B3977">
            <w:pPr>
              <w:rPr>
                <w:b/>
                <w:sz w:val="20"/>
                <w:szCs w:val="20"/>
                <w:lang w:val="fr-CA"/>
              </w:rPr>
            </w:pPr>
            <w:r w:rsidRPr="0066656F">
              <w:rPr>
                <w:b/>
                <w:sz w:val="20"/>
                <w:szCs w:val="20"/>
                <w:lang w:val="fr-CA"/>
              </w:rPr>
              <w:t xml:space="preserve">Dennis Fischer </w:t>
            </w:r>
            <w:r w:rsidR="0010587F" w:rsidRPr="0066656F">
              <w:rPr>
                <w:b/>
                <w:sz w:val="20"/>
                <w:szCs w:val="20"/>
                <w:lang w:val="fr-CA"/>
              </w:rPr>
              <w:t>e</w:t>
            </w:r>
            <w:r w:rsidRPr="0066656F">
              <w:rPr>
                <w:b/>
                <w:sz w:val="20"/>
                <w:szCs w:val="20"/>
                <w:lang w:val="fr-CA"/>
              </w:rPr>
              <w:t>t al.</w:t>
            </w:r>
            <w:r w:rsidR="0010587F" w:rsidRPr="0066656F">
              <w:rPr>
                <w:b/>
                <w:sz w:val="20"/>
                <w:szCs w:val="20"/>
                <w:lang w:val="fr-CA"/>
              </w:rPr>
              <w:t xml:space="preserve"> (</w:t>
            </w:r>
            <w:r w:rsidRPr="0066656F">
              <w:rPr>
                <w:b/>
                <w:sz w:val="20"/>
                <w:szCs w:val="20"/>
                <w:lang w:val="fr-CA"/>
              </w:rPr>
              <w:t>On</w:t>
            </w:r>
            <w:r w:rsidR="0010587F" w:rsidRPr="0066656F">
              <w:rPr>
                <w:b/>
                <w:sz w:val="20"/>
                <w:szCs w:val="20"/>
                <w:lang w:val="fr-CA"/>
              </w:rPr>
              <w:t>t.)</w:t>
            </w:r>
          </w:p>
          <w:p w:rsidR="0010587F" w:rsidRPr="0066656F"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66656F">
              <w:rPr>
                <w:sz w:val="20"/>
                <w:szCs w:val="20"/>
              </w:rPr>
              <w:t>By Leave</w:t>
            </w:r>
            <w:r w:rsidRPr="003B3977">
              <w:rPr>
                <w:sz w:val="20"/>
                <w:szCs w:val="20"/>
              </w:rPr>
              <w:t>)</w:t>
            </w:r>
          </w:p>
          <w:p w:rsidR="0010587F" w:rsidRPr="003B3977" w:rsidRDefault="0010587F" w:rsidP="003B3977">
            <w:pPr>
              <w:rPr>
                <w:sz w:val="20"/>
                <w:szCs w:val="20"/>
              </w:rPr>
            </w:pPr>
          </w:p>
          <w:p w:rsidR="0010587F" w:rsidRPr="0066656F" w:rsidRDefault="00755986" w:rsidP="003B3977">
            <w:pPr>
              <w:rPr>
                <w:sz w:val="20"/>
                <w:szCs w:val="20"/>
              </w:rPr>
            </w:pPr>
            <w:r w:rsidRPr="00755986">
              <w:rPr>
                <w:sz w:val="20"/>
                <w:szCs w:val="20"/>
                <w:lang w:val="fr-CA"/>
              </w:rPr>
              <w:pict>
                <v:rect id="_x0000_i1042"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66656F" w:rsidP="003B3977">
            <w:pPr>
              <w:rPr>
                <w:sz w:val="20"/>
                <w:szCs w:val="20"/>
              </w:rPr>
            </w:pPr>
            <w:r>
              <w:rPr>
                <w:sz w:val="20"/>
                <w:szCs w:val="20"/>
              </w:rPr>
              <w:t>29</w:t>
            </w:r>
            <w:r w:rsidR="0010587F" w:rsidRPr="003B3977">
              <w:rPr>
                <w:sz w:val="20"/>
                <w:szCs w:val="20"/>
              </w:rPr>
              <w:t>.0</w:t>
            </w:r>
            <w:r>
              <w:rPr>
                <w:sz w:val="20"/>
                <w:szCs w:val="20"/>
              </w:rPr>
              <w:t>8.</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66656F" w:rsidP="003B3977">
            <w:pPr>
              <w:rPr>
                <w:b/>
                <w:sz w:val="20"/>
                <w:szCs w:val="20"/>
              </w:rPr>
            </w:pPr>
            <w:r>
              <w:rPr>
                <w:b/>
                <w:sz w:val="20"/>
                <w:szCs w:val="20"/>
              </w:rPr>
              <w:t>L</w:t>
            </w:r>
            <w:r w:rsidR="0010587F" w:rsidRPr="003B3977">
              <w:rPr>
                <w:b/>
                <w:sz w:val="20"/>
                <w:szCs w:val="20"/>
              </w:rPr>
              <w:t>e</w:t>
            </w:r>
            <w:r>
              <w:rPr>
                <w:b/>
                <w:sz w:val="20"/>
                <w:szCs w:val="20"/>
              </w:rPr>
              <w:t>igh</w:t>
            </w:r>
            <w:r w:rsidR="0010587F" w:rsidRPr="003B3977">
              <w:rPr>
                <w:b/>
                <w:sz w:val="20"/>
                <w:szCs w:val="20"/>
              </w:rPr>
              <w:t>t</w:t>
            </w:r>
            <w:r>
              <w:rPr>
                <w:b/>
                <w:sz w:val="20"/>
                <w:szCs w:val="20"/>
              </w:rPr>
              <w:t>o</w:t>
            </w:r>
            <w:r w:rsidR="0010587F" w:rsidRPr="003B3977">
              <w:rPr>
                <w:b/>
                <w:sz w:val="20"/>
                <w:szCs w:val="20"/>
              </w:rPr>
              <w:t>n</w:t>
            </w:r>
            <w:r>
              <w:rPr>
                <w:b/>
                <w:sz w:val="20"/>
                <w:szCs w:val="20"/>
              </w:rPr>
              <w:t xml:space="preserve"> Hay</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w:t>
            </w:r>
            <w:r w:rsidR="0066656F">
              <w:rPr>
                <w:b/>
                <w:sz w:val="20"/>
                <w:szCs w:val="20"/>
              </w:rPr>
              <w:t>536</w:t>
            </w:r>
            <w:r w:rsidRPr="003B3977">
              <w:rPr>
                <w:b/>
                <w:sz w:val="20"/>
                <w:szCs w:val="20"/>
              </w:rPr>
              <w:t>)</w:t>
            </w:r>
          </w:p>
          <w:p w:rsidR="0010587F" w:rsidRPr="003B3977" w:rsidRDefault="0010587F" w:rsidP="003B3977">
            <w:pPr>
              <w:rPr>
                <w:b/>
                <w:sz w:val="20"/>
                <w:szCs w:val="20"/>
              </w:rPr>
            </w:pPr>
          </w:p>
          <w:p w:rsidR="0010587F" w:rsidRPr="0066656F" w:rsidRDefault="0066656F" w:rsidP="003B3977">
            <w:pPr>
              <w:rPr>
                <w:b/>
                <w:sz w:val="20"/>
                <w:szCs w:val="20"/>
              </w:rPr>
            </w:pPr>
            <w:r w:rsidRPr="003B3977">
              <w:rPr>
                <w:b/>
                <w:sz w:val="20"/>
                <w:szCs w:val="20"/>
              </w:rPr>
              <w:t xml:space="preserve">Her Majesty the Queen </w:t>
            </w:r>
            <w:r w:rsidR="0010587F" w:rsidRPr="0066656F">
              <w:rPr>
                <w:b/>
                <w:sz w:val="20"/>
                <w:szCs w:val="20"/>
              </w:rPr>
              <w:t>(Ont.)</w:t>
            </w:r>
          </w:p>
          <w:p w:rsidR="0010587F" w:rsidRPr="0066656F" w:rsidRDefault="0010587F" w:rsidP="003B3977">
            <w:pPr>
              <w:rPr>
                <w:sz w:val="20"/>
                <w:szCs w:val="20"/>
              </w:rPr>
            </w:pPr>
          </w:p>
          <w:p w:rsidR="0010587F" w:rsidRPr="003B3977" w:rsidRDefault="0010587F" w:rsidP="003B3977">
            <w:pPr>
              <w:rPr>
                <w:sz w:val="20"/>
                <w:szCs w:val="20"/>
              </w:rPr>
            </w:pPr>
            <w:r w:rsidRPr="003B3977">
              <w:rPr>
                <w:sz w:val="20"/>
                <w:szCs w:val="20"/>
              </w:rPr>
              <w:t>(</w:t>
            </w:r>
            <w:r w:rsidR="0066656F">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755986" w:rsidP="003B3977">
            <w:pPr>
              <w:rPr>
                <w:sz w:val="20"/>
                <w:szCs w:val="20"/>
              </w:rPr>
            </w:pPr>
            <w:r w:rsidRPr="00755986">
              <w:rPr>
                <w:sz w:val="20"/>
                <w:szCs w:val="20"/>
                <w:lang w:val="fr-CA"/>
              </w:rPr>
              <w:pict>
                <v:rect id="_x0000_i1043"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66656F" w:rsidP="003B3977">
            <w:pPr>
              <w:rPr>
                <w:sz w:val="20"/>
                <w:szCs w:val="20"/>
              </w:rPr>
            </w:pPr>
            <w:r>
              <w:rPr>
                <w:sz w:val="20"/>
                <w:szCs w:val="20"/>
              </w:rPr>
              <w:t>29</w:t>
            </w:r>
            <w:r w:rsidR="0010587F" w:rsidRPr="003B3977">
              <w:rPr>
                <w:sz w:val="20"/>
                <w:szCs w:val="20"/>
              </w:rPr>
              <w:t>.0</w:t>
            </w:r>
            <w:r>
              <w:rPr>
                <w:sz w:val="20"/>
                <w:szCs w:val="20"/>
              </w:rPr>
              <w:t>8</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66656F" w:rsidP="003B3977">
            <w:pPr>
              <w:rPr>
                <w:b/>
                <w:sz w:val="20"/>
                <w:szCs w:val="20"/>
              </w:rPr>
            </w:pPr>
            <w:r w:rsidRPr="003B3977">
              <w:rPr>
                <w:b/>
                <w:sz w:val="20"/>
                <w:szCs w:val="20"/>
              </w:rPr>
              <w:t xml:space="preserve">Her Majesty the Queen </w:t>
            </w:r>
            <w:r>
              <w:rPr>
                <w:b/>
                <w:sz w:val="20"/>
                <w:szCs w:val="20"/>
              </w:rPr>
              <w:t>in Right of the Province of British Columbia as represented by the Ministry of Forests</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66656F">
              <w:rPr>
                <w:b/>
                <w:sz w:val="20"/>
                <w:szCs w:val="20"/>
              </w:rPr>
              <w:t>476</w:t>
            </w:r>
            <w:r w:rsidRPr="003B3977">
              <w:rPr>
                <w:b/>
                <w:sz w:val="20"/>
                <w:szCs w:val="20"/>
              </w:rPr>
              <w:t>9)</w:t>
            </w:r>
          </w:p>
          <w:p w:rsidR="0010587F" w:rsidRPr="003B3977" w:rsidRDefault="0010587F" w:rsidP="003B3977">
            <w:pPr>
              <w:rPr>
                <w:b/>
                <w:sz w:val="20"/>
                <w:szCs w:val="20"/>
              </w:rPr>
            </w:pPr>
          </w:p>
          <w:p w:rsidR="0010587F" w:rsidRPr="003B3977" w:rsidRDefault="0066656F" w:rsidP="003B3977">
            <w:pPr>
              <w:rPr>
                <w:b/>
                <w:sz w:val="20"/>
                <w:szCs w:val="20"/>
              </w:rPr>
            </w:pPr>
            <w:r>
              <w:rPr>
                <w:b/>
                <w:sz w:val="20"/>
                <w:szCs w:val="20"/>
              </w:rPr>
              <w:t>Teal Cedar Products Ltd.</w:t>
            </w:r>
            <w:r w:rsidR="0010587F" w:rsidRPr="003B3977">
              <w:rPr>
                <w:b/>
                <w:sz w:val="20"/>
                <w:szCs w:val="20"/>
              </w:rPr>
              <w:t xml:space="preserve"> (</w:t>
            </w:r>
            <w:r>
              <w:rPr>
                <w:b/>
                <w:sz w:val="20"/>
                <w:szCs w:val="20"/>
              </w:rPr>
              <w:t>B.C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66656F">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755986" w:rsidP="003B3977">
            <w:pPr>
              <w:rPr>
                <w:sz w:val="20"/>
                <w:szCs w:val="20"/>
              </w:rPr>
            </w:pPr>
            <w:r w:rsidRPr="00755986">
              <w:rPr>
                <w:sz w:val="20"/>
                <w:szCs w:val="20"/>
                <w:lang w:val="fr-CA"/>
              </w:rPr>
              <w:pict>
                <v:rect id="_x0000_i104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r w:rsidRPr="003B3977">
              <w:rPr>
                <w:sz w:val="20"/>
                <w:szCs w:val="20"/>
              </w:rPr>
              <w:t>2</w:t>
            </w:r>
            <w:r w:rsidR="0066656F">
              <w:rPr>
                <w:sz w:val="20"/>
                <w:szCs w:val="20"/>
              </w:rPr>
              <w:t>9</w:t>
            </w:r>
            <w:r w:rsidRPr="003B3977">
              <w:rPr>
                <w:sz w:val="20"/>
                <w:szCs w:val="20"/>
              </w:rPr>
              <w:t>.0</w:t>
            </w:r>
            <w:r w:rsidR="0066656F">
              <w:rPr>
                <w:sz w:val="20"/>
                <w:szCs w:val="20"/>
              </w:rPr>
              <w:t>8</w:t>
            </w:r>
            <w:r w:rsidRPr="003B3977">
              <w:rPr>
                <w:sz w:val="20"/>
                <w:szCs w:val="20"/>
              </w:rPr>
              <w:t>.201</w:t>
            </w:r>
            <w:r w:rsidR="0066656F">
              <w:rPr>
                <w:sz w:val="20"/>
                <w:szCs w:val="20"/>
              </w:rPr>
              <w:t>2</w:t>
            </w:r>
          </w:p>
          <w:p w:rsidR="0010587F" w:rsidRPr="003B3977" w:rsidRDefault="0010587F" w:rsidP="003B3977">
            <w:pPr>
              <w:rPr>
                <w:sz w:val="20"/>
                <w:szCs w:val="20"/>
              </w:rPr>
            </w:pPr>
          </w:p>
          <w:p w:rsidR="0010587F" w:rsidRPr="003B3977" w:rsidRDefault="0066656F" w:rsidP="003B3977">
            <w:pPr>
              <w:rPr>
                <w:b/>
                <w:sz w:val="20"/>
                <w:szCs w:val="20"/>
              </w:rPr>
            </w:pPr>
            <w:r>
              <w:rPr>
                <w:b/>
                <w:sz w:val="20"/>
                <w:szCs w:val="20"/>
              </w:rPr>
              <w:t>Bill James Pappas</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66656F">
              <w:rPr>
                <w:b/>
                <w:sz w:val="20"/>
                <w:szCs w:val="20"/>
              </w:rPr>
              <w:t>4</w:t>
            </w:r>
            <w:r w:rsidRPr="003B3977">
              <w:rPr>
                <w:b/>
                <w:sz w:val="20"/>
                <w:szCs w:val="20"/>
              </w:rPr>
              <w:t>9</w:t>
            </w:r>
            <w:r w:rsidR="0066656F">
              <w:rPr>
                <w:b/>
                <w:sz w:val="20"/>
                <w:szCs w:val="20"/>
              </w:rPr>
              <w:t>51</w:t>
            </w:r>
            <w:r w:rsidRPr="003B3977">
              <w:rPr>
                <w:b/>
                <w:sz w:val="20"/>
                <w:szCs w:val="20"/>
              </w:rPr>
              <w:t>)</w:t>
            </w:r>
          </w:p>
          <w:p w:rsidR="0010587F" w:rsidRPr="003B3977" w:rsidRDefault="0010587F" w:rsidP="003B3977">
            <w:pPr>
              <w:rPr>
                <w:b/>
                <w:sz w:val="20"/>
                <w:szCs w:val="20"/>
              </w:rPr>
            </w:pPr>
          </w:p>
          <w:p w:rsidR="0010587F" w:rsidRPr="003B3977" w:rsidRDefault="0066656F" w:rsidP="003B3977">
            <w:pPr>
              <w:rPr>
                <w:b/>
                <w:sz w:val="20"/>
                <w:szCs w:val="20"/>
              </w:rPr>
            </w:pPr>
            <w:r w:rsidRPr="003B3977">
              <w:rPr>
                <w:b/>
                <w:sz w:val="20"/>
                <w:szCs w:val="20"/>
              </w:rPr>
              <w:t xml:space="preserve">Her Majesty the Queen </w:t>
            </w:r>
            <w:r w:rsidR="0010587F" w:rsidRPr="003B3977">
              <w:rPr>
                <w:b/>
                <w:sz w:val="20"/>
                <w:szCs w:val="20"/>
              </w:rPr>
              <w:t>(</w:t>
            </w:r>
            <w:r>
              <w:rPr>
                <w:b/>
                <w:sz w:val="20"/>
                <w:szCs w:val="20"/>
              </w:rPr>
              <w:t>Alta</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66656F">
              <w:rPr>
                <w:sz w:val="20"/>
                <w:szCs w:val="20"/>
              </w:rPr>
              <w:t>As of Right</w:t>
            </w:r>
            <w:r w:rsidRPr="003B3977">
              <w:rPr>
                <w:sz w:val="20"/>
                <w:szCs w:val="20"/>
              </w:rPr>
              <w:t>)</w:t>
            </w:r>
          </w:p>
          <w:p w:rsidR="0010587F" w:rsidRPr="003B3977" w:rsidRDefault="0010587F" w:rsidP="003B3977">
            <w:pPr>
              <w:rPr>
                <w:sz w:val="20"/>
                <w:szCs w:val="20"/>
              </w:rPr>
            </w:pPr>
          </w:p>
          <w:p w:rsidR="0010587F" w:rsidRPr="003B3977" w:rsidRDefault="00755986" w:rsidP="003B3977">
            <w:pPr>
              <w:rPr>
                <w:sz w:val="20"/>
                <w:szCs w:val="20"/>
              </w:rPr>
            </w:pPr>
            <w:r w:rsidRPr="00755986">
              <w:rPr>
                <w:sz w:val="20"/>
                <w:szCs w:val="20"/>
                <w:lang w:val="fr-CA"/>
              </w:rPr>
              <w:pict>
                <v:rect id="_x0000_i1045"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66656F" w:rsidRDefault="0066656F" w:rsidP="003B3977">
            <w:pPr>
              <w:rPr>
                <w:sz w:val="20"/>
                <w:szCs w:val="20"/>
              </w:rPr>
            </w:pPr>
          </w:p>
          <w:p w:rsidR="0010587F" w:rsidRPr="003B3977" w:rsidRDefault="0066656F" w:rsidP="003B3977">
            <w:pPr>
              <w:rPr>
                <w:sz w:val="20"/>
                <w:szCs w:val="20"/>
              </w:rPr>
            </w:pPr>
            <w:r>
              <w:rPr>
                <w:sz w:val="20"/>
                <w:szCs w:val="20"/>
              </w:rPr>
              <w:t>29</w:t>
            </w:r>
            <w:r w:rsidR="0010587F" w:rsidRPr="003B3977">
              <w:rPr>
                <w:sz w:val="20"/>
                <w:szCs w:val="20"/>
              </w:rPr>
              <w:t>.0</w:t>
            </w:r>
            <w:r>
              <w:rPr>
                <w:sz w:val="20"/>
                <w:szCs w:val="20"/>
              </w:rPr>
              <w:t>8</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66656F">
              <w:rPr>
                <w:b/>
                <w:sz w:val="20"/>
                <w:szCs w:val="20"/>
              </w:rPr>
              <w:t>4</w:t>
            </w:r>
            <w:r w:rsidRPr="003B3977">
              <w:rPr>
                <w:b/>
                <w:sz w:val="20"/>
                <w:szCs w:val="20"/>
              </w:rPr>
              <w:t>9</w:t>
            </w:r>
            <w:r w:rsidR="0066656F">
              <w:rPr>
                <w:b/>
                <w:sz w:val="20"/>
                <w:szCs w:val="20"/>
              </w:rPr>
              <w:t>52</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G</w:t>
            </w:r>
            <w:r w:rsidR="0066656F">
              <w:rPr>
                <w:b/>
                <w:sz w:val="20"/>
                <w:szCs w:val="20"/>
              </w:rPr>
              <w:t>.M.</w:t>
            </w:r>
            <w:r w:rsidRPr="003B3977">
              <w:rPr>
                <w:b/>
                <w:sz w:val="20"/>
                <w:szCs w:val="20"/>
              </w:rPr>
              <w:t xml:space="preserve"> (</w:t>
            </w:r>
            <w:r w:rsidR="0066656F">
              <w:rPr>
                <w:b/>
                <w:sz w:val="20"/>
                <w:szCs w:val="20"/>
              </w:rPr>
              <w:t>N.L</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755986" w:rsidP="003B3977">
            <w:pPr>
              <w:rPr>
                <w:sz w:val="20"/>
                <w:szCs w:val="20"/>
              </w:rPr>
            </w:pPr>
            <w:r w:rsidRPr="00755986">
              <w:rPr>
                <w:sz w:val="20"/>
                <w:szCs w:val="20"/>
                <w:lang w:val="fr-CA"/>
              </w:rPr>
              <w:pict>
                <v:rect id="_x0000_i1046"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F75A31" w:rsidRDefault="0066656F" w:rsidP="0010587F">
            <w:pPr>
              <w:rPr>
                <w:sz w:val="20"/>
                <w:szCs w:val="20"/>
                <w:lang w:val="fr-CA"/>
              </w:rPr>
            </w:pPr>
            <w:r w:rsidRPr="00F75A31">
              <w:rPr>
                <w:sz w:val="20"/>
                <w:szCs w:val="20"/>
                <w:lang w:val="fr-CA"/>
              </w:rPr>
              <w:t>10</w:t>
            </w:r>
            <w:r w:rsidR="0010587F" w:rsidRPr="00F75A31">
              <w:rPr>
                <w:sz w:val="20"/>
                <w:szCs w:val="20"/>
                <w:lang w:val="fr-CA"/>
              </w:rPr>
              <w:t>.0</w:t>
            </w:r>
            <w:r w:rsidRPr="00F75A31">
              <w:rPr>
                <w:sz w:val="20"/>
                <w:szCs w:val="20"/>
                <w:lang w:val="fr-CA"/>
              </w:rPr>
              <w:t>9</w:t>
            </w:r>
            <w:r w:rsidR="0010587F" w:rsidRPr="00F75A31">
              <w:rPr>
                <w:sz w:val="20"/>
                <w:szCs w:val="20"/>
                <w:lang w:val="fr-CA"/>
              </w:rPr>
              <w:t>.201</w:t>
            </w:r>
            <w:r w:rsidRPr="00F75A31">
              <w:rPr>
                <w:sz w:val="20"/>
                <w:szCs w:val="20"/>
                <w:lang w:val="fr-CA"/>
              </w:rPr>
              <w:t>2</w:t>
            </w:r>
          </w:p>
          <w:p w:rsidR="0010587F" w:rsidRPr="00F75A31" w:rsidRDefault="0010587F" w:rsidP="0010587F">
            <w:pPr>
              <w:rPr>
                <w:sz w:val="20"/>
                <w:szCs w:val="20"/>
                <w:lang w:val="fr-CA"/>
              </w:rPr>
            </w:pPr>
          </w:p>
          <w:p w:rsidR="0010587F" w:rsidRPr="00F75A31" w:rsidRDefault="0066656F" w:rsidP="0010587F">
            <w:pPr>
              <w:rPr>
                <w:b/>
                <w:sz w:val="20"/>
                <w:szCs w:val="20"/>
                <w:lang w:val="fr-CA"/>
              </w:rPr>
            </w:pPr>
            <w:r w:rsidRPr="00F75A31">
              <w:rPr>
                <w:b/>
                <w:sz w:val="20"/>
                <w:szCs w:val="20"/>
                <w:lang w:val="fr-CA"/>
              </w:rPr>
              <w:t>Viv</w:t>
            </w:r>
            <w:r w:rsidR="0010587F" w:rsidRPr="00F75A31">
              <w:rPr>
                <w:b/>
                <w:sz w:val="20"/>
                <w:szCs w:val="20"/>
                <w:lang w:val="fr-CA"/>
              </w:rPr>
              <w:t>en</w:t>
            </w:r>
            <w:r w:rsidRPr="00F75A31">
              <w:rPr>
                <w:b/>
                <w:sz w:val="20"/>
                <w:szCs w:val="20"/>
                <w:lang w:val="fr-CA"/>
              </w:rPr>
              <w:t xml:space="preserve">di Canada </w:t>
            </w:r>
            <w:r w:rsidR="00257CA3">
              <w:rPr>
                <w:b/>
                <w:sz w:val="20"/>
                <w:szCs w:val="20"/>
                <w:lang w:val="fr-CA"/>
              </w:rPr>
              <w:t>i</w:t>
            </w:r>
            <w:r w:rsidRPr="00F75A31">
              <w:rPr>
                <w:b/>
                <w:sz w:val="20"/>
                <w:szCs w:val="20"/>
                <w:lang w:val="fr-CA"/>
              </w:rPr>
              <w:t>nc.</w:t>
            </w:r>
          </w:p>
          <w:p w:rsidR="0010587F" w:rsidRPr="00F75A31" w:rsidRDefault="0010587F" w:rsidP="0010587F">
            <w:pPr>
              <w:rPr>
                <w:b/>
                <w:sz w:val="20"/>
                <w:szCs w:val="20"/>
                <w:lang w:val="fr-CA"/>
              </w:rPr>
            </w:pPr>
          </w:p>
          <w:p w:rsidR="0010587F" w:rsidRPr="00F75A31" w:rsidRDefault="0010587F" w:rsidP="0010587F">
            <w:pPr>
              <w:rPr>
                <w:b/>
                <w:sz w:val="20"/>
                <w:szCs w:val="20"/>
                <w:lang w:val="fr-CA"/>
              </w:rPr>
            </w:pPr>
            <w:r w:rsidRPr="00F75A31">
              <w:rPr>
                <w:b/>
                <w:sz w:val="20"/>
                <w:szCs w:val="20"/>
                <w:lang w:val="fr-CA"/>
              </w:rPr>
              <w:tab/>
            </w:r>
            <w:r w:rsidR="0066656F" w:rsidRPr="00F75A31">
              <w:rPr>
                <w:b/>
                <w:sz w:val="20"/>
                <w:szCs w:val="20"/>
                <w:lang w:val="fr-CA"/>
              </w:rPr>
              <w:t>c</w:t>
            </w:r>
            <w:r w:rsidRPr="00F75A31">
              <w:rPr>
                <w:b/>
                <w:sz w:val="20"/>
                <w:szCs w:val="20"/>
                <w:lang w:val="fr-CA"/>
              </w:rPr>
              <w:t>. (3</w:t>
            </w:r>
            <w:r w:rsidR="0066656F" w:rsidRPr="00F75A31">
              <w:rPr>
                <w:b/>
                <w:sz w:val="20"/>
                <w:szCs w:val="20"/>
                <w:lang w:val="fr-CA"/>
              </w:rPr>
              <w:t>4800</w:t>
            </w:r>
            <w:r w:rsidRPr="00F75A31">
              <w:rPr>
                <w:b/>
                <w:sz w:val="20"/>
                <w:szCs w:val="20"/>
                <w:lang w:val="fr-CA"/>
              </w:rPr>
              <w:t>)</w:t>
            </w:r>
          </w:p>
          <w:p w:rsidR="0010587F" w:rsidRPr="00F75A31" w:rsidRDefault="0010587F" w:rsidP="0010587F">
            <w:pPr>
              <w:rPr>
                <w:b/>
                <w:sz w:val="20"/>
                <w:szCs w:val="20"/>
                <w:lang w:val="fr-CA"/>
              </w:rPr>
            </w:pPr>
          </w:p>
          <w:p w:rsidR="0010587F" w:rsidRPr="003B3977" w:rsidRDefault="0066656F" w:rsidP="0010587F">
            <w:pPr>
              <w:rPr>
                <w:b/>
                <w:sz w:val="20"/>
                <w:szCs w:val="20"/>
                <w:lang w:val="fr-CA"/>
              </w:rPr>
            </w:pPr>
            <w:r>
              <w:rPr>
                <w:b/>
                <w:sz w:val="20"/>
                <w:szCs w:val="20"/>
                <w:lang w:val="fr-CA"/>
              </w:rPr>
              <w:t>Michel Dell’Aniel</w:t>
            </w:r>
            <w:r w:rsidR="0010587F" w:rsidRPr="003B3977">
              <w:rPr>
                <w:b/>
                <w:sz w:val="20"/>
                <w:szCs w:val="20"/>
                <w:lang w:val="fr-CA"/>
              </w:rPr>
              <w:t>l</w:t>
            </w:r>
            <w:r>
              <w:rPr>
                <w:b/>
                <w:sz w:val="20"/>
                <w:szCs w:val="20"/>
                <w:lang w:val="fr-CA"/>
              </w:rPr>
              <w:t>o</w:t>
            </w:r>
            <w:r w:rsidR="0010587F" w:rsidRPr="003B3977">
              <w:rPr>
                <w:b/>
                <w:sz w:val="20"/>
                <w:szCs w:val="20"/>
                <w:lang w:val="fr-CA"/>
              </w:rPr>
              <w:t xml:space="preserve"> (</w:t>
            </w:r>
            <w:r>
              <w:rPr>
                <w:b/>
                <w:sz w:val="20"/>
                <w:szCs w:val="20"/>
                <w:lang w:val="fr-CA"/>
              </w:rPr>
              <w:t>Q</w:t>
            </w:r>
            <w:r w:rsidR="00F75A31">
              <w:rPr>
                <w:b/>
                <w:sz w:val="20"/>
                <w:szCs w:val="20"/>
                <w:lang w:val="fr-CA"/>
              </w:rPr>
              <w:t>c</w:t>
            </w:r>
            <w:r w:rsidR="0010587F" w:rsidRPr="003B3977">
              <w:rPr>
                <w:b/>
                <w:sz w:val="20"/>
                <w:szCs w:val="20"/>
                <w:lang w:val="fr-CA"/>
              </w:rPr>
              <w:t>)</w:t>
            </w:r>
          </w:p>
          <w:p w:rsidR="0010587F" w:rsidRPr="003B3977" w:rsidRDefault="0010587F" w:rsidP="0010587F">
            <w:pPr>
              <w:rPr>
                <w:sz w:val="20"/>
                <w:szCs w:val="20"/>
                <w:lang w:val="fr-CA"/>
              </w:rPr>
            </w:pPr>
          </w:p>
          <w:p w:rsidR="0010587F" w:rsidRPr="00257CA3" w:rsidRDefault="0010587F" w:rsidP="0010587F">
            <w:pPr>
              <w:rPr>
                <w:sz w:val="20"/>
                <w:szCs w:val="20"/>
                <w:lang w:val="fr-CA"/>
              </w:rPr>
            </w:pPr>
            <w:r w:rsidRPr="00257CA3">
              <w:rPr>
                <w:sz w:val="20"/>
                <w:szCs w:val="20"/>
                <w:lang w:val="fr-CA"/>
              </w:rPr>
              <w:t>(A</w:t>
            </w:r>
            <w:r w:rsidR="0066656F" w:rsidRPr="00257CA3">
              <w:rPr>
                <w:sz w:val="20"/>
                <w:szCs w:val="20"/>
                <w:lang w:val="fr-CA"/>
              </w:rPr>
              <w:t>utori</w:t>
            </w:r>
            <w:r w:rsidRPr="00257CA3">
              <w:rPr>
                <w:sz w:val="20"/>
                <w:szCs w:val="20"/>
                <w:lang w:val="fr-CA"/>
              </w:rPr>
              <w:t>s</w:t>
            </w:r>
            <w:r w:rsidR="0066656F" w:rsidRPr="00257CA3">
              <w:rPr>
                <w:sz w:val="20"/>
                <w:szCs w:val="20"/>
                <w:lang w:val="fr-CA"/>
              </w:rPr>
              <w:t>a</w:t>
            </w:r>
            <w:r w:rsidRPr="00257CA3">
              <w:rPr>
                <w:sz w:val="20"/>
                <w:szCs w:val="20"/>
                <w:lang w:val="fr-CA"/>
              </w:rPr>
              <w:t>t</w:t>
            </w:r>
            <w:r w:rsidR="0066656F" w:rsidRPr="00257CA3">
              <w:rPr>
                <w:sz w:val="20"/>
                <w:szCs w:val="20"/>
                <w:lang w:val="fr-CA"/>
              </w:rPr>
              <w:t>ion</w:t>
            </w:r>
            <w:r w:rsidRPr="00257CA3">
              <w:rPr>
                <w:sz w:val="20"/>
                <w:szCs w:val="20"/>
                <w:lang w:val="fr-CA"/>
              </w:rPr>
              <w:t>)</w:t>
            </w:r>
          </w:p>
          <w:p w:rsidR="0010587F" w:rsidRPr="00257CA3" w:rsidRDefault="0010587F" w:rsidP="0010587F">
            <w:pPr>
              <w:rPr>
                <w:sz w:val="20"/>
                <w:szCs w:val="20"/>
                <w:lang w:val="fr-CA"/>
              </w:rPr>
            </w:pPr>
          </w:p>
          <w:p w:rsidR="0010587F" w:rsidRPr="003B3977" w:rsidRDefault="00755986" w:rsidP="0010587F">
            <w:pPr>
              <w:rPr>
                <w:sz w:val="20"/>
                <w:szCs w:val="20"/>
              </w:rPr>
            </w:pPr>
            <w:r w:rsidRPr="00755986">
              <w:rPr>
                <w:sz w:val="20"/>
                <w:szCs w:val="20"/>
                <w:lang w:val="fr-CA"/>
              </w:rPr>
              <w:pict>
                <v:rect id="_x0000_i1047"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p w:rsidR="00091FA6" w:rsidRPr="002E0C7E" w:rsidRDefault="00755986"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66656F">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66656F">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66656F">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66656F">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66656F">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66656F">
            <w:pPr>
              <w:widowControl w:val="0"/>
              <w:jc w:val="center"/>
              <w:rPr>
                <w:rFonts w:ascii="Arial" w:hAnsi="Arial"/>
                <w:sz w:val="14"/>
              </w:rPr>
            </w:pPr>
            <w:r w:rsidRPr="002E0C7E">
              <w:rPr>
                <w:rFonts w:ascii="Arial" w:hAnsi="Arial"/>
                <w:b/>
                <w:sz w:val="14"/>
              </w:rPr>
              <w:t>DECEMBER - DÉCEMBRE</w:t>
            </w:r>
          </w:p>
        </w:tc>
      </w:tr>
      <w:tr w:rsidR="00091FA6" w:rsidRPr="002E0C7E" w:rsidTr="0066656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M</w:t>
            </w:r>
          </w:p>
          <w:p w:rsidR="00091FA6" w:rsidRPr="002E0C7E" w:rsidRDefault="00091FA6" w:rsidP="0066656F">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W</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F</w:t>
            </w:r>
          </w:p>
          <w:p w:rsidR="00091FA6" w:rsidRPr="002E0C7E" w:rsidRDefault="00091FA6" w:rsidP="0066656F">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M</w:t>
            </w:r>
          </w:p>
          <w:p w:rsidR="00091FA6" w:rsidRPr="002E0C7E" w:rsidRDefault="00091FA6" w:rsidP="0066656F">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W</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F</w:t>
            </w:r>
          </w:p>
          <w:p w:rsidR="00091FA6" w:rsidRPr="002E0C7E" w:rsidRDefault="00091FA6" w:rsidP="0066656F">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M</w:t>
            </w:r>
          </w:p>
          <w:p w:rsidR="00091FA6" w:rsidRPr="002E0C7E" w:rsidRDefault="00091FA6" w:rsidP="0066656F">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W</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F</w:t>
            </w:r>
          </w:p>
          <w:p w:rsidR="00091FA6" w:rsidRPr="002E0C7E" w:rsidRDefault="00091FA6" w:rsidP="0066656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S</w:t>
            </w:r>
          </w:p>
        </w:tc>
      </w:tr>
      <w:tr w:rsidR="00091FA6" w:rsidRPr="002E0C7E" w:rsidTr="0066656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w:t>
            </w:r>
          </w:p>
        </w:tc>
      </w:tr>
      <w:tr w:rsidR="00091FA6" w:rsidRPr="002E0C7E" w:rsidTr="0066656F">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66656F">
            <w:pPr>
              <w:widowControl w:val="0"/>
              <w:jc w:val="center"/>
              <w:rPr>
                <w:rFonts w:ascii="Arial" w:hAnsi="Arial"/>
                <w:b/>
                <w:sz w:val="14"/>
              </w:rPr>
            </w:pPr>
            <w:r w:rsidRPr="000C583B">
              <w:rPr>
                <w:rFonts w:ascii="Arial" w:hAnsi="Arial"/>
                <w:b/>
                <w:sz w:val="14"/>
              </w:rPr>
              <w:t>H</w:t>
            </w:r>
          </w:p>
          <w:p w:rsidR="00091FA6" w:rsidRPr="002E0C7E" w:rsidRDefault="00091FA6" w:rsidP="0066656F">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66656F">
            <w:pPr>
              <w:widowControl w:val="0"/>
              <w:jc w:val="center"/>
              <w:rPr>
                <w:rFonts w:ascii="Arial" w:hAnsi="Arial"/>
                <w:b/>
                <w:sz w:val="14"/>
              </w:rPr>
            </w:pPr>
            <w:r w:rsidRPr="000C583B">
              <w:rPr>
                <w:rFonts w:ascii="Arial" w:hAnsi="Arial"/>
                <w:b/>
                <w:sz w:val="14"/>
              </w:rPr>
              <w:t>M</w:t>
            </w:r>
          </w:p>
          <w:p w:rsidR="00091FA6" w:rsidRPr="002E0C7E" w:rsidRDefault="00091FA6" w:rsidP="0066656F">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b/>
                <w:sz w:val="14"/>
              </w:rPr>
              <w:t>M</w:t>
            </w:r>
          </w:p>
          <w:p w:rsidR="00091FA6" w:rsidRPr="002E0C7E" w:rsidRDefault="00091FA6" w:rsidP="0066656F">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b/>
                <w:sz w:val="14"/>
              </w:rPr>
              <w:t>M</w:t>
            </w:r>
          </w:p>
          <w:p w:rsidR="00091FA6" w:rsidRPr="002E0C7E" w:rsidRDefault="00091FA6" w:rsidP="0066656F">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8</w:t>
            </w:r>
          </w:p>
        </w:tc>
      </w:tr>
      <w:tr w:rsidR="00091FA6" w:rsidRPr="002E0C7E" w:rsidTr="0066656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66656F">
            <w:pPr>
              <w:widowControl w:val="0"/>
              <w:jc w:val="center"/>
              <w:rPr>
                <w:rFonts w:ascii="Arial" w:hAnsi="Arial"/>
                <w:b/>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66656F">
            <w:pPr>
              <w:widowControl w:val="0"/>
              <w:jc w:val="center"/>
              <w:rPr>
                <w:rFonts w:ascii="Arial" w:hAnsi="Arial"/>
                <w:sz w:val="14"/>
              </w:rPr>
            </w:pPr>
            <w:r>
              <w:rPr>
                <w:rFonts w:ascii="Arial" w:hAnsi="Arial"/>
                <w:b/>
                <w:sz w:val="14"/>
              </w:rPr>
              <w:t>H</w:t>
            </w: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66656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66656F">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Pr>
                <w:rFonts w:ascii="Arial" w:hAnsi="Arial"/>
                <w:sz w:val="14"/>
              </w:rPr>
              <w:t>23</w:t>
            </w:r>
          </w:p>
          <w:p w:rsidR="00091FA6" w:rsidRPr="002E0C7E" w:rsidRDefault="00091FA6" w:rsidP="0066656F">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Pr>
                <w:rFonts w:ascii="Arial" w:hAnsi="Arial"/>
                <w:sz w:val="14"/>
              </w:rPr>
              <w:t>24</w:t>
            </w:r>
          </w:p>
          <w:p w:rsidR="00091FA6" w:rsidRPr="002E0C7E" w:rsidRDefault="00091FA6" w:rsidP="0066656F">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b/>
                <w:sz w:val="14"/>
              </w:rPr>
              <w:t>H</w:t>
            </w: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66656F">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66656F">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66656F">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66656F">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66656F">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66656F">
            <w:pPr>
              <w:widowControl w:val="0"/>
              <w:jc w:val="center"/>
              <w:rPr>
                <w:rFonts w:ascii="Arial" w:hAnsi="Arial"/>
                <w:sz w:val="14"/>
              </w:rPr>
            </w:pPr>
            <w:r w:rsidRPr="002E0C7E">
              <w:rPr>
                <w:rFonts w:ascii="Arial" w:hAnsi="Arial"/>
                <w:b/>
                <w:sz w:val="14"/>
              </w:rPr>
              <w:t>MARCH - MARS</w:t>
            </w:r>
          </w:p>
        </w:tc>
      </w:tr>
      <w:tr w:rsidR="00091FA6" w:rsidRPr="002E0C7E" w:rsidTr="0066656F">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M</w:t>
            </w:r>
          </w:p>
          <w:p w:rsidR="00091FA6" w:rsidRPr="002E0C7E" w:rsidRDefault="00091FA6" w:rsidP="0066656F">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W</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F</w:t>
            </w:r>
          </w:p>
          <w:p w:rsidR="00091FA6" w:rsidRPr="002E0C7E" w:rsidRDefault="00091FA6" w:rsidP="0066656F">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M</w:t>
            </w:r>
          </w:p>
          <w:p w:rsidR="00091FA6" w:rsidRPr="002E0C7E" w:rsidRDefault="00091FA6" w:rsidP="0066656F">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W</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F</w:t>
            </w:r>
          </w:p>
          <w:p w:rsidR="00091FA6" w:rsidRPr="002E0C7E" w:rsidRDefault="00091FA6" w:rsidP="0066656F">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M</w:t>
            </w:r>
          </w:p>
          <w:p w:rsidR="00091FA6" w:rsidRPr="002E0C7E" w:rsidRDefault="00091FA6" w:rsidP="0066656F">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W</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F</w:t>
            </w:r>
          </w:p>
          <w:p w:rsidR="00091FA6" w:rsidRPr="002E0C7E" w:rsidRDefault="00091FA6" w:rsidP="0066656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S</w:t>
            </w:r>
          </w:p>
        </w:tc>
      </w:tr>
      <w:tr w:rsidR="00091FA6" w:rsidRPr="002E0C7E" w:rsidTr="0066656F">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66656F">
            <w:pPr>
              <w:widowControl w:val="0"/>
              <w:jc w:val="center"/>
              <w:rPr>
                <w:rFonts w:ascii="Arial" w:hAnsi="Arial"/>
                <w:b/>
                <w:sz w:val="14"/>
              </w:rPr>
            </w:pPr>
            <w:r>
              <w:rPr>
                <w:rFonts w:ascii="Arial" w:hAnsi="Arial"/>
                <w:b/>
                <w:sz w:val="14"/>
              </w:rPr>
              <w:t>H</w:t>
            </w:r>
          </w:p>
          <w:p w:rsidR="00091FA6" w:rsidRPr="002E0C7E" w:rsidRDefault="00091FA6" w:rsidP="0066656F">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w:t>
            </w:r>
          </w:p>
        </w:tc>
      </w:tr>
      <w:tr w:rsidR="00091FA6" w:rsidRPr="002E0C7E" w:rsidTr="0066656F">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9</w:t>
            </w:r>
          </w:p>
        </w:tc>
      </w:tr>
      <w:tr w:rsidR="00091FA6" w:rsidRPr="002E0C7E" w:rsidTr="0066656F">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66656F">
            <w:pPr>
              <w:widowControl w:val="0"/>
              <w:jc w:val="center"/>
              <w:rPr>
                <w:rFonts w:ascii="Arial" w:hAnsi="Arial"/>
                <w:b/>
                <w:sz w:val="14"/>
              </w:rPr>
            </w:pPr>
            <w:r>
              <w:rPr>
                <w:rFonts w:ascii="Arial" w:hAnsi="Arial"/>
                <w:b/>
                <w:sz w:val="14"/>
              </w:rPr>
              <w:t>M</w:t>
            </w: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66656F">
            <w:pPr>
              <w:widowControl w:val="0"/>
              <w:jc w:val="center"/>
              <w:rPr>
                <w:rFonts w:ascii="Arial" w:hAnsi="Arial"/>
                <w:b/>
                <w:sz w:val="14"/>
              </w:rPr>
            </w:pPr>
            <w:r>
              <w:rPr>
                <w:rFonts w:ascii="Arial" w:hAnsi="Arial"/>
                <w:b/>
                <w:sz w:val="14"/>
              </w:rPr>
              <w:t>M</w:t>
            </w: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66656F">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66656F">
            <w:pPr>
              <w:widowControl w:val="0"/>
              <w:jc w:val="center"/>
              <w:rPr>
                <w:rFonts w:ascii="Arial" w:hAnsi="Arial"/>
                <w:b/>
                <w:sz w:val="14"/>
              </w:rPr>
            </w:pPr>
            <w:r>
              <w:rPr>
                <w:rFonts w:ascii="Arial" w:hAnsi="Arial"/>
                <w:b/>
                <w:sz w:val="14"/>
              </w:rPr>
              <w:t>M</w:t>
            </w: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66656F">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Pr>
                <w:rFonts w:ascii="Arial" w:hAnsi="Arial"/>
                <w:sz w:val="14"/>
              </w:rPr>
              <w:t>24</w:t>
            </w:r>
          </w:p>
          <w:p w:rsidR="00091FA6" w:rsidRPr="002E0C7E" w:rsidRDefault="00091FA6" w:rsidP="0066656F">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66656F">
            <w:pPr>
              <w:widowControl w:val="0"/>
              <w:jc w:val="center"/>
              <w:rPr>
                <w:rFonts w:ascii="Arial" w:hAnsi="Arial"/>
                <w:b/>
                <w:sz w:val="14"/>
              </w:rPr>
            </w:pPr>
            <w:r w:rsidRPr="00261B35">
              <w:rPr>
                <w:rFonts w:ascii="Arial" w:hAnsi="Arial"/>
                <w:b/>
                <w:sz w:val="14"/>
              </w:rPr>
              <w:t>H</w:t>
            </w:r>
          </w:p>
          <w:p w:rsidR="00091FA6" w:rsidRPr="002E0C7E" w:rsidRDefault="00091FA6" w:rsidP="0066656F">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66656F">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66656F">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66656F">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66656F">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66656F">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66656F">
            <w:pPr>
              <w:widowControl w:val="0"/>
              <w:jc w:val="center"/>
              <w:rPr>
                <w:rFonts w:ascii="Arial" w:hAnsi="Arial"/>
                <w:sz w:val="14"/>
              </w:rPr>
            </w:pPr>
            <w:r w:rsidRPr="002E0C7E">
              <w:rPr>
                <w:rFonts w:ascii="Arial" w:hAnsi="Arial"/>
                <w:b/>
                <w:sz w:val="14"/>
              </w:rPr>
              <w:t>JUNE - JUIN</w:t>
            </w:r>
          </w:p>
        </w:tc>
      </w:tr>
      <w:tr w:rsidR="00091FA6" w:rsidRPr="002E0C7E" w:rsidTr="0066656F">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M</w:t>
            </w:r>
          </w:p>
          <w:p w:rsidR="00091FA6" w:rsidRPr="002E0C7E" w:rsidRDefault="00091FA6" w:rsidP="0066656F">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W</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F</w:t>
            </w:r>
          </w:p>
          <w:p w:rsidR="00091FA6" w:rsidRPr="002E0C7E" w:rsidRDefault="00091FA6" w:rsidP="0066656F">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M</w:t>
            </w:r>
          </w:p>
          <w:p w:rsidR="00091FA6" w:rsidRPr="002E0C7E" w:rsidRDefault="00091FA6" w:rsidP="0066656F">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W</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F</w:t>
            </w:r>
          </w:p>
          <w:p w:rsidR="00091FA6" w:rsidRPr="002E0C7E" w:rsidRDefault="00091FA6" w:rsidP="0066656F">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M</w:t>
            </w:r>
          </w:p>
          <w:p w:rsidR="00091FA6" w:rsidRPr="002E0C7E" w:rsidRDefault="00091FA6" w:rsidP="0066656F">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W</w:t>
            </w:r>
          </w:p>
          <w:p w:rsidR="00091FA6" w:rsidRPr="002E0C7E" w:rsidRDefault="00091FA6" w:rsidP="0066656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T</w:t>
            </w:r>
          </w:p>
          <w:p w:rsidR="00091FA6" w:rsidRPr="002E0C7E" w:rsidRDefault="00091FA6" w:rsidP="0066656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F</w:t>
            </w:r>
          </w:p>
          <w:p w:rsidR="00091FA6" w:rsidRPr="002E0C7E" w:rsidRDefault="00091FA6" w:rsidP="0066656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sidRPr="002E0C7E">
              <w:rPr>
                <w:rFonts w:ascii="Arial" w:hAnsi="Arial"/>
                <w:sz w:val="14"/>
              </w:rPr>
              <w:t>s</w:t>
            </w:r>
          </w:p>
          <w:p w:rsidR="00091FA6" w:rsidRPr="002E0C7E" w:rsidRDefault="00091FA6" w:rsidP="0066656F">
            <w:pPr>
              <w:widowControl w:val="0"/>
              <w:jc w:val="center"/>
              <w:rPr>
                <w:rFonts w:ascii="Arial" w:hAnsi="Arial"/>
                <w:sz w:val="14"/>
              </w:rPr>
            </w:pPr>
            <w:r w:rsidRPr="002E0C7E">
              <w:rPr>
                <w:rFonts w:ascii="Arial" w:hAnsi="Arial"/>
                <w:sz w:val="14"/>
              </w:rPr>
              <w:t>s</w:t>
            </w:r>
          </w:p>
        </w:tc>
      </w:tr>
      <w:tr w:rsidR="00091FA6" w:rsidRPr="002E0C7E" w:rsidTr="0066656F">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66656F">
            <w:pPr>
              <w:widowControl w:val="0"/>
              <w:jc w:val="center"/>
              <w:rPr>
                <w:rFonts w:ascii="Arial" w:hAnsi="Arial"/>
                <w:b/>
                <w:sz w:val="14"/>
              </w:rPr>
            </w:pPr>
            <w:r w:rsidRPr="002453E3">
              <w:rPr>
                <w:rFonts w:ascii="Arial" w:hAnsi="Arial"/>
                <w:b/>
                <w:sz w:val="14"/>
              </w:rPr>
              <w:t>H</w:t>
            </w:r>
          </w:p>
          <w:p w:rsidR="00091FA6" w:rsidRPr="002E0C7E" w:rsidRDefault="00091FA6" w:rsidP="0066656F">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b/>
                <w:sz w:val="14"/>
              </w:rPr>
            </w:pPr>
          </w:p>
          <w:p w:rsidR="00091FA6" w:rsidRPr="002E0C7E" w:rsidRDefault="00091FA6" w:rsidP="0066656F">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w:t>
            </w:r>
          </w:p>
        </w:tc>
      </w:tr>
      <w:tr w:rsidR="00091FA6" w:rsidRPr="002E0C7E" w:rsidTr="0066656F">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66656F">
            <w:pPr>
              <w:widowControl w:val="0"/>
              <w:jc w:val="center"/>
              <w:rPr>
                <w:rFonts w:ascii="Arial" w:hAnsi="Arial"/>
                <w:b/>
                <w:sz w:val="14"/>
              </w:rPr>
            </w:pPr>
          </w:p>
          <w:p w:rsidR="00091FA6" w:rsidRPr="002E0C7E" w:rsidRDefault="00091FA6" w:rsidP="0066656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8</w:t>
            </w:r>
          </w:p>
        </w:tc>
      </w:tr>
      <w:tr w:rsidR="00091FA6" w:rsidRPr="002E0C7E" w:rsidTr="0066656F">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66656F">
            <w:pPr>
              <w:widowControl w:val="0"/>
              <w:jc w:val="center"/>
              <w:rPr>
                <w:rFonts w:ascii="Arial" w:hAnsi="Arial"/>
                <w:b/>
                <w:sz w:val="14"/>
              </w:rPr>
            </w:pPr>
            <w:r w:rsidRPr="00DB5777">
              <w:rPr>
                <w:rFonts w:ascii="Arial" w:hAnsi="Arial"/>
                <w:b/>
                <w:sz w:val="14"/>
              </w:rPr>
              <w:t>M</w:t>
            </w: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66656F">
            <w:pPr>
              <w:widowControl w:val="0"/>
              <w:jc w:val="center"/>
              <w:rPr>
                <w:rFonts w:ascii="Arial" w:hAnsi="Arial"/>
                <w:b/>
                <w:sz w:val="14"/>
              </w:rPr>
            </w:pPr>
            <w:r w:rsidRPr="002453E3">
              <w:rPr>
                <w:rFonts w:ascii="Arial" w:hAnsi="Arial"/>
                <w:b/>
                <w:sz w:val="14"/>
              </w:rPr>
              <w:t>M</w:t>
            </w: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66656F">
            <w:pPr>
              <w:widowControl w:val="0"/>
              <w:jc w:val="center"/>
              <w:rPr>
                <w:rFonts w:ascii="Arial" w:hAnsi="Arial"/>
                <w:b/>
                <w:sz w:val="14"/>
              </w:rPr>
            </w:pPr>
            <w:r w:rsidRPr="006A1E8D">
              <w:rPr>
                <w:rFonts w:ascii="Arial" w:hAnsi="Arial"/>
                <w:b/>
                <w:sz w:val="14"/>
              </w:rPr>
              <w:t>M</w:t>
            </w: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66656F">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66656F">
            <w:pPr>
              <w:widowControl w:val="0"/>
              <w:jc w:val="center"/>
              <w:rPr>
                <w:rFonts w:ascii="Arial" w:hAnsi="Arial"/>
                <w:b/>
                <w:sz w:val="14"/>
              </w:rPr>
            </w:pPr>
            <w:r>
              <w:rPr>
                <w:rFonts w:ascii="Arial" w:hAnsi="Arial"/>
                <w:b/>
                <w:sz w:val="14"/>
              </w:rPr>
              <w:t>H</w:t>
            </w: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66656F">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r>
              <w:rPr>
                <w:rFonts w:ascii="Arial" w:hAnsi="Arial"/>
                <w:sz w:val="14"/>
              </w:rPr>
              <w:t>23</w:t>
            </w:r>
          </w:p>
          <w:p w:rsidR="00091FA6" w:rsidRPr="002E0C7E" w:rsidRDefault="00091FA6" w:rsidP="0066656F">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66656F">
            <w:pPr>
              <w:widowControl w:val="0"/>
              <w:jc w:val="center"/>
              <w:rPr>
                <w:rFonts w:ascii="Arial" w:hAnsi="Arial"/>
                <w:sz w:val="14"/>
              </w:rPr>
            </w:pPr>
          </w:p>
          <w:p w:rsidR="00091FA6" w:rsidRPr="002E0C7E" w:rsidRDefault="00091FA6" w:rsidP="0066656F">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66656F">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66656F">
            <w:pPr>
              <w:widowControl w:val="0"/>
              <w:rPr>
                <w:rFonts w:ascii="Arial" w:hAnsi="Arial"/>
                <w:sz w:val="16"/>
              </w:rPr>
            </w:pPr>
            <w:r w:rsidRPr="002E0C7E">
              <w:rPr>
                <w:rFonts w:ascii="Arial" w:hAnsi="Arial"/>
                <w:sz w:val="16"/>
              </w:rPr>
              <w:t>Sittings of the court:</w:t>
            </w:r>
          </w:p>
          <w:p w:rsidR="00091FA6" w:rsidRPr="002E0C7E" w:rsidRDefault="00091FA6" w:rsidP="0066656F">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66656F">
            <w:pPr>
              <w:widowControl w:val="0"/>
              <w:rPr>
                <w:rFonts w:ascii="Arial" w:hAnsi="Arial"/>
                <w:sz w:val="16"/>
              </w:rPr>
            </w:pPr>
          </w:p>
          <w:p w:rsidR="00091FA6" w:rsidRPr="002E0C7E" w:rsidRDefault="00091FA6" w:rsidP="0066656F">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666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666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666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666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666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66656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666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666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666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666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66656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666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666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66656F">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666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36"/>
      <w:footerReference w:type="default" r:id="rId37"/>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940" w:rsidRDefault="00016940" w:rsidP="00A87207">
      <w:r>
        <w:separator/>
      </w:r>
    </w:p>
  </w:endnote>
  <w:endnote w:type="continuationSeparator" w:id="0">
    <w:p w:rsidR="00016940" w:rsidRDefault="00016940"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01694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755986">
    <w:pPr>
      <w:pStyle w:val="Footer"/>
      <w:rPr>
        <w:lang w:val="fr-CA"/>
      </w:rPr>
    </w:pPr>
    <w:r w:rsidRPr="00755986">
      <w:rPr>
        <w:lang w:val="fr-CA"/>
      </w:rPr>
      <w:pict>
        <v:rect id="_x0000_i1041" style="width:480.95pt;height:1pt" o:hralign="center" o:hrstd="t" o:hrnoshade="t" o:hr="t" fillcolor="black [3213]" stroked="f"/>
      </w:pict>
    </w:r>
  </w:p>
  <w:p w:rsidR="00016940" w:rsidRDefault="00016940" w:rsidP="00245129">
    <w:pPr>
      <w:tabs>
        <w:tab w:val="center" w:pos="4680"/>
      </w:tabs>
    </w:pPr>
    <w:r>
      <w:tab/>
    </w:r>
    <w:r w:rsidRPr="0009648D">
      <w:t xml:space="preserve">- </w:t>
    </w:r>
    <w:fldSimple w:instr=" PAGE   \* MERGEFORMAT ">
      <w:r w:rsidR="00560FD4">
        <w:rPr>
          <w:noProof/>
        </w:rPr>
        <w:t>1305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016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16940" w:rsidRDefault="00016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6940" w:rsidRDefault="00016940">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7559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55986">
      <w:rPr>
        <w:lang w:val="fr-CA"/>
      </w:rPr>
      <w:pict>
        <v:rect id="_x0000_i1048" style="width:480.95pt;height:1pt" o:hralign="center" o:hrstd="t" o:hrnoshade="t" o:hr="t" fillcolor="black [3213]" stroked="f"/>
      </w:pict>
    </w:r>
  </w:p>
  <w:p w:rsidR="00016940" w:rsidRDefault="00016940" w:rsidP="00EB2B90">
    <w:pPr>
      <w:tabs>
        <w:tab w:val="center" w:pos="4680"/>
      </w:tabs>
    </w:pPr>
    <w:r>
      <w:tab/>
      <w:t xml:space="preserve">- </w:t>
    </w:r>
    <w:fldSimple w:instr=" PAGE   \* MERGEFORMAT ">
      <w:r>
        <w:rPr>
          <w:noProof/>
        </w:rPr>
        <w:t>519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755986">
    <w:pPr>
      <w:pStyle w:val="Footer"/>
      <w:rPr>
        <w:lang w:val="fr-CA"/>
      </w:rPr>
    </w:pPr>
    <w:r w:rsidRPr="00755986">
      <w:rPr>
        <w:lang w:val="fr-CA"/>
      </w:rPr>
      <w:pict>
        <v:rect id="_x0000_i1049" style="width:480.95pt;height:1pt" o:hralign="center" o:hrstd="t" o:hrnoshade="t" o:hr="t" fillcolor="black [3213]" stroked="f"/>
      </w:pict>
    </w:r>
  </w:p>
  <w:p w:rsidR="00016940" w:rsidRDefault="00016940" w:rsidP="00EB2B90">
    <w:pPr>
      <w:tabs>
        <w:tab w:val="center" w:pos="4680"/>
      </w:tabs>
    </w:pPr>
    <w:r>
      <w:tab/>
      <w:t xml:space="preserve">- </w:t>
    </w:r>
    <w:fldSimple w:instr=" PAGE   \* MERGEFORMAT ">
      <w:r w:rsidR="00560FD4">
        <w:rPr>
          <w:noProof/>
        </w:rPr>
        <w:t>1314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Pr="00924065" w:rsidRDefault="00016940"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016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01694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755986" w:rsidP="00A87207">
    <w:pPr>
      <w:pStyle w:val="Footer"/>
    </w:pPr>
    <w:r>
      <w:pict>
        <v:rect id="_x0000_i1027" style="width:480.95pt;height:1pt" o:hralign="center" o:hrstd="t" o:hrnoshade="t" o:hr="t" fillcolor="black [3213]" stroked="f"/>
      </w:pict>
    </w:r>
  </w:p>
  <w:p w:rsidR="00016940" w:rsidRPr="00B7374B" w:rsidRDefault="00016940" w:rsidP="00B7374B">
    <w:pPr>
      <w:tabs>
        <w:tab w:val="center" w:pos="4680"/>
      </w:tabs>
      <w:rPr>
        <w:szCs w:val="24"/>
      </w:rPr>
    </w:pPr>
    <w:r w:rsidRPr="00954D22">
      <w:rPr>
        <w:szCs w:val="24"/>
      </w:rPr>
      <w:tab/>
      <w:t xml:space="preserve">- </w:t>
    </w:r>
    <w:r w:rsidR="00755986" w:rsidRPr="00954D22">
      <w:rPr>
        <w:szCs w:val="24"/>
      </w:rPr>
      <w:fldChar w:fldCharType="begin"/>
    </w:r>
    <w:r w:rsidRPr="00954D22">
      <w:rPr>
        <w:szCs w:val="24"/>
      </w:rPr>
      <w:instrText xml:space="preserve"> PAGE   \* MERGEFORMAT </w:instrText>
    </w:r>
    <w:r w:rsidR="00755986" w:rsidRPr="00954D22">
      <w:rPr>
        <w:szCs w:val="24"/>
      </w:rPr>
      <w:fldChar w:fldCharType="separate"/>
    </w:r>
    <w:r>
      <w:rPr>
        <w:noProof/>
        <w:szCs w:val="24"/>
      </w:rPr>
      <w:t>1304</w:t>
    </w:r>
    <w:r w:rsidR="00755986"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755986" w:rsidP="00755F22">
    <w:pPr>
      <w:tabs>
        <w:tab w:val="left" w:pos="-1440"/>
        <w:tab w:val="left" w:pos="-720"/>
      </w:tabs>
    </w:pPr>
    <w:r>
      <w:pict>
        <v:rect id="_x0000_i1028" style="width:480.95pt;height:1pt" o:hralign="center" o:hrstd="t" o:hrnoshade="t" o:hr="t" fillcolor="black [3213]" stroked="f"/>
      </w:pict>
    </w:r>
  </w:p>
  <w:p w:rsidR="00016940" w:rsidRPr="00954D22" w:rsidRDefault="00016940" w:rsidP="00B7374B">
    <w:pPr>
      <w:tabs>
        <w:tab w:val="center" w:pos="4680"/>
      </w:tabs>
      <w:rPr>
        <w:szCs w:val="24"/>
      </w:rPr>
    </w:pPr>
    <w:r w:rsidRPr="00954D22">
      <w:rPr>
        <w:szCs w:val="24"/>
      </w:rPr>
      <w:tab/>
      <w:t xml:space="preserve">- </w:t>
    </w:r>
    <w:r w:rsidR="00755986">
      <w:rPr>
        <w:szCs w:val="24"/>
      </w:rPr>
      <w:fldChar w:fldCharType="begin"/>
    </w:r>
    <w:r>
      <w:rPr>
        <w:szCs w:val="24"/>
      </w:rPr>
      <w:instrText xml:space="preserve"> PAGE   \* MERGEFORMAT </w:instrText>
    </w:r>
    <w:r w:rsidR="00755986">
      <w:rPr>
        <w:szCs w:val="24"/>
      </w:rPr>
      <w:fldChar w:fldCharType="separate"/>
    </w:r>
    <w:r w:rsidR="00560FD4">
      <w:rPr>
        <w:noProof/>
        <w:szCs w:val="24"/>
      </w:rPr>
      <w:t>1303</w:t>
    </w:r>
    <w:r w:rsidR="00755986">
      <w:rPr>
        <w:szCs w:val="24"/>
      </w:rPr>
      <w:fldChar w:fldCharType="end"/>
    </w:r>
    <w:r w:rsidRPr="00954D22">
      <w:rPr>
        <w:szCs w:val="24"/>
      </w:rPr>
      <w:t xml:space="preserve"> -</w:t>
    </w:r>
  </w:p>
  <w:p w:rsidR="00016940" w:rsidRDefault="0001694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755986" w:rsidP="00A87207">
    <w:pPr>
      <w:pStyle w:val="Footer"/>
    </w:pPr>
    <w:r>
      <w:pict>
        <v:rect id="_x0000_i1030" style="width:480.95pt;height:1pt" o:hralign="center" o:hrstd="t" o:hrnoshade="t" o:hr="t" fillcolor="black [3213]" stroked="f"/>
      </w:pict>
    </w:r>
  </w:p>
  <w:p w:rsidR="00016940" w:rsidRPr="00B7374B" w:rsidRDefault="00016940" w:rsidP="00B7374B">
    <w:pPr>
      <w:tabs>
        <w:tab w:val="center" w:pos="4680"/>
      </w:tabs>
      <w:rPr>
        <w:szCs w:val="24"/>
      </w:rPr>
    </w:pPr>
    <w:r w:rsidRPr="00954D22">
      <w:rPr>
        <w:szCs w:val="24"/>
      </w:rPr>
      <w:tab/>
      <w:t xml:space="preserve">- </w:t>
    </w:r>
    <w:r w:rsidR="00755986" w:rsidRPr="00954D22">
      <w:rPr>
        <w:szCs w:val="24"/>
      </w:rPr>
      <w:fldChar w:fldCharType="begin"/>
    </w:r>
    <w:r w:rsidRPr="00954D22">
      <w:rPr>
        <w:szCs w:val="24"/>
      </w:rPr>
      <w:instrText xml:space="preserve"> PAGE   \* MERGEFORMAT </w:instrText>
    </w:r>
    <w:r w:rsidR="00755986" w:rsidRPr="00954D22">
      <w:rPr>
        <w:szCs w:val="24"/>
      </w:rPr>
      <w:fldChar w:fldCharType="separate"/>
    </w:r>
    <w:r>
      <w:rPr>
        <w:noProof/>
        <w:szCs w:val="24"/>
      </w:rPr>
      <w:t>1306</w:t>
    </w:r>
    <w:r w:rsidR="00755986"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75598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1" style="width:480.95pt;height:1pt" o:hralign="center" o:hrstd="t" o:hrnoshade="t" o:hr="t" fillcolor="black [3213]" stroked="f"/>
      </w:pict>
    </w:r>
  </w:p>
  <w:p w:rsidR="00016940" w:rsidRPr="00954D22" w:rsidRDefault="00016940" w:rsidP="00B7374B">
    <w:pPr>
      <w:tabs>
        <w:tab w:val="center" w:pos="4680"/>
      </w:tabs>
      <w:rPr>
        <w:szCs w:val="24"/>
      </w:rPr>
    </w:pPr>
    <w:r w:rsidRPr="00954D22">
      <w:rPr>
        <w:szCs w:val="24"/>
      </w:rPr>
      <w:tab/>
      <w:t xml:space="preserve">- </w:t>
    </w:r>
    <w:r w:rsidR="00755986" w:rsidRPr="00954D22">
      <w:rPr>
        <w:szCs w:val="24"/>
      </w:rPr>
      <w:fldChar w:fldCharType="begin"/>
    </w:r>
    <w:r w:rsidRPr="00954D22">
      <w:rPr>
        <w:szCs w:val="24"/>
      </w:rPr>
      <w:instrText xml:space="preserve"> PAGE   \* MERGEFORMAT </w:instrText>
    </w:r>
    <w:r w:rsidR="00755986" w:rsidRPr="00954D22">
      <w:rPr>
        <w:szCs w:val="24"/>
      </w:rPr>
      <w:fldChar w:fldCharType="separate"/>
    </w:r>
    <w:r w:rsidR="00560FD4">
      <w:rPr>
        <w:noProof/>
        <w:szCs w:val="24"/>
      </w:rPr>
      <w:t>1304</w:t>
    </w:r>
    <w:r w:rsidR="00755986"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016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16940" w:rsidRDefault="00016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6940" w:rsidRDefault="00016940">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7559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55986">
      <w:rPr>
        <w:lang w:val="fr-CA"/>
      </w:rPr>
      <w:pict>
        <v:rect id="_x0000_i1040" style="width:480.95pt;height:1pt" o:hralign="center" o:hrstd="t" o:hrnoshade="t" o:hr="t" fillcolor="black [3213]" stroked="f"/>
      </w:pict>
    </w:r>
  </w:p>
  <w:p w:rsidR="00016940" w:rsidRPr="0009648D" w:rsidRDefault="00016940" w:rsidP="00ED7E83">
    <w:pPr>
      <w:tabs>
        <w:tab w:val="center" w:pos="4680"/>
      </w:tabs>
    </w:pPr>
    <w:r>
      <w:tab/>
    </w:r>
    <w:r w:rsidRPr="0009648D">
      <w:t xml:space="preserve">- </w:t>
    </w:r>
    <w:fldSimple w:instr=" PAGE   \* MERGEFORMAT ">
      <w:r w:rsidR="00560FD4">
        <w:rPr>
          <w:noProof/>
        </w:rPr>
        <w:t>1313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940" w:rsidRDefault="00016940" w:rsidP="00A87207">
      <w:r>
        <w:separator/>
      </w:r>
    </w:p>
  </w:footnote>
  <w:footnote w:type="continuationSeparator" w:id="0">
    <w:p w:rsidR="00016940" w:rsidRDefault="00016940"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01694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01694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16940" w:rsidRPr="00257CA3">
      <w:tc>
        <w:tcPr>
          <w:tcW w:w="4200" w:type="dxa"/>
          <w:tcMar>
            <w:left w:w="0" w:type="dxa"/>
            <w:right w:w="0" w:type="dxa"/>
          </w:tcMar>
        </w:tcPr>
        <w:p w:rsidR="00016940" w:rsidRDefault="000169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16940" w:rsidRDefault="000169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6940" w:rsidRPr="00B01A03" w:rsidRDefault="000169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16940" w:rsidRPr="00B01A03" w:rsidRDefault="00016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16940" w:rsidRPr="00B01A03" w:rsidRDefault="00016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016940" w:rsidRPr="00257CA3" w:rsidTr="00245129">
      <w:tc>
        <w:tcPr>
          <w:tcW w:w="4200" w:type="dxa"/>
          <w:tcMar>
            <w:left w:w="0" w:type="dxa"/>
            <w:right w:w="0" w:type="dxa"/>
          </w:tcMar>
        </w:tcPr>
        <w:p w:rsidR="00016940" w:rsidRPr="00F40249" w:rsidRDefault="0001694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16940" w:rsidRDefault="00016940" w:rsidP="00102926">
          <w:pPr>
            <w:keepNext/>
            <w:keepLines/>
            <w:tabs>
              <w:tab w:val="left" w:pos="-1440"/>
              <w:tab w:val="left" w:pos="-720"/>
            </w:tabs>
            <w:jc w:val="center"/>
            <w:rPr>
              <w:sz w:val="20"/>
              <w:szCs w:val="20"/>
            </w:rPr>
          </w:pPr>
        </w:p>
        <w:p w:rsidR="00016940" w:rsidRDefault="00016940" w:rsidP="00102926">
          <w:pPr>
            <w:keepNext/>
            <w:keepLines/>
            <w:tabs>
              <w:tab w:val="left" w:pos="-1440"/>
              <w:tab w:val="left" w:pos="-720"/>
            </w:tabs>
            <w:jc w:val="center"/>
            <w:rPr>
              <w:sz w:val="20"/>
              <w:szCs w:val="20"/>
            </w:rPr>
          </w:pPr>
        </w:p>
        <w:p w:rsidR="00016940" w:rsidRPr="00F40249" w:rsidRDefault="00016940" w:rsidP="00102926">
          <w:pPr>
            <w:keepNext/>
            <w:keepLines/>
            <w:tabs>
              <w:tab w:val="left" w:pos="-1440"/>
              <w:tab w:val="left" w:pos="-720"/>
            </w:tabs>
            <w:jc w:val="center"/>
            <w:rPr>
              <w:sz w:val="20"/>
              <w:szCs w:val="20"/>
            </w:rPr>
          </w:pPr>
        </w:p>
      </w:tc>
      <w:tc>
        <w:tcPr>
          <w:tcW w:w="4230" w:type="dxa"/>
          <w:tcMar>
            <w:left w:w="0" w:type="dxa"/>
            <w:right w:w="0" w:type="dxa"/>
          </w:tcMar>
        </w:tcPr>
        <w:p w:rsidR="00016940" w:rsidRPr="00F40249" w:rsidRDefault="0001694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16940" w:rsidRPr="00B01A03" w:rsidRDefault="0001694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01694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0169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0169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01694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016940" w:rsidRPr="0044776A" w:rsidTr="00245129">
      <w:tc>
        <w:tcPr>
          <w:tcW w:w="4290" w:type="dxa"/>
          <w:tcMar>
            <w:left w:w="0" w:type="dxa"/>
            <w:right w:w="0" w:type="dxa"/>
          </w:tcMar>
        </w:tcPr>
        <w:p w:rsidR="00016940" w:rsidRPr="0044776A" w:rsidRDefault="0001694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16940" w:rsidRPr="0044776A" w:rsidRDefault="00016940" w:rsidP="002E2327">
          <w:pPr>
            <w:keepNext/>
            <w:keepLines/>
            <w:tabs>
              <w:tab w:val="left" w:pos="-1440"/>
              <w:tab w:val="left" w:pos="-720"/>
            </w:tabs>
            <w:jc w:val="center"/>
            <w:rPr>
              <w:sz w:val="20"/>
              <w:szCs w:val="20"/>
            </w:rPr>
          </w:pPr>
        </w:p>
        <w:p w:rsidR="00016940" w:rsidRPr="0044776A" w:rsidRDefault="00016940" w:rsidP="002E2327">
          <w:pPr>
            <w:keepNext/>
            <w:keepLines/>
            <w:tabs>
              <w:tab w:val="left" w:pos="-1440"/>
              <w:tab w:val="left" w:pos="-720"/>
            </w:tabs>
            <w:jc w:val="center"/>
            <w:rPr>
              <w:sz w:val="20"/>
              <w:szCs w:val="20"/>
            </w:rPr>
          </w:pPr>
        </w:p>
        <w:p w:rsidR="00016940" w:rsidRPr="0044776A" w:rsidRDefault="00016940" w:rsidP="002E2327">
          <w:pPr>
            <w:keepNext/>
            <w:keepLines/>
            <w:tabs>
              <w:tab w:val="left" w:pos="-1440"/>
              <w:tab w:val="left" w:pos="-720"/>
            </w:tabs>
            <w:jc w:val="center"/>
            <w:rPr>
              <w:sz w:val="20"/>
              <w:szCs w:val="20"/>
            </w:rPr>
          </w:pPr>
        </w:p>
      </w:tc>
      <w:tc>
        <w:tcPr>
          <w:tcW w:w="4320" w:type="dxa"/>
          <w:tcMar>
            <w:left w:w="0" w:type="dxa"/>
            <w:right w:w="0" w:type="dxa"/>
          </w:tcMar>
        </w:tcPr>
        <w:p w:rsidR="00016940" w:rsidRPr="0044776A" w:rsidRDefault="00016940" w:rsidP="002E2327">
          <w:pPr>
            <w:keepLines/>
            <w:rPr>
              <w:sz w:val="20"/>
              <w:szCs w:val="20"/>
              <w:lang w:val="fr-CA"/>
            </w:rPr>
          </w:pPr>
          <w:r w:rsidRPr="0044776A">
            <w:rPr>
              <w:sz w:val="20"/>
              <w:szCs w:val="20"/>
              <w:lang w:val="fr-CA"/>
            </w:rPr>
            <w:t>DEMANDES D'AUTORISATION D'APPEL DÉPOSÉES</w:t>
          </w:r>
        </w:p>
      </w:tc>
    </w:tr>
  </w:tbl>
  <w:p w:rsidR="00016940" w:rsidRDefault="0001694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01694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16940" w:rsidRPr="00257CA3" w:rsidTr="00245129">
      <w:tc>
        <w:tcPr>
          <w:tcW w:w="4200" w:type="dxa"/>
          <w:tcMar>
            <w:left w:w="0" w:type="dxa"/>
            <w:right w:w="0" w:type="dxa"/>
          </w:tcMar>
        </w:tcPr>
        <w:p w:rsidR="00016940" w:rsidRPr="0044776A" w:rsidRDefault="00016940" w:rsidP="0044776A">
          <w:pPr>
            <w:keepNext/>
            <w:keepLines/>
            <w:widowControl w:val="0"/>
            <w:rPr>
              <w:sz w:val="20"/>
              <w:szCs w:val="20"/>
            </w:rPr>
          </w:pPr>
          <w:r>
            <w:rPr>
              <w:sz w:val="20"/>
              <w:szCs w:val="20"/>
            </w:rPr>
            <w:t>APPLICATIONS FOR LEAVE</w:t>
          </w:r>
        </w:p>
        <w:p w:rsidR="00016940" w:rsidRPr="0044776A" w:rsidRDefault="0001694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16940" w:rsidRPr="0044776A" w:rsidRDefault="00016940" w:rsidP="0044776A">
          <w:pPr>
            <w:keepNext/>
            <w:keepLines/>
            <w:widowControl w:val="0"/>
            <w:jc w:val="center"/>
            <w:rPr>
              <w:sz w:val="20"/>
              <w:szCs w:val="20"/>
            </w:rPr>
          </w:pPr>
        </w:p>
        <w:p w:rsidR="00016940" w:rsidRPr="0044776A" w:rsidRDefault="00016940" w:rsidP="0044776A">
          <w:pPr>
            <w:keepNext/>
            <w:keepLines/>
            <w:widowControl w:val="0"/>
            <w:jc w:val="center"/>
            <w:rPr>
              <w:sz w:val="20"/>
              <w:szCs w:val="20"/>
            </w:rPr>
          </w:pPr>
        </w:p>
        <w:p w:rsidR="00016940" w:rsidRPr="0044776A" w:rsidRDefault="00016940" w:rsidP="0044776A">
          <w:pPr>
            <w:keepNext/>
            <w:keepLines/>
            <w:widowControl w:val="0"/>
            <w:jc w:val="center"/>
            <w:rPr>
              <w:sz w:val="20"/>
              <w:szCs w:val="20"/>
            </w:rPr>
          </w:pPr>
        </w:p>
      </w:tc>
      <w:tc>
        <w:tcPr>
          <w:tcW w:w="4080" w:type="dxa"/>
          <w:tcMar>
            <w:left w:w="0" w:type="dxa"/>
            <w:right w:w="0" w:type="dxa"/>
          </w:tcMar>
        </w:tcPr>
        <w:p w:rsidR="00016940" w:rsidRPr="0044776A" w:rsidRDefault="00016940" w:rsidP="0044776A">
          <w:pPr>
            <w:keepLines/>
            <w:widowControl w:val="0"/>
            <w:rPr>
              <w:sz w:val="20"/>
              <w:szCs w:val="20"/>
              <w:lang w:val="fr-CA"/>
            </w:rPr>
          </w:pPr>
          <w:r w:rsidRPr="0044776A">
            <w:rPr>
              <w:sz w:val="20"/>
              <w:szCs w:val="20"/>
              <w:lang w:val="fr-CA"/>
            </w:rPr>
            <w:t>DEMANDES SOUMISES À LA COUR DEPUIS LA DERNIÈRE PARUTION</w:t>
          </w:r>
        </w:p>
        <w:p w:rsidR="00016940" w:rsidRPr="0044776A" w:rsidRDefault="00016940" w:rsidP="0044776A">
          <w:pPr>
            <w:widowControl w:val="0"/>
            <w:rPr>
              <w:sz w:val="20"/>
              <w:szCs w:val="20"/>
              <w:lang w:val="fr-CA"/>
            </w:rPr>
          </w:pPr>
        </w:p>
      </w:tc>
    </w:tr>
  </w:tbl>
  <w:p w:rsidR="00016940" w:rsidRPr="002E2327" w:rsidRDefault="00016940">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0" w:rsidRDefault="0001694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16940" w:rsidRPr="00257CA3">
      <w:tc>
        <w:tcPr>
          <w:tcW w:w="4200" w:type="dxa"/>
          <w:tcMar>
            <w:left w:w="0" w:type="dxa"/>
            <w:right w:w="0" w:type="dxa"/>
          </w:tcMar>
        </w:tcPr>
        <w:p w:rsidR="00016940" w:rsidRDefault="000169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16940" w:rsidRDefault="000169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16940" w:rsidRDefault="000169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6940" w:rsidRPr="00FF6BA5" w:rsidRDefault="000169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16940" w:rsidRPr="00FF6BA5" w:rsidRDefault="00016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16940" w:rsidRPr="00FF6BA5" w:rsidRDefault="00016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16940" w:rsidRPr="00FF6BA5" w:rsidRDefault="00016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16940" w:rsidRPr="00257CA3" w:rsidTr="00245129">
      <w:tc>
        <w:tcPr>
          <w:tcW w:w="4200" w:type="dxa"/>
          <w:tcMar>
            <w:left w:w="0" w:type="dxa"/>
            <w:right w:w="0" w:type="dxa"/>
          </w:tcMar>
        </w:tcPr>
        <w:p w:rsidR="00016940" w:rsidRPr="00755F22" w:rsidRDefault="000169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16940" w:rsidRPr="00755F22" w:rsidRDefault="000169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16940" w:rsidRPr="00755F22" w:rsidRDefault="0001694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16940" w:rsidRPr="00755F22" w:rsidRDefault="0001694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16940" w:rsidRPr="00755F22" w:rsidRDefault="0001694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16940" w:rsidRPr="00755F22" w:rsidRDefault="000169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16940" w:rsidRPr="00FF6BA5" w:rsidRDefault="00016940"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28681"/>
  </w:hdrShapeDefaults>
  <w:footnotePr>
    <w:footnote w:id="-1"/>
    <w:footnote w:id="0"/>
  </w:footnotePr>
  <w:endnotePr>
    <w:endnote w:id="-1"/>
    <w:endnote w:id="0"/>
  </w:endnotePr>
  <w:compat/>
  <w:rsids>
    <w:rsidRoot w:val="00051D42"/>
    <w:rsid w:val="00016940"/>
    <w:rsid w:val="0003223B"/>
    <w:rsid w:val="000327B2"/>
    <w:rsid w:val="00051D42"/>
    <w:rsid w:val="00091FA6"/>
    <w:rsid w:val="00096BD9"/>
    <w:rsid w:val="000B3C9A"/>
    <w:rsid w:val="000B40A2"/>
    <w:rsid w:val="000B4624"/>
    <w:rsid w:val="000C0ACD"/>
    <w:rsid w:val="000E67FB"/>
    <w:rsid w:val="00102926"/>
    <w:rsid w:val="0010587F"/>
    <w:rsid w:val="00106515"/>
    <w:rsid w:val="00111C6B"/>
    <w:rsid w:val="0012102B"/>
    <w:rsid w:val="0013369E"/>
    <w:rsid w:val="00164E6D"/>
    <w:rsid w:val="001B157C"/>
    <w:rsid w:val="001B5C23"/>
    <w:rsid w:val="001D0D5F"/>
    <w:rsid w:val="001D6B8C"/>
    <w:rsid w:val="001F1F83"/>
    <w:rsid w:val="002021A9"/>
    <w:rsid w:val="002139A7"/>
    <w:rsid w:val="00215F7C"/>
    <w:rsid w:val="0022323B"/>
    <w:rsid w:val="002410B8"/>
    <w:rsid w:val="00242AEE"/>
    <w:rsid w:val="00245129"/>
    <w:rsid w:val="00245879"/>
    <w:rsid w:val="00257CA3"/>
    <w:rsid w:val="00267FD5"/>
    <w:rsid w:val="002868D0"/>
    <w:rsid w:val="00291D7C"/>
    <w:rsid w:val="002A27D1"/>
    <w:rsid w:val="002A4AFA"/>
    <w:rsid w:val="002B1F29"/>
    <w:rsid w:val="002B516C"/>
    <w:rsid w:val="002B7FDD"/>
    <w:rsid w:val="002D72EB"/>
    <w:rsid w:val="002E2327"/>
    <w:rsid w:val="002E3583"/>
    <w:rsid w:val="002E5576"/>
    <w:rsid w:val="002F2281"/>
    <w:rsid w:val="00331B52"/>
    <w:rsid w:val="003359D3"/>
    <w:rsid w:val="00355967"/>
    <w:rsid w:val="00382C47"/>
    <w:rsid w:val="00384384"/>
    <w:rsid w:val="003866AE"/>
    <w:rsid w:val="003B3977"/>
    <w:rsid w:val="00432989"/>
    <w:rsid w:val="00440E24"/>
    <w:rsid w:val="0044776A"/>
    <w:rsid w:val="00460AFC"/>
    <w:rsid w:val="0047471F"/>
    <w:rsid w:val="004B195E"/>
    <w:rsid w:val="004B66B4"/>
    <w:rsid w:val="004B7F60"/>
    <w:rsid w:val="004C1AAC"/>
    <w:rsid w:val="004E01ED"/>
    <w:rsid w:val="004F090E"/>
    <w:rsid w:val="005056F0"/>
    <w:rsid w:val="00527CC7"/>
    <w:rsid w:val="00560FD4"/>
    <w:rsid w:val="00571CA4"/>
    <w:rsid w:val="00582136"/>
    <w:rsid w:val="005C6840"/>
    <w:rsid w:val="005F263E"/>
    <w:rsid w:val="00600252"/>
    <w:rsid w:val="00612A40"/>
    <w:rsid w:val="0066656F"/>
    <w:rsid w:val="00675479"/>
    <w:rsid w:val="00680709"/>
    <w:rsid w:val="00696BF9"/>
    <w:rsid w:val="00697C62"/>
    <w:rsid w:val="006A2F7C"/>
    <w:rsid w:val="006A329B"/>
    <w:rsid w:val="006A7EB8"/>
    <w:rsid w:val="006B30BC"/>
    <w:rsid w:val="006B6926"/>
    <w:rsid w:val="006C3F47"/>
    <w:rsid w:val="006C5F7A"/>
    <w:rsid w:val="006E06AF"/>
    <w:rsid w:val="006F350F"/>
    <w:rsid w:val="00732DB7"/>
    <w:rsid w:val="0074238B"/>
    <w:rsid w:val="00745EF7"/>
    <w:rsid w:val="00755986"/>
    <w:rsid w:val="00755F22"/>
    <w:rsid w:val="00766E4A"/>
    <w:rsid w:val="007820CE"/>
    <w:rsid w:val="00782AE4"/>
    <w:rsid w:val="0079724F"/>
    <w:rsid w:val="007A3EAE"/>
    <w:rsid w:val="007C04FC"/>
    <w:rsid w:val="007D3E0F"/>
    <w:rsid w:val="007F387B"/>
    <w:rsid w:val="00802863"/>
    <w:rsid w:val="00815B3C"/>
    <w:rsid w:val="0082783A"/>
    <w:rsid w:val="00831CA9"/>
    <w:rsid w:val="00850E1F"/>
    <w:rsid w:val="0085476B"/>
    <w:rsid w:val="00863335"/>
    <w:rsid w:val="00890FEB"/>
    <w:rsid w:val="008D292F"/>
    <w:rsid w:val="008E03DC"/>
    <w:rsid w:val="008F4EE1"/>
    <w:rsid w:val="00924065"/>
    <w:rsid w:val="00930D68"/>
    <w:rsid w:val="00932DB4"/>
    <w:rsid w:val="009414B2"/>
    <w:rsid w:val="00941A4B"/>
    <w:rsid w:val="00946242"/>
    <w:rsid w:val="0095096B"/>
    <w:rsid w:val="00970CD3"/>
    <w:rsid w:val="009723FA"/>
    <w:rsid w:val="00984546"/>
    <w:rsid w:val="00985ABD"/>
    <w:rsid w:val="00996510"/>
    <w:rsid w:val="009D1F15"/>
    <w:rsid w:val="009D555E"/>
    <w:rsid w:val="009F3024"/>
    <w:rsid w:val="00A0355E"/>
    <w:rsid w:val="00A375D1"/>
    <w:rsid w:val="00A51D10"/>
    <w:rsid w:val="00A52A83"/>
    <w:rsid w:val="00A6552C"/>
    <w:rsid w:val="00A87207"/>
    <w:rsid w:val="00A935AA"/>
    <w:rsid w:val="00AB2201"/>
    <w:rsid w:val="00AD3259"/>
    <w:rsid w:val="00AF1715"/>
    <w:rsid w:val="00AF3904"/>
    <w:rsid w:val="00B010C0"/>
    <w:rsid w:val="00B4740D"/>
    <w:rsid w:val="00B61629"/>
    <w:rsid w:val="00B7374B"/>
    <w:rsid w:val="00B90DC0"/>
    <w:rsid w:val="00BA116A"/>
    <w:rsid w:val="00BA5582"/>
    <w:rsid w:val="00BA6468"/>
    <w:rsid w:val="00BD06DA"/>
    <w:rsid w:val="00BD4217"/>
    <w:rsid w:val="00BF25F3"/>
    <w:rsid w:val="00C1697B"/>
    <w:rsid w:val="00C21CB5"/>
    <w:rsid w:val="00C50A5C"/>
    <w:rsid w:val="00C50FDF"/>
    <w:rsid w:val="00C63381"/>
    <w:rsid w:val="00C73D06"/>
    <w:rsid w:val="00C73E1B"/>
    <w:rsid w:val="00C759B4"/>
    <w:rsid w:val="00C77713"/>
    <w:rsid w:val="00C965AD"/>
    <w:rsid w:val="00CB43D5"/>
    <w:rsid w:val="00CC4D84"/>
    <w:rsid w:val="00CC757C"/>
    <w:rsid w:val="00CE198A"/>
    <w:rsid w:val="00D64901"/>
    <w:rsid w:val="00D76BDF"/>
    <w:rsid w:val="00D862C1"/>
    <w:rsid w:val="00D93B50"/>
    <w:rsid w:val="00D94670"/>
    <w:rsid w:val="00DA46F6"/>
    <w:rsid w:val="00DD0B49"/>
    <w:rsid w:val="00E06DFA"/>
    <w:rsid w:val="00E20A0A"/>
    <w:rsid w:val="00E31C11"/>
    <w:rsid w:val="00E356C7"/>
    <w:rsid w:val="00E45FE4"/>
    <w:rsid w:val="00E566B2"/>
    <w:rsid w:val="00E64FA7"/>
    <w:rsid w:val="00E770CB"/>
    <w:rsid w:val="00E903A1"/>
    <w:rsid w:val="00E940EB"/>
    <w:rsid w:val="00EB2B90"/>
    <w:rsid w:val="00ED7E83"/>
    <w:rsid w:val="00EF4B63"/>
    <w:rsid w:val="00F0068D"/>
    <w:rsid w:val="00F0576D"/>
    <w:rsid w:val="00F14E6D"/>
    <w:rsid w:val="00F15EA8"/>
    <w:rsid w:val="00F16C8D"/>
    <w:rsid w:val="00F26C61"/>
    <w:rsid w:val="00F33CCE"/>
    <w:rsid w:val="00F40249"/>
    <w:rsid w:val="00F526C8"/>
    <w:rsid w:val="00F75A31"/>
    <w:rsid w:val="00F761DC"/>
    <w:rsid w:val="00F9272D"/>
    <w:rsid w:val="00F9518C"/>
    <w:rsid w:val="00FA316E"/>
    <w:rsid w:val="00FA4884"/>
    <w:rsid w:val="00FA59EF"/>
    <w:rsid w:val="00FB19A2"/>
    <w:rsid w:val="00FC6206"/>
    <w:rsid w:val="00FF50E3"/>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g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4559</Words>
  <Characters>25990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2012-09-14T17:15:00Z</dcterms:created>
  <dcterms:modified xsi:type="dcterms:W3CDTF">2012-09-14T17:15:00Z</dcterms:modified>
</cp:coreProperties>
</file>