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3" w:rsidRPr="002E2327" w:rsidRDefault="00382C47">
      <w:r w:rsidRPr="002E2327">
        <w:rPr>
          <w:noProof/>
          <w:lang w:eastAsia="en-CA"/>
        </w:rPr>
        <w:drawing>
          <wp:anchor distT="57150" distB="57150" distL="57150" distR="57150" simplePos="0" relativeHeight="251659264" behindDoc="0" locked="0" layoutInCell="0" allowOverlap="1">
            <wp:simplePos x="0" y="0"/>
            <wp:positionH relativeFrom="margin">
              <wp:align>center</wp:align>
            </wp:positionH>
            <wp:positionV relativeFrom="margin">
              <wp:posOffset>133350</wp:posOffset>
            </wp:positionV>
            <wp:extent cx="1276350" cy="16668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76350" cy="1666875"/>
                    </a:xfrm>
                    <a:prstGeom prst="rect">
                      <a:avLst/>
                    </a:prstGeom>
                    <a:noFill/>
                    <a:ln w="9525">
                      <a:noFill/>
                      <a:miter lim="800000"/>
                      <a:headEnd/>
                      <a:tailEnd/>
                    </a:ln>
                  </pic:spPr>
                </pic:pic>
              </a:graphicData>
            </a:graphic>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BF25F3" w:rsidP="00BF25F3">
      <w:pPr>
        <w:tabs>
          <w:tab w:val="left" w:pos="6075"/>
        </w:tabs>
      </w:pPr>
      <w:r w:rsidRPr="002E232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DC2D1F"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DC2D1F"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DC2D1F" w:rsidTr="002E5576">
        <w:tc>
          <w:tcPr>
            <w:tcW w:w="4518" w:type="dxa"/>
          </w:tcPr>
          <w:p w:rsidR="00BF25F3" w:rsidRPr="002E2327" w:rsidRDefault="00BF25F3" w:rsidP="009F3024">
            <w:pPr>
              <w:tabs>
                <w:tab w:val="left" w:pos="6075"/>
              </w:tabs>
              <w:jc w:val="both"/>
              <w:rPr>
                <w:rFonts w:ascii="Arial" w:hAnsi="Arial" w:cs="Arial"/>
                <w:i/>
                <w:sz w:val="20"/>
                <w:szCs w:val="20"/>
              </w:rPr>
            </w:pPr>
            <w:r w:rsidRPr="002E2327">
              <w:rPr>
                <w:rFonts w:ascii="Arial" w:hAnsi="Arial" w:cs="Arial"/>
                <w:i/>
                <w:sz w:val="20"/>
                <w:szCs w:val="20"/>
              </w:rPr>
              <w:t xml:space="preserve">During Court sessions </w:t>
            </w:r>
            <w:r w:rsidR="009F3024">
              <w:rPr>
                <w:rFonts w:ascii="Arial" w:hAnsi="Arial" w:cs="Arial"/>
                <w:i/>
                <w:sz w:val="20"/>
                <w:szCs w:val="20"/>
              </w:rPr>
              <w:t xml:space="preserve">the Bulletin </w:t>
            </w:r>
            <w:r w:rsidRPr="002E2327">
              <w:rPr>
                <w:rFonts w:ascii="Arial" w:hAnsi="Arial" w:cs="Arial"/>
                <w:i/>
                <w:sz w:val="20"/>
                <w:szCs w:val="20"/>
              </w:rPr>
              <w:t>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Bulletin paraît en principe toutes les semaines pendant les sessions de la Cour.</w:t>
            </w:r>
          </w:p>
        </w:tc>
      </w:tr>
      <w:tr w:rsidR="00BF25F3" w:rsidRPr="00DC2D1F"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DC2D1F" w:rsidTr="002E5576">
        <w:tc>
          <w:tcPr>
            <w:tcW w:w="4518" w:type="dxa"/>
          </w:tcPr>
          <w:p w:rsidR="00BF25F3" w:rsidRPr="002E2327" w:rsidRDefault="00BF3B03"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3B0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9F3024" w:rsidRPr="00DC2D1F" w:rsidTr="002E5576">
        <w:tc>
          <w:tcPr>
            <w:tcW w:w="4518" w:type="dxa"/>
          </w:tcPr>
          <w:p w:rsidR="009F3024" w:rsidRPr="00091FA6" w:rsidRDefault="009F3024" w:rsidP="009F3024">
            <w:pPr>
              <w:tabs>
                <w:tab w:val="left" w:pos="6075"/>
              </w:tabs>
              <w:rPr>
                <w:rFonts w:cs="Times New Roman"/>
                <w:szCs w:val="24"/>
                <w:lang w:val="fr-CA"/>
              </w:rPr>
            </w:pPr>
          </w:p>
          <w:p w:rsidR="009F3024" w:rsidRPr="00091FA6" w:rsidRDefault="009F3024" w:rsidP="009F3024">
            <w:pPr>
              <w:tabs>
                <w:tab w:val="left" w:pos="6075"/>
              </w:tabs>
              <w:rPr>
                <w:rFonts w:cs="Times New Roman"/>
                <w:szCs w:val="24"/>
                <w:lang w:val="fr-CA"/>
              </w:rPr>
            </w:pPr>
          </w:p>
        </w:tc>
        <w:tc>
          <w:tcPr>
            <w:tcW w:w="630" w:type="dxa"/>
          </w:tcPr>
          <w:p w:rsidR="009F3024" w:rsidRPr="00091FA6" w:rsidRDefault="009F3024" w:rsidP="009F3024">
            <w:pPr>
              <w:tabs>
                <w:tab w:val="left" w:pos="6075"/>
              </w:tabs>
              <w:rPr>
                <w:rFonts w:cs="Times New Roman"/>
                <w:szCs w:val="24"/>
                <w:lang w:val="fr-CA"/>
              </w:rPr>
            </w:pPr>
          </w:p>
        </w:tc>
        <w:tc>
          <w:tcPr>
            <w:tcW w:w="4428" w:type="dxa"/>
          </w:tcPr>
          <w:p w:rsidR="009F3024" w:rsidRPr="009F3024" w:rsidRDefault="009F3024" w:rsidP="009F3024">
            <w:pPr>
              <w:tabs>
                <w:tab w:val="left" w:pos="6075"/>
              </w:tabs>
              <w:rPr>
                <w:rFonts w:cs="Times New Roman"/>
                <w:szCs w:val="24"/>
                <w:lang w:val="fr-CA"/>
              </w:rPr>
            </w:pPr>
          </w:p>
        </w:tc>
      </w:tr>
      <w:tr w:rsidR="009F3024" w:rsidRPr="00DC2D1F" w:rsidTr="002E5576">
        <w:tc>
          <w:tcPr>
            <w:tcW w:w="4518" w:type="dxa"/>
          </w:tcPr>
          <w:p w:rsidR="009F3024" w:rsidRPr="002E2327" w:rsidRDefault="009F3024" w:rsidP="00BF25F3">
            <w:pPr>
              <w:tabs>
                <w:tab w:val="left" w:pos="6075"/>
              </w:tabs>
              <w:jc w:val="both"/>
              <w:rPr>
                <w:rFonts w:ascii="Arial" w:hAnsi="Arial" w:cs="Arial"/>
                <w:i/>
                <w:sz w:val="20"/>
                <w:szCs w:val="20"/>
              </w:rPr>
            </w:pPr>
            <w:r>
              <w:rPr>
                <w:rFonts w:ascii="Arial" w:hAnsi="Arial" w:cs="Arial"/>
                <w:i/>
                <w:sz w:val="20"/>
                <w:szCs w:val="20"/>
              </w:rPr>
              <w:t xml:space="preserve">Consult the Supreme Court of Canada website at </w:t>
            </w:r>
            <w:hyperlink r:id="rId9" w:history="1">
              <w:r w:rsidRPr="00155CF3">
                <w:rPr>
                  <w:rStyle w:val="Hyperlink"/>
                  <w:rFonts w:ascii="Arial" w:hAnsi="Arial" w:cs="Arial"/>
                  <w:i/>
                  <w:sz w:val="20"/>
                  <w:szCs w:val="20"/>
                </w:rPr>
                <w:t>www.scc-csc.gc.ca</w:t>
              </w:r>
            </w:hyperlink>
            <w:r>
              <w:rPr>
                <w:rFonts w:ascii="Arial" w:hAnsi="Arial" w:cs="Arial"/>
                <w:i/>
                <w:sz w:val="20"/>
                <w:szCs w:val="20"/>
              </w:rPr>
              <w:t xml:space="preserve"> for more information.</w:t>
            </w:r>
          </w:p>
        </w:tc>
        <w:tc>
          <w:tcPr>
            <w:tcW w:w="630" w:type="dxa"/>
          </w:tcPr>
          <w:p w:rsidR="009F3024" w:rsidRPr="002E2327" w:rsidRDefault="009F3024" w:rsidP="00BF25F3">
            <w:pPr>
              <w:tabs>
                <w:tab w:val="left" w:pos="6075"/>
              </w:tabs>
              <w:jc w:val="both"/>
              <w:rPr>
                <w:rFonts w:ascii="Arial" w:hAnsi="Arial" w:cs="Arial"/>
                <w:i/>
                <w:sz w:val="20"/>
                <w:szCs w:val="20"/>
              </w:rPr>
            </w:pPr>
          </w:p>
        </w:tc>
        <w:tc>
          <w:tcPr>
            <w:tcW w:w="4428" w:type="dxa"/>
          </w:tcPr>
          <w:p w:rsidR="009F3024" w:rsidRPr="009F3024" w:rsidRDefault="009F3024" w:rsidP="00BF25F3">
            <w:pPr>
              <w:tabs>
                <w:tab w:val="left" w:pos="6075"/>
              </w:tabs>
              <w:jc w:val="both"/>
              <w:rPr>
                <w:rFonts w:ascii="Arial" w:hAnsi="Arial" w:cs="Arial"/>
                <w:i/>
                <w:sz w:val="20"/>
                <w:szCs w:val="20"/>
                <w:lang w:val="fr-CA"/>
              </w:rPr>
            </w:pPr>
            <w:r w:rsidRPr="009F3024">
              <w:rPr>
                <w:rFonts w:ascii="Arial" w:hAnsi="Arial" w:cs="Arial"/>
                <w:i/>
                <w:sz w:val="20"/>
                <w:szCs w:val="20"/>
                <w:lang w:val="fr-CA"/>
              </w:rPr>
              <w:t>Pour de plus amples informations, con</w:t>
            </w:r>
            <w:r>
              <w:rPr>
                <w:rFonts w:ascii="Arial" w:hAnsi="Arial" w:cs="Arial"/>
                <w:i/>
                <w:sz w:val="20"/>
                <w:szCs w:val="20"/>
                <w:lang w:val="fr-CA"/>
              </w:rPr>
              <w:t xml:space="preserve">sulter le site Web de la Cour suprême du Canada à l’adresse suivante : </w:t>
            </w:r>
            <w:hyperlink r:id="rId10" w:history="1">
              <w:r w:rsidRPr="00155CF3">
                <w:rPr>
                  <w:rStyle w:val="Hyperlink"/>
                  <w:rFonts w:ascii="Arial" w:hAnsi="Arial" w:cs="Arial"/>
                  <w:i/>
                  <w:sz w:val="20"/>
                  <w:szCs w:val="20"/>
                  <w:lang w:val="fr-CA"/>
                </w:rPr>
                <w:t>www.scc-csc.gc.ca</w:t>
              </w:r>
            </w:hyperlink>
            <w:r>
              <w:rPr>
                <w:rFonts w:ascii="Arial" w:hAnsi="Arial" w:cs="Arial"/>
                <w:i/>
                <w:sz w:val="20"/>
                <w:szCs w:val="20"/>
                <w:lang w:val="fr-CA"/>
              </w:rPr>
              <w:t xml:space="preserve"> </w:t>
            </w:r>
          </w:p>
        </w:tc>
      </w:tr>
    </w:tbl>
    <w:p w:rsidR="00BF25F3" w:rsidRPr="009F3024" w:rsidRDefault="00BF25F3" w:rsidP="00BF25F3">
      <w:pPr>
        <w:tabs>
          <w:tab w:val="left" w:pos="6075"/>
        </w:tabs>
        <w:rPr>
          <w:lang w:val="fr-CA"/>
        </w:rPr>
      </w:pPr>
    </w:p>
    <w:p w:rsidR="00440E24" w:rsidRPr="009F3024" w:rsidRDefault="00440E24" w:rsidP="00440E24">
      <w:pPr>
        <w:pBdr>
          <w:bottom w:val="single" w:sz="6" w:space="1" w:color="auto"/>
        </w:pBdr>
        <w:tabs>
          <w:tab w:val="left" w:pos="6075"/>
        </w:tabs>
        <w:rPr>
          <w:lang w:val="fr-CA"/>
        </w:rPr>
      </w:pPr>
    </w:p>
    <w:p w:rsidR="00440E24" w:rsidRPr="009F3024" w:rsidRDefault="00440E24" w:rsidP="00440E24">
      <w:pPr>
        <w:rPr>
          <w:lang w:val="fr-CA"/>
        </w:rPr>
      </w:pPr>
    </w:p>
    <w:p w:rsidR="00600252" w:rsidRPr="00675479" w:rsidRDefault="009D0C06" w:rsidP="00F0068D">
      <w:pPr>
        <w:pBdr>
          <w:bottom w:val="single" w:sz="6" w:space="1" w:color="auto"/>
        </w:pBdr>
        <w:tabs>
          <w:tab w:val="center" w:pos="4680"/>
          <w:tab w:val="right" w:pos="9360"/>
        </w:tabs>
        <w:rPr>
          <w:lang w:val="fr-CA"/>
        </w:rPr>
      </w:pPr>
      <w:r>
        <w:rPr>
          <w:lang w:val="fr-CA"/>
        </w:rPr>
        <w:t>November</w:t>
      </w:r>
      <w:r w:rsidR="00440E24" w:rsidRPr="00675479">
        <w:rPr>
          <w:lang w:val="fr-CA"/>
        </w:rPr>
        <w:t xml:space="preserve"> </w:t>
      </w:r>
      <w:r>
        <w:rPr>
          <w:lang w:val="fr-CA"/>
        </w:rPr>
        <w:t>9</w:t>
      </w:r>
      <w:r w:rsidR="00440E24" w:rsidRPr="00675479">
        <w:rPr>
          <w:lang w:val="fr-CA"/>
        </w:rPr>
        <w:t>, 201</w:t>
      </w:r>
      <w:r w:rsidR="00C73D06">
        <w:rPr>
          <w:lang w:val="fr-CA"/>
        </w:rPr>
        <w:t>2</w:t>
      </w:r>
      <w:r w:rsidR="00F0068D" w:rsidRPr="00675479">
        <w:rPr>
          <w:lang w:val="fr-CA"/>
        </w:rPr>
        <w:tab/>
        <w:t>1</w:t>
      </w:r>
      <w:r>
        <w:rPr>
          <w:lang w:val="fr-CA"/>
        </w:rPr>
        <w:t>678</w:t>
      </w:r>
      <w:r w:rsidR="00F0068D" w:rsidRPr="00675479">
        <w:rPr>
          <w:lang w:val="fr-CA"/>
        </w:rPr>
        <w:t xml:space="preserve"> - </w:t>
      </w:r>
      <w:r w:rsidR="00294BC8">
        <w:rPr>
          <w:lang w:val="fr-CA"/>
        </w:rPr>
        <w:t>1747</w:t>
      </w:r>
      <w:r w:rsidR="00440E24" w:rsidRPr="00675479">
        <w:rPr>
          <w:lang w:val="fr-CA"/>
        </w:rPr>
        <w:tab/>
      </w:r>
      <w:r w:rsidR="00440E24" w:rsidRPr="002E2327">
        <w:rPr>
          <w:lang w:val="fr-CA"/>
        </w:rPr>
        <w:t>Le</w:t>
      </w:r>
      <w:r w:rsidR="00C73D06">
        <w:rPr>
          <w:lang w:val="fr-CA"/>
        </w:rPr>
        <w:t xml:space="preserve"> </w:t>
      </w:r>
      <w:r>
        <w:rPr>
          <w:lang w:val="fr-CA"/>
        </w:rPr>
        <w:t>9 novembre</w:t>
      </w:r>
      <w:r w:rsidR="00440E24" w:rsidRPr="002E2327">
        <w:rPr>
          <w:lang w:val="fr-CA"/>
        </w:rPr>
        <w:t xml:space="preserve"> 201</w:t>
      </w:r>
      <w:r w:rsidR="00C73D06">
        <w:rPr>
          <w:lang w:val="fr-CA"/>
        </w:rPr>
        <w:t>2</w:t>
      </w:r>
    </w:p>
    <w:p w:rsidR="00440E24" w:rsidRPr="00675479" w:rsidRDefault="00440E24" w:rsidP="00440E24">
      <w:pPr>
        <w:pBdr>
          <w:bottom w:val="single" w:sz="6" w:space="1" w:color="auto"/>
        </w:pBdr>
        <w:tabs>
          <w:tab w:val="right" w:pos="9360"/>
        </w:tabs>
        <w:rPr>
          <w:lang w:val="fr-CA"/>
        </w:rPr>
      </w:pPr>
    </w:p>
    <w:p w:rsidR="00440E24" w:rsidRPr="007F387B" w:rsidRDefault="00440E24" w:rsidP="00440E24">
      <w:pPr>
        <w:pBdr>
          <w:bottom w:val="single" w:sz="6" w:space="1" w:color="auto"/>
        </w:pBdr>
        <w:tabs>
          <w:tab w:val="right" w:pos="9360"/>
        </w:tabs>
        <w:rPr>
          <w:sz w:val="18"/>
          <w:szCs w:val="18"/>
          <w:lang w:val="fr-CA"/>
        </w:rPr>
      </w:pPr>
      <w:r w:rsidRPr="007F387B">
        <w:rPr>
          <w:sz w:val="18"/>
          <w:szCs w:val="18"/>
          <w:lang w:val="fr-CA"/>
        </w:rPr>
        <w:t>© Supreme Court of Canada (201</w:t>
      </w:r>
      <w:r w:rsidR="00C73D06">
        <w:rPr>
          <w:sz w:val="18"/>
          <w:szCs w:val="18"/>
          <w:lang w:val="fr-CA"/>
        </w:rPr>
        <w:t>2</w:t>
      </w:r>
      <w:r w:rsidRPr="007F387B">
        <w:rPr>
          <w:sz w:val="18"/>
          <w:szCs w:val="18"/>
          <w:lang w:val="fr-CA"/>
        </w:rPr>
        <w:t>)</w:t>
      </w:r>
      <w:r w:rsidRPr="007F387B">
        <w:rPr>
          <w:sz w:val="18"/>
          <w:szCs w:val="18"/>
          <w:lang w:val="fr-CA"/>
        </w:rPr>
        <w:tab/>
        <w:t>© Cour suprême du Canada (201</w:t>
      </w:r>
      <w:r w:rsidR="00C73D06">
        <w:rPr>
          <w:sz w:val="18"/>
          <w:szCs w:val="18"/>
          <w:lang w:val="fr-CA"/>
        </w:rPr>
        <w:t>2</w:t>
      </w:r>
      <w:r w:rsidRPr="007F387B">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1918-8358 (Online)</w:t>
      </w:r>
      <w:r w:rsidRPr="00675479">
        <w:rPr>
          <w:sz w:val="18"/>
          <w:szCs w:val="18"/>
          <w:lang w:val="fr-CA"/>
        </w:rPr>
        <w:tab/>
        <w:t xml:space="preserve">ISSN 1918-8358 (En </w:t>
      </w:r>
      <w:r w:rsidRPr="002E2327">
        <w:rPr>
          <w:sz w:val="18"/>
          <w:szCs w:val="18"/>
          <w:lang w:val="fr-CA"/>
        </w:rPr>
        <w:t>ligne</w:t>
      </w:r>
      <w:r w:rsidRPr="00675479">
        <w:rPr>
          <w:sz w:val="18"/>
          <w:szCs w:val="18"/>
          <w:lang w:val="fr-CA"/>
        </w:rPr>
        <w:t>)</w:t>
      </w:r>
    </w:p>
    <w:p w:rsidR="00600252" w:rsidRPr="00675479" w:rsidRDefault="00600252" w:rsidP="00BF25F3">
      <w:pPr>
        <w:pBdr>
          <w:bottom w:val="single" w:sz="6" w:space="1" w:color="auto"/>
        </w:pBdr>
        <w:tabs>
          <w:tab w:val="left" w:pos="6075"/>
        </w:tabs>
        <w:rPr>
          <w:lang w:val="fr-CA"/>
        </w:rPr>
      </w:pPr>
    </w:p>
    <w:tbl>
      <w:tblPr>
        <w:tblW w:w="9540" w:type="dxa"/>
        <w:tblInd w:w="-90" w:type="dxa"/>
        <w:tblBorders>
          <w:bottom w:val="single" w:sz="8" w:space="0" w:color="auto"/>
        </w:tblBorders>
        <w:tblLayout w:type="fixed"/>
        <w:tblCellMar>
          <w:left w:w="0" w:type="dxa"/>
          <w:right w:w="0" w:type="dxa"/>
        </w:tblCellMar>
        <w:tblLook w:val="000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lastRenderedPageBreak/>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1980"/>
        <w:gridCol w:w="3888"/>
      </w:tblGrid>
      <w:tr w:rsidR="0095096B" w:rsidRPr="002E2327" w:rsidTr="00164E6D">
        <w:tc>
          <w:tcPr>
            <w:tcW w:w="3708" w:type="dxa"/>
          </w:tcPr>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to appeal </w:t>
            </w:r>
          </w:p>
          <w:p w:rsidR="0095096B" w:rsidRPr="002E2327" w:rsidRDefault="0095096B" w:rsidP="0095096B">
            <w:pPr>
              <w:tabs>
                <w:tab w:val="right" w:pos="9360"/>
              </w:tabs>
              <w:rPr>
                <w:rFonts w:cs="Times New Roman"/>
                <w:sz w:val="20"/>
                <w:szCs w:val="20"/>
              </w:rPr>
            </w:pPr>
            <w:r w:rsidRPr="002E2327">
              <w:rPr>
                <w:rFonts w:cs="Times New Roman"/>
                <w:sz w:val="20"/>
                <w:szCs w:val="20"/>
              </w:rPr>
              <w:t>filed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submitted </w:t>
            </w:r>
          </w:p>
          <w:p w:rsidR="0095096B" w:rsidRPr="002E2327" w:rsidRDefault="0095096B" w:rsidP="0095096B">
            <w:pPr>
              <w:tabs>
                <w:tab w:val="right" w:pos="9360"/>
              </w:tabs>
              <w:rPr>
                <w:rFonts w:cs="Times New Roman"/>
                <w:sz w:val="20"/>
                <w:szCs w:val="20"/>
              </w:rPr>
            </w:pPr>
            <w:r w:rsidRPr="002E2327">
              <w:rPr>
                <w:rFonts w:cs="Times New Roman"/>
                <w:sz w:val="20"/>
                <w:szCs w:val="20"/>
              </w:rPr>
              <w:t>to Court since 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Judgments on applications for </w:t>
            </w:r>
          </w:p>
          <w:p w:rsidR="0095096B" w:rsidRPr="002E2327" w:rsidRDefault="0095096B" w:rsidP="0095096B">
            <w:pPr>
              <w:tabs>
                <w:tab w:val="right" w:pos="9360"/>
              </w:tabs>
              <w:rPr>
                <w:rFonts w:cs="Times New Roman"/>
                <w:sz w:val="20"/>
                <w:szCs w:val="20"/>
              </w:rPr>
            </w:pPr>
            <w:r w:rsidRPr="002E2327">
              <w:rPr>
                <w:rFonts w:cs="Times New Roman"/>
                <w:sz w:val="20"/>
                <w:szCs w:val="20"/>
              </w:rPr>
              <w:t>leave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Motions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Notices of discontinuance filed since </w:t>
            </w:r>
          </w:p>
          <w:p w:rsidR="0095096B" w:rsidRPr="002E2327" w:rsidRDefault="0095096B" w:rsidP="0095096B">
            <w:pPr>
              <w:tabs>
                <w:tab w:val="right" w:pos="9360"/>
              </w:tabs>
              <w:rPr>
                <w:rFonts w:cs="Times New Roman"/>
                <w:sz w:val="20"/>
                <w:szCs w:val="20"/>
              </w:rPr>
            </w:pPr>
            <w:r w:rsidRPr="002E2327">
              <w:rPr>
                <w:rFonts w:cs="Times New Roman"/>
                <w:sz w:val="20"/>
                <w:szCs w:val="20"/>
              </w:rPr>
              <w:t>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Appeals heard since last issue and disposition</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Pronouncements of appeals reserved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Headnotes of recent judgments</w:t>
            </w:r>
          </w:p>
          <w:p w:rsidR="00A87207" w:rsidRPr="002E2327" w:rsidRDefault="00A87207" w:rsidP="00E45C23">
            <w:pPr>
              <w:tabs>
                <w:tab w:val="right" w:pos="9360"/>
              </w:tabs>
              <w:rPr>
                <w:rFonts w:cs="Times New Roman"/>
                <w:sz w:val="20"/>
                <w:szCs w:val="20"/>
              </w:rPr>
            </w:pPr>
          </w:p>
        </w:tc>
        <w:tc>
          <w:tcPr>
            <w:tcW w:w="1980" w:type="dxa"/>
          </w:tcPr>
          <w:p w:rsidR="0095096B" w:rsidRPr="002E2327" w:rsidRDefault="00680B0A" w:rsidP="0095096B">
            <w:pPr>
              <w:jc w:val="center"/>
              <w:rPr>
                <w:rFonts w:cs="Times New Roman"/>
                <w:sz w:val="20"/>
                <w:szCs w:val="20"/>
              </w:rPr>
            </w:pPr>
            <w:r>
              <w:rPr>
                <w:rFonts w:cs="Times New Roman"/>
                <w:sz w:val="20"/>
                <w:szCs w:val="20"/>
              </w:rPr>
              <w:t xml:space="preserve">1678 </w:t>
            </w:r>
            <w:r w:rsidR="00BF3B03" w:rsidRPr="002E2327">
              <w:rPr>
                <w:rFonts w:cs="Times New Roman"/>
                <w:sz w:val="20"/>
                <w:szCs w:val="20"/>
              </w:rPr>
              <w:fldChar w:fldCharType="begin"/>
            </w:r>
            <w:r w:rsidR="0095096B" w:rsidRPr="002E2327">
              <w:rPr>
                <w:rFonts w:cs="Times New Roman"/>
                <w:sz w:val="20"/>
                <w:szCs w:val="20"/>
              </w:rPr>
              <w:instrText xml:space="preserve"> SEQ CHAPTER \h \r 1</w:instrText>
            </w:r>
            <w:r w:rsidR="00BF3B03" w:rsidRPr="002E2327">
              <w:rPr>
                <w:rFonts w:cs="Times New Roman"/>
                <w:sz w:val="20"/>
                <w:szCs w:val="20"/>
              </w:rPr>
              <w:fldChar w:fldCharType="end"/>
            </w:r>
            <w:r w:rsidR="0095096B" w:rsidRPr="002E2327">
              <w:rPr>
                <w:rFonts w:cs="Times New Roman"/>
                <w:sz w:val="20"/>
                <w:szCs w:val="20"/>
              </w:rPr>
              <w:t>-</w:t>
            </w:r>
            <w:r>
              <w:rPr>
                <w:rFonts w:cs="Times New Roman"/>
                <w:sz w:val="20"/>
                <w:szCs w:val="20"/>
              </w:rPr>
              <w:t xml:space="preserve"> 1679</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680B0A" w:rsidP="0095096B">
            <w:pPr>
              <w:jc w:val="center"/>
              <w:rPr>
                <w:rFonts w:cs="Times New Roman"/>
                <w:sz w:val="20"/>
                <w:szCs w:val="20"/>
              </w:rPr>
            </w:pPr>
            <w:r>
              <w:rPr>
                <w:rFonts w:cs="Times New Roman"/>
                <w:sz w:val="20"/>
                <w:szCs w:val="20"/>
              </w:rPr>
              <w:t>1680</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E45C23" w:rsidP="0095096B">
            <w:pPr>
              <w:jc w:val="center"/>
              <w:rPr>
                <w:rFonts w:cs="Times New Roman"/>
                <w:sz w:val="20"/>
                <w:szCs w:val="20"/>
              </w:rPr>
            </w:pPr>
            <w:r>
              <w:rPr>
                <w:rFonts w:cs="Times New Roman"/>
                <w:sz w:val="20"/>
                <w:szCs w:val="20"/>
              </w:rPr>
              <w:t xml:space="preserve">1681 </w:t>
            </w:r>
            <w:r w:rsidR="0095096B" w:rsidRPr="002E2327">
              <w:rPr>
                <w:rFonts w:cs="Times New Roman"/>
                <w:sz w:val="20"/>
                <w:szCs w:val="20"/>
              </w:rPr>
              <w:t>-</w:t>
            </w:r>
            <w:r w:rsidR="00A81A07">
              <w:rPr>
                <w:rFonts w:cs="Times New Roman"/>
                <w:sz w:val="20"/>
                <w:szCs w:val="20"/>
              </w:rPr>
              <w:t xml:space="preserve"> 1721</w:t>
            </w:r>
          </w:p>
          <w:p w:rsidR="0095096B" w:rsidRPr="002E2327" w:rsidRDefault="0095096B" w:rsidP="0095096B">
            <w:pPr>
              <w:jc w:val="center"/>
              <w:rPr>
                <w:rFonts w:cs="Times New Roman"/>
                <w:sz w:val="20"/>
                <w:szCs w:val="20"/>
              </w:rPr>
            </w:pPr>
          </w:p>
          <w:p w:rsidR="00A81A07" w:rsidRDefault="00A81A07" w:rsidP="0095096B">
            <w:pPr>
              <w:jc w:val="center"/>
              <w:rPr>
                <w:rFonts w:cs="Times New Roman"/>
                <w:sz w:val="20"/>
                <w:szCs w:val="20"/>
              </w:rPr>
            </w:pPr>
          </w:p>
          <w:p w:rsidR="0095096B" w:rsidRPr="002E2327" w:rsidRDefault="00A81A07" w:rsidP="0095096B">
            <w:pPr>
              <w:jc w:val="center"/>
              <w:rPr>
                <w:rFonts w:cs="Times New Roman"/>
                <w:sz w:val="20"/>
                <w:szCs w:val="20"/>
              </w:rPr>
            </w:pPr>
            <w:r>
              <w:rPr>
                <w:rFonts w:cs="Times New Roman"/>
                <w:sz w:val="20"/>
                <w:szCs w:val="20"/>
              </w:rPr>
              <w:t xml:space="preserve">1722 </w:t>
            </w:r>
            <w:r w:rsidR="0095096B" w:rsidRPr="002E2327">
              <w:rPr>
                <w:rFonts w:cs="Times New Roman"/>
                <w:sz w:val="20"/>
                <w:szCs w:val="20"/>
              </w:rPr>
              <w:t>-</w:t>
            </w:r>
            <w:r>
              <w:rPr>
                <w:rFonts w:cs="Times New Roman"/>
                <w:sz w:val="20"/>
                <w:szCs w:val="20"/>
              </w:rPr>
              <w:t xml:space="preserve"> 1724</w:t>
            </w:r>
          </w:p>
          <w:p w:rsidR="0095096B" w:rsidRPr="002E2327" w:rsidRDefault="0095096B" w:rsidP="0095096B">
            <w:pPr>
              <w:jc w:val="center"/>
              <w:rPr>
                <w:rFonts w:cs="Times New Roman"/>
                <w:sz w:val="20"/>
                <w:szCs w:val="20"/>
              </w:rPr>
            </w:pPr>
          </w:p>
          <w:p w:rsidR="0095096B" w:rsidRPr="002E2327" w:rsidRDefault="00A81A07" w:rsidP="0095096B">
            <w:pPr>
              <w:jc w:val="center"/>
              <w:rPr>
                <w:rFonts w:cs="Times New Roman"/>
                <w:sz w:val="20"/>
                <w:szCs w:val="20"/>
              </w:rPr>
            </w:pPr>
            <w:r>
              <w:rPr>
                <w:rFonts w:cs="Times New Roman"/>
                <w:sz w:val="20"/>
                <w:szCs w:val="20"/>
              </w:rPr>
              <w:t>1725</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A81A07" w:rsidP="0095096B">
            <w:pPr>
              <w:jc w:val="center"/>
              <w:rPr>
                <w:rFonts w:cs="Times New Roman"/>
                <w:sz w:val="20"/>
                <w:szCs w:val="20"/>
              </w:rPr>
            </w:pPr>
            <w:r>
              <w:rPr>
                <w:rFonts w:cs="Times New Roman"/>
                <w:sz w:val="20"/>
                <w:szCs w:val="20"/>
              </w:rPr>
              <w:t xml:space="preserve">1726 </w:t>
            </w:r>
            <w:r w:rsidR="0095096B" w:rsidRPr="002E2327">
              <w:rPr>
                <w:rFonts w:cs="Times New Roman"/>
                <w:sz w:val="20"/>
                <w:szCs w:val="20"/>
              </w:rPr>
              <w:t>-</w:t>
            </w:r>
            <w:r w:rsidR="007175E7">
              <w:rPr>
                <w:rFonts w:cs="Times New Roman"/>
                <w:sz w:val="20"/>
                <w:szCs w:val="20"/>
              </w:rPr>
              <w:t xml:space="preserve"> 1727</w:t>
            </w:r>
          </w:p>
          <w:p w:rsidR="0095096B" w:rsidRPr="002E2327" w:rsidRDefault="0095096B" w:rsidP="0095096B">
            <w:pPr>
              <w:jc w:val="center"/>
              <w:rPr>
                <w:rFonts w:cs="Times New Roman"/>
                <w:sz w:val="20"/>
                <w:szCs w:val="20"/>
              </w:rPr>
            </w:pPr>
          </w:p>
          <w:p w:rsidR="007175E7" w:rsidRDefault="007175E7" w:rsidP="0095096B">
            <w:pPr>
              <w:jc w:val="center"/>
              <w:rPr>
                <w:rFonts w:cs="Times New Roman"/>
                <w:sz w:val="20"/>
                <w:szCs w:val="20"/>
              </w:rPr>
            </w:pPr>
          </w:p>
          <w:p w:rsidR="0095096B" w:rsidRPr="002E2327" w:rsidRDefault="007175E7" w:rsidP="0095096B">
            <w:pPr>
              <w:jc w:val="center"/>
              <w:rPr>
                <w:rFonts w:cs="Times New Roman"/>
                <w:sz w:val="20"/>
                <w:szCs w:val="20"/>
              </w:rPr>
            </w:pPr>
            <w:r>
              <w:rPr>
                <w:rFonts w:cs="Times New Roman"/>
                <w:sz w:val="20"/>
                <w:szCs w:val="20"/>
              </w:rPr>
              <w:t xml:space="preserve">1728 </w:t>
            </w:r>
            <w:r w:rsidR="0095096B" w:rsidRPr="002E2327">
              <w:rPr>
                <w:rFonts w:cs="Times New Roman"/>
                <w:sz w:val="20"/>
                <w:szCs w:val="20"/>
              </w:rPr>
              <w:t>-</w:t>
            </w:r>
            <w:r>
              <w:rPr>
                <w:rFonts w:cs="Times New Roman"/>
                <w:sz w:val="20"/>
                <w:szCs w:val="20"/>
              </w:rPr>
              <w:t xml:space="preserve"> 1729</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7175E7" w:rsidP="0095096B">
            <w:pPr>
              <w:jc w:val="center"/>
              <w:rPr>
                <w:rFonts w:cs="Times New Roman"/>
                <w:sz w:val="20"/>
                <w:szCs w:val="20"/>
              </w:rPr>
            </w:pPr>
            <w:r>
              <w:rPr>
                <w:rFonts w:cs="Times New Roman"/>
                <w:sz w:val="20"/>
                <w:szCs w:val="20"/>
              </w:rPr>
              <w:t xml:space="preserve">1730 </w:t>
            </w:r>
            <w:r w:rsidR="0095096B" w:rsidRPr="002E2327">
              <w:rPr>
                <w:rFonts w:cs="Times New Roman"/>
                <w:sz w:val="20"/>
                <w:szCs w:val="20"/>
              </w:rPr>
              <w:t>-</w:t>
            </w:r>
            <w:r w:rsidR="00294BC8">
              <w:rPr>
                <w:rFonts w:cs="Times New Roman"/>
                <w:sz w:val="20"/>
                <w:szCs w:val="20"/>
              </w:rPr>
              <w:t xml:space="preserve"> 1747</w:t>
            </w:r>
          </w:p>
          <w:p w:rsidR="00A87207" w:rsidRPr="002E2327" w:rsidRDefault="00A87207" w:rsidP="00E45C23">
            <w:pPr>
              <w:jc w:val="center"/>
              <w:rPr>
                <w:rFonts w:cs="Times New Roman"/>
                <w:sz w:val="20"/>
                <w:szCs w:val="20"/>
              </w:rPr>
            </w:pPr>
          </w:p>
        </w:tc>
        <w:tc>
          <w:tcPr>
            <w:tcW w:w="3888" w:type="dxa"/>
          </w:tcPr>
          <w:p w:rsidR="0095096B" w:rsidRPr="002E2327" w:rsidRDefault="00BF3B03" w:rsidP="0095096B">
            <w:pPr>
              <w:rPr>
                <w:rFonts w:cs="Times New Roman"/>
                <w:sz w:val="20"/>
                <w:szCs w:val="20"/>
                <w:lang w:val="fr-CA"/>
              </w:rPr>
            </w:pPr>
            <w:r w:rsidRPr="002E2327">
              <w:rPr>
                <w:rFonts w:cs="Times New Roman"/>
                <w:sz w:val="20"/>
                <w:szCs w:val="20"/>
                <w:lang w:val="fr-CA"/>
              </w:rPr>
              <w:fldChar w:fldCharType="begin"/>
            </w:r>
            <w:r w:rsidR="0095096B" w:rsidRPr="002E2327">
              <w:rPr>
                <w:rFonts w:cs="Times New Roman"/>
                <w:sz w:val="20"/>
                <w:szCs w:val="20"/>
                <w:lang w:val="fr-CA"/>
              </w:rPr>
              <w:instrText xml:space="preserve"> SEQ CHAPTER \h \r 1</w:instrText>
            </w:r>
            <w:r w:rsidRPr="002E2327">
              <w:rPr>
                <w:rFonts w:cs="Times New Roman"/>
                <w:sz w:val="20"/>
                <w:szCs w:val="20"/>
                <w:lang w:val="fr-CA"/>
              </w:rPr>
              <w:fldChar w:fldCharType="end"/>
            </w:r>
            <w:r w:rsidR="0095096B" w:rsidRPr="002E2327">
              <w:rPr>
                <w:rFonts w:cs="Times New Roman"/>
                <w:sz w:val="20"/>
                <w:szCs w:val="20"/>
                <w:lang w:val="fr-CA"/>
              </w:rPr>
              <w:t xml:space="preserve">Demandes d'autorisation d'appel </w:t>
            </w:r>
          </w:p>
          <w:p w:rsidR="0095096B" w:rsidRPr="002E2327" w:rsidRDefault="0095096B" w:rsidP="0095096B">
            <w:pPr>
              <w:rPr>
                <w:rFonts w:cs="Times New Roman"/>
                <w:sz w:val="20"/>
                <w:szCs w:val="20"/>
                <w:lang w:val="fr-CA"/>
              </w:rPr>
            </w:pPr>
            <w:r w:rsidRPr="002E2327">
              <w:rPr>
                <w:rFonts w:cs="Times New Roman"/>
                <w:sz w:val="20"/>
                <w:szCs w:val="20"/>
                <w:lang w:val="fr-CA"/>
              </w:rPr>
              <w:t>déposées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Demandes soumises à la Cour depuis la </w:t>
            </w:r>
          </w:p>
          <w:p w:rsidR="0095096B" w:rsidRPr="002E2327" w:rsidRDefault="0095096B" w:rsidP="0095096B">
            <w:pPr>
              <w:rPr>
                <w:rFonts w:cs="Times New Roman"/>
                <w:sz w:val="20"/>
                <w:szCs w:val="20"/>
                <w:lang w:val="fr-CA"/>
              </w:rPr>
            </w:pPr>
            <w:r w:rsidRPr="002E2327">
              <w:rPr>
                <w:rFonts w:cs="Times New Roman"/>
                <w:sz w:val="20"/>
                <w:szCs w:val="20"/>
                <w:lang w:val="fr-CA"/>
              </w:rPr>
              <w:t>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demandes </w:t>
            </w:r>
          </w:p>
          <w:p w:rsidR="0095096B" w:rsidRPr="002E2327" w:rsidRDefault="0095096B" w:rsidP="0095096B">
            <w:pPr>
              <w:rPr>
                <w:rFonts w:cs="Times New Roman"/>
                <w:sz w:val="20"/>
                <w:szCs w:val="20"/>
                <w:lang w:val="fr-CA"/>
              </w:rPr>
            </w:pPr>
            <w:r w:rsidRPr="002E2327">
              <w:rPr>
                <w:rFonts w:cs="Times New Roman"/>
                <w:sz w:val="20"/>
                <w:szCs w:val="20"/>
                <w:lang w:val="fr-CA"/>
              </w:rPr>
              <w:t>d'autorisation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Requêtes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Avis de désistement déposés depuis la 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Appels entendus depuis la dernière </w:t>
            </w:r>
          </w:p>
          <w:p w:rsidR="0095096B" w:rsidRPr="002E2327" w:rsidRDefault="0095096B" w:rsidP="0095096B">
            <w:pPr>
              <w:rPr>
                <w:rFonts w:cs="Times New Roman"/>
                <w:sz w:val="20"/>
                <w:szCs w:val="20"/>
                <w:lang w:val="fr-CA"/>
              </w:rPr>
            </w:pPr>
            <w:r w:rsidRPr="002E2327">
              <w:rPr>
                <w:rFonts w:cs="Times New Roman"/>
                <w:sz w:val="20"/>
                <w:szCs w:val="20"/>
                <w:lang w:val="fr-CA"/>
              </w:rPr>
              <w:t>parution et résultat</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appels en </w:t>
            </w:r>
          </w:p>
          <w:p w:rsidR="0095096B" w:rsidRPr="002E2327" w:rsidRDefault="0095096B" w:rsidP="0095096B">
            <w:pPr>
              <w:rPr>
                <w:rFonts w:cs="Times New Roman"/>
                <w:sz w:val="20"/>
                <w:szCs w:val="20"/>
                <w:lang w:val="fr-CA"/>
              </w:rPr>
            </w:pPr>
            <w:r w:rsidRPr="002E2327">
              <w:rPr>
                <w:rFonts w:cs="Times New Roman"/>
                <w:sz w:val="20"/>
                <w:szCs w:val="20"/>
                <w:lang w:val="fr-CA"/>
              </w:rPr>
              <w:t>délibéré</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Sommaires de </w:t>
            </w:r>
            <w:r w:rsidR="00C50A5C">
              <w:rPr>
                <w:rFonts w:cs="Times New Roman"/>
                <w:sz w:val="20"/>
                <w:szCs w:val="20"/>
                <w:lang w:val="fr-CA"/>
              </w:rPr>
              <w:t xml:space="preserve">jugements </w:t>
            </w:r>
            <w:r w:rsidR="00C50A5C" w:rsidRPr="002E2327">
              <w:rPr>
                <w:rFonts w:cs="Times New Roman"/>
                <w:sz w:val="20"/>
                <w:szCs w:val="20"/>
                <w:lang w:val="fr-CA"/>
              </w:rPr>
              <w:t>récents</w:t>
            </w:r>
          </w:p>
          <w:p w:rsidR="00A87207" w:rsidRPr="002E2327" w:rsidRDefault="00A87207" w:rsidP="00E45C23">
            <w:pPr>
              <w:tabs>
                <w:tab w:val="right" w:pos="9360"/>
              </w:tabs>
              <w:rPr>
                <w:rFonts w:cs="Times New Roman"/>
                <w:sz w:val="20"/>
                <w:szCs w:val="20"/>
                <w:lang w:val="fr-CA"/>
              </w:rPr>
            </w:pPr>
          </w:p>
        </w:tc>
      </w:tr>
    </w:tbl>
    <w:p w:rsidR="0095096B" w:rsidRDefault="0095096B" w:rsidP="0095096B">
      <w:pPr>
        <w:tabs>
          <w:tab w:val="right" w:pos="9360"/>
        </w:tabs>
      </w:pPr>
    </w:p>
    <w:p w:rsidR="00E45C23" w:rsidRDefault="00E45C23" w:rsidP="0095096B">
      <w:pPr>
        <w:tabs>
          <w:tab w:val="right" w:pos="9360"/>
        </w:tabs>
      </w:pPr>
    </w:p>
    <w:p w:rsidR="00E45C23" w:rsidRDefault="00E45C23" w:rsidP="0095096B">
      <w:pPr>
        <w:tabs>
          <w:tab w:val="right" w:pos="9360"/>
        </w:tabs>
      </w:pPr>
    </w:p>
    <w:p w:rsidR="00E45C23" w:rsidRDefault="00E45C23" w:rsidP="0095096B">
      <w:pPr>
        <w:tabs>
          <w:tab w:val="right" w:pos="9360"/>
        </w:tabs>
      </w:pPr>
    </w:p>
    <w:p w:rsidR="00E45C23" w:rsidRDefault="00E45C23" w:rsidP="0095096B">
      <w:pPr>
        <w:tabs>
          <w:tab w:val="right" w:pos="9360"/>
        </w:tabs>
      </w:pPr>
    </w:p>
    <w:p w:rsidR="00E45C23" w:rsidRPr="002E2327" w:rsidRDefault="00E45C23" w:rsidP="0095096B">
      <w:pPr>
        <w:tabs>
          <w:tab w:val="right" w:pos="9360"/>
        </w:tabs>
      </w:pPr>
    </w:p>
    <w:tbl>
      <w:tblPr>
        <w:tblStyle w:val="TableGrid"/>
        <w:tblW w:w="0" w:type="auto"/>
        <w:tblLook w:val="04A0"/>
      </w:tblPr>
      <w:tblGrid>
        <w:gridCol w:w="9576"/>
      </w:tblGrid>
      <w:tr w:rsidR="0079724F" w:rsidRPr="00DC2D1F" w:rsidTr="0079724F">
        <w:tc>
          <w:tcPr>
            <w:tcW w:w="9576" w:type="dxa"/>
          </w:tcPr>
          <w:p w:rsidR="0079724F" w:rsidRPr="00245129" w:rsidRDefault="0079724F" w:rsidP="00215F7C">
            <w:pPr>
              <w:keepNext/>
              <w:tabs>
                <w:tab w:val="right" w:pos="9360"/>
              </w:tabs>
              <w:jc w:val="center"/>
              <w:rPr>
                <w:szCs w:val="24"/>
              </w:rPr>
            </w:pPr>
            <w:r w:rsidRPr="00245129">
              <w:rPr>
                <w:szCs w:val="24"/>
              </w:rPr>
              <w:t>NOTICE</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both"/>
              <w:rPr>
                <w:szCs w:val="24"/>
              </w:rPr>
            </w:pPr>
            <w:r w:rsidRPr="00245129">
              <w:rPr>
                <w:szCs w:val="24"/>
              </w:rPr>
              <w:t>Case summaries included in the Bulletin are prepared by the Office of the Registrar of the Supreme Court of Canada (Law Branch) for information purposes only.</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center"/>
              <w:rPr>
                <w:szCs w:val="24"/>
                <w:lang w:val="fr-CA"/>
              </w:rPr>
            </w:pPr>
            <w:r w:rsidRPr="00245129">
              <w:rPr>
                <w:szCs w:val="24"/>
                <w:lang w:val="fr-CA"/>
              </w:rPr>
              <w:t>AVIS</w:t>
            </w:r>
          </w:p>
          <w:p w:rsidR="0079724F" w:rsidRPr="00245129" w:rsidRDefault="0079724F" w:rsidP="00215F7C">
            <w:pPr>
              <w:keepNext/>
              <w:tabs>
                <w:tab w:val="right" w:pos="9360"/>
              </w:tabs>
              <w:rPr>
                <w:szCs w:val="24"/>
                <w:lang w:val="fr-CA"/>
              </w:rPr>
            </w:pPr>
          </w:p>
          <w:p w:rsidR="0079724F" w:rsidRPr="001D0D5F" w:rsidRDefault="0079724F" w:rsidP="00215F7C">
            <w:pPr>
              <w:keepNext/>
              <w:tabs>
                <w:tab w:val="right" w:pos="9360"/>
              </w:tabs>
              <w:jc w:val="both"/>
              <w:rPr>
                <w:sz w:val="20"/>
                <w:szCs w:val="20"/>
                <w:lang w:val="fr-CA"/>
              </w:rPr>
            </w:pPr>
            <w:r w:rsidRPr="00245129">
              <w:rPr>
                <w:szCs w:val="24"/>
                <w:lang w:val="fr-CA"/>
              </w:rPr>
              <w:t>Les résumés de dossiers publiés dans le bulletin sont préparés par le Bureau du registraire (Direction générale du droit) uniquement à titre d’information.</w:t>
            </w:r>
          </w:p>
        </w:tc>
      </w:tr>
    </w:tbl>
    <w:p w:rsidR="0095096B" w:rsidRPr="00675479" w:rsidRDefault="0095096B" w:rsidP="0095096B">
      <w:pPr>
        <w:tabs>
          <w:tab w:val="right" w:pos="9360"/>
        </w:tabs>
        <w:rPr>
          <w:lang w:val="fr-CA"/>
        </w:rPr>
      </w:pPr>
    </w:p>
    <w:p w:rsidR="00A87207" w:rsidRPr="00675479" w:rsidRDefault="00A87207" w:rsidP="0095096B">
      <w:pPr>
        <w:tabs>
          <w:tab w:val="right" w:pos="9360"/>
        </w:tabs>
        <w:rPr>
          <w:lang w:val="fr-CA"/>
        </w:rPr>
        <w:sectPr w:rsidR="00A87207" w:rsidRPr="00675479" w:rsidSect="0044776A">
          <w:headerReference w:type="even" r:id="rId11"/>
          <w:headerReference w:type="default" r:id="rId12"/>
          <w:footerReference w:type="even" r:id="rId13"/>
          <w:footerReference w:type="default" r:id="rId14"/>
          <w:headerReference w:type="first" r:id="rId15"/>
          <w:footerReference w:type="first" r:id="rId16"/>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tblPr>
      <w:tblGrid>
        <w:gridCol w:w="4200"/>
        <w:gridCol w:w="1200"/>
        <w:gridCol w:w="4230"/>
      </w:tblGrid>
      <w:tr w:rsidR="00A87207" w:rsidRPr="002E2327" w:rsidTr="00245129">
        <w:tc>
          <w:tcPr>
            <w:tcW w:w="4200" w:type="dxa"/>
            <w:shd w:val="clear" w:color="auto" w:fill="auto"/>
            <w:tcMar>
              <w:left w:w="0" w:type="dxa"/>
              <w:right w:w="0" w:type="dxa"/>
            </w:tcMar>
          </w:tcPr>
          <w:p w:rsidR="00A87207" w:rsidRPr="002E2327" w:rsidRDefault="00A87207" w:rsidP="00BA6468">
            <w:pPr>
              <w:rPr>
                <w:rFonts w:eastAsia="Times New Roman" w:cs="Times New Roman"/>
                <w:b/>
                <w:sz w:val="20"/>
                <w:szCs w:val="20"/>
                <w:lang w:eastAsia="en-CA"/>
              </w:rPr>
            </w:pPr>
            <w:r w:rsidRPr="002E2327">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2E2327" w:rsidRDefault="00A87207" w:rsidP="00A87207">
            <w:pPr>
              <w:rPr>
                <w:rFonts w:eastAsia="Times New Roman" w:cs="Times New Roman"/>
                <w:b/>
                <w:sz w:val="20"/>
                <w:szCs w:val="20"/>
                <w:lang w:val="fr-CA" w:eastAsia="en-CA"/>
              </w:rPr>
            </w:pPr>
            <w:r w:rsidRPr="002E2327">
              <w:rPr>
                <w:rFonts w:eastAsia="Times New Roman" w:cs="Times New Roman"/>
                <w:b/>
                <w:szCs w:val="20"/>
                <w:lang w:val="fr-CA" w:eastAsia="en-CA"/>
              </w:rPr>
              <w:t>DEMANDES D’AUTORISATION D’APPEL DÉPOSÉES</w:t>
            </w:r>
          </w:p>
        </w:tc>
      </w:tr>
    </w:tbl>
    <w:p w:rsidR="00A87207" w:rsidRPr="00C50A5C"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1181"/>
        <w:gridCol w:w="4320"/>
      </w:tblGrid>
      <w:tr w:rsidR="00242AEE" w:rsidRPr="00E819B8" w:rsidTr="003B3977">
        <w:tc>
          <w:tcPr>
            <w:tcW w:w="4320" w:type="dxa"/>
            <w:shd w:val="clear" w:color="auto" w:fill="auto"/>
          </w:tcPr>
          <w:p w:rsidR="00242AEE" w:rsidRPr="00A935AA" w:rsidRDefault="00F86C0A" w:rsidP="003B3977">
            <w:pPr>
              <w:rPr>
                <w:b/>
                <w:sz w:val="20"/>
                <w:szCs w:val="20"/>
              </w:rPr>
            </w:pPr>
            <w:r>
              <w:rPr>
                <w:b/>
                <w:sz w:val="20"/>
                <w:szCs w:val="20"/>
              </w:rPr>
              <w:t>Robert Glen Harrison</w:t>
            </w:r>
          </w:p>
          <w:p w:rsidR="00242AEE" w:rsidRPr="00A935AA" w:rsidRDefault="00242AEE" w:rsidP="003B3977">
            <w:pPr>
              <w:tabs>
                <w:tab w:val="left" w:pos="-1440"/>
                <w:tab w:val="left" w:pos="-720"/>
              </w:tabs>
              <w:rPr>
                <w:sz w:val="20"/>
                <w:szCs w:val="20"/>
              </w:rPr>
            </w:pPr>
            <w:r w:rsidRPr="00A935AA">
              <w:rPr>
                <w:sz w:val="20"/>
                <w:szCs w:val="20"/>
              </w:rPr>
              <w:tab/>
            </w:r>
            <w:r w:rsidR="00F86C0A">
              <w:rPr>
                <w:sz w:val="20"/>
                <w:szCs w:val="20"/>
              </w:rPr>
              <w:t>Robert Glen Harrison</w:t>
            </w:r>
          </w:p>
          <w:p w:rsidR="00242AEE" w:rsidRPr="00A935AA" w:rsidRDefault="00242AEE" w:rsidP="003B3977">
            <w:pPr>
              <w:tabs>
                <w:tab w:val="left" w:pos="-1440"/>
                <w:tab w:val="left" w:pos="-720"/>
              </w:tabs>
              <w:rPr>
                <w:sz w:val="20"/>
                <w:szCs w:val="20"/>
              </w:rPr>
            </w:pPr>
          </w:p>
          <w:p w:rsidR="00242AEE" w:rsidRPr="00A935AA" w:rsidRDefault="00242AEE" w:rsidP="003B3977">
            <w:pPr>
              <w:tabs>
                <w:tab w:val="left" w:pos="-1440"/>
                <w:tab w:val="left" w:pos="-720"/>
              </w:tabs>
              <w:rPr>
                <w:sz w:val="20"/>
                <w:szCs w:val="20"/>
              </w:rPr>
            </w:pPr>
            <w:r w:rsidRPr="00A935AA">
              <w:rPr>
                <w:sz w:val="20"/>
                <w:szCs w:val="20"/>
              </w:rPr>
              <w:tab/>
              <w:t>v. (3</w:t>
            </w:r>
            <w:r w:rsidR="009D0C06">
              <w:rPr>
                <w:sz w:val="20"/>
                <w:szCs w:val="20"/>
              </w:rPr>
              <w:t>5</w:t>
            </w:r>
            <w:r w:rsidR="00F86C0A">
              <w:rPr>
                <w:sz w:val="20"/>
                <w:szCs w:val="20"/>
              </w:rPr>
              <w:t>043</w:t>
            </w:r>
            <w:r w:rsidRPr="00A935AA">
              <w:rPr>
                <w:sz w:val="20"/>
                <w:szCs w:val="20"/>
              </w:rPr>
              <w:t>)</w:t>
            </w:r>
          </w:p>
          <w:p w:rsidR="00242AEE" w:rsidRPr="00A935AA" w:rsidRDefault="00242AEE" w:rsidP="003B3977">
            <w:pPr>
              <w:tabs>
                <w:tab w:val="left" w:pos="-1440"/>
                <w:tab w:val="left" w:pos="-720"/>
              </w:tabs>
              <w:rPr>
                <w:sz w:val="20"/>
                <w:szCs w:val="20"/>
              </w:rPr>
            </w:pPr>
          </w:p>
          <w:p w:rsidR="00242AEE" w:rsidRPr="00A935AA" w:rsidRDefault="00F86C0A" w:rsidP="003B3977">
            <w:pPr>
              <w:tabs>
                <w:tab w:val="left" w:pos="-1440"/>
                <w:tab w:val="left" w:pos="-720"/>
              </w:tabs>
              <w:rPr>
                <w:b/>
                <w:sz w:val="20"/>
                <w:szCs w:val="20"/>
              </w:rPr>
            </w:pPr>
            <w:r>
              <w:rPr>
                <w:b/>
                <w:sz w:val="20"/>
                <w:szCs w:val="20"/>
              </w:rPr>
              <w:t xml:space="preserve">Ministry of Children and Family Development and the Attorney General of British Columbia </w:t>
            </w:r>
            <w:r w:rsidR="00E819B8">
              <w:rPr>
                <w:b/>
                <w:sz w:val="20"/>
                <w:szCs w:val="20"/>
              </w:rPr>
              <w:t xml:space="preserve">et al. </w:t>
            </w:r>
            <w:r w:rsidR="00242AEE" w:rsidRPr="00A935AA">
              <w:rPr>
                <w:b/>
                <w:sz w:val="20"/>
                <w:szCs w:val="20"/>
              </w:rPr>
              <w:t>(B.C.)</w:t>
            </w:r>
          </w:p>
          <w:p w:rsidR="00242AEE" w:rsidRPr="00A935AA" w:rsidRDefault="00242AEE" w:rsidP="003B3977">
            <w:pPr>
              <w:tabs>
                <w:tab w:val="left" w:pos="-1440"/>
                <w:tab w:val="left" w:pos="-720"/>
              </w:tabs>
              <w:rPr>
                <w:sz w:val="20"/>
                <w:szCs w:val="20"/>
              </w:rPr>
            </w:pPr>
            <w:r w:rsidRPr="00A935AA">
              <w:rPr>
                <w:sz w:val="20"/>
                <w:szCs w:val="20"/>
              </w:rPr>
              <w:tab/>
            </w:r>
            <w:r w:rsidR="00E819B8">
              <w:rPr>
                <w:sz w:val="20"/>
                <w:szCs w:val="20"/>
              </w:rPr>
              <w:t>Jonathan G. Penner</w:t>
            </w:r>
          </w:p>
          <w:p w:rsidR="00242AEE" w:rsidRPr="00A935AA" w:rsidRDefault="00242AEE" w:rsidP="003B3977">
            <w:pPr>
              <w:tabs>
                <w:tab w:val="left" w:pos="-1440"/>
                <w:tab w:val="left" w:pos="-720"/>
              </w:tabs>
              <w:rPr>
                <w:sz w:val="20"/>
                <w:szCs w:val="20"/>
              </w:rPr>
            </w:pPr>
            <w:r w:rsidRPr="00A935AA">
              <w:rPr>
                <w:sz w:val="20"/>
                <w:szCs w:val="20"/>
              </w:rPr>
              <w:tab/>
            </w:r>
            <w:r w:rsidR="00E819B8">
              <w:rPr>
                <w:sz w:val="20"/>
                <w:szCs w:val="20"/>
              </w:rPr>
              <w:t>A.G. of British Columbia</w:t>
            </w:r>
          </w:p>
          <w:p w:rsidR="00242AEE" w:rsidRPr="00A935AA" w:rsidRDefault="00242AEE" w:rsidP="003B3977">
            <w:pPr>
              <w:tabs>
                <w:tab w:val="left" w:pos="-1440"/>
                <w:tab w:val="left" w:pos="-720"/>
              </w:tabs>
              <w:rPr>
                <w:sz w:val="20"/>
                <w:szCs w:val="20"/>
              </w:rPr>
            </w:pPr>
          </w:p>
          <w:p w:rsidR="00242AEE" w:rsidRPr="00A935AA" w:rsidRDefault="00242AEE" w:rsidP="003B3977">
            <w:pPr>
              <w:rPr>
                <w:sz w:val="20"/>
                <w:szCs w:val="20"/>
              </w:rPr>
            </w:pPr>
            <w:r w:rsidRPr="00A935AA">
              <w:rPr>
                <w:sz w:val="20"/>
                <w:szCs w:val="20"/>
              </w:rPr>
              <w:t>FILING DATE: 2</w:t>
            </w:r>
            <w:r w:rsidR="00E819B8">
              <w:rPr>
                <w:sz w:val="20"/>
                <w:szCs w:val="20"/>
              </w:rPr>
              <w:t>1</w:t>
            </w:r>
            <w:r w:rsidRPr="00A935AA">
              <w:rPr>
                <w:sz w:val="20"/>
                <w:szCs w:val="20"/>
              </w:rPr>
              <w:t>.</w:t>
            </w:r>
            <w:r w:rsidR="009D0C06">
              <w:rPr>
                <w:sz w:val="20"/>
                <w:szCs w:val="20"/>
              </w:rPr>
              <w:t>0</w:t>
            </w:r>
            <w:r w:rsidR="00E819B8">
              <w:rPr>
                <w:sz w:val="20"/>
                <w:szCs w:val="20"/>
              </w:rPr>
              <w:t>9</w:t>
            </w:r>
            <w:r w:rsidRPr="00A935AA">
              <w:rPr>
                <w:sz w:val="20"/>
                <w:szCs w:val="20"/>
              </w:rPr>
              <w:t>.201</w:t>
            </w:r>
            <w:r w:rsidR="009D0C06">
              <w:rPr>
                <w:sz w:val="20"/>
                <w:szCs w:val="20"/>
              </w:rPr>
              <w:t>2</w:t>
            </w:r>
          </w:p>
          <w:p w:rsidR="00242AEE" w:rsidRPr="00A935AA" w:rsidRDefault="00BF3B03" w:rsidP="003B3977">
            <w:pPr>
              <w:rPr>
                <w:sz w:val="20"/>
                <w:szCs w:val="20"/>
              </w:rPr>
            </w:pPr>
            <w:r w:rsidRPr="00BF3B03">
              <w:rPr>
                <w:sz w:val="20"/>
                <w:szCs w:val="20"/>
                <w:lang w:val="fr-CA"/>
              </w:rPr>
              <w:pict>
                <v:rect id="_x0000_i1025" style="width:108pt;height:1pt" o:hrpct="0" o:hralign="center" o:hrstd="t" o:hrnoshade="t" o:hr="t" fillcolor="black [3213]" stroked="f"/>
              </w:pict>
            </w:r>
          </w:p>
        </w:tc>
        <w:tc>
          <w:tcPr>
            <w:tcW w:w="1181" w:type="dxa"/>
            <w:shd w:val="clear" w:color="auto" w:fill="auto"/>
          </w:tcPr>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tc>
        <w:tc>
          <w:tcPr>
            <w:tcW w:w="4320" w:type="dxa"/>
            <w:shd w:val="clear" w:color="auto" w:fill="auto"/>
          </w:tcPr>
          <w:p w:rsidR="00242AEE" w:rsidRPr="00433892" w:rsidRDefault="00E819B8" w:rsidP="003B3977">
            <w:pPr>
              <w:keepNext/>
              <w:keepLines/>
              <w:tabs>
                <w:tab w:val="left" w:pos="-1440"/>
                <w:tab w:val="left" w:pos="-720"/>
              </w:tabs>
              <w:rPr>
                <w:b/>
                <w:sz w:val="20"/>
                <w:szCs w:val="20"/>
                <w:lang w:val="fr-CA"/>
              </w:rPr>
            </w:pPr>
            <w:r w:rsidRPr="00433892">
              <w:rPr>
                <w:b/>
                <w:sz w:val="20"/>
                <w:szCs w:val="20"/>
                <w:lang w:val="fr-CA"/>
              </w:rPr>
              <w:t>Jagdish Nanda</w:t>
            </w:r>
          </w:p>
          <w:p w:rsidR="00242AEE" w:rsidRPr="00433892" w:rsidRDefault="00242AEE" w:rsidP="003B3977">
            <w:pPr>
              <w:keepNext/>
              <w:keepLines/>
              <w:tabs>
                <w:tab w:val="left" w:pos="-1440"/>
                <w:tab w:val="left" w:pos="-720"/>
              </w:tabs>
              <w:rPr>
                <w:sz w:val="20"/>
                <w:szCs w:val="20"/>
                <w:lang w:val="fr-CA"/>
              </w:rPr>
            </w:pPr>
            <w:r w:rsidRPr="00433892">
              <w:rPr>
                <w:sz w:val="20"/>
                <w:szCs w:val="20"/>
                <w:lang w:val="fr-CA"/>
              </w:rPr>
              <w:tab/>
            </w:r>
            <w:r w:rsidR="00E819B8" w:rsidRPr="00433892">
              <w:rPr>
                <w:sz w:val="20"/>
                <w:szCs w:val="20"/>
                <w:lang w:val="fr-CA"/>
              </w:rPr>
              <w:t>Louise Valiquette</w:t>
            </w:r>
          </w:p>
          <w:p w:rsidR="00242AEE" w:rsidRPr="00433892" w:rsidRDefault="00242AEE" w:rsidP="003B3977">
            <w:pPr>
              <w:keepNext/>
              <w:keepLines/>
              <w:tabs>
                <w:tab w:val="left" w:pos="-1440"/>
                <w:tab w:val="left" w:pos="-720"/>
              </w:tabs>
              <w:rPr>
                <w:sz w:val="20"/>
                <w:szCs w:val="20"/>
                <w:lang w:val="fr-CA"/>
              </w:rPr>
            </w:pPr>
          </w:p>
          <w:p w:rsidR="00242AEE" w:rsidRPr="00A935AA" w:rsidRDefault="00242AEE" w:rsidP="003B3977">
            <w:pPr>
              <w:keepNext/>
              <w:keepLines/>
              <w:tabs>
                <w:tab w:val="left" w:pos="-1440"/>
                <w:tab w:val="left" w:pos="-720"/>
              </w:tabs>
              <w:rPr>
                <w:sz w:val="20"/>
                <w:szCs w:val="20"/>
                <w:lang w:val="fr-CA"/>
              </w:rPr>
            </w:pPr>
            <w:r w:rsidRPr="00433892">
              <w:rPr>
                <w:sz w:val="20"/>
                <w:szCs w:val="20"/>
                <w:lang w:val="fr-CA"/>
              </w:rPr>
              <w:tab/>
            </w:r>
            <w:r w:rsidRPr="00A935AA">
              <w:rPr>
                <w:sz w:val="20"/>
                <w:szCs w:val="20"/>
                <w:lang w:val="fr-CA"/>
              </w:rPr>
              <w:t>v. (3</w:t>
            </w:r>
            <w:r w:rsidR="009D0C06">
              <w:rPr>
                <w:sz w:val="20"/>
                <w:szCs w:val="20"/>
                <w:lang w:val="fr-CA"/>
              </w:rPr>
              <w:t>5</w:t>
            </w:r>
            <w:r w:rsidR="00E819B8">
              <w:rPr>
                <w:sz w:val="20"/>
                <w:szCs w:val="20"/>
                <w:lang w:val="fr-CA"/>
              </w:rPr>
              <w:t>005</w:t>
            </w:r>
            <w:r w:rsidRPr="00A935AA">
              <w:rPr>
                <w:sz w:val="20"/>
                <w:szCs w:val="20"/>
                <w:lang w:val="fr-CA"/>
              </w:rPr>
              <w:t>)</w:t>
            </w:r>
          </w:p>
          <w:p w:rsidR="00242AEE" w:rsidRPr="00A935AA" w:rsidRDefault="00242AEE" w:rsidP="003B3977">
            <w:pPr>
              <w:keepNext/>
              <w:keepLines/>
              <w:tabs>
                <w:tab w:val="left" w:pos="-1440"/>
                <w:tab w:val="left" w:pos="-720"/>
              </w:tabs>
              <w:rPr>
                <w:sz w:val="20"/>
                <w:szCs w:val="20"/>
                <w:lang w:val="fr-CA"/>
              </w:rPr>
            </w:pPr>
          </w:p>
          <w:p w:rsidR="00242AEE" w:rsidRPr="00A935AA" w:rsidRDefault="00E819B8" w:rsidP="003B3977">
            <w:pPr>
              <w:keepNext/>
              <w:keepLines/>
              <w:tabs>
                <w:tab w:val="left" w:pos="-1440"/>
                <w:tab w:val="left" w:pos="-720"/>
              </w:tabs>
              <w:rPr>
                <w:b/>
                <w:sz w:val="20"/>
                <w:szCs w:val="20"/>
                <w:lang w:val="fr-CA"/>
              </w:rPr>
            </w:pPr>
            <w:r>
              <w:rPr>
                <w:b/>
                <w:sz w:val="20"/>
                <w:szCs w:val="20"/>
                <w:lang w:val="fr-CA"/>
              </w:rPr>
              <w:t>Société de l’assurance automobile du Québec et</w:t>
            </w:r>
            <w:r w:rsidR="00405D65">
              <w:rPr>
                <w:b/>
                <w:sz w:val="20"/>
                <w:szCs w:val="20"/>
                <w:lang w:val="fr-CA"/>
              </w:rPr>
              <w:t> </w:t>
            </w:r>
            <w:r>
              <w:rPr>
                <w:b/>
                <w:sz w:val="20"/>
                <w:szCs w:val="20"/>
                <w:lang w:val="fr-CA"/>
              </w:rPr>
              <w:t xml:space="preserve">autre </w:t>
            </w:r>
            <w:r w:rsidR="00242AEE" w:rsidRPr="00A935AA">
              <w:rPr>
                <w:b/>
                <w:sz w:val="20"/>
                <w:szCs w:val="20"/>
                <w:lang w:val="fr-CA"/>
              </w:rPr>
              <w:t>(</w:t>
            </w:r>
            <w:r>
              <w:rPr>
                <w:b/>
                <w:sz w:val="20"/>
                <w:szCs w:val="20"/>
                <w:lang w:val="fr-CA"/>
              </w:rPr>
              <w:t>Que.</w:t>
            </w:r>
            <w:r w:rsidR="00242AEE" w:rsidRPr="00A935AA">
              <w:rPr>
                <w:b/>
                <w:sz w:val="20"/>
                <w:szCs w:val="20"/>
                <w:lang w:val="fr-CA"/>
              </w:rPr>
              <w:t>)</w:t>
            </w:r>
          </w:p>
          <w:p w:rsidR="00242AEE" w:rsidRPr="00A935AA" w:rsidRDefault="00242AEE" w:rsidP="003B3977">
            <w:pPr>
              <w:keepNext/>
              <w:keepLines/>
              <w:tabs>
                <w:tab w:val="left" w:pos="-1440"/>
                <w:tab w:val="left" w:pos="-720"/>
              </w:tabs>
              <w:rPr>
                <w:sz w:val="20"/>
                <w:szCs w:val="20"/>
                <w:lang w:val="fr-CA"/>
              </w:rPr>
            </w:pPr>
            <w:r w:rsidRPr="00A935AA">
              <w:rPr>
                <w:sz w:val="20"/>
                <w:szCs w:val="20"/>
                <w:lang w:val="fr-CA"/>
              </w:rPr>
              <w:tab/>
            </w:r>
            <w:r w:rsidR="00E819B8">
              <w:rPr>
                <w:sz w:val="20"/>
                <w:szCs w:val="20"/>
                <w:lang w:val="fr-CA"/>
              </w:rPr>
              <w:t>Julie</w:t>
            </w:r>
            <w:r w:rsidR="009E2DDF">
              <w:rPr>
                <w:sz w:val="20"/>
                <w:szCs w:val="20"/>
                <w:lang w:val="fr-CA"/>
              </w:rPr>
              <w:t>n</w:t>
            </w:r>
            <w:r w:rsidR="00E819B8">
              <w:rPr>
                <w:sz w:val="20"/>
                <w:szCs w:val="20"/>
                <w:lang w:val="fr-CA"/>
              </w:rPr>
              <w:t xml:space="preserve"> Gaudet-Lachapelle</w:t>
            </w:r>
          </w:p>
          <w:p w:rsidR="00242AEE" w:rsidRPr="00A935AA" w:rsidRDefault="00242AEE" w:rsidP="003B3977">
            <w:pPr>
              <w:keepNext/>
              <w:keepLines/>
              <w:tabs>
                <w:tab w:val="left" w:pos="-1440"/>
                <w:tab w:val="left" w:pos="-720"/>
              </w:tabs>
              <w:rPr>
                <w:sz w:val="20"/>
                <w:szCs w:val="20"/>
                <w:lang w:val="fr-CA"/>
              </w:rPr>
            </w:pPr>
            <w:r w:rsidRPr="00A935AA">
              <w:rPr>
                <w:sz w:val="20"/>
                <w:szCs w:val="20"/>
                <w:lang w:val="fr-CA"/>
              </w:rPr>
              <w:tab/>
            </w:r>
            <w:r w:rsidR="00E819B8">
              <w:rPr>
                <w:sz w:val="20"/>
                <w:szCs w:val="20"/>
                <w:lang w:val="fr-CA"/>
              </w:rPr>
              <w:t>Raiche Pineault Touchette</w:t>
            </w:r>
          </w:p>
          <w:p w:rsidR="00242AEE" w:rsidRPr="00A935AA" w:rsidRDefault="00242AEE" w:rsidP="003B3977">
            <w:pPr>
              <w:keepNext/>
              <w:keepLines/>
              <w:tabs>
                <w:tab w:val="left" w:pos="-1440"/>
                <w:tab w:val="left" w:pos="-720"/>
              </w:tabs>
              <w:rPr>
                <w:sz w:val="20"/>
                <w:szCs w:val="20"/>
                <w:lang w:val="fr-CA"/>
              </w:rPr>
            </w:pPr>
          </w:p>
          <w:p w:rsidR="00242AEE" w:rsidRPr="00E819B8" w:rsidRDefault="00242AEE" w:rsidP="00E819B8">
            <w:pPr>
              <w:rPr>
                <w:sz w:val="20"/>
                <w:szCs w:val="20"/>
                <w:lang w:val="fr-CA"/>
              </w:rPr>
            </w:pPr>
            <w:r w:rsidRPr="00E819B8">
              <w:rPr>
                <w:sz w:val="20"/>
                <w:szCs w:val="20"/>
                <w:lang w:val="fr-CA"/>
              </w:rPr>
              <w:t>FILING DATE: 2</w:t>
            </w:r>
            <w:r w:rsidR="00E819B8">
              <w:rPr>
                <w:sz w:val="20"/>
                <w:szCs w:val="20"/>
                <w:lang w:val="fr-CA"/>
              </w:rPr>
              <w:t>7.</w:t>
            </w:r>
            <w:r w:rsidRPr="00E819B8">
              <w:rPr>
                <w:sz w:val="20"/>
                <w:szCs w:val="20"/>
                <w:lang w:val="fr-CA"/>
              </w:rPr>
              <w:t>0</w:t>
            </w:r>
            <w:r w:rsidR="00E819B8">
              <w:rPr>
                <w:sz w:val="20"/>
                <w:szCs w:val="20"/>
                <w:lang w:val="fr-CA"/>
              </w:rPr>
              <w:t>9</w:t>
            </w:r>
            <w:r w:rsidRPr="00E819B8">
              <w:rPr>
                <w:sz w:val="20"/>
                <w:szCs w:val="20"/>
                <w:lang w:val="fr-CA"/>
              </w:rPr>
              <w:t>.201</w:t>
            </w:r>
            <w:r w:rsidR="009D0C06" w:rsidRPr="00E819B8">
              <w:rPr>
                <w:sz w:val="20"/>
                <w:szCs w:val="20"/>
                <w:lang w:val="fr-CA"/>
              </w:rPr>
              <w:t>2</w:t>
            </w:r>
            <w:r w:rsidR="00BF3B03" w:rsidRPr="00BF3B03">
              <w:rPr>
                <w:sz w:val="20"/>
                <w:szCs w:val="20"/>
                <w:lang w:val="fr-CA"/>
              </w:rPr>
              <w:pict>
                <v:rect id="_x0000_i1026" style="width:108pt;height:1pt" o:hrpct="0" o:hralign="center" o:hrstd="t" o:hrnoshade="t" o:hr="t" fillcolor="black [3213]" stroked="f"/>
              </w:pict>
            </w:r>
          </w:p>
        </w:tc>
      </w:tr>
      <w:tr w:rsidR="009D0C06" w:rsidRPr="00A935AA" w:rsidTr="003B3977">
        <w:tc>
          <w:tcPr>
            <w:tcW w:w="4320" w:type="dxa"/>
            <w:shd w:val="clear" w:color="auto" w:fill="auto"/>
          </w:tcPr>
          <w:p w:rsidR="00433892" w:rsidRPr="00880E10" w:rsidRDefault="00433892" w:rsidP="009D0C06">
            <w:pPr>
              <w:rPr>
                <w:b/>
                <w:sz w:val="20"/>
                <w:szCs w:val="20"/>
                <w:lang w:val="fr-CA"/>
              </w:rPr>
            </w:pPr>
          </w:p>
          <w:p w:rsidR="009D0C06" w:rsidRPr="00880E10" w:rsidRDefault="00433892" w:rsidP="009D0C06">
            <w:pPr>
              <w:rPr>
                <w:b/>
                <w:sz w:val="20"/>
                <w:szCs w:val="20"/>
                <w:lang w:val="fr-CA"/>
              </w:rPr>
            </w:pPr>
            <w:r w:rsidRPr="00880E10">
              <w:rPr>
                <w:b/>
                <w:sz w:val="20"/>
                <w:szCs w:val="20"/>
                <w:lang w:val="fr-CA"/>
              </w:rPr>
              <w:t>Jacques Hamel</w:t>
            </w:r>
          </w:p>
          <w:p w:rsidR="00433892" w:rsidRPr="00433892" w:rsidRDefault="009D0C06" w:rsidP="00433892">
            <w:pPr>
              <w:keepNext/>
              <w:keepLines/>
              <w:tabs>
                <w:tab w:val="left" w:pos="-1440"/>
                <w:tab w:val="left" w:pos="-720"/>
              </w:tabs>
              <w:rPr>
                <w:sz w:val="20"/>
                <w:szCs w:val="20"/>
                <w:lang w:val="fr-CA"/>
              </w:rPr>
            </w:pPr>
            <w:r w:rsidRPr="00880E10">
              <w:rPr>
                <w:sz w:val="20"/>
                <w:szCs w:val="20"/>
                <w:lang w:val="fr-CA"/>
              </w:rPr>
              <w:tab/>
            </w:r>
            <w:r w:rsidR="00433892" w:rsidRPr="00433892">
              <w:rPr>
                <w:sz w:val="20"/>
                <w:szCs w:val="20"/>
                <w:lang w:val="fr-CA"/>
              </w:rPr>
              <w:t>Jacques Hamel</w:t>
            </w:r>
          </w:p>
          <w:p w:rsidR="00433892" w:rsidRPr="00433892" w:rsidRDefault="00433892" w:rsidP="00433892">
            <w:pPr>
              <w:keepNext/>
              <w:keepLines/>
              <w:tabs>
                <w:tab w:val="left" w:pos="-1440"/>
                <w:tab w:val="left" w:pos="-720"/>
              </w:tabs>
              <w:rPr>
                <w:sz w:val="20"/>
                <w:szCs w:val="20"/>
                <w:lang w:val="fr-CA"/>
              </w:rPr>
            </w:pPr>
          </w:p>
          <w:p w:rsidR="00433892" w:rsidRPr="00433892" w:rsidRDefault="00433892" w:rsidP="00433892">
            <w:pPr>
              <w:keepNext/>
              <w:keepLines/>
              <w:tabs>
                <w:tab w:val="left" w:pos="-1440"/>
                <w:tab w:val="left" w:pos="-720"/>
              </w:tabs>
              <w:rPr>
                <w:sz w:val="20"/>
                <w:szCs w:val="20"/>
                <w:lang w:val="fr-CA"/>
              </w:rPr>
            </w:pPr>
            <w:r w:rsidRPr="00433892">
              <w:rPr>
                <w:sz w:val="20"/>
                <w:szCs w:val="20"/>
                <w:lang w:val="fr-CA"/>
              </w:rPr>
              <w:tab/>
              <w:t>c. (35058)</w:t>
            </w:r>
          </w:p>
          <w:p w:rsidR="00433892" w:rsidRPr="00433892" w:rsidRDefault="00433892" w:rsidP="00433892">
            <w:pPr>
              <w:keepNext/>
              <w:keepLines/>
              <w:tabs>
                <w:tab w:val="left" w:pos="-1440"/>
                <w:tab w:val="left" w:pos="-720"/>
              </w:tabs>
              <w:rPr>
                <w:sz w:val="20"/>
                <w:szCs w:val="20"/>
                <w:lang w:val="fr-CA"/>
              </w:rPr>
            </w:pPr>
          </w:p>
          <w:p w:rsidR="00433892" w:rsidRPr="00433892" w:rsidRDefault="00433892" w:rsidP="00433892">
            <w:pPr>
              <w:keepNext/>
              <w:keepLines/>
              <w:tabs>
                <w:tab w:val="left" w:pos="-1440"/>
                <w:tab w:val="left" w:pos="-720"/>
              </w:tabs>
              <w:rPr>
                <w:b/>
                <w:sz w:val="20"/>
                <w:szCs w:val="20"/>
                <w:lang w:val="fr-CA"/>
              </w:rPr>
            </w:pPr>
            <w:r w:rsidRPr="00433892">
              <w:rPr>
                <w:b/>
                <w:sz w:val="20"/>
                <w:szCs w:val="20"/>
                <w:lang w:val="fr-CA"/>
              </w:rPr>
              <w:t>Madeleine Perron (Qc)</w:t>
            </w:r>
          </w:p>
          <w:p w:rsidR="00433892" w:rsidRPr="00433892" w:rsidRDefault="00433892" w:rsidP="00433892">
            <w:pPr>
              <w:keepNext/>
              <w:keepLines/>
              <w:tabs>
                <w:tab w:val="left" w:pos="-1440"/>
                <w:tab w:val="left" w:pos="-720"/>
              </w:tabs>
              <w:rPr>
                <w:sz w:val="20"/>
                <w:szCs w:val="20"/>
                <w:lang w:val="fr-CA"/>
              </w:rPr>
            </w:pPr>
            <w:r w:rsidRPr="00433892">
              <w:rPr>
                <w:sz w:val="20"/>
                <w:szCs w:val="20"/>
                <w:lang w:val="fr-CA"/>
              </w:rPr>
              <w:tab/>
              <w:t xml:space="preserve">Manes Webster </w:t>
            </w:r>
          </w:p>
          <w:p w:rsidR="00433892" w:rsidRPr="00433892" w:rsidRDefault="00433892" w:rsidP="00433892">
            <w:pPr>
              <w:keepNext/>
              <w:keepLines/>
              <w:tabs>
                <w:tab w:val="left" w:pos="-1440"/>
                <w:tab w:val="left" w:pos="-720"/>
              </w:tabs>
              <w:rPr>
                <w:sz w:val="20"/>
                <w:szCs w:val="20"/>
                <w:lang w:val="fr-CA"/>
              </w:rPr>
            </w:pPr>
            <w:r w:rsidRPr="00433892">
              <w:rPr>
                <w:sz w:val="20"/>
                <w:szCs w:val="20"/>
                <w:lang w:val="fr-CA"/>
              </w:rPr>
              <w:tab/>
              <w:t>Armijo &amp; Webster, société d’avocats</w:t>
            </w:r>
          </w:p>
          <w:p w:rsidR="00433892" w:rsidRPr="00433892" w:rsidRDefault="00433892" w:rsidP="00433892">
            <w:pPr>
              <w:keepNext/>
              <w:keepLines/>
              <w:tabs>
                <w:tab w:val="left" w:pos="-1440"/>
                <w:tab w:val="left" w:pos="-720"/>
              </w:tabs>
              <w:rPr>
                <w:sz w:val="20"/>
                <w:szCs w:val="20"/>
                <w:lang w:val="fr-CA"/>
              </w:rPr>
            </w:pPr>
          </w:p>
          <w:p w:rsidR="009D0C06" w:rsidRPr="00A935AA" w:rsidRDefault="00433892" w:rsidP="00433892">
            <w:pPr>
              <w:tabs>
                <w:tab w:val="left" w:pos="-1440"/>
                <w:tab w:val="left" w:pos="-720"/>
              </w:tabs>
              <w:rPr>
                <w:sz w:val="20"/>
                <w:szCs w:val="20"/>
              </w:rPr>
            </w:pPr>
            <w:r w:rsidRPr="00A935AA">
              <w:rPr>
                <w:sz w:val="20"/>
                <w:szCs w:val="20"/>
              </w:rPr>
              <w:t>DATE</w:t>
            </w:r>
            <w:r>
              <w:rPr>
                <w:sz w:val="20"/>
                <w:szCs w:val="20"/>
              </w:rPr>
              <w:t xml:space="preserve"> DE PRODUCTION </w:t>
            </w:r>
            <w:r w:rsidRPr="00A935AA">
              <w:rPr>
                <w:sz w:val="20"/>
                <w:szCs w:val="20"/>
              </w:rPr>
              <w:t xml:space="preserve">: </w:t>
            </w:r>
            <w:r>
              <w:rPr>
                <w:sz w:val="20"/>
                <w:szCs w:val="20"/>
              </w:rPr>
              <w:t>01</w:t>
            </w:r>
            <w:r w:rsidRPr="00A935AA">
              <w:rPr>
                <w:sz w:val="20"/>
                <w:szCs w:val="20"/>
              </w:rPr>
              <w:t>.</w:t>
            </w:r>
            <w:r>
              <w:rPr>
                <w:sz w:val="20"/>
                <w:szCs w:val="20"/>
              </w:rPr>
              <w:t>1</w:t>
            </w:r>
            <w:r w:rsidRPr="00A935AA">
              <w:rPr>
                <w:sz w:val="20"/>
                <w:szCs w:val="20"/>
              </w:rPr>
              <w:t>0.201</w:t>
            </w:r>
            <w:r>
              <w:rPr>
                <w:sz w:val="20"/>
                <w:szCs w:val="20"/>
              </w:rPr>
              <w:t>2</w:t>
            </w:r>
          </w:p>
          <w:p w:rsidR="009D0C06" w:rsidRPr="00A935AA" w:rsidRDefault="00BF3B03" w:rsidP="009D0C06">
            <w:pPr>
              <w:rPr>
                <w:sz w:val="20"/>
                <w:szCs w:val="20"/>
              </w:rPr>
            </w:pPr>
            <w:r w:rsidRPr="00BF3B03">
              <w:rPr>
                <w:sz w:val="20"/>
                <w:szCs w:val="20"/>
                <w:lang w:val="fr-CA"/>
              </w:rPr>
              <w:pict>
                <v:rect id="_x0000_i1027" style="width:108pt;height:1pt" o:hrpct="0" o:hralign="center" o:hrstd="t" o:hrnoshade="t" o:hr="t" fillcolor="black [3213]" stroked="f"/>
              </w:pict>
            </w:r>
          </w:p>
        </w:tc>
        <w:tc>
          <w:tcPr>
            <w:tcW w:w="1181" w:type="dxa"/>
            <w:shd w:val="clear" w:color="auto" w:fill="auto"/>
          </w:tcPr>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Default="009D0C06" w:rsidP="00242AEE">
            <w:pPr>
              <w:jc w:val="center"/>
              <w:rPr>
                <w:sz w:val="20"/>
                <w:szCs w:val="20"/>
              </w:rPr>
            </w:pPr>
          </w:p>
          <w:p w:rsidR="009D0C06" w:rsidRPr="00A935AA" w:rsidRDefault="009D0C06" w:rsidP="00242AEE">
            <w:pPr>
              <w:jc w:val="center"/>
              <w:rPr>
                <w:sz w:val="20"/>
                <w:szCs w:val="20"/>
              </w:rPr>
            </w:pPr>
          </w:p>
        </w:tc>
        <w:tc>
          <w:tcPr>
            <w:tcW w:w="4320" w:type="dxa"/>
            <w:shd w:val="clear" w:color="auto" w:fill="auto"/>
          </w:tcPr>
          <w:p w:rsidR="00DC2D1F" w:rsidRPr="00880E10" w:rsidRDefault="00DC2D1F" w:rsidP="00DC2D1F">
            <w:pPr>
              <w:keepNext/>
              <w:keepLines/>
              <w:tabs>
                <w:tab w:val="left" w:pos="-1440"/>
                <w:tab w:val="left" w:pos="-720"/>
              </w:tabs>
              <w:rPr>
                <w:b/>
                <w:sz w:val="20"/>
                <w:szCs w:val="20"/>
                <w:lang w:val="fr-CA"/>
              </w:rPr>
            </w:pPr>
            <w:r>
              <w:rPr>
                <w:b/>
                <w:sz w:val="20"/>
                <w:szCs w:val="20"/>
                <w:lang w:val="fr-CA"/>
              </w:rPr>
              <w:t>Sébastien Ayangma</w:t>
            </w:r>
          </w:p>
          <w:p w:rsidR="00DC2D1F" w:rsidRPr="00DC2D1F" w:rsidRDefault="00DC2D1F" w:rsidP="00DC2D1F">
            <w:pPr>
              <w:tabs>
                <w:tab w:val="left" w:pos="-1440"/>
                <w:tab w:val="left" w:pos="-720"/>
              </w:tabs>
              <w:rPr>
                <w:sz w:val="20"/>
                <w:szCs w:val="20"/>
              </w:rPr>
            </w:pPr>
            <w:r w:rsidRPr="00880E10">
              <w:rPr>
                <w:sz w:val="20"/>
                <w:szCs w:val="20"/>
                <w:lang w:val="fr-CA"/>
              </w:rPr>
              <w:tab/>
            </w:r>
            <w:r w:rsidRPr="00DC2D1F">
              <w:rPr>
                <w:sz w:val="20"/>
                <w:szCs w:val="20"/>
              </w:rPr>
              <w:t>Sebastien Ayangma</w:t>
            </w:r>
          </w:p>
          <w:p w:rsidR="00DC2D1F" w:rsidRPr="00DC2D1F" w:rsidRDefault="00DC2D1F" w:rsidP="00DC2D1F">
            <w:pPr>
              <w:tabs>
                <w:tab w:val="left" w:pos="-1440"/>
                <w:tab w:val="left" w:pos="-720"/>
              </w:tabs>
              <w:rPr>
                <w:sz w:val="20"/>
                <w:szCs w:val="20"/>
              </w:rPr>
            </w:pPr>
          </w:p>
          <w:p w:rsidR="00DC2D1F" w:rsidRPr="00DC2D1F" w:rsidRDefault="00DC2D1F" w:rsidP="00DC2D1F">
            <w:pPr>
              <w:tabs>
                <w:tab w:val="left" w:pos="-1440"/>
                <w:tab w:val="left" w:pos="-720"/>
              </w:tabs>
              <w:rPr>
                <w:sz w:val="20"/>
                <w:szCs w:val="20"/>
              </w:rPr>
            </w:pPr>
            <w:r w:rsidRPr="00DC2D1F">
              <w:rPr>
                <w:sz w:val="20"/>
                <w:szCs w:val="20"/>
              </w:rPr>
              <w:tab/>
              <w:t>v. (35055)</w:t>
            </w:r>
          </w:p>
          <w:p w:rsidR="00DC2D1F" w:rsidRPr="00DC2D1F" w:rsidRDefault="00DC2D1F" w:rsidP="00DC2D1F">
            <w:pPr>
              <w:tabs>
                <w:tab w:val="left" w:pos="-1440"/>
                <w:tab w:val="left" w:pos="-720"/>
              </w:tabs>
              <w:rPr>
                <w:sz w:val="20"/>
                <w:szCs w:val="20"/>
              </w:rPr>
            </w:pPr>
          </w:p>
          <w:p w:rsidR="00DC2D1F" w:rsidRPr="00A935AA" w:rsidRDefault="00DC2D1F" w:rsidP="00DC2D1F">
            <w:pPr>
              <w:tabs>
                <w:tab w:val="left" w:pos="-1440"/>
                <w:tab w:val="left" w:pos="-720"/>
              </w:tabs>
              <w:rPr>
                <w:b/>
                <w:sz w:val="20"/>
                <w:szCs w:val="20"/>
              </w:rPr>
            </w:pPr>
            <w:r>
              <w:rPr>
                <w:b/>
                <w:sz w:val="20"/>
                <w:szCs w:val="20"/>
              </w:rPr>
              <w:t xml:space="preserve">Her Majesty the Queen  </w:t>
            </w:r>
            <w:r w:rsidRPr="00A935AA">
              <w:rPr>
                <w:b/>
                <w:sz w:val="20"/>
                <w:szCs w:val="20"/>
              </w:rPr>
              <w:t>(</w:t>
            </w:r>
            <w:r>
              <w:rPr>
                <w:b/>
                <w:sz w:val="20"/>
                <w:szCs w:val="20"/>
              </w:rPr>
              <w:t>P.E</w:t>
            </w:r>
            <w:r w:rsidRPr="00A935AA">
              <w:rPr>
                <w:b/>
                <w:sz w:val="20"/>
                <w:szCs w:val="20"/>
              </w:rPr>
              <w:t>.</w:t>
            </w:r>
            <w:r>
              <w:rPr>
                <w:b/>
                <w:sz w:val="20"/>
                <w:szCs w:val="20"/>
              </w:rPr>
              <w:t>I</w:t>
            </w:r>
            <w:r w:rsidRPr="00A935AA">
              <w:rPr>
                <w:b/>
                <w:sz w:val="20"/>
                <w:szCs w:val="20"/>
              </w:rPr>
              <w:t>.)</w:t>
            </w:r>
          </w:p>
          <w:p w:rsidR="00DC2D1F" w:rsidRPr="00A935AA" w:rsidRDefault="00DC2D1F" w:rsidP="00DC2D1F">
            <w:pPr>
              <w:tabs>
                <w:tab w:val="left" w:pos="-1440"/>
                <w:tab w:val="left" w:pos="-720"/>
              </w:tabs>
              <w:rPr>
                <w:sz w:val="20"/>
                <w:szCs w:val="20"/>
              </w:rPr>
            </w:pPr>
            <w:r w:rsidRPr="00A935AA">
              <w:rPr>
                <w:sz w:val="20"/>
                <w:szCs w:val="20"/>
              </w:rPr>
              <w:tab/>
            </w:r>
            <w:r>
              <w:rPr>
                <w:sz w:val="20"/>
                <w:szCs w:val="20"/>
              </w:rPr>
              <w:t>Gerald K. Queen, Q.C.</w:t>
            </w:r>
          </w:p>
          <w:p w:rsidR="00DC2D1F" w:rsidRPr="00A935AA" w:rsidRDefault="00DC2D1F" w:rsidP="00DC2D1F">
            <w:pPr>
              <w:tabs>
                <w:tab w:val="left" w:pos="-1440"/>
                <w:tab w:val="left" w:pos="-720"/>
              </w:tabs>
              <w:rPr>
                <w:sz w:val="20"/>
                <w:szCs w:val="20"/>
              </w:rPr>
            </w:pPr>
            <w:r w:rsidRPr="00A935AA">
              <w:rPr>
                <w:sz w:val="20"/>
                <w:szCs w:val="20"/>
              </w:rPr>
              <w:tab/>
            </w:r>
            <w:r>
              <w:rPr>
                <w:sz w:val="20"/>
                <w:szCs w:val="20"/>
              </w:rPr>
              <w:t>A.G. of Prince Edward Island</w:t>
            </w:r>
          </w:p>
          <w:p w:rsidR="00DC2D1F" w:rsidRPr="00DC2D1F" w:rsidRDefault="00DC2D1F" w:rsidP="00DC2D1F">
            <w:pPr>
              <w:keepNext/>
              <w:keepLines/>
              <w:tabs>
                <w:tab w:val="left" w:pos="-1440"/>
                <w:tab w:val="left" w:pos="-720"/>
              </w:tabs>
              <w:rPr>
                <w:sz w:val="20"/>
                <w:szCs w:val="20"/>
              </w:rPr>
            </w:pPr>
          </w:p>
          <w:p w:rsidR="00DC2D1F" w:rsidRDefault="00DC2D1F" w:rsidP="00DC2D1F">
            <w:pPr>
              <w:rPr>
                <w:sz w:val="20"/>
                <w:szCs w:val="20"/>
                <w:lang w:val="fr-CA"/>
              </w:rPr>
            </w:pPr>
            <w:r>
              <w:rPr>
                <w:sz w:val="20"/>
                <w:szCs w:val="20"/>
                <w:lang w:val="fr-CA"/>
              </w:rPr>
              <w:t>FILING D</w:t>
            </w:r>
            <w:r w:rsidRPr="00433892">
              <w:rPr>
                <w:sz w:val="20"/>
                <w:szCs w:val="20"/>
                <w:lang w:val="fr-CA"/>
              </w:rPr>
              <w:t xml:space="preserve">ATE: </w:t>
            </w:r>
            <w:r>
              <w:rPr>
                <w:sz w:val="20"/>
                <w:szCs w:val="20"/>
                <w:lang w:val="fr-CA"/>
              </w:rPr>
              <w:t>04</w:t>
            </w:r>
            <w:r w:rsidRPr="00433892">
              <w:rPr>
                <w:sz w:val="20"/>
                <w:szCs w:val="20"/>
                <w:lang w:val="fr-CA"/>
              </w:rPr>
              <w:t>.10.201</w:t>
            </w:r>
          </w:p>
          <w:p w:rsidR="009D0C06" w:rsidRPr="00A935AA" w:rsidRDefault="00BF3B03" w:rsidP="00433892">
            <w:pPr>
              <w:rPr>
                <w:sz w:val="20"/>
                <w:szCs w:val="20"/>
              </w:rPr>
            </w:pPr>
            <w:r w:rsidRPr="00BF3B03">
              <w:rPr>
                <w:sz w:val="20"/>
                <w:szCs w:val="20"/>
                <w:lang w:val="fr-CA"/>
              </w:rPr>
              <w:pict>
                <v:rect id="_x0000_i1028" style="width:108pt;height:1pt" o:hrpct="0" o:hralign="center" o:hrstd="t" o:hrnoshade="t" o:hr="t" fillcolor="black [3213]" stroked="f"/>
              </w:pict>
            </w:r>
          </w:p>
        </w:tc>
      </w:tr>
      <w:tr w:rsidR="00DC2D1F" w:rsidRPr="00DC2D1F" w:rsidTr="003B3977">
        <w:trPr>
          <w:cantSplit/>
        </w:trPr>
        <w:tc>
          <w:tcPr>
            <w:tcW w:w="4320" w:type="dxa"/>
            <w:shd w:val="clear" w:color="auto" w:fill="auto"/>
          </w:tcPr>
          <w:p w:rsidR="00DC2D1F" w:rsidRDefault="00DC2D1F" w:rsidP="009D0C06">
            <w:pPr>
              <w:rPr>
                <w:b/>
                <w:sz w:val="20"/>
                <w:szCs w:val="20"/>
                <w:lang w:val="fr-CA"/>
              </w:rPr>
            </w:pPr>
          </w:p>
          <w:p w:rsidR="00DC2D1F" w:rsidRDefault="00DC2D1F" w:rsidP="009D0C06">
            <w:pPr>
              <w:rPr>
                <w:sz w:val="20"/>
                <w:szCs w:val="20"/>
                <w:lang w:val="fr-CA"/>
              </w:rPr>
            </w:pPr>
            <w:r>
              <w:rPr>
                <w:b/>
                <w:sz w:val="20"/>
                <w:szCs w:val="20"/>
                <w:lang w:val="fr-CA"/>
              </w:rPr>
              <w:t>Mario Brousseau</w:t>
            </w:r>
          </w:p>
          <w:p w:rsidR="00DC2D1F" w:rsidRPr="00880E10" w:rsidRDefault="00DC2D1F" w:rsidP="00DC2D1F">
            <w:pPr>
              <w:keepNext/>
              <w:keepLines/>
              <w:tabs>
                <w:tab w:val="left" w:pos="-1440"/>
                <w:tab w:val="left" w:pos="-720"/>
              </w:tabs>
              <w:rPr>
                <w:sz w:val="20"/>
                <w:szCs w:val="20"/>
                <w:lang w:val="fr-CA"/>
              </w:rPr>
            </w:pPr>
            <w:r w:rsidRPr="00880E10">
              <w:rPr>
                <w:sz w:val="20"/>
                <w:szCs w:val="20"/>
                <w:lang w:val="fr-CA"/>
              </w:rPr>
              <w:tab/>
              <w:t>Mario Brousseau</w:t>
            </w:r>
          </w:p>
          <w:p w:rsidR="00DC2D1F" w:rsidRPr="00880E10" w:rsidRDefault="00DC2D1F" w:rsidP="00DC2D1F">
            <w:pPr>
              <w:keepNext/>
              <w:keepLines/>
              <w:tabs>
                <w:tab w:val="left" w:pos="-1440"/>
                <w:tab w:val="left" w:pos="-720"/>
              </w:tabs>
              <w:rPr>
                <w:sz w:val="20"/>
                <w:szCs w:val="20"/>
                <w:lang w:val="fr-CA"/>
              </w:rPr>
            </w:pPr>
          </w:p>
          <w:p w:rsidR="00DC2D1F" w:rsidRPr="00A935AA" w:rsidRDefault="00DC2D1F" w:rsidP="00DC2D1F">
            <w:pPr>
              <w:keepNext/>
              <w:keepLines/>
              <w:tabs>
                <w:tab w:val="left" w:pos="-1440"/>
                <w:tab w:val="left" w:pos="-720"/>
              </w:tabs>
              <w:rPr>
                <w:sz w:val="20"/>
                <w:szCs w:val="20"/>
                <w:lang w:val="fr-CA"/>
              </w:rPr>
            </w:pPr>
            <w:r w:rsidRPr="00880E10">
              <w:rPr>
                <w:sz w:val="20"/>
                <w:szCs w:val="20"/>
                <w:lang w:val="fr-CA"/>
              </w:rPr>
              <w:tab/>
            </w:r>
            <w:r w:rsidRPr="00433892">
              <w:rPr>
                <w:sz w:val="20"/>
                <w:szCs w:val="20"/>
                <w:lang w:val="fr-CA"/>
              </w:rPr>
              <w:t>c</w:t>
            </w:r>
            <w:r w:rsidRPr="00A935AA">
              <w:rPr>
                <w:sz w:val="20"/>
                <w:szCs w:val="20"/>
                <w:lang w:val="fr-CA"/>
              </w:rPr>
              <w:t>. (3</w:t>
            </w:r>
            <w:r>
              <w:rPr>
                <w:sz w:val="20"/>
                <w:szCs w:val="20"/>
                <w:lang w:val="fr-CA"/>
              </w:rPr>
              <w:t>5048</w:t>
            </w:r>
            <w:r w:rsidRPr="00A935AA">
              <w:rPr>
                <w:sz w:val="20"/>
                <w:szCs w:val="20"/>
                <w:lang w:val="fr-CA"/>
              </w:rPr>
              <w:t>)</w:t>
            </w:r>
          </w:p>
          <w:p w:rsidR="00DC2D1F" w:rsidRPr="00A935AA" w:rsidRDefault="00DC2D1F" w:rsidP="00DC2D1F">
            <w:pPr>
              <w:keepNext/>
              <w:keepLines/>
              <w:tabs>
                <w:tab w:val="left" w:pos="-1440"/>
                <w:tab w:val="left" w:pos="-720"/>
              </w:tabs>
              <w:rPr>
                <w:sz w:val="20"/>
                <w:szCs w:val="20"/>
                <w:lang w:val="fr-CA"/>
              </w:rPr>
            </w:pPr>
          </w:p>
          <w:p w:rsidR="00DC2D1F" w:rsidRPr="00A935AA" w:rsidRDefault="00DC2D1F" w:rsidP="00DC2D1F">
            <w:pPr>
              <w:keepNext/>
              <w:keepLines/>
              <w:tabs>
                <w:tab w:val="left" w:pos="-1440"/>
                <w:tab w:val="left" w:pos="-720"/>
              </w:tabs>
              <w:rPr>
                <w:b/>
                <w:sz w:val="20"/>
                <w:szCs w:val="20"/>
                <w:lang w:val="fr-CA"/>
              </w:rPr>
            </w:pPr>
            <w:r>
              <w:rPr>
                <w:b/>
                <w:sz w:val="20"/>
                <w:szCs w:val="20"/>
                <w:lang w:val="fr-CA"/>
              </w:rPr>
              <w:t xml:space="preserve">Agence du revenu du Québec </w:t>
            </w:r>
            <w:r w:rsidRPr="00A935AA">
              <w:rPr>
                <w:b/>
                <w:sz w:val="20"/>
                <w:szCs w:val="20"/>
                <w:lang w:val="fr-CA"/>
              </w:rPr>
              <w:t>(</w:t>
            </w:r>
            <w:r>
              <w:rPr>
                <w:b/>
                <w:sz w:val="20"/>
                <w:szCs w:val="20"/>
                <w:lang w:val="fr-CA"/>
              </w:rPr>
              <w:t>Qc</w:t>
            </w:r>
            <w:r w:rsidRPr="00A935AA">
              <w:rPr>
                <w:b/>
                <w:sz w:val="20"/>
                <w:szCs w:val="20"/>
                <w:lang w:val="fr-CA"/>
              </w:rPr>
              <w:t>)</w:t>
            </w:r>
          </w:p>
          <w:p w:rsidR="00DC2D1F" w:rsidRPr="00A935AA" w:rsidRDefault="00DC2D1F" w:rsidP="00DC2D1F">
            <w:pPr>
              <w:keepNext/>
              <w:keepLines/>
              <w:tabs>
                <w:tab w:val="left" w:pos="-1440"/>
                <w:tab w:val="left" w:pos="-720"/>
              </w:tabs>
              <w:rPr>
                <w:sz w:val="20"/>
                <w:szCs w:val="20"/>
                <w:lang w:val="fr-CA"/>
              </w:rPr>
            </w:pPr>
            <w:r w:rsidRPr="00A935AA">
              <w:rPr>
                <w:sz w:val="20"/>
                <w:szCs w:val="20"/>
                <w:lang w:val="fr-CA"/>
              </w:rPr>
              <w:tab/>
            </w:r>
            <w:r>
              <w:rPr>
                <w:sz w:val="20"/>
                <w:szCs w:val="20"/>
                <w:lang w:val="fr-CA"/>
              </w:rPr>
              <w:t>Philippe Veillette</w:t>
            </w:r>
          </w:p>
          <w:p w:rsidR="00DC2D1F" w:rsidRPr="00A935AA" w:rsidRDefault="00DC2D1F" w:rsidP="00DC2D1F">
            <w:pPr>
              <w:keepNext/>
              <w:keepLines/>
              <w:tabs>
                <w:tab w:val="left" w:pos="-1440"/>
                <w:tab w:val="left" w:pos="-720"/>
              </w:tabs>
              <w:rPr>
                <w:sz w:val="20"/>
                <w:szCs w:val="20"/>
                <w:lang w:val="fr-CA"/>
              </w:rPr>
            </w:pPr>
          </w:p>
          <w:p w:rsidR="00DC2D1F" w:rsidRPr="00DC2D1F" w:rsidRDefault="00DC2D1F" w:rsidP="009D0C06">
            <w:pPr>
              <w:rPr>
                <w:sz w:val="20"/>
                <w:szCs w:val="20"/>
                <w:lang w:val="fr-CA"/>
              </w:rPr>
            </w:pPr>
            <w:r>
              <w:rPr>
                <w:sz w:val="20"/>
                <w:szCs w:val="20"/>
                <w:lang w:val="fr-CA"/>
              </w:rPr>
              <w:t>DATE DE PRODUCTION : 16.10.2012</w:t>
            </w:r>
          </w:p>
          <w:p w:rsidR="00DC2D1F" w:rsidRPr="00A935AA" w:rsidRDefault="00DC2D1F" w:rsidP="009D0C06">
            <w:pPr>
              <w:rPr>
                <w:sz w:val="20"/>
                <w:szCs w:val="20"/>
              </w:rPr>
            </w:pPr>
            <w:r w:rsidRPr="00BF3B03">
              <w:rPr>
                <w:sz w:val="20"/>
                <w:szCs w:val="20"/>
                <w:lang w:val="fr-CA"/>
              </w:rPr>
              <w:pict>
                <v:rect id="_x0000_i1117" style="width:108pt;height:1pt" o:hrpct="0" o:hralign="center" o:hrstd="t" o:hrnoshade="t" o:hr="t" fillcolor="black [3213]" stroked="f"/>
              </w:pict>
            </w:r>
          </w:p>
        </w:tc>
        <w:tc>
          <w:tcPr>
            <w:tcW w:w="1181" w:type="dxa"/>
            <w:shd w:val="clear" w:color="auto" w:fill="auto"/>
          </w:tcPr>
          <w:p w:rsidR="00DC2D1F" w:rsidRPr="00A935AA" w:rsidRDefault="00DC2D1F" w:rsidP="00242AEE">
            <w:pPr>
              <w:jc w:val="center"/>
              <w:rPr>
                <w:sz w:val="20"/>
                <w:szCs w:val="20"/>
              </w:rPr>
            </w:pPr>
          </w:p>
          <w:p w:rsidR="00DC2D1F" w:rsidRPr="00A935AA" w:rsidRDefault="00DC2D1F" w:rsidP="00242AEE">
            <w:pPr>
              <w:jc w:val="center"/>
              <w:rPr>
                <w:sz w:val="20"/>
                <w:szCs w:val="20"/>
              </w:rPr>
            </w:pPr>
          </w:p>
          <w:p w:rsidR="00DC2D1F" w:rsidRPr="00A935AA" w:rsidRDefault="00DC2D1F" w:rsidP="00242AEE">
            <w:pPr>
              <w:jc w:val="center"/>
              <w:rPr>
                <w:sz w:val="20"/>
                <w:szCs w:val="20"/>
              </w:rPr>
            </w:pPr>
          </w:p>
          <w:p w:rsidR="00DC2D1F" w:rsidRPr="00A935AA" w:rsidRDefault="00DC2D1F" w:rsidP="00242AEE">
            <w:pPr>
              <w:jc w:val="center"/>
              <w:rPr>
                <w:sz w:val="20"/>
                <w:szCs w:val="20"/>
              </w:rPr>
            </w:pPr>
          </w:p>
          <w:p w:rsidR="00DC2D1F" w:rsidRPr="00A935AA" w:rsidRDefault="00DC2D1F" w:rsidP="00242AEE">
            <w:pPr>
              <w:jc w:val="center"/>
              <w:rPr>
                <w:sz w:val="20"/>
                <w:szCs w:val="20"/>
              </w:rPr>
            </w:pPr>
          </w:p>
          <w:p w:rsidR="00DC2D1F" w:rsidRPr="00A935AA" w:rsidRDefault="00DC2D1F" w:rsidP="00242AEE">
            <w:pPr>
              <w:jc w:val="center"/>
              <w:rPr>
                <w:sz w:val="20"/>
                <w:szCs w:val="20"/>
              </w:rPr>
            </w:pPr>
          </w:p>
          <w:p w:rsidR="00DC2D1F" w:rsidRPr="00A935AA" w:rsidRDefault="00DC2D1F" w:rsidP="00242AEE">
            <w:pPr>
              <w:jc w:val="center"/>
              <w:rPr>
                <w:sz w:val="20"/>
                <w:szCs w:val="20"/>
              </w:rPr>
            </w:pPr>
          </w:p>
          <w:p w:rsidR="00DC2D1F" w:rsidRPr="00A935AA" w:rsidRDefault="00DC2D1F" w:rsidP="00242AEE">
            <w:pPr>
              <w:jc w:val="center"/>
              <w:rPr>
                <w:sz w:val="20"/>
                <w:szCs w:val="20"/>
              </w:rPr>
            </w:pPr>
          </w:p>
          <w:p w:rsidR="00DC2D1F" w:rsidRPr="00A935AA" w:rsidRDefault="00DC2D1F" w:rsidP="00242AEE">
            <w:pPr>
              <w:jc w:val="center"/>
              <w:rPr>
                <w:sz w:val="20"/>
                <w:szCs w:val="20"/>
              </w:rPr>
            </w:pPr>
          </w:p>
          <w:p w:rsidR="00DC2D1F" w:rsidRDefault="00DC2D1F" w:rsidP="00242AEE">
            <w:pPr>
              <w:jc w:val="center"/>
              <w:rPr>
                <w:sz w:val="20"/>
                <w:szCs w:val="20"/>
              </w:rPr>
            </w:pPr>
          </w:p>
          <w:p w:rsidR="00DC2D1F" w:rsidRPr="00A935AA" w:rsidRDefault="00DC2D1F" w:rsidP="00242AEE">
            <w:pPr>
              <w:jc w:val="center"/>
              <w:rPr>
                <w:sz w:val="20"/>
                <w:szCs w:val="20"/>
              </w:rPr>
            </w:pPr>
          </w:p>
          <w:p w:rsidR="00DC2D1F" w:rsidRPr="00A935AA" w:rsidRDefault="00DC2D1F" w:rsidP="00242AEE">
            <w:pPr>
              <w:jc w:val="center"/>
              <w:rPr>
                <w:sz w:val="20"/>
                <w:szCs w:val="20"/>
              </w:rPr>
            </w:pPr>
          </w:p>
        </w:tc>
        <w:tc>
          <w:tcPr>
            <w:tcW w:w="4320" w:type="dxa"/>
            <w:shd w:val="clear" w:color="auto" w:fill="auto"/>
          </w:tcPr>
          <w:p w:rsidR="00DC2D1F" w:rsidRPr="00A935AA" w:rsidRDefault="00DC2D1F" w:rsidP="00DC2D1F">
            <w:pPr>
              <w:keepNext/>
              <w:keepLines/>
              <w:tabs>
                <w:tab w:val="left" w:pos="-1440"/>
                <w:tab w:val="left" w:pos="-720"/>
              </w:tabs>
              <w:rPr>
                <w:b/>
                <w:sz w:val="20"/>
                <w:szCs w:val="20"/>
              </w:rPr>
            </w:pPr>
            <w:r>
              <w:rPr>
                <w:b/>
                <w:sz w:val="20"/>
                <w:szCs w:val="20"/>
              </w:rPr>
              <w:t>Her Majesty the Queen</w:t>
            </w:r>
          </w:p>
          <w:p w:rsidR="00DC2D1F" w:rsidRPr="00A935AA" w:rsidRDefault="00DC2D1F" w:rsidP="00DC2D1F">
            <w:pPr>
              <w:keepNext/>
              <w:keepLines/>
              <w:tabs>
                <w:tab w:val="left" w:pos="-1440"/>
                <w:tab w:val="left" w:pos="-720"/>
              </w:tabs>
              <w:rPr>
                <w:sz w:val="20"/>
                <w:szCs w:val="20"/>
              </w:rPr>
            </w:pPr>
            <w:r w:rsidRPr="00A935AA">
              <w:rPr>
                <w:sz w:val="20"/>
                <w:szCs w:val="20"/>
              </w:rPr>
              <w:tab/>
            </w:r>
            <w:r>
              <w:rPr>
                <w:sz w:val="20"/>
                <w:szCs w:val="20"/>
              </w:rPr>
              <w:t>Frances Knickle</w:t>
            </w:r>
          </w:p>
          <w:p w:rsidR="00DC2D1F" w:rsidRPr="00A935AA" w:rsidRDefault="00DC2D1F" w:rsidP="00DC2D1F">
            <w:pPr>
              <w:keepNext/>
              <w:keepLines/>
              <w:tabs>
                <w:tab w:val="left" w:pos="-1440"/>
                <w:tab w:val="left" w:pos="-720"/>
              </w:tabs>
              <w:rPr>
                <w:sz w:val="20"/>
                <w:szCs w:val="20"/>
              </w:rPr>
            </w:pPr>
            <w:r w:rsidRPr="00A935AA">
              <w:rPr>
                <w:sz w:val="20"/>
                <w:szCs w:val="20"/>
              </w:rPr>
              <w:tab/>
            </w:r>
            <w:r>
              <w:rPr>
                <w:sz w:val="20"/>
                <w:szCs w:val="20"/>
              </w:rPr>
              <w:t>A.G. of Newfoundland and Labrador</w:t>
            </w:r>
          </w:p>
          <w:p w:rsidR="00DC2D1F" w:rsidRPr="00A935AA" w:rsidRDefault="00DC2D1F" w:rsidP="00DC2D1F">
            <w:pPr>
              <w:keepNext/>
              <w:keepLines/>
              <w:tabs>
                <w:tab w:val="left" w:pos="-1440"/>
                <w:tab w:val="left" w:pos="-720"/>
              </w:tabs>
              <w:rPr>
                <w:sz w:val="20"/>
                <w:szCs w:val="20"/>
              </w:rPr>
            </w:pPr>
          </w:p>
          <w:p w:rsidR="00DC2D1F" w:rsidRPr="0077555D" w:rsidRDefault="00DC2D1F" w:rsidP="00DC2D1F">
            <w:pPr>
              <w:keepNext/>
              <w:keepLines/>
              <w:tabs>
                <w:tab w:val="left" w:pos="-1440"/>
                <w:tab w:val="left" w:pos="-720"/>
              </w:tabs>
              <w:rPr>
                <w:sz w:val="20"/>
                <w:szCs w:val="20"/>
              </w:rPr>
            </w:pPr>
            <w:r w:rsidRPr="00A935AA">
              <w:rPr>
                <w:sz w:val="20"/>
                <w:szCs w:val="20"/>
              </w:rPr>
              <w:tab/>
            </w:r>
            <w:r w:rsidRPr="0077555D">
              <w:rPr>
                <w:sz w:val="20"/>
                <w:szCs w:val="20"/>
              </w:rPr>
              <w:t>v. (35049)</w:t>
            </w:r>
          </w:p>
          <w:p w:rsidR="00DC2D1F" w:rsidRPr="0077555D" w:rsidRDefault="00DC2D1F" w:rsidP="00DC2D1F">
            <w:pPr>
              <w:keepNext/>
              <w:keepLines/>
              <w:tabs>
                <w:tab w:val="left" w:pos="-1440"/>
                <w:tab w:val="left" w:pos="-720"/>
              </w:tabs>
              <w:rPr>
                <w:sz w:val="20"/>
                <w:szCs w:val="20"/>
              </w:rPr>
            </w:pPr>
          </w:p>
          <w:p w:rsidR="00DC2D1F" w:rsidRPr="0077555D" w:rsidRDefault="00DC2D1F" w:rsidP="00DC2D1F">
            <w:pPr>
              <w:keepNext/>
              <w:keepLines/>
              <w:tabs>
                <w:tab w:val="left" w:pos="-1440"/>
                <w:tab w:val="left" w:pos="-720"/>
              </w:tabs>
              <w:rPr>
                <w:b/>
                <w:sz w:val="20"/>
                <w:szCs w:val="20"/>
              </w:rPr>
            </w:pPr>
            <w:r w:rsidRPr="0077555D">
              <w:rPr>
                <w:b/>
                <w:sz w:val="20"/>
                <w:szCs w:val="20"/>
              </w:rPr>
              <w:t>Nelson Lloyd Hart (N.L.)</w:t>
            </w:r>
          </w:p>
          <w:p w:rsidR="00DC2D1F" w:rsidRPr="0077555D" w:rsidRDefault="00DC2D1F" w:rsidP="00DC2D1F">
            <w:pPr>
              <w:keepNext/>
              <w:keepLines/>
              <w:tabs>
                <w:tab w:val="left" w:pos="-1440"/>
                <w:tab w:val="left" w:pos="-720"/>
              </w:tabs>
              <w:rPr>
                <w:sz w:val="20"/>
                <w:szCs w:val="20"/>
              </w:rPr>
            </w:pPr>
            <w:r w:rsidRPr="0077555D">
              <w:rPr>
                <w:sz w:val="20"/>
                <w:szCs w:val="20"/>
              </w:rPr>
              <w:tab/>
            </w:r>
            <w:r>
              <w:rPr>
                <w:sz w:val="20"/>
                <w:szCs w:val="20"/>
              </w:rPr>
              <w:t>Rosellen Sullivan</w:t>
            </w:r>
          </w:p>
          <w:p w:rsidR="00DC2D1F" w:rsidRPr="0077555D" w:rsidRDefault="00DC2D1F" w:rsidP="00DC2D1F">
            <w:pPr>
              <w:keepNext/>
              <w:keepLines/>
              <w:tabs>
                <w:tab w:val="left" w:pos="-1440"/>
                <w:tab w:val="left" w:pos="-720"/>
              </w:tabs>
              <w:rPr>
                <w:sz w:val="20"/>
                <w:szCs w:val="20"/>
              </w:rPr>
            </w:pPr>
            <w:r w:rsidRPr="0077555D">
              <w:rPr>
                <w:sz w:val="20"/>
                <w:szCs w:val="20"/>
              </w:rPr>
              <w:tab/>
            </w:r>
            <w:r>
              <w:rPr>
                <w:sz w:val="20"/>
                <w:szCs w:val="20"/>
              </w:rPr>
              <w:t>Simmonds &amp; Partners Defence</w:t>
            </w:r>
          </w:p>
          <w:p w:rsidR="00DC2D1F" w:rsidRPr="0077555D" w:rsidRDefault="00DC2D1F" w:rsidP="00DC2D1F">
            <w:pPr>
              <w:keepNext/>
              <w:keepLines/>
              <w:tabs>
                <w:tab w:val="left" w:pos="-1440"/>
                <w:tab w:val="left" w:pos="-720"/>
              </w:tabs>
              <w:rPr>
                <w:sz w:val="20"/>
                <w:szCs w:val="20"/>
              </w:rPr>
            </w:pPr>
          </w:p>
          <w:p w:rsidR="00DC2D1F" w:rsidRPr="00A935AA" w:rsidRDefault="00DC2D1F" w:rsidP="00DC2D1F">
            <w:pPr>
              <w:rPr>
                <w:sz w:val="20"/>
                <w:szCs w:val="20"/>
              </w:rPr>
            </w:pPr>
            <w:r w:rsidRPr="00A935AA">
              <w:rPr>
                <w:sz w:val="20"/>
                <w:szCs w:val="20"/>
              </w:rPr>
              <w:t>FILING DATE: 2</w:t>
            </w:r>
            <w:r>
              <w:rPr>
                <w:sz w:val="20"/>
                <w:szCs w:val="20"/>
              </w:rPr>
              <w:t>5</w:t>
            </w:r>
            <w:r w:rsidRPr="00A935AA">
              <w:rPr>
                <w:sz w:val="20"/>
                <w:szCs w:val="20"/>
              </w:rPr>
              <w:t>.</w:t>
            </w:r>
            <w:r>
              <w:rPr>
                <w:sz w:val="20"/>
                <w:szCs w:val="20"/>
              </w:rPr>
              <w:t>1</w:t>
            </w:r>
            <w:r w:rsidRPr="00A935AA">
              <w:rPr>
                <w:sz w:val="20"/>
                <w:szCs w:val="20"/>
              </w:rPr>
              <w:t>0.201</w:t>
            </w:r>
            <w:r>
              <w:rPr>
                <w:sz w:val="20"/>
                <w:szCs w:val="20"/>
              </w:rPr>
              <w:t>2</w:t>
            </w:r>
            <w:r w:rsidRPr="00BF3B03">
              <w:rPr>
                <w:sz w:val="20"/>
                <w:szCs w:val="20"/>
                <w:lang w:val="fr-CA"/>
              </w:rPr>
              <w:pict>
                <v:rect id="_x0000_i1118" style="width:108pt;height:1pt" o:hrpct="0" o:hralign="center" o:hrstd="t" o:hrnoshade="t" o:hr="t" fillcolor="black [3213]" stroked="f"/>
              </w:pict>
            </w:r>
          </w:p>
        </w:tc>
      </w:tr>
      <w:tr w:rsidR="009D0C06" w:rsidRPr="00A935AA" w:rsidTr="003B3977">
        <w:trPr>
          <w:cantSplit/>
        </w:trPr>
        <w:tc>
          <w:tcPr>
            <w:tcW w:w="4320" w:type="dxa"/>
            <w:shd w:val="clear" w:color="auto" w:fill="auto"/>
          </w:tcPr>
          <w:p w:rsidR="004F2BEC" w:rsidRPr="004F2BEC" w:rsidRDefault="004F2BEC" w:rsidP="009D0C06">
            <w:pPr>
              <w:rPr>
                <w:b/>
                <w:sz w:val="20"/>
                <w:szCs w:val="20"/>
              </w:rPr>
            </w:pPr>
            <w:r w:rsidRPr="004F2BEC">
              <w:rPr>
                <w:b/>
                <w:sz w:val="20"/>
                <w:szCs w:val="20"/>
              </w:rPr>
              <w:t>Inderjit Singh Reyat</w:t>
            </w:r>
          </w:p>
          <w:p w:rsidR="009D0C06" w:rsidRPr="004F2BEC" w:rsidRDefault="009D0C06" w:rsidP="009D0C06">
            <w:pPr>
              <w:tabs>
                <w:tab w:val="left" w:pos="-1440"/>
                <w:tab w:val="left" w:pos="-720"/>
              </w:tabs>
              <w:rPr>
                <w:sz w:val="20"/>
                <w:szCs w:val="20"/>
              </w:rPr>
            </w:pPr>
            <w:r w:rsidRPr="004F2BEC">
              <w:rPr>
                <w:sz w:val="20"/>
                <w:szCs w:val="20"/>
              </w:rPr>
              <w:tab/>
            </w:r>
            <w:r w:rsidR="004F2BEC" w:rsidRPr="004F2BEC">
              <w:rPr>
                <w:sz w:val="20"/>
                <w:szCs w:val="20"/>
              </w:rPr>
              <w:t>Ian Donaldson, Q.C.</w:t>
            </w:r>
          </w:p>
          <w:p w:rsidR="009D0C06" w:rsidRPr="004F2BEC" w:rsidRDefault="009D0C06" w:rsidP="009D0C06">
            <w:pPr>
              <w:tabs>
                <w:tab w:val="left" w:pos="-1440"/>
                <w:tab w:val="left" w:pos="-720"/>
              </w:tabs>
              <w:rPr>
                <w:sz w:val="20"/>
                <w:szCs w:val="20"/>
              </w:rPr>
            </w:pPr>
            <w:r w:rsidRPr="004F2BEC">
              <w:rPr>
                <w:sz w:val="20"/>
                <w:szCs w:val="20"/>
              </w:rPr>
              <w:tab/>
            </w:r>
            <w:r w:rsidR="004F2BEC">
              <w:rPr>
                <w:sz w:val="20"/>
                <w:szCs w:val="20"/>
              </w:rPr>
              <w:t>Donaldson’s</w:t>
            </w:r>
          </w:p>
          <w:p w:rsidR="009D0C06" w:rsidRPr="004F2BEC" w:rsidRDefault="009D0C06" w:rsidP="009D0C06">
            <w:pPr>
              <w:tabs>
                <w:tab w:val="left" w:pos="-1440"/>
                <w:tab w:val="left" w:pos="-720"/>
              </w:tabs>
              <w:rPr>
                <w:sz w:val="20"/>
                <w:szCs w:val="20"/>
              </w:rPr>
            </w:pPr>
          </w:p>
          <w:p w:rsidR="009D0C06" w:rsidRPr="00A935AA" w:rsidRDefault="009D0C06" w:rsidP="009D0C06">
            <w:pPr>
              <w:tabs>
                <w:tab w:val="left" w:pos="-1440"/>
                <w:tab w:val="left" w:pos="-720"/>
              </w:tabs>
              <w:rPr>
                <w:sz w:val="20"/>
                <w:szCs w:val="20"/>
              </w:rPr>
            </w:pPr>
            <w:r w:rsidRPr="004F2BEC">
              <w:rPr>
                <w:sz w:val="20"/>
                <w:szCs w:val="20"/>
              </w:rPr>
              <w:tab/>
            </w:r>
            <w:r w:rsidRPr="00A935AA">
              <w:rPr>
                <w:sz w:val="20"/>
                <w:szCs w:val="20"/>
              </w:rPr>
              <w:t>v. (3</w:t>
            </w:r>
            <w:r>
              <w:rPr>
                <w:sz w:val="20"/>
                <w:szCs w:val="20"/>
              </w:rPr>
              <w:t>5</w:t>
            </w:r>
            <w:r w:rsidR="0077555D">
              <w:rPr>
                <w:sz w:val="20"/>
                <w:szCs w:val="20"/>
              </w:rPr>
              <w:t>030</w:t>
            </w:r>
            <w:r w:rsidRPr="00A935AA">
              <w:rPr>
                <w:sz w:val="20"/>
                <w:szCs w:val="20"/>
              </w:rPr>
              <w:t>)</w:t>
            </w:r>
          </w:p>
          <w:p w:rsidR="009D0C06" w:rsidRPr="00A935AA" w:rsidRDefault="009D0C06" w:rsidP="009D0C06">
            <w:pPr>
              <w:tabs>
                <w:tab w:val="left" w:pos="-1440"/>
                <w:tab w:val="left" w:pos="-720"/>
              </w:tabs>
              <w:rPr>
                <w:sz w:val="20"/>
                <w:szCs w:val="20"/>
              </w:rPr>
            </w:pPr>
          </w:p>
          <w:p w:rsidR="009D0C06" w:rsidRPr="00A935AA" w:rsidRDefault="0077555D" w:rsidP="009D0C06">
            <w:pPr>
              <w:tabs>
                <w:tab w:val="left" w:pos="-1440"/>
                <w:tab w:val="left" w:pos="-720"/>
              </w:tabs>
              <w:rPr>
                <w:b/>
                <w:sz w:val="20"/>
                <w:szCs w:val="20"/>
              </w:rPr>
            </w:pPr>
            <w:r>
              <w:rPr>
                <w:b/>
                <w:sz w:val="20"/>
                <w:szCs w:val="20"/>
              </w:rPr>
              <w:t xml:space="preserve">Her Majesty the Queen </w:t>
            </w:r>
            <w:r w:rsidR="009D0C06" w:rsidRPr="00A935AA">
              <w:rPr>
                <w:b/>
                <w:sz w:val="20"/>
                <w:szCs w:val="20"/>
              </w:rPr>
              <w:t>(B.C.)</w:t>
            </w:r>
          </w:p>
          <w:p w:rsidR="009D0C06" w:rsidRPr="00A935AA" w:rsidRDefault="009D0C06" w:rsidP="009D0C06">
            <w:pPr>
              <w:tabs>
                <w:tab w:val="left" w:pos="-1440"/>
                <w:tab w:val="left" w:pos="-720"/>
              </w:tabs>
              <w:rPr>
                <w:sz w:val="20"/>
                <w:szCs w:val="20"/>
              </w:rPr>
            </w:pPr>
            <w:r w:rsidRPr="00A935AA">
              <w:rPr>
                <w:sz w:val="20"/>
                <w:szCs w:val="20"/>
              </w:rPr>
              <w:tab/>
            </w:r>
            <w:r w:rsidR="0077555D">
              <w:rPr>
                <w:sz w:val="20"/>
                <w:szCs w:val="20"/>
              </w:rPr>
              <w:t>Leonard T. Doust</w:t>
            </w:r>
          </w:p>
          <w:p w:rsidR="009D0C06" w:rsidRPr="00A935AA" w:rsidRDefault="009D0C06" w:rsidP="009D0C06">
            <w:pPr>
              <w:tabs>
                <w:tab w:val="left" w:pos="-1440"/>
                <w:tab w:val="left" w:pos="-720"/>
              </w:tabs>
              <w:rPr>
                <w:sz w:val="20"/>
                <w:szCs w:val="20"/>
              </w:rPr>
            </w:pPr>
            <w:r w:rsidRPr="00A935AA">
              <w:rPr>
                <w:sz w:val="20"/>
                <w:szCs w:val="20"/>
              </w:rPr>
              <w:tab/>
            </w:r>
            <w:r w:rsidR="0077555D">
              <w:rPr>
                <w:sz w:val="20"/>
                <w:szCs w:val="20"/>
              </w:rPr>
              <w:t>McCarthy Tétrault LLP</w:t>
            </w:r>
          </w:p>
          <w:p w:rsidR="009D0C06" w:rsidRPr="00A935AA" w:rsidRDefault="009D0C06" w:rsidP="009D0C06">
            <w:pPr>
              <w:tabs>
                <w:tab w:val="left" w:pos="-1440"/>
                <w:tab w:val="left" w:pos="-720"/>
              </w:tabs>
              <w:rPr>
                <w:sz w:val="20"/>
                <w:szCs w:val="20"/>
              </w:rPr>
            </w:pPr>
          </w:p>
          <w:p w:rsidR="009D0C06" w:rsidRPr="00A935AA" w:rsidRDefault="009D0C06" w:rsidP="009D0C06">
            <w:pPr>
              <w:rPr>
                <w:sz w:val="20"/>
                <w:szCs w:val="20"/>
              </w:rPr>
            </w:pPr>
            <w:r w:rsidRPr="00A935AA">
              <w:rPr>
                <w:sz w:val="20"/>
                <w:szCs w:val="20"/>
              </w:rPr>
              <w:t>FILING DATE: 2</w:t>
            </w:r>
            <w:r w:rsidR="0077555D">
              <w:rPr>
                <w:sz w:val="20"/>
                <w:szCs w:val="20"/>
              </w:rPr>
              <w:t>4</w:t>
            </w:r>
            <w:r w:rsidRPr="00A935AA">
              <w:rPr>
                <w:sz w:val="20"/>
                <w:szCs w:val="20"/>
              </w:rPr>
              <w:t>.</w:t>
            </w:r>
            <w:r>
              <w:rPr>
                <w:sz w:val="20"/>
                <w:szCs w:val="20"/>
              </w:rPr>
              <w:t>10</w:t>
            </w:r>
            <w:r w:rsidRPr="00A935AA">
              <w:rPr>
                <w:sz w:val="20"/>
                <w:szCs w:val="20"/>
              </w:rPr>
              <w:t>.201</w:t>
            </w:r>
            <w:r>
              <w:rPr>
                <w:sz w:val="20"/>
                <w:szCs w:val="20"/>
              </w:rPr>
              <w:t>2</w:t>
            </w:r>
          </w:p>
          <w:p w:rsidR="009D0C06" w:rsidRPr="00A935AA" w:rsidRDefault="00BF3B03" w:rsidP="009D0C06">
            <w:pPr>
              <w:rPr>
                <w:sz w:val="20"/>
                <w:szCs w:val="20"/>
              </w:rPr>
            </w:pPr>
            <w:r w:rsidRPr="00BF3B03">
              <w:rPr>
                <w:sz w:val="20"/>
                <w:szCs w:val="20"/>
                <w:lang w:val="fr-CA"/>
              </w:rPr>
              <w:pict>
                <v:rect id="_x0000_i1031" style="width:108pt;height:1pt" o:hrpct="0" o:hralign="center" o:hrstd="t" o:hrnoshade="t" o:hr="t" fillcolor="black [3213]" stroked="f"/>
              </w:pict>
            </w:r>
          </w:p>
        </w:tc>
        <w:tc>
          <w:tcPr>
            <w:tcW w:w="1181" w:type="dxa"/>
            <w:shd w:val="clear" w:color="auto" w:fill="auto"/>
          </w:tcPr>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Pr="00A935AA" w:rsidRDefault="009D0C06" w:rsidP="00242AEE">
            <w:pPr>
              <w:jc w:val="center"/>
              <w:rPr>
                <w:sz w:val="20"/>
                <w:szCs w:val="20"/>
              </w:rPr>
            </w:pPr>
          </w:p>
          <w:p w:rsidR="009D0C06" w:rsidRDefault="009D0C06" w:rsidP="00242AEE">
            <w:pPr>
              <w:jc w:val="center"/>
              <w:rPr>
                <w:sz w:val="20"/>
                <w:szCs w:val="20"/>
              </w:rPr>
            </w:pPr>
          </w:p>
          <w:p w:rsidR="00DC2D1F" w:rsidRDefault="00DC2D1F" w:rsidP="00242AEE">
            <w:pPr>
              <w:jc w:val="center"/>
              <w:rPr>
                <w:sz w:val="20"/>
                <w:szCs w:val="20"/>
              </w:rPr>
            </w:pPr>
          </w:p>
          <w:p w:rsidR="00DC2D1F" w:rsidRPr="00A935AA" w:rsidRDefault="00DC2D1F" w:rsidP="00242AEE">
            <w:pPr>
              <w:jc w:val="center"/>
              <w:rPr>
                <w:sz w:val="20"/>
                <w:szCs w:val="20"/>
              </w:rPr>
            </w:pPr>
          </w:p>
          <w:p w:rsidR="009D0C06" w:rsidRPr="00A935AA" w:rsidRDefault="009D0C06" w:rsidP="00242AEE">
            <w:pPr>
              <w:jc w:val="center"/>
              <w:rPr>
                <w:sz w:val="20"/>
                <w:szCs w:val="20"/>
              </w:rPr>
            </w:pPr>
          </w:p>
        </w:tc>
        <w:tc>
          <w:tcPr>
            <w:tcW w:w="4320" w:type="dxa"/>
            <w:shd w:val="clear" w:color="auto" w:fill="auto"/>
          </w:tcPr>
          <w:p w:rsidR="00DC2D1F" w:rsidRDefault="00DC2D1F" w:rsidP="0077555D">
            <w:pPr>
              <w:rPr>
                <w:b/>
                <w:sz w:val="20"/>
                <w:szCs w:val="20"/>
                <w:lang w:val="fr-CA"/>
              </w:rPr>
            </w:pPr>
          </w:p>
          <w:p w:rsidR="00DC2D1F" w:rsidRPr="00DC2D1F" w:rsidRDefault="00DC2D1F" w:rsidP="0077555D">
            <w:pPr>
              <w:rPr>
                <w:b/>
                <w:sz w:val="20"/>
                <w:szCs w:val="20"/>
                <w:lang w:val="fr-CA"/>
              </w:rPr>
            </w:pPr>
            <w:r w:rsidRPr="00DC2D1F">
              <w:rPr>
                <w:b/>
                <w:sz w:val="20"/>
                <w:szCs w:val="20"/>
                <w:lang w:val="fr-CA"/>
              </w:rPr>
              <w:t>Douglas Martin</w:t>
            </w:r>
          </w:p>
          <w:p w:rsidR="00DC2D1F" w:rsidRPr="00A935AA" w:rsidRDefault="00DC2D1F" w:rsidP="00DC2D1F">
            <w:pPr>
              <w:tabs>
                <w:tab w:val="left" w:pos="-1440"/>
                <w:tab w:val="left" w:pos="-720"/>
              </w:tabs>
              <w:rPr>
                <w:sz w:val="20"/>
                <w:szCs w:val="20"/>
              </w:rPr>
            </w:pPr>
            <w:r w:rsidRPr="00A935AA">
              <w:rPr>
                <w:sz w:val="20"/>
                <w:szCs w:val="20"/>
              </w:rPr>
              <w:tab/>
            </w:r>
            <w:r>
              <w:rPr>
                <w:sz w:val="20"/>
                <w:szCs w:val="20"/>
              </w:rPr>
              <w:t>Andrew Raven</w:t>
            </w:r>
          </w:p>
          <w:p w:rsidR="00DC2D1F" w:rsidRPr="00A935AA" w:rsidRDefault="00DC2D1F" w:rsidP="00DC2D1F">
            <w:pPr>
              <w:tabs>
                <w:tab w:val="left" w:pos="-1440"/>
                <w:tab w:val="left" w:pos="-720"/>
              </w:tabs>
              <w:rPr>
                <w:sz w:val="20"/>
                <w:szCs w:val="20"/>
              </w:rPr>
            </w:pPr>
            <w:r w:rsidRPr="00A935AA">
              <w:rPr>
                <w:sz w:val="20"/>
                <w:szCs w:val="20"/>
              </w:rPr>
              <w:tab/>
            </w:r>
            <w:r>
              <w:rPr>
                <w:sz w:val="20"/>
                <w:szCs w:val="20"/>
              </w:rPr>
              <w:t xml:space="preserve">Raven, Cameron, Ballantyne &amp; Yazbeck </w:t>
            </w:r>
            <w:r>
              <w:rPr>
                <w:sz w:val="20"/>
                <w:szCs w:val="20"/>
              </w:rPr>
              <w:tab/>
              <w:t>LLP</w:t>
            </w:r>
          </w:p>
          <w:p w:rsidR="00DC2D1F" w:rsidRPr="00A935AA" w:rsidRDefault="00DC2D1F" w:rsidP="00DC2D1F">
            <w:pPr>
              <w:tabs>
                <w:tab w:val="left" w:pos="-1440"/>
                <w:tab w:val="left" w:pos="-720"/>
              </w:tabs>
              <w:rPr>
                <w:sz w:val="20"/>
                <w:szCs w:val="20"/>
              </w:rPr>
            </w:pPr>
          </w:p>
          <w:p w:rsidR="00DC2D1F" w:rsidRPr="00A935AA" w:rsidRDefault="00DC2D1F" w:rsidP="00DC2D1F">
            <w:pPr>
              <w:tabs>
                <w:tab w:val="left" w:pos="-1440"/>
                <w:tab w:val="left" w:pos="-720"/>
              </w:tabs>
              <w:rPr>
                <w:sz w:val="20"/>
                <w:szCs w:val="20"/>
              </w:rPr>
            </w:pPr>
            <w:r w:rsidRPr="00A935AA">
              <w:rPr>
                <w:sz w:val="20"/>
                <w:szCs w:val="20"/>
              </w:rPr>
              <w:tab/>
              <w:t>v. (3</w:t>
            </w:r>
            <w:r>
              <w:rPr>
                <w:sz w:val="20"/>
                <w:szCs w:val="20"/>
              </w:rPr>
              <w:t>5052</w:t>
            </w:r>
            <w:r w:rsidRPr="00A935AA">
              <w:rPr>
                <w:sz w:val="20"/>
                <w:szCs w:val="20"/>
              </w:rPr>
              <w:t>)</w:t>
            </w:r>
          </w:p>
          <w:p w:rsidR="00DC2D1F" w:rsidRPr="00A935AA" w:rsidRDefault="00DC2D1F" w:rsidP="00DC2D1F">
            <w:pPr>
              <w:tabs>
                <w:tab w:val="left" w:pos="-1440"/>
                <w:tab w:val="left" w:pos="-720"/>
              </w:tabs>
              <w:rPr>
                <w:sz w:val="20"/>
                <w:szCs w:val="20"/>
              </w:rPr>
            </w:pPr>
          </w:p>
          <w:p w:rsidR="00DC2D1F" w:rsidRPr="00A935AA" w:rsidRDefault="00DC2D1F" w:rsidP="00DC2D1F">
            <w:pPr>
              <w:tabs>
                <w:tab w:val="left" w:pos="-1440"/>
                <w:tab w:val="left" w:pos="-720"/>
              </w:tabs>
              <w:rPr>
                <w:b/>
                <w:sz w:val="20"/>
                <w:szCs w:val="20"/>
              </w:rPr>
            </w:pPr>
            <w:r>
              <w:rPr>
                <w:b/>
                <w:sz w:val="20"/>
                <w:szCs w:val="20"/>
              </w:rPr>
              <w:t xml:space="preserve">Workers’ Compensation Board of Alberta et al. </w:t>
            </w:r>
            <w:r w:rsidRPr="00A935AA">
              <w:rPr>
                <w:b/>
                <w:sz w:val="20"/>
                <w:szCs w:val="20"/>
              </w:rPr>
              <w:t>(</w:t>
            </w:r>
            <w:r>
              <w:rPr>
                <w:b/>
                <w:sz w:val="20"/>
                <w:szCs w:val="20"/>
              </w:rPr>
              <w:t>Alta</w:t>
            </w:r>
            <w:r w:rsidRPr="00A935AA">
              <w:rPr>
                <w:b/>
                <w:sz w:val="20"/>
                <w:szCs w:val="20"/>
              </w:rPr>
              <w:t>.)</w:t>
            </w:r>
          </w:p>
          <w:p w:rsidR="00DC2D1F" w:rsidRPr="00A935AA" w:rsidRDefault="00DC2D1F" w:rsidP="00DC2D1F">
            <w:pPr>
              <w:tabs>
                <w:tab w:val="left" w:pos="-1440"/>
                <w:tab w:val="left" w:pos="-720"/>
              </w:tabs>
              <w:rPr>
                <w:sz w:val="20"/>
                <w:szCs w:val="20"/>
              </w:rPr>
            </w:pPr>
            <w:r w:rsidRPr="00A935AA">
              <w:rPr>
                <w:sz w:val="20"/>
                <w:szCs w:val="20"/>
              </w:rPr>
              <w:tab/>
            </w:r>
            <w:r>
              <w:rPr>
                <w:sz w:val="20"/>
                <w:szCs w:val="20"/>
              </w:rPr>
              <w:t>Douglas R. Mah, Q.C.</w:t>
            </w:r>
          </w:p>
          <w:p w:rsidR="00DC2D1F" w:rsidRPr="0077555D" w:rsidRDefault="00DC2D1F" w:rsidP="00DC2D1F">
            <w:pPr>
              <w:tabs>
                <w:tab w:val="left" w:pos="-1440"/>
                <w:tab w:val="left" w:pos="-720"/>
              </w:tabs>
              <w:rPr>
                <w:sz w:val="20"/>
                <w:szCs w:val="20"/>
              </w:rPr>
            </w:pPr>
            <w:r w:rsidRPr="00A935AA">
              <w:rPr>
                <w:sz w:val="20"/>
                <w:szCs w:val="20"/>
              </w:rPr>
              <w:tab/>
            </w:r>
            <w:r w:rsidRPr="0077555D">
              <w:rPr>
                <w:sz w:val="20"/>
                <w:szCs w:val="20"/>
              </w:rPr>
              <w:t>Workers’ Compensation Board of Alberta</w:t>
            </w:r>
          </w:p>
          <w:p w:rsidR="00DC2D1F" w:rsidRPr="00A935AA" w:rsidRDefault="00DC2D1F" w:rsidP="00DC2D1F">
            <w:pPr>
              <w:tabs>
                <w:tab w:val="left" w:pos="-1440"/>
                <w:tab w:val="left" w:pos="-720"/>
              </w:tabs>
              <w:rPr>
                <w:sz w:val="20"/>
                <w:szCs w:val="20"/>
              </w:rPr>
            </w:pPr>
          </w:p>
          <w:p w:rsidR="00DC2D1F" w:rsidRPr="00A935AA" w:rsidRDefault="00DC2D1F" w:rsidP="00DC2D1F">
            <w:pPr>
              <w:rPr>
                <w:sz w:val="20"/>
                <w:szCs w:val="20"/>
              </w:rPr>
            </w:pPr>
            <w:r w:rsidRPr="00A935AA">
              <w:rPr>
                <w:sz w:val="20"/>
                <w:szCs w:val="20"/>
              </w:rPr>
              <w:t>FILING DATE: 2</w:t>
            </w:r>
            <w:r>
              <w:rPr>
                <w:sz w:val="20"/>
                <w:szCs w:val="20"/>
              </w:rPr>
              <w:t>6</w:t>
            </w:r>
            <w:r w:rsidRPr="00A935AA">
              <w:rPr>
                <w:sz w:val="20"/>
                <w:szCs w:val="20"/>
              </w:rPr>
              <w:t>.</w:t>
            </w:r>
            <w:r>
              <w:rPr>
                <w:sz w:val="20"/>
                <w:szCs w:val="20"/>
              </w:rPr>
              <w:t>10</w:t>
            </w:r>
            <w:r w:rsidRPr="00A935AA">
              <w:rPr>
                <w:sz w:val="20"/>
                <w:szCs w:val="20"/>
              </w:rPr>
              <w:t>.201</w:t>
            </w:r>
            <w:r>
              <w:rPr>
                <w:sz w:val="20"/>
                <w:szCs w:val="20"/>
              </w:rPr>
              <w:t>2</w:t>
            </w:r>
          </w:p>
          <w:p w:rsidR="009D0C06" w:rsidRPr="00A935AA" w:rsidRDefault="00BF3B03" w:rsidP="0077555D">
            <w:pPr>
              <w:rPr>
                <w:sz w:val="20"/>
                <w:szCs w:val="20"/>
              </w:rPr>
            </w:pPr>
            <w:r w:rsidRPr="00BF3B03">
              <w:rPr>
                <w:sz w:val="20"/>
                <w:szCs w:val="20"/>
                <w:lang w:val="fr-CA"/>
              </w:rPr>
              <w:pict>
                <v:rect id="_x0000_i1032" style="width:108pt;height:1pt" o:hrpct="0" o:hralign="center" o:hrstd="t" o:hrnoshade="t" o:hr="t" fillcolor="black [3213]" stroked="f"/>
              </w:pict>
            </w:r>
          </w:p>
        </w:tc>
      </w:tr>
      <w:tr w:rsidR="0077555D" w:rsidRPr="00A935AA" w:rsidTr="003B3977">
        <w:trPr>
          <w:cantSplit/>
        </w:trPr>
        <w:tc>
          <w:tcPr>
            <w:tcW w:w="4320" w:type="dxa"/>
            <w:shd w:val="clear" w:color="auto" w:fill="auto"/>
          </w:tcPr>
          <w:p w:rsidR="0077555D" w:rsidRPr="00880E10" w:rsidRDefault="0077555D" w:rsidP="0077555D">
            <w:pPr>
              <w:rPr>
                <w:b/>
                <w:sz w:val="20"/>
                <w:szCs w:val="20"/>
                <w:lang w:val="fr-CA"/>
              </w:rPr>
            </w:pPr>
            <w:r w:rsidRPr="00880E10">
              <w:rPr>
                <w:b/>
                <w:sz w:val="20"/>
                <w:szCs w:val="20"/>
                <w:lang w:val="fr-CA"/>
              </w:rPr>
              <w:lastRenderedPageBreak/>
              <w:t>Jacques Nadeau</w:t>
            </w:r>
          </w:p>
          <w:p w:rsidR="0077555D" w:rsidRPr="00880E10" w:rsidRDefault="0077555D" w:rsidP="0077555D">
            <w:pPr>
              <w:tabs>
                <w:tab w:val="left" w:pos="-1440"/>
                <w:tab w:val="left" w:pos="-720"/>
              </w:tabs>
              <w:rPr>
                <w:sz w:val="20"/>
                <w:szCs w:val="20"/>
                <w:lang w:val="fr-CA"/>
              </w:rPr>
            </w:pPr>
            <w:r w:rsidRPr="00880E10">
              <w:rPr>
                <w:sz w:val="20"/>
                <w:szCs w:val="20"/>
                <w:lang w:val="fr-CA"/>
              </w:rPr>
              <w:tab/>
              <w:t>Jacques Nadeau</w:t>
            </w:r>
          </w:p>
          <w:p w:rsidR="0077555D" w:rsidRPr="00880E10" w:rsidRDefault="0077555D" w:rsidP="0077555D">
            <w:pPr>
              <w:tabs>
                <w:tab w:val="left" w:pos="-1440"/>
                <w:tab w:val="left" w:pos="-720"/>
              </w:tabs>
              <w:rPr>
                <w:sz w:val="20"/>
                <w:szCs w:val="20"/>
                <w:lang w:val="fr-CA"/>
              </w:rPr>
            </w:pPr>
          </w:p>
          <w:p w:rsidR="0077555D" w:rsidRPr="0077555D" w:rsidRDefault="0077555D" w:rsidP="0077555D">
            <w:pPr>
              <w:tabs>
                <w:tab w:val="left" w:pos="-1440"/>
                <w:tab w:val="left" w:pos="-720"/>
              </w:tabs>
              <w:rPr>
                <w:sz w:val="20"/>
                <w:szCs w:val="20"/>
                <w:lang w:val="fr-CA"/>
              </w:rPr>
            </w:pPr>
            <w:r w:rsidRPr="00880E10">
              <w:rPr>
                <w:sz w:val="20"/>
                <w:szCs w:val="20"/>
                <w:lang w:val="fr-CA"/>
              </w:rPr>
              <w:tab/>
            </w:r>
            <w:r w:rsidRPr="0077555D">
              <w:rPr>
                <w:sz w:val="20"/>
                <w:szCs w:val="20"/>
                <w:lang w:val="fr-CA"/>
              </w:rPr>
              <w:t>c. (35061)</w:t>
            </w:r>
          </w:p>
          <w:p w:rsidR="0077555D" w:rsidRPr="0077555D" w:rsidRDefault="0077555D" w:rsidP="0077555D">
            <w:pPr>
              <w:tabs>
                <w:tab w:val="left" w:pos="-1440"/>
                <w:tab w:val="left" w:pos="-720"/>
              </w:tabs>
              <w:rPr>
                <w:sz w:val="20"/>
                <w:szCs w:val="20"/>
                <w:lang w:val="fr-CA"/>
              </w:rPr>
            </w:pPr>
          </w:p>
          <w:p w:rsidR="0077555D" w:rsidRPr="0077555D" w:rsidRDefault="0077555D" w:rsidP="0077555D">
            <w:pPr>
              <w:tabs>
                <w:tab w:val="left" w:pos="-1440"/>
                <w:tab w:val="left" w:pos="-720"/>
              </w:tabs>
              <w:rPr>
                <w:b/>
                <w:sz w:val="20"/>
                <w:szCs w:val="20"/>
                <w:lang w:val="fr-CA"/>
              </w:rPr>
            </w:pPr>
            <w:r w:rsidRPr="0077555D">
              <w:rPr>
                <w:b/>
                <w:sz w:val="20"/>
                <w:szCs w:val="20"/>
                <w:lang w:val="fr-CA"/>
              </w:rPr>
              <w:t>Autorité des marchés financiers (AMF) (Qc)</w:t>
            </w:r>
          </w:p>
          <w:p w:rsidR="0077555D" w:rsidRPr="00880E10" w:rsidRDefault="0077555D" w:rsidP="0077555D">
            <w:pPr>
              <w:tabs>
                <w:tab w:val="left" w:pos="-1440"/>
                <w:tab w:val="left" w:pos="-720"/>
              </w:tabs>
              <w:rPr>
                <w:sz w:val="20"/>
                <w:szCs w:val="20"/>
                <w:lang w:val="fr-CA"/>
              </w:rPr>
            </w:pPr>
            <w:r w:rsidRPr="0077555D">
              <w:rPr>
                <w:sz w:val="20"/>
                <w:szCs w:val="20"/>
                <w:lang w:val="fr-CA"/>
              </w:rPr>
              <w:tab/>
            </w:r>
            <w:r w:rsidRPr="00880E10">
              <w:rPr>
                <w:sz w:val="20"/>
                <w:szCs w:val="20"/>
                <w:lang w:val="fr-CA"/>
              </w:rPr>
              <w:t>Marie A. Pettigrew</w:t>
            </w:r>
          </w:p>
          <w:p w:rsidR="0077555D" w:rsidRPr="0077555D" w:rsidRDefault="0077555D" w:rsidP="0077555D">
            <w:pPr>
              <w:tabs>
                <w:tab w:val="left" w:pos="-1440"/>
                <w:tab w:val="left" w:pos="-720"/>
              </w:tabs>
              <w:rPr>
                <w:sz w:val="20"/>
                <w:szCs w:val="20"/>
                <w:lang w:val="fr-CA"/>
              </w:rPr>
            </w:pPr>
            <w:r w:rsidRPr="00880E10">
              <w:rPr>
                <w:sz w:val="20"/>
                <w:szCs w:val="20"/>
                <w:lang w:val="fr-CA"/>
              </w:rPr>
              <w:tab/>
            </w:r>
            <w:r w:rsidRPr="0077555D">
              <w:rPr>
                <w:sz w:val="20"/>
                <w:szCs w:val="20"/>
                <w:lang w:val="fr-CA"/>
              </w:rPr>
              <w:t xml:space="preserve">Girard &amp; AL., Direction du contentieux </w:t>
            </w:r>
            <w:r w:rsidRPr="0077555D">
              <w:rPr>
                <w:sz w:val="20"/>
                <w:szCs w:val="20"/>
                <w:lang w:val="fr-CA"/>
              </w:rPr>
              <w:tab/>
              <w:t>Autorité des marchés financiers</w:t>
            </w:r>
          </w:p>
          <w:p w:rsidR="0077555D" w:rsidRPr="0077555D" w:rsidRDefault="0077555D" w:rsidP="0077555D">
            <w:pPr>
              <w:tabs>
                <w:tab w:val="left" w:pos="-1440"/>
                <w:tab w:val="left" w:pos="-720"/>
              </w:tabs>
              <w:rPr>
                <w:sz w:val="20"/>
                <w:szCs w:val="20"/>
                <w:lang w:val="fr-CA"/>
              </w:rPr>
            </w:pPr>
          </w:p>
          <w:p w:rsidR="0077555D" w:rsidRPr="00A935AA" w:rsidRDefault="0077555D" w:rsidP="0077555D">
            <w:pPr>
              <w:rPr>
                <w:sz w:val="20"/>
                <w:szCs w:val="20"/>
              </w:rPr>
            </w:pPr>
            <w:r w:rsidRPr="00A935AA">
              <w:rPr>
                <w:sz w:val="20"/>
                <w:szCs w:val="20"/>
              </w:rPr>
              <w:t>DATE</w:t>
            </w:r>
            <w:r>
              <w:rPr>
                <w:sz w:val="20"/>
                <w:szCs w:val="20"/>
              </w:rPr>
              <w:t xml:space="preserve"> DE PRODUCTION </w:t>
            </w:r>
            <w:r w:rsidRPr="00A935AA">
              <w:rPr>
                <w:sz w:val="20"/>
                <w:szCs w:val="20"/>
              </w:rPr>
              <w:t>: 2</w:t>
            </w:r>
            <w:r>
              <w:rPr>
                <w:sz w:val="20"/>
                <w:szCs w:val="20"/>
              </w:rPr>
              <w:t>9</w:t>
            </w:r>
            <w:r w:rsidRPr="00A935AA">
              <w:rPr>
                <w:sz w:val="20"/>
                <w:szCs w:val="20"/>
              </w:rPr>
              <w:t>.</w:t>
            </w:r>
            <w:r>
              <w:rPr>
                <w:sz w:val="20"/>
                <w:szCs w:val="20"/>
              </w:rPr>
              <w:t>10</w:t>
            </w:r>
            <w:r w:rsidRPr="00A935AA">
              <w:rPr>
                <w:sz w:val="20"/>
                <w:szCs w:val="20"/>
              </w:rPr>
              <w:t>.201</w:t>
            </w:r>
            <w:r>
              <w:rPr>
                <w:sz w:val="20"/>
                <w:szCs w:val="20"/>
              </w:rPr>
              <w:t>2</w:t>
            </w:r>
          </w:p>
          <w:p w:rsidR="0077555D" w:rsidRPr="00A935AA" w:rsidRDefault="00BF3B03" w:rsidP="0077555D">
            <w:pPr>
              <w:rPr>
                <w:sz w:val="20"/>
                <w:szCs w:val="20"/>
              </w:rPr>
            </w:pPr>
            <w:r w:rsidRPr="00BF3B03">
              <w:rPr>
                <w:sz w:val="20"/>
                <w:szCs w:val="20"/>
                <w:lang w:val="fr-CA"/>
              </w:rPr>
              <w:pict>
                <v:rect id="_x0000_i1033" style="width:108pt;height:1pt" o:hrpct="0" o:hralign="center" o:hrstd="t" o:hrnoshade="t" o:hr="t" fillcolor="black [3213]" stroked="f"/>
              </w:pict>
            </w:r>
          </w:p>
        </w:tc>
        <w:tc>
          <w:tcPr>
            <w:tcW w:w="1181" w:type="dxa"/>
            <w:shd w:val="clear" w:color="auto" w:fill="auto"/>
          </w:tcPr>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p w:rsidR="0077555D" w:rsidRPr="00A935AA" w:rsidRDefault="0077555D" w:rsidP="00242AEE">
            <w:pPr>
              <w:jc w:val="center"/>
              <w:rPr>
                <w:sz w:val="20"/>
                <w:szCs w:val="20"/>
              </w:rPr>
            </w:pPr>
          </w:p>
        </w:tc>
        <w:tc>
          <w:tcPr>
            <w:tcW w:w="4320" w:type="dxa"/>
            <w:shd w:val="clear" w:color="auto" w:fill="auto"/>
          </w:tcPr>
          <w:p w:rsidR="0077555D" w:rsidRPr="00A935AA" w:rsidRDefault="0077555D" w:rsidP="009D0C06">
            <w:pPr>
              <w:keepNext/>
              <w:keepLines/>
              <w:tabs>
                <w:tab w:val="left" w:pos="-1440"/>
                <w:tab w:val="left" w:pos="-720"/>
              </w:tabs>
              <w:rPr>
                <w:b/>
                <w:sz w:val="20"/>
                <w:szCs w:val="20"/>
              </w:rPr>
            </w:pPr>
            <w:r>
              <w:rPr>
                <w:b/>
                <w:sz w:val="20"/>
                <w:szCs w:val="20"/>
              </w:rPr>
              <w:t>Jorrell Simpson-Rowe (a young person)</w:t>
            </w:r>
          </w:p>
          <w:p w:rsidR="0077555D" w:rsidRPr="00A935AA" w:rsidRDefault="0077555D" w:rsidP="009D0C06">
            <w:pPr>
              <w:keepNext/>
              <w:keepLines/>
              <w:tabs>
                <w:tab w:val="left" w:pos="-1440"/>
                <w:tab w:val="left" w:pos="-720"/>
              </w:tabs>
              <w:rPr>
                <w:sz w:val="20"/>
                <w:szCs w:val="20"/>
              </w:rPr>
            </w:pPr>
            <w:r w:rsidRPr="00A935AA">
              <w:rPr>
                <w:sz w:val="20"/>
                <w:szCs w:val="20"/>
              </w:rPr>
              <w:tab/>
            </w:r>
            <w:r>
              <w:rPr>
                <w:sz w:val="20"/>
                <w:szCs w:val="20"/>
              </w:rPr>
              <w:t>P. Andras Schreck</w:t>
            </w:r>
          </w:p>
          <w:p w:rsidR="0077555D" w:rsidRPr="00A935AA" w:rsidRDefault="0077555D" w:rsidP="009D0C06">
            <w:pPr>
              <w:keepNext/>
              <w:keepLines/>
              <w:tabs>
                <w:tab w:val="left" w:pos="-1440"/>
                <w:tab w:val="left" w:pos="-720"/>
              </w:tabs>
              <w:rPr>
                <w:sz w:val="20"/>
                <w:szCs w:val="20"/>
              </w:rPr>
            </w:pPr>
            <w:r w:rsidRPr="00A935AA">
              <w:rPr>
                <w:sz w:val="20"/>
                <w:szCs w:val="20"/>
              </w:rPr>
              <w:tab/>
            </w:r>
            <w:r>
              <w:rPr>
                <w:sz w:val="20"/>
                <w:szCs w:val="20"/>
              </w:rPr>
              <w:t>Schreck Presser LLP</w:t>
            </w:r>
          </w:p>
          <w:p w:rsidR="0077555D" w:rsidRPr="00A935AA" w:rsidRDefault="0077555D" w:rsidP="009D0C06">
            <w:pPr>
              <w:keepNext/>
              <w:keepLines/>
              <w:tabs>
                <w:tab w:val="left" w:pos="-1440"/>
                <w:tab w:val="left" w:pos="-720"/>
              </w:tabs>
              <w:rPr>
                <w:sz w:val="20"/>
                <w:szCs w:val="20"/>
              </w:rPr>
            </w:pPr>
          </w:p>
          <w:p w:rsidR="0077555D" w:rsidRPr="0077555D" w:rsidRDefault="0077555D" w:rsidP="009D0C06">
            <w:pPr>
              <w:keepNext/>
              <w:keepLines/>
              <w:tabs>
                <w:tab w:val="left" w:pos="-1440"/>
                <w:tab w:val="left" w:pos="-720"/>
              </w:tabs>
              <w:rPr>
                <w:sz w:val="20"/>
                <w:szCs w:val="20"/>
              </w:rPr>
            </w:pPr>
            <w:r w:rsidRPr="00A935AA">
              <w:rPr>
                <w:sz w:val="20"/>
                <w:szCs w:val="20"/>
              </w:rPr>
              <w:tab/>
            </w:r>
            <w:r w:rsidRPr="0077555D">
              <w:rPr>
                <w:sz w:val="20"/>
                <w:szCs w:val="20"/>
              </w:rPr>
              <w:t>v. (35</w:t>
            </w:r>
            <w:r>
              <w:rPr>
                <w:sz w:val="20"/>
                <w:szCs w:val="20"/>
              </w:rPr>
              <w:t>056</w:t>
            </w:r>
            <w:r w:rsidRPr="0077555D">
              <w:rPr>
                <w:sz w:val="20"/>
                <w:szCs w:val="20"/>
              </w:rPr>
              <w:t>)</w:t>
            </w:r>
          </w:p>
          <w:p w:rsidR="0077555D" w:rsidRPr="0077555D" w:rsidRDefault="0077555D" w:rsidP="009D0C06">
            <w:pPr>
              <w:keepNext/>
              <w:keepLines/>
              <w:tabs>
                <w:tab w:val="left" w:pos="-1440"/>
                <w:tab w:val="left" w:pos="-720"/>
              </w:tabs>
              <w:rPr>
                <w:sz w:val="20"/>
                <w:szCs w:val="20"/>
              </w:rPr>
            </w:pPr>
          </w:p>
          <w:p w:rsidR="0077555D" w:rsidRPr="0077555D" w:rsidRDefault="0077555D" w:rsidP="009D0C06">
            <w:pPr>
              <w:keepNext/>
              <w:keepLines/>
              <w:tabs>
                <w:tab w:val="left" w:pos="-1440"/>
                <w:tab w:val="left" w:pos="-720"/>
              </w:tabs>
              <w:rPr>
                <w:b/>
                <w:sz w:val="20"/>
                <w:szCs w:val="20"/>
              </w:rPr>
            </w:pPr>
            <w:r>
              <w:rPr>
                <w:b/>
                <w:sz w:val="20"/>
                <w:szCs w:val="20"/>
              </w:rPr>
              <w:t xml:space="preserve">Her Majesty the Queen </w:t>
            </w:r>
            <w:r w:rsidRPr="0077555D">
              <w:rPr>
                <w:b/>
                <w:sz w:val="20"/>
                <w:szCs w:val="20"/>
              </w:rPr>
              <w:t>(Ont.)</w:t>
            </w:r>
          </w:p>
          <w:p w:rsidR="0077555D" w:rsidRPr="0077555D" w:rsidRDefault="0077555D" w:rsidP="009D0C06">
            <w:pPr>
              <w:keepNext/>
              <w:keepLines/>
              <w:tabs>
                <w:tab w:val="left" w:pos="-1440"/>
                <w:tab w:val="left" w:pos="-720"/>
              </w:tabs>
              <w:rPr>
                <w:sz w:val="20"/>
                <w:szCs w:val="20"/>
              </w:rPr>
            </w:pPr>
            <w:r w:rsidRPr="0077555D">
              <w:rPr>
                <w:sz w:val="20"/>
                <w:szCs w:val="20"/>
              </w:rPr>
              <w:tab/>
            </w:r>
            <w:r>
              <w:rPr>
                <w:sz w:val="20"/>
                <w:szCs w:val="20"/>
              </w:rPr>
              <w:t>Lucy Cecchetto</w:t>
            </w:r>
          </w:p>
          <w:p w:rsidR="0077555D" w:rsidRPr="0077555D" w:rsidRDefault="0077555D" w:rsidP="009D0C06">
            <w:pPr>
              <w:keepNext/>
              <w:keepLines/>
              <w:tabs>
                <w:tab w:val="left" w:pos="-1440"/>
                <w:tab w:val="left" w:pos="-720"/>
              </w:tabs>
              <w:rPr>
                <w:sz w:val="20"/>
                <w:szCs w:val="20"/>
              </w:rPr>
            </w:pPr>
            <w:r w:rsidRPr="0077555D">
              <w:rPr>
                <w:sz w:val="20"/>
                <w:szCs w:val="20"/>
              </w:rPr>
              <w:tab/>
            </w:r>
            <w:r>
              <w:rPr>
                <w:sz w:val="20"/>
                <w:szCs w:val="20"/>
              </w:rPr>
              <w:t>A.G. of Ontario</w:t>
            </w:r>
          </w:p>
          <w:p w:rsidR="0077555D" w:rsidRPr="0077555D" w:rsidRDefault="0077555D" w:rsidP="009D0C06">
            <w:pPr>
              <w:keepNext/>
              <w:keepLines/>
              <w:tabs>
                <w:tab w:val="left" w:pos="-1440"/>
                <w:tab w:val="left" w:pos="-720"/>
              </w:tabs>
              <w:rPr>
                <w:sz w:val="20"/>
                <w:szCs w:val="20"/>
              </w:rPr>
            </w:pPr>
          </w:p>
          <w:p w:rsidR="0077555D" w:rsidRPr="00A935AA" w:rsidRDefault="0077555D" w:rsidP="0077555D">
            <w:pPr>
              <w:rPr>
                <w:sz w:val="20"/>
                <w:szCs w:val="20"/>
              </w:rPr>
            </w:pPr>
            <w:r w:rsidRPr="00A935AA">
              <w:rPr>
                <w:sz w:val="20"/>
                <w:szCs w:val="20"/>
              </w:rPr>
              <w:t>FILING DATE: 2</w:t>
            </w:r>
            <w:r>
              <w:rPr>
                <w:sz w:val="20"/>
                <w:szCs w:val="20"/>
              </w:rPr>
              <w:t>9</w:t>
            </w:r>
            <w:r w:rsidRPr="00A935AA">
              <w:rPr>
                <w:sz w:val="20"/>
                <w:szCs w:val="20"/>
              </w:rPr>
              <w:t>.</w:t>
            </w:r>
            <w:r>
              <w:rPr>
                <w:sz w:val="20"/>
                <w:szCs w:val="20"/>
              </w:rPr>
              <w:t>1</w:t>
            </w:r>
            <w:r w:rsidRPr="00A935AA">
              <w:rPr>
                <w:sz w:val="20"/>
                <w:szCs w:val="20"/>
              </w:rPr>
              <w:t>0.201</w:t>
            </w:r>
            <w:r>
              <w:rPr>
                <w:sz w:val="20"/>
                <w:szCs w:val="20"/>
              </w:rPr>
              <w:t>2</w:t>
            </w:r>
            <w:r w:rsidR="00BF3B03" w:rsidRPr="00BF3B03">
              <w:rPr>
                <w:sz w:val="20"/>
                <w:szCs w:val="20"/>
                <w:lang w:val="fr-CA"/>
              </w:rPr>
              <w:pict>
                <v:rect id="_x0000_i1034" style="width:108pt;height:1pt" o:hrpct="0" o:hralign="center" o:hrstd="t" o:hrnoshade="t" o:hr="t" fillcolor="black [3213]" stroked="f"/>
              </w:pict>
            </w:r>
          </w:p>
        </w:tc>
      </w:tr>
      <w:tr w:rsidR="0077555D" w:rsidRPr="00DC2D1F" w:rsidTr="003B3977">
        <w:trPr>
          <w:cantSplit/>
        </w:trPr>
        <w:tc>
          <w:tcPr>
            <w:tcW w:w="4320" w:type="dxa"/>
            <w:shd w:val="clear" w:color="auto" w:fill="auto"/>
          </w:tcPr>
          <w:p w:rsidR="007F7AE8" w:rsidRPr="007F7AE8" w:rsidRDefault="007F7AE8" w:rsidP="0077555D">
            <w:pPr>
              <w:rPr>
                <w:b/>
                <w:sz w:val="20"/>
                <w:szCs w:val="20"/>
                <w:lang w:val="fr-CA"/>
              </w:rPr>
            </w:pPr>
            <w:r>
              <w:rPr>
                <w:b/>
                <w:sz w:val="20"/>
                <w:szCs w:val="20"/>
                <w:lang w:val="fr-CA"/>
              </w:rPr>
              <w:t>Association québécoise de l’industrie du disque, du spectacle et de la vidéo du Québec (ADISQ) et autres</w:t>
            </w:r>
          </w:p>
          <w:p w:rsidR="007F7AE8" w:rsidRPr="0077555D" w:rsidRDefault="007F7AE8" w:rsidP="007F7AE8">
            <w:pPr>
              <w:keepNext/>
              <w:keepLines/>
              <w:tabs>
                <w:tab w:val="left" w:pos="-1440"/>
                <w:tab w:val="left" w:pos="-720"/>
              </w:tabs>
              <w:rPr>
                <w:sz w:val="20"/>
                <w:szCs w:val="20"/>
                <w:lang w:val="fr-CA"/>
              </w:rPr>
            </w:pPr>
            <w:r>
              <w:rPr>
                <w:sz w:val="20"/>
                <w:szCs w:val="20"/>
                <w:lang w:val="fr-CA"/>
              </w:rPr>
              <w:t>Norman A. Dionne</w:t>
            </w:r>
          </w:p>
          <w:p w:rsidR="007F7AE8" w:rsidRPr="0077555D" w:rsidRDefault="007F7AE8" w:rsidP="007F7AE8">
            <w:pPr>
              <w:keepNext/>
              <w:keepLines/>
              <w:tabs>
                <w:tab w:val="left" w:pos="-1440"/>
                <w:tab w:val="left" w:pos="-720"/>
              </w:tabs>
              <w:rPr>
                <w:sz w:val="20"/>
                <w:szCs w:val="20"/>
                <w:lang w:val="fr-CA"/>
              </w:rPr>
            </w:pPr>
            <w:r w:rsidRPr="0077555D">
              <w:rPr>
                <w:sz w:val="20"/>
                <w:szCs w:val="20"/>
                <w:lang w:val="fr-CA"/>
              </w:rPr>
              <w:tab/>
            </w:r>
            <w:r>
              <w:rPr>
                <w:sz w:val="20"/>
                <w:szCs w:val="20"/>
                <w:lang w:val="fr-CA"/>
              </w:rPr>
              <w:t>Heenan Blaikie LLP</w:t>
            </w:r>
          </w:p>
          <w:p w:rsidR="007F7AE8" w:rsidRPr="0077555D" w:rsidRDefault="007F7AE8" w:rsidP="007F7AE8">
            <w:pPr>
              <w:keepNext/>
              <w:keepLines/>
              <w:tabs>
                <w:tab w:val="left" w:pos="-1440"/>
                <w:tab w:val="left" w:pos="-720"/>
              </w:tabs>
              <w:rPr>
                <w:sz w:val="20"/>
                <w:szCs w:val="20"/>
                <w:lang w:val="fr-CA"/>
              </w:rPr>
            </w:pPr>
          </w:p>
          <w:p w:rsidR="007F7AE8" w:rsidRPr="00A935AA" w:rsidRDefault="007F7AE8" w:rsidP="007F7AE8">
            <w:pPr>
              <w:keepNext/>
              <w:keepLines/>
              <w:tabs>
                <w:tab w:val="left" w:pos="-1440"/>
                <w:tab w:val="left" w:pos="-720"/>
              </w:tabs>
              <w:rPr>
                <w:sz w:val="20"/>
                <w:szCs w:val="20"/>
                <w:lang w:val="fr-CA"/>
              </w:rPr>
            </w:pPr>
            <w:r w:rsidRPr="0077555D">
              <w:rPr>
                <w:sz w:val="20"/>
                <w:szCs w:val="20"/>
                <w:lang w:val="fr-CA"/>
              </w:rPr>
              <w:tab/>
            </w:r>
            <w:r>
              <w:rPr>
                <w:sz w:val="20"/>
                <w:szCs w:val="20"/>
                <w:lang w:val="fr-CA"/>
              </w:rPr>
              <w:t>c</w:t>
            </w:r>
            <w:r w:rsidRPr="00A935AA">
              <w:rPr>
                <w:sz w:val="20"/>
                <w:szCs w:val="20"/>
                <w:lang w:val="fr-CA"/>
              </w:rPr>
              <w:t>. (3</w:t>
            </w:r>
            <w:r>
              <w:rPr>
                <w:sz w:val="20"/>
                <w:szCs w:val="20"/>
                <w:lang w:val="fr-CA"/>
              </w:rPr>
              <w:t>5057</w:t>
            </w:r>
            <w:r w:rsidRPr="00A935AA">
              <w:rPr>
                <w:sz w:val="20"/>
                <w:szCs w:val="20"/>
                <w:lang w:val="fr-CA"/>
              </w:rPr>
              <w:t>)</w:t>
            </w:r>
          </w:p>
          <w:p w:rsidR="007F7AE8" w:rsidRPr="00A935AA" w:rsidRDefault="007F7AE8" w:rsidP="007F7AE8">
            <w:pPr>
              <w:keepNext/>
              <w:keepLines/>
              <w:tabs>
                <w:tab w:val="left" w:pos="-1440"/>
                <w:tab w:val="left" w:pos="-720"/>
              </w:tabs>
              <w:rPr>
                <w:sz w:val="20"/>
                <w:szCs w:val="20"/>
                <w:lang w:val="fr-CA"/>
              </w:rPr>
            </w:pPr>
          </w:p>
          <w:p w:rsidR="007F7AE8" w:rsidRPr="00A935AA" w:rsidRDefault="007F7AE8" w:rsidP="007F7AE8">
            <w:pPr>
              <w:keepNext/>
              <w:keepLines/>
              <w:tabs>
                <w:tab w:val="left" w:pos="-1440"/>
                <w:tab w:val="left" w:pos="-720"/>
              </w:tabs>
              <w:rPr>
                <w:b/>
                <w:sz w:val="20"/>
                <w:szCs w:val="20"/>
                <w:lang w:val="fr-CA"/>
              </w:rPr>
            </w:pPr>
            <w:r>
              <w:rPr>
                <w:b/>
                <w:sz w:val="20"/>
                <w:szCs w:val="20"/>
                <w:lang w:val="fr-CA"/>
              </w:rPr>
              <w:t xml:space="preserve">Alliance québécoise des techniciens de l’image et du son (AQTIS) et autre </w:t>
            </w:r>
            <w:r w:rsidRPr="00A935AA">
              <w:rPr>
                <w:b/>
                <w:sz w:val="20"/>
                <w:szCs w:val="20"/>
                <w:lang w:val="fr-CA"/>
              </w:rPr>
              <w:t>(</w:t>
            </w:r>
            <w:r>
              <w:rPr>
                <w:b/>
                <w:sz w:val="20"/>
                <w:szCs w:val="20"/>
                <w:lang w:val="fr-CA"/>
              </w:rPr>
              <w:t>Qc</w:t>
            </w:r>
            <w:r w:rsidRPr="00A935AA">
              <w:rPr>
                <w:b/>
                <w:sz w:val="20"/>
                <w:szCs w:val="20"/>
                <w:lang w:val="fr-CA"/>
              </w:rPr>
              <w:t>)</w:t>
            </w:r>
          </w:p>
          <w:p w:rsidR="007F7AE8" w:rsidRPr="00A935AA" w:rsidRDefault="007F7AE8" w:rsidP="007F7AE8">
            <w:pPr>
              <w:keepNext/>
              <w:keepLines/>
              <w:tabs>
                <w:tab w:val="left" w:pos="-1440"/>
                <w:tab w:val="left" w:pos="-720"/>
              </w:tabs>
              <w:rPr>
                <w:sz w:val="20"/>
                <w:szCs w:val="20"/>
                <w:lang w:val="fr-CA"/>
              </w:rPr>
            </w:pPr>
            <w:r w:rsidRPr="00A935AA">
              <w:rPr>
                <w:sz w:val="20"/>
                <w:szCs w:val="20"/>
                <w:lang w:val="fr-CA"/>
              </w:rPr>
              <w:tab/>
            </w:r>
            <w:r>
              <w:rPr>
                <w:sz w:val="20"/>
                <w:szCs w:val="20"/>
                <w:lang w:val="fr-CA"/>
              </w:rPr>
              <w:t>Daniel Payette</w:t>
            </w:r>
          </w:p>
          <w:p w:rsidR="007F7AE8" w:rsidRPr="00A935AA" w:rsidRDefault="007F7AE8" w:rsidP="007F7AE8">
            <w:pPr>
              <w:keepNext/>
              <w:keepLines/>
              <w:tabs>
                <w:tab w:val="left" w:pos="-1440"/>
                <w:tab w:val="left" w:pos="-720"/>
              </w:tabs>
              <w:rPr>
                <w:sz w:val="20"/>
                <w:szCs w:val="20"/>
                <w:lang w:val="fr-CA"/>
              </w:rPr>
            </w:pPr>
            <w:r w:rsidRPr="00A935AA">
              <w:rPr>
                <w:sz w:val="20"/>
                <w:szCs w:val="20"/>
                <w:lang w:val="fr-CA"/>
              </w:rPr>
              <w:tab/>
            </w:r>
            <w:r>
              <w:rPr>
                <w:sz w:val="20"/>
                <w:szCs w:val="20"/>
                <w:lang w:val="fr-CA"/>
              </w:rPr>
              <w:t>Cabinet Payette</w:t>
            </w:r>
          </w:p>
          <w:p w:rsidR="007F7AE8" w:rsidRPr="00A935AA" w:rsidRDefault="007F7AE8" w:rsidP="007F7AE8">
            <w:pPr>
              <w:keepNext/>
              <w:keepLines/>
              <w:tabs>
                <w:tab w:val="left" w:pos="-1440"/>
                <w:tab w:val="left" w:pos="-720"/>
              </w:tabs>
              <w:rPr>
                <w:sz w:val="20"/>
                <w:szCs w:val="20"/>
                <w:lang w:val="fr-CA"/>
              </w:rPr>
            </w:pPr>
          </w:p>
          <w:p w:rsidR="007F7AE8" w:rsidRDefault="007F7AE8" w:rsidP="007F7AE8">
            <w:pPr>
              <w:rPr>
                <w:sz w:val="20"/>
                <w:szCs w:val="20"/>
                <w:lang w:val="fr-CA"/>
              </w:rPr>
            </w:pPr>
            <w:r w:rsidRPr="0077555D">
              <w:rPr>
                <w:sz w:val="20"/>
                <w:szCs w:val="20"/>
                <w:lang w:val="fr-CA"/>
              </w:rPr>
              <w:t>DATE</w:t>
            </w:r>
            <w:r>
              <w:rPr>
                <w:sz w:val="20"/>
                <w:szCs w:val="20"/>
                <w:lang w:val="fr-CA"/>
              </w:rPr>
              <w:t xml:space="preserve"> DE PRODUCTION </w:t>
            </w:r>
            <w:r w:rsidRPr="0077555D">
              <w:rPr>
                <w:sz w:val="20"/>
                <w:szCs w:val="20"/>
                <w:lang w:val="fr-CA"/>
              </w:rPr>
              <w:t>: 2</w:t>
            </w:r>
            <w:r>
              <w:rPr>
                <w:sz w:val="20"/>
                <w:szCs w:val="20"/>
                <w:lang w:val="fr-CA"/>
              </w:rPr>
              <w:t>9</w:t>
            </w:r>
            <w:r w:rsidRPr="0077555D">
              <w:rPr>
                <w:sz w:val="20"/>
                <w:szCs w:val="20"/>
                <w:lang w:val="fr-CA"/>
              </w:rPr>
              <w:t>.10.2012</w:t>
            </w:r>
          </w:p>
          <w:p w:rsidR="0077555D" w:rsidRPr="00A935AA" w:rsidRDefault="00BF3B03" w:rsidP="0077555D">
            <w:pPr>
              <w:rPr>
                <w:sz w:val="20"/>
                <w:szCs w:val="20"/>
              </w:rPr>
            </w:pPr>
            <w:r w:rsidRPr="00BF3B03">
              <w:rPr>
                <w:sz w:val="20"/>
                <w:szCs w:val="20"/>
                <w:lang w:val="fr-CA"/>
              </w:rPr>
              <w:pict>
                <v:rect id="_x0000_i1035" style="width:108pt;height:1pt" o:hrpct="0" o:hralign="center" o:hrstd="t" o:hrnoshade="t" o:hr="t" fillcolor="black [3213]" stroked="f"/>
              </w:pict>
            </w:r>
          </w:p>
        </w:tc>
        <w:tc>
          <w:tcPr>
            <w:tcW w:w="1181" w:type="dxa"/>
            <w:shd w:val="clear" w:color="auto" w:fill="auto"/>
          </w:tcPr>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Default="0077555D" w:rsidP="00242AEE">
            <w:pPr>
              <w:jc w:val="center"/>
              <w:rPr>
                <w:sz w:val="20"/>
                <w:szCs w:val="20"/>
              </w:rPr>
            </w:pPr>
          </w:p>
          <w:p w:rsidR="0077555D" w:rsidRPr="00A935AA" w:rsidRDefault="0077555D" w:rsidP="00242AEE">
            <w:pPr>
              <w:jc w:val="center"/>
              <w:rPr>
                <w:sz w:val="20"/>
                <w:szCs w:val="20"/>
              </w:rPr>
            </w:pPr>
          </w:p>
        </w:tc>
        <w:tc>
          <w:tcPr>
            <w:tcW w:w="4320" w:type="dxa"/>
            <w:shd w:val="clear" w:color="auto" w:fill="auto"/>
          </w:tcPr>
          <w:p w:rsidR="0077555D" w:rsidRPr="0077555D" w:rsidRDefault="0077555D" w:rsidP="003D5714">
            <w:pPr>
              <w:rPr>
                <w:sz w:val="20"/>
                <w:szCs w:val="20"/>
                <w:lang w:val="fr-CA"/>
              </w:rPr>
            </w:pPr>
          </w:p>
        </w:tc>
      </w:tr>
    </w:tbl>
    <w:p w:rsidR="006C3F47" w:rsidRPr="00880E10" w:rsidRDefault="006C3F47" w:rsidP="0095096B">
      <w:pPr>
        <w:tabs>
          <w:tab w:val="right" w:pos="9360"/>
        </w:tabs>
        <w:rPr>
          <w:sz w:val="20"/>
          <w:szCs w:val="20"/>
          <w:lang w:val="fr-CA"/>
        </w:rPr>
      </w:pPr>
    </w:p>
    <w:p w:rsidR="00242AEE" w:rsidRPr="00880E10" w:rsidRDefault="00242AEE" w:rsidP="0095096B">
      <w:pPr>
        <w:tabs>
          <w:tab w:val="right" w:pos="9360"/>
        </w:tabs>
        <w:rPr>
          <w:sz w:val="20"/>
          <w:szCs w:val="20"/>
          <w:lang w:val="fr-CA"/>
        </w:rPr>
      </w:pPr>
    </w:p>
    <w:p w:rsidR="00242AEE" w:rsidRPr="00880E10" w:rsidRDefault="00242AEE" w:rsidP="0095096B">
      <w:pPr>
        <w:tabs>
          <w:tab w:val="right" w:pos="9360"/>
        </w:tabs>
        <w:rPr>
          <w:sz w:val="20"/>
          <w:szCs w:val="20"/>
          <w:lang w:val="fr-CA"/>
        </w:rPr>
        <w:sectPr w:rsidR="00242AEE" w:rsidRPr="00880E10" w:rsidSect="009D0C06">
          <w:headerReference w:type="default" r:id="rId17"/>
          <w:footerReference w:type="default" r:id="rId18"/>
          <w:headerReference w:type="first" r:id="rId19"/>
          <w:footerReference w:type="first" r:id="rId20"/>
          <w:pgSz w:w="12240" w:h="15840"/>
          <w:pgMar w:top="720" w:right="965" w:bottom="1080" w:left="1656" w:header="706" w:footer="706" w:gutter="0"/>
          <w:pgNumType w:start="1678"/>
          <w:cols w:space="708"/>
          <w:titlePg/>
          <w:docGrid w:linePitch="360"/>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2E2327" w:rsidRPr="00DC2D1F" w:rsidTr="00BA6468">
        <w:trPr>
          <w:trHeight w:val="900"/>
        </w:trPr>
        <w:tc>
          <w:tcPr>
            <w:tcW w:w="4200" w:type="dxa"/>
            <w:tcMar>
              <w:left w:w="0" w:type="dxa"/>
              <w:right w:w="0" w:type="dxa"/>
            </w:tcMar>
          </w:tcPr>
          <w:p w:rsidR="002E2327" w:rsidRPr="001D0D5F" w:rsidRDefault="002E2327" w:rsidP="002E2327">
            <w:pPr>
              <w:keepNext/>
              <w:keepLines/>
              <w:widowControl w:val="0"/>
              <w:rPr>
                <w:b/>
                <w:szCs w:val="24"/>
              </w:rPr>
            </w:pPr>
            <w:r w:rsidRPr="001D0D5F">
              <w:rPr>
                <w:b/>
                <w:szCs w:val="24"/>
              </w:rPr>
              <w:lastRenderedPageBreak/>
              <w:t>APPLICATIONS FOR LEAVE SUBMITTED TO COURT SINCE LAST ISSUE</w:t>
            </w:r>
          </w:p>
        </w:tc>
        <w:tc>
          <w:tcPr>
            <w:tcW w:w="1200" w:type="dxa"/>
            <w:tcMar>
              <w:left w:w="0" w:type="dxa"/>
              <w:right w:w="0" w:type="dxa"/>
            </w:tcMar>
          </w:tcPr>
          <w:p w:rsidR="002E2327" w:rsidRDefault="002E2327"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Pr="001D0D5F" w:rsidRDefault="001D0D5F" w:rsidP="002E2327">
            <w:pPr>
              <w:keepNext/>
              <w:keepLines/>
              <w:widowControl w:val="0"/>
              <w:jc w:val="center"/>
              <w:rPr>
                <w:b/>
                <w:szCs w:val="24"/>
              </w:rPr>
            </w:pPr>
          </w:p>
        </w:tc>
        <w:tc>
          <w:tcPr>
            <w:tcW w:w="4080" w:type="dxa"/>
            <w:tcMar>
              <w:left w:w="0" w:type="dxa"/>
              <w:right w:w="0" w:type="dxa"/>
            </w:tcMar>
          </w:tcPr>
          <w:p w:rsidR="002E2327" w:rsidRPr="001D0D5F" w:rsidRDefault="002E2327" w:rsidP="002E2327">
            <w:pPr>
              <w:keepLines/>
              <w:widowControl w:val="0"/>
              <w:rPr>
                <w:szCs w:val="24"/>
                <w:lang w:val="fr-CA"/>
              </w:rPr>
            </w:pPr>
            <w:r w:rsidRPr="001D0D5F">
              <w:rPr>
                <w:b/>
                <w:szCs w:val="24"/>
                <w:lang w:val="fr-CA"/>
              </w:rPr>
              <w:t>DEMANDES SOUMISES À LA COUR DEPUIS LA DERNIÈRE PARUTION</w:t>
            </w:r>
          </w:p>
          <w:p w:rsidR="002E2327" w:rsidRPr="001D0D5F"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C50A5C" w:rsidRDefault="002E2327" w:rsidP="002E2327">
      <w:pPr>
        <w:widowControl w:val="0"/>
        <w:rPr>
          <w:b/>
          <w:sz w:val="20"/>
          <w:szCs w:val="20"/>
          <w:lang w:val="fr-CA"/>
        </w:rPr>
      </w:pPr>
    </w:p>
    <w:p w:rsidR="004B7F60" w:rsidRPr="00C50A5C" w:rsidRDefault="005324FE" w:rsidP="004B7F60">
      <w:pPr>
        <w:widowControl w:val="0"/>
        <w:rPr>
          <w:b/>
          <w:sz w:val="20"/>
          <w:szCs w:val="20"/>
        </w:rPr>
      </w:pPr>
      <w:r>
        <w:rPr>
          <w:b/>
          <w:sz w:val="20"/>
          <w:szCs w:val="20"/>
        </w:rPr>
        <w:t>N</w:t>
      </w:r>
      <w:r w:rsidR="004B7F60">
        <w:rPr>
          <w:b/>
          <w:sz w:val="20"/>
          <w:szCs w:val="20"/>
        </w:rPr>
        <w:t>O</w:t>
      </w:r>
      <w:r>
        <w:rPr>
          <w:b/>
          <w:sz w:val="20"/>
          <w:szCs w:val="20"/>
        </w:rPr>
        <w:t>VEM</w:t>
      </w:r>
      <w:r w:rsidR="004B7F60">
        <w:rPr>
          <w:b/>
          <w:sz w:val="20"/>
          <w:szCs w:val="20"/>
        </w:rPr>
        <w:t>BER</w:t>
      </w:r>
      <w:r w:rsidR="004B7F60" w:rsidRPr="00C50A5C">
        <w:rPr>
          <w:b/>
          <w:sz w:val="20"/>
          <w:szCs w:val="20"/>
        </w:rPr>
        <w:t xml:space="preserve"> </w:t>
      </w:r>
      <w:r>
        <w:rPr>
          <w:b/>
          <w:sz w:val="20"/>
          <w:szCs w:val="20"/>
        </w:rPr>
        <w:t>5</w:t>
      </w:r>
      <w:r w:rsidR="004B7F60" w:rsidRPr="00C50A5C">
        <w:rPr>
          <w:b/>
          <w:sz w:val="20"/>
          <w:szCs w:val="20"/>
        </w:rPr>
        <w:t>, 201</w:t>
      </w:r>
      <w:r w:rsidR="0062714A">
        <w:rPr>
          <w:b/>
          <w:sz w:val="20"/>
          <w:szCs w:val="20"/>
        </w:rPr>
        <w:t>2</w:t>
      </w:r>
      <w:r w:rsidR="004B7F60" w:rsidRPr="00C50A5C">
        <w:rPr>
          <w:b/>
          <w:sz w:val="20"/>
          <w:szCs w:val="20"/>
        </w:rPr>
        <w:t xml:space="preserve"> / LE </w:t>
      </w:r>
      <w:r>
        <w:rPr>
          <w:b/>
          <w:sz w:val="20"/>
          <w:szCs w:val="20"/>
        </w:rPr>
        <w:t>5 NOVEM</w:t>
      </w:r>
      <w:r w:rsidR="004B7F60">
        <w:rPr>
          <w:b/>
          <w:sz w:val="20"/>
          <w:szCs w:val="20"/>
        </w:rPr>
        <w:t>BRE</w:t>
      </w:r>
      <w:r w:rsidR="004B7F60" w:rsidRPr="00C50A5C">
        <w:rPr>
          <w:b/>
          <w:sz w:val="20"/>
          <w:szCs w:val="20"/>
        </w:rPr>
        <w:t xml:space="preserve"> 201</w:t>
      </w:r>
      <w:r w:rsidR="0062714A">
        <w:rPr>
          <w:b/>
          <w:sz w:val="20"/>
          <w:szCs w:val="20"/>
        </w:rPr>
        <w:t>2</w:t>
      </w:r>
    </w:p>
    <w:p w:rsidR="004B7F60" w:rsidRPr="00C50A5C" w:rsidRDefault="004B7F60" w:rsidP="004B7F60">
      <w:pPr>
        <w:widowControl w:val="0"/>
        <w:rPr>
          <w:b/>
          <w:sz w:val="20"/>
          <w:szCs w:val="20"/>
        </w:rPr>
      </w:pPr>
    </w:p>
    <w:p w:rsidR="004B7F60" w:rsidRPr="00C50A5C" w:rsidRDefault="004B7F60" w:rsidP="004B7F60">
      <w:pPr>
        <w:widowControl w:val="0"/>
        <w:jc w:val="center"/>
        <w:rPr>
          <w:b/>
          <w:sz w:val="20"/>
          <w:szCs w:val="20"/>
        </w:rPr>
      </w:pPr>
      <w:r w:rsidRPr="00C50A5C">
        <w:rPr>
          <w:b/>
          <w:sz w:val="20"/>
          <w:szCs w:val="20"/>
        </w:rPr>
        <w:t xml:space="preserve">CORAM:  Chief Justice McLachlin and </w:t>
      </w:r>
      <w:r w:rsidR="0062714A">
        <w:rPr>
          <w:b/>
          <w:sz w:val="20"/>
          <w:szCs w:val="20"/>
        </w:rPr>
        <w:t>Abella</w:t>
      </w:r>
      <w:r w:rsidRPr="00C50A5C">
        <w:rPr>
          <w:b/>
          <w:sz w:val="20"/>
          <w:szCs w:val="20"/>
        </w:rPr>
        <w:t xml:space="preserve"> and </w:t>
      </w:r>
      <w:r w:rsidR="0062714A">
        <w:rPr>
          <w:b/>
          <w:sz w:val="20"/>
          <w:szCs w:val="20"/>
        </w:rPr>
        <w:t>Cr</w:t>
      </w:r>
      <w:r>
        <w:rPr>
          <w:b/>
          <w:sz w:val="20"/>
          <w:szCs w:val="20"/>
        </w:rPr>
        <w:t>o</w:t>
      </w:r>
      <w:r w:rsidR="0062714A">
        <w:rPr>
          <w:b/>
          <w:sz w:val="20"/>
          <w:szCs w:val="20"/>
        </w:rPr>
        <w:t>mwe</w:t>
      </w:r>
      <w:r>
        <w:rPr>
          <w:b/>
          <w:sz w:val="20"/>
          <w:szCs w:val="20"/>
        </w:rPr>
        <w:t>l</w:t>
      </w:r>
      <w:r w:rsidR="0062714A">
        <w:rPr>
          <w:b/>
          <w:sz w:val="20"/>
          <w:szCs w:val="20"/>
        </w:rPr>
        <w:t>l</w:t>
      </w:r>
      <w:r w:rsidRPr="00C50A5C">
        <w:rPr>
          <w:b/>
          <w:sz w:val="20"/>
          <w:szCs w:val="20"/>
        </w:rPr>
        <w:t xml:space="preserve"> JJ.</w:t>
      </w:r>
    </w:p>
    <w:p w:rsidR="004B7F60" w:rsidRPr="00C50A5C" w:rsidRDefault="004B7F60" w:rsidP="004B7F60">
      <w:pPr>
        <w:widowControl w:val="0"/>
        <w:jc w:val="center"/>
        <w:rPr>
          <w:sz w:val="20"/>
          <w:szCs w:val="20"/>
          <w:lang w:val="fr-CA"/>
        </w:rPr>
      </w:pPr>
      <w:r w:rsidRPr="00C50A5C">
        <w:rPr>
          <w:b/>
          <w:sz w:val="20"/>
          <w:szCs w:val="20"/>
          <w:lang w:val="fr-CA"/>
        </w:rPr>
        <w:t xml:space="preserve">La juge en chef McLachlin et les juges </w:t>
      </w:r>
      <w:r w:rsidR="0062714A">
        <w:rPr>
          <w:b/>
          <w:sz w:val="20"/>
          <w:szCs w:val="20"/>
          <w:lang w:val="fr-CA"/>
        </w:rPr>
        <w:t>Ab</w:t>
      </w:r>
      <w:r>
        <w:rPr>
          <w:b/>
          <w:sz w:val="20"/>
          <w:szCs w:val="20"/>
          <w:lang w:val="fr-CA"/>
        </w:rPr>
        <w:t>e</w:t>
      </w:r>
      <w:r w:rsidR="0062714A">
        <w:rPr>
          <w:b/>
          <w:sz w:val="20"/>
          <w:szCs w:val="20"/>
          <w:lang w:val="fr-CA"/>
        </w:rPr>
        <w:t>lla</w:t>
      </w:r>
      <w:r w:rsidRPr="00C50A5C">
        <w:rPr>
          <w:b/>
          <w:sz w:val="20"/>
          <w:szCs w:val="20"/>
          <w:lang w:val="fr-CA"/>
        </w:rPr>
        <w:t xml:space="preserve"> et </w:t>
      </w:r>
      <w:r w:rsidR="0062714A">
        <w:rPr>
          <w:b/>
          <w:sz w:val="20"/>
          <w:szCs w:val="20"/>
          <w:lang w:val="fr-CA"/>
        </w:rPr>
        <w:t>Cr</w:t>
      </w:r>
      <w:r>
        <w:rPr>
          <w:b/>
          <w:sz w:val="20"/>
          <w:szCs w:val="20"/>
          <w:lang w:val="fr-CA"/>
        </w:rPr>
        <w:t>o</w:t>
      </w:r>
      <w:r w:rsidR="0062714A">
        <w:rPr>
          <w:b/>
          <w:sz w:val="20"/>
          <w:szCs w:val="20"/>
          <w:lang w:val="fr-CA"/>
        </w:rPr>
        <w:t>mw</w:t>
      </w:r>
      <w:r>
        <w:rPr>
          <w:b/>
          <w:sz w:val="20"/>
          <w:szCs w:val="20"/>
          <w:lang w:val="fr-CA"/>
        </w:rPr>
        <w:t>e</w:t>
      </w:r>
      <w:r w:rsidR="0062714A">
        <w:rPr>
          <w:b/>
          <w:sz w:val="20"/>
          <w:szCs w:val="20"/>
          <w:lang w:val="fr-CA"/>
        </w:rPr>
        <w:t>ll</w:t>
      </w:r>
    </w:p>
    <w:p w:rsidR="004B7F60" w:rsidRPr="00C50A5C" w:rsidRDefault="004B7F60" w:rsidP="004B7F60">
      <w:pPr>
        <w:widowControl w:val="0"/>
        <w:rPr>
          <w:sz w:val="20"/>
          <w:szCs w:val="20"/>
          <w:lang w:val="fr-CA"/>
        </w:rPr>
      </w:pPr>
    </w:p>
    <w:p w:rsidR="004B7F60" w:rsidRPr="00C50A5C" w:rsidRDefault="00D43A9E" w:rsidP="004B7F60">
      <w:pPr>
        <w:pStyle w:val="ListParagraph"/>
        <w:widowControl w:val="0"/>
        <w:numPr>
          <w:ilvl w:val="0"/>
          <w:numId w:val="1"/>
        </w:numPr>
        <w:ind w:hanging="720"/>
        <w:jc w:val="both"/>
        <w:rPr>
          <w:sz w:val="20"/>
          <w:szCs w:val="20"/>
        </w:rPr>
      </w:pPr>
      <w:r w:rsidRPr="00D43A9E">
        <w:rPr>
          <w:i/>
          <w:sz w:val="20"/>
          <w:szCs w:val="20"/>
        </w:rPr>
        <w:t>Danny Branco Madeira v. Her Majesty the Queen</w:t>
      </w:r>
      <w:r w:rsidRPr="00D43A9E">
        <w:rPr>
          <w:sz w:val="20"/>
          <w:szCs w:val="20"/>
        </w:rPr>
        <w:t xml:space="preserve"> (B.C.) (Crim</w:t>
      </w:r>
      <w:r>
        <w:rPr>
          <w:sz w:val="20"/>
          <w:szCs w:val="20"/>
        </w:rPr>
        <w:t>.</w:t>
      </w:r>
      <w:r w:rsidRPr="00D43A9E">
        <w:rPr>
          <w:sz w:val="20"/>
          <w:szCs w:val="20"/>
        </w:rPr>
        <w:t>) (By Leave)</w:t>
      </w:r>
      <w:r>
        <w:rPr>
          <w:sz w:val="20"/>
          <w:szCs w:val="20"/>
        </w:rPr>
        <w:t xml:space="preserve"> </w:t>
      </w:r>
      <w:r w:rsidR="004B7F60" w:rsidRPr="00C50A5C">
        <w:rPr>
          <w:sz w:val="20"/>
          <w:szCs w:val="20"/>
        </w:rPr>
        <w:t>(3</w:t>
      </w:r>
      <w:r w:rsidR="004B7F60">
        <w:rPr>
          <w:sz w:val="20"/>
          <w:szCs w:val="20"/>
        </w:rPr>
        <w:t>4</w:t>
      </w:r>
      <w:r>
        <w:rPr>
          <w:sz w:val="20"/>
          <w:szCs w:val="20"/>
        </w:rPr>
        <w:t>976</w:t>
      </w:r>
      <w:r w:rsidR="004B7F60" w:rsidRPr="00C50A5C">
        <w:rPr>
          <w:sz w:val="20"/>
          <w:szCs w:val="20"/>
        </w:rPr>
        <w:t>)</w:t>
      </w:r>
    </w:p>
    <w:p w:rsidR="004B7F60" w:rsidRPr="00C50A5C" w:rsidRDefault="004B7F60" w:rsidP="004B7F60">
      <w:pPr>
        <w:widowControl w:val="0"/>
        <w:jc w:val="both"/>
        <w:rPr>
          <w:sz w:val="20"/>
          <w:szCs w:val="20"/>
        </w:rPr>
      </w:pPr>
    </w:p>
    <w:p w:rsidR="004B7F60" w:rsidRPr="00C612D0" w:rsidRDefault="00D43A9E" w:rsidP="004B7F60">
      <w:pPr>
        <w:pStyle w:val="ListParagraph"/>
        <w:widowControl w:val="0"/>
        <w:numPr>
          <w:ilvl w:val="0"/>
          <w:numId w:val="1"/>
        </w:numPr>
        <w:ind w:hanging="720"/>
        <w:jc w:val="both"/>
        <w:rPr>
          <w:sz w:val="20"/>
          <w:szCs w:val="20"/>
        </w:rPr>
      </w:pPr>
      <w:r w:rsidRPr="00D43A9E">
        <w:rPr>
          <w:i/>
          <w:sz w:val="20"/>
          <w:szCs w:val="20"/>
        </w:rPr>
        <w:t>Jane Carlson v. Jack Carlson</w:t>
      </w:r>
      <w:r w:rsidRPr="00D43A9E">
        <w:rPr>
          <w:sz w:val="20"/>
          <w:szCs w:val="20"/>
        </w:rPr>
        <w:t xml:space="preserve"> (Alta.) (Civil) (By Leave)</w:t>
      </w:r>
      <w:r w:rsidRPr="00C612D0">
        <w:rPr>
          <w:sz w:val="20"/>
          <w:szCs w:val="20"/>
        </w:rPr>
        <w:t xml:space="preserve"> </w:t>
      </w:r>
      <w:r w:rsidR="004B7F60" w:rsidRPr="00C612D0">
        <w:rPr>
          <w:sz w:val="20"/>
          <w:szCs w:val="20"/>
        </w:rPr>
        <w:t>(34</w:t>
      </w:r>
      <w:r>
        <w:rPr>
          <w:sz w:val="20"/>
          <w:szCs w:val="20"/>
        </w:rPr>
        <w:t>9</w:t>
      </w:r>
      <w:r w:rsidR="004B7F60" w:rsidRPr="00C612D0">
        <w:rPr>
          <w:sz w:val="20"/>
          <w:szCs w:val="20"/>
        </w:rPr>
        <w:t>4</w:t>
      </w:r>
      <w:r>
        <w:rPr>
          <w:sz w:val="20"/>
          <w:szCs w:val="20"/>
        </w:rPr>
        <w:t>0</w:t>
      </w:r>
      <w:r w:rsidR="004B7F60" w:rsidRPr="00C612D0">
        <w:rPr>
          <w:sz w:val="20"/>
          <w:szCs w:val="20"/>
        </w:rPr>
        <w:t>)</w:t>
      </w:r>
    </w:p>
    <w:p w:rsidR="004B7F60" w:rsidRPr="00C612D0" w:rsidRDefault="004B7F60" w:rsidP="004B7F60">
      <w:pPr>
        <w:widowControl w:val="0"/>
        <w:jc w:val="both"/>
        <w:rPr>
          <w:sz w:val="20"/>
          <w:szCs w:val="20"/>
        </w:rPr>
      </w:pPr>
    </w:p>
    <w:p w:rsidR="004B7F60" w:rsidRPr="00C50A5C" w:rsidRDefault="00D43A9E" w:rsidP="004B7F60">
      <w:pPr>
        <w:pStyle w:val="ListParagraph"/>
        <w:widowControl w:val="0"/>
        <w:numPr>
          <w:ilvl w:val="0"/>
          <w:numId w:val="1"/>
        </w:numPr>
        <w:ind w:hanging="720"/>
        <w:jc w:val="both"/>
        <w:rPr>
          <w:sz w:val="20"/>
          <w:szCs w:val="20"/>
        </w:rPr>
      </w:pPr>
      <w:r w:rsidRPr="00D43A9E">
        <w:rPr>
          <w:i/>
          <w:sz w:val="20"/>
          <w:szCs w:val="20"/>
        </w:rPr>
        <w:t>Wyeth LLC et al. v. Teva Canada Limited</w:t>
      </w:r>
      <w:r w:rsidRPr="00D43A9E">
        <w:rPr>
          <w:sz w:val="20"/>
          <w:szCs w:val="20"/>
        </w:rPr>
        <w:t xml:space="preserve"> (F</w:t>
      </w:r>
      <w:r>
        <w:rPr>
          <w:sz w:val="20"/>
          <w:szCs w:val="20"/>
        </w:rPr>
        <w:t>.</w:t>
      </w:r>
      <w:r w:rsidRPr="00D43A9E">
        <w:rPr>
          <w:sz w:val="20"/>
          <w:szCs w:val="20"/>
        </w:rPr>
        <w:t>C</w:t>
      </w:r>
      <w:r>
        <w:rPr>
          <w:sz w:val="20"/>
          <w:szCs w:val="20"/>
        </w:rPr>
        <w:t>.</w:t>
      </w:r>
      <w:r w:rsidRPr="00D43A9E">
        <w:rPr>
          <w:sz w:val="20"/>
          <w:szCs w:val="20"/>
        </w:rPr>
        <w:t>) (Civil) (By Leave)</w:t>
      </w:r>
      <w:r w:rsidRPr="00940CAD">
        <w:rPr>
          <w:sz w:val="20"/>
          <w:szCs w:val="20"/>
        </w:rPr>
        <w:t xml:space="preserve"> </w:t>
      </w:r>
      <w:r w:rsidR="004B7F60" w:rsidRPr="00940CAD">
        <w:rPr>
          <w:sz w:val="20"/>
          <w:szCs w:val="20"/>
        </w:rPr>
        <w:t>(349</w:t>
      </w:r>
      <w:r>
        <w:rPr>
          <w:sz w:val="20"/>
          <w:szCs w:val="20"/>
        </w:rPr>
        <w:t>18</w:t>
      </w:r>
      <w:r w:rsidR="004B7F60" w:rsidRPr="00940CAD">
        <w:rPr>
          <w:sz w:val="20"/>
          <w:szCs w:val="20"/>
        </w:rPr>
        <w:t>)</w:t>
      </w:r>
    </w:p>
    <w:p w:rsidR="004B7F60" w:rsidRDefault="004B7F60" w:rsidP="004B7F60">
      <w:pPr>
        <w:widowControl w:val="0"/>
        <w:rPr>
          <w:sz w:val="20"/>
          <w:szCs w:val="20"/>
        </w:rPr>
      </w:pPr>
    </w:p>
    <w:p w:rsidR="00D43A9E" w:rsidRDefault="00D43A9E" w:rsidP="004B7F60">
      <w:pPr>
        <w:widowControl w:val="0"/>
        <w:rPr>
          <w:sz w:val="20"/>
          <w:szCs w:val="20"/>
        </w:rPr>
      </w:pPr>
    </w:p>
    <w:p w:rsidR="00D43A9E" w:rsidRPr="00C50A5C" w:rsidRDefault="00D43A9E" w:rsidP="00D43A9E">
      <w:pPr>
        <w:widowControl w:val="0"/>
        <w:jc w:val="center"/>
        <w:rPr>
          <w:b/>
          <w:sz w:val="20"/>
          <w:szCs w:val="20"/>
        </w:rPr>
      </w:pPr>
      <w:r w:rsidRPr="00C50A5C">
        <w:rPr>
          <w:b/>
          <w:sz w:val="20"/>
          <w:szCs w:val="20"/>
        </w:rPr>
        <w:t xml:space="preserve">CORAM: </w:t>
      </w:r>
      <w:r>
        <w:rPr>
          <w:b/>
          <w:sz w:val="20"/>
          <w:szCs w:val="20"/>
        </w:rPr>
        <w:t>LeBel</w:t>
      </w:r>
      <w:r w:rsidRPr="00C50A5C">
        <w:rPr>
          <w:b/>
          <w:sz w:val="20"/>
          <w:szCs w:val="20"/>
        </w:rPr>
        <w:t xml:space="preserve">, </w:t>
      </w:r>
      <w:r>
        <w:rPr>
          <w:b/>
          <w:sz w:val="20"/>
          <w:szCs w:val="20"/>
        </w:rPr>
        <w:t>Karakatsanis</w:t>
      </w:r>
      <w:r w:rsidRPr="00C50A5C">
        <w:rPr>
          <w:b/>
          <w:sz w:val="20"/>
          <w:szCs w:val="20"/>
        </w:rPr>
        <w:t xml:space="preserve"> and </w:t>
      </w:r>
      <w:r>
        <w:rPr>
          <w:b/>
          <w:sz w:val="20"/>
          <w:szCs w:val="20"/>
        </w:rPr>
        <w:t>Wagner</w:t>
      </w:r>
      <w:r w:rsidRPr="00C50A5C">
        <w:rPr>
          <w:b/>
          <w:sz w:val="20"/>
          <w:szCs w:val="20"/>
        </w:rPr>
        <w:t xml:space="preserve"> JJ.</w:t>
      </w:r>
    </w:p>
    <w:p w:rsidR="00D43A9E" w:rsidRPr="00C50A5C" w:rsidRDefault="00D43A9E" w:rsidP="00D43A9E">
      <w:pPr>
        <w:widowControl w:val="0"/>
        <w:jc w:val="center"/>
        <w:rPr>
          <w:b/>
          <w:sz w:val="20"/>
          <w:szCs w:val="20"/>
          <w:lang w:val="fr-CA"/>
        </w:rPr>
      </w:pPr>
      <w:r w:rsidRPr="00C50A5C">
        <w:rPr>
          <w:b/>
          <w:sz w:val="20"/>
          <w:szCs w:val="20"/>
          <w:lang w:val="fr-CA"/>
        </w:rPr>
        <w:t xml:space="preserve">Les juges </w:t>
      </w:r>
      <w:r>
        <w:rPr>
          <w:b/>
          <w:sz w:val="20"/>
          <w:szCs w:val="20"/>
          <w:lang w:val="fr-CA"/>
        </w:rPr>
        <w:t>LeBel</w:t>
      </w:r>
      <w:r w:rsidRPr="00C50A5C">
        <w:rPr>
          <w:b/>
          <w:sz w:val="20"/>
          <w:szCs w:val="20"/>
          <w:lang w:val="fr-CA"/>
        </w:rPr>
        <w:t xml:space="preserve">, </w:t>
      </w:r>
      <w:r>
        <w:rPr>
          <w:b/>
          <w:sz w:val="20"/>
          <w:szCs w:val="20"/>
          <w:lang w:val="fr-CA"/>
        </w:rPr>
        <w:t>Karakatsanis</w:t>
      </w:r>
      <w:r w:rsidRPr="00C50A5C">
        <w:rPr>
          <w:b/>
          <w:sz w:val="20"/>
          <w:szCs w:val="20"/>
          <w:lang w:val="fr-CA"/>
        </w:rPr>
        <w:t xml:space="preserve"> et </w:t>
      </w:r>
      <w:r>
        <w:rPr>
          <w:b/>
          <w:sz w:val="20"/>
          <w:szCs w:val="20"/>
          <w:lang w:val="fr-CA"/>
        </w:rPr>
        <w:t>Wagn</w:t>
      </w:r>
      <w:r w:rsidRPr="00C50A5C">
        <w:rPr>
          <w:b/>
          <w:sz w:val="20"/>
          <w:szCs w:val="20"/>
          <w:lang w:val="fr-CA"/>
        </w:rPr>
        <w:t>e</w:t>
      </w:r>
      <w:r>
        <w:rPr>
          <w:b/>
          <w:sz w:val="20"/>
          <w:szCs w:val="20"/>
          <w:lang w:val="fr-CA"/>
        </w:rPr>
        <w:t>r</w:t>
      </w:r>
    </w:p>
    <w:p w:rsidR="00D43A9E" w:rsidRPr="00D43A9E" w:rsidRDefault="00D43A9E" w:rsidP="004B7F60">
      <w:pPr>
        <w:widowControl w:val="0"/>
        <w:rPr>
          <w:sz w:val="20"/>
          <w:szCs w:val="20"/>
          <w:lang w:val="fr-CA"/>
        </w:rPr>
      </w:pPr>
    </w:p>
    <w:p w:rsidR="004B7F60" w:rsidRPr="00D43A9E" w:rsidRDefault="00D43A9E" w:rsidP="004B7F60">
      <w:pPr>
        <w:pStyle w:val="ListParagraph"/>
        <w:widowControl w:val="0"/>
        <w:numPr>
          <w:ilvl w:val="0"/>
          <w:numId w:val="1"/>
        </w:numPr>
        <w:ind w:hanging="720"/>
        <w:jc w:val="both"/>
        <w:rPr>
          <w:sz w:val="20"/>
          <w:szCs w:val="20"/>
          <w:lang w:val="fr-CA"/>
        </w:rPr>
      </w:pPr>
      <w:r w:rsidRPr="00D43A9E">
        <w:rPr>
          <w:i/>
          <w:sz w:val="20"/>
          <w:szCs w:val="20"/>
          <w:lang w:val="fr-CA"/>
        </w:rPr>
        <w:t>Mounted Police Association of Ontario / Association de la Police Montée de l'Ontario et al. v. Attorney General of Canada</w:t>
      </w:r>
      <w:r w:rsidRPr="00D43A9E">
        <w:rPr>
          <w:sz w:val="20"/>
          <w:szCs w:val="20"/>
          <w:lang w:val="fr-CA"/>
        </w:rPr>
        <w:t xml:space="preserve"> (Ont.) (Civil) (By Leave) </w:t>
      </w:r>
      <w:r w:rsidR="004B7F60" w:rsidRPr="00D43A9E">
        <w:rPr>
          <w:sz w:val="20"/>
          <w:szCs w:val="20"/>
          <w:lang w:val="fr-CA"/>
        </w:rPr>
        <w:t>(34</w:t>
      </w:r>
      <w:r w:rsidRPr="00D43A9E">
        <w:rPr>
          <w:sz w:val="20"/>
          <w:szCs w:val="20"/>
          <w:lang w:val="fr-CA"/>
        </w:rPr>
        <w:t>948</w:t>
      </w:r>
      <w:r w:rsidR="004B7F60" w:rsidRPr="00D43A9E">
        <w:rPr>
          <w:sz w:val="20"/>
          <w:szCs w:val="20"/>
          <w:lang w:val="fr-CA"/>
        </w:rPr>
        <w:t>)</w:t>
      </w:r>
    </w:p>
    <w:p w:rsidR="004B7F60" w:rsidRPr="00D43A9E" w:rsidRDefault="004B7F60" w:rsidP="004B7F60">
      <w:pPr>
        <w:widowControl w:val="0"/>
        <w:jc w:val="both"/>
        <w:rPr>
          <w:sz w:val="20"/>
          <w:szCs w:val="20"/>
          <w:lang w:val="fr-CA"/>
        </w:rPr>
      </w:pPr>
    </w:p>
    <w:p w:rsidR="004B7F60" w:rsidRPr="00D43A9E" w:rsidRDefault="00D43A9E" w:rsidP="004B7F60">
      <w:pPr>
        <w:pStyle w:val="ListParagraph"/>
        <w:widowControl w:val="0"/>
        <w:numPr>
          <w:ilvl w:val="0"/>
          <w:numId w:val="1"/>
        </w:numPr>
        <w:ind w:hanging="720"/>
        <w:jc w:val="both"/>
        <w:rPr>
          <w:sz w:val="20"/>
          <w:szCs w:val="20"/>
        </w:rPr>
      </w:pPr>
      <w:r w:rsidRPr="00D43A9E">
        <w:rPr>
          <w:i/>
          <w:sz w:val="20"/>
          <w:szCs w:val="20"/>
        </w:rPr>
        <w:t>South Yukon Forest Corporation et al. v. Her Majesty the Queen</w:t>
      </w:r>
      <w:r w:rsidRPr="00D43A9E">
        <w:rPr>
          <w:sz w:val="20"/>
          <w:szCs w:val="20"/>
        </w:rPr>
        <w:t xml:space="preserve"> (F</w:t>
      </w:r>
      <w:r>
        <w:rPr>
          <w:sz w:val="20"/>
          <w:szCs w:val="20"/>
        </w:rPr>
        <w:t>.</w:t>
      </w:r>
      <w:r w:rsidRPr="00D43A9E">
        <w:rPr>
          <w:sz w:val="20"/>
          <w:szCs w:val="20"/>
        </w:rPr>
        <w:t>C</w:t>
      </w:r>
      <w:r>
        <w:rPr>
          <w:sz w:val="20"/>
          <w:szCs w:val="20"/>
        </w:rPr>
        <w:t>.</w:t>
      </w:r>
      <w:r w:rsidRPr="00D43A9E">
        <w:rPr>
          <w:sz w:val="20"/>
          <w:szCs w:val="20"/>
        </w:rPr>
        <w:t xml:space="preserve">) (Civil) (By Leave) </w:t>
      </w:r>
      <w:r w:rsidR="004B7F60" w:rsidRPr="00D43A9E">
        <w:rPr>
          <w:sz w:val="20"/>
          <w:szCs w:val="20"/>
        </w:rPr>
        <w:t>(34</w:t>
      </w:r>
      <w:r w:rsidRPr="00D43A9E">
        <w:rPr>
          <w:sz w:val="20"/>
          <w:szCs w:val="20"/>
        </w:rPr>
        <w:t>9</w:t>
      </w:r>
      <w:r w:rsidR="004B7F60" w:rsidRPr="00D43A9E">
        <w:rPr>
          <w:sz w:val="20"/>
          <w:szCs w:val="20"/>
        </w:rPr>
        <w:t>4</w:t>
      </w:r>
      <w:r w:rsidRPr="00D43A9E">
        <w:rPr>
          <w:sz w:val="20"/>
          <w:szCs w:val="20"/>
        </w:rPr>
        <w:t>6</w:t>
      </w:r>
      <w:r w:rsidR="004B7F60" w:rsidRPr="00D43A9E">
        <w:rPr>
          <w:sz w:val="20"/>
          <w:szCs w:val="20"/>
        </w:rPr>
        <w:t>)</w:t>
      </w:r>
    </w:p>
    <w:p w:rsidR="004B7F60" w:rsidRPr="00D43A9E" w:rsidRDefault="004B7F60" w:rsidP="004B7F60">
      <w:pPr>
        <w:widowControl w:val="0"/>
        <w:rPr>
          <w:sz w:val="20"/>
          <w:szCs w:val="20"/>
        </w:rPr>
      </w:pPr>
    </w:p>
    <w:p w:rsidR="004B7F60" w:rsidRPr="00D43A9E" w:rsidRDefault="00D43A9E" w:rsidP="004B7F60">
      <w:pPr>
        <w:pStyle w:val="ListParagraph"/>
        <w:widowControl w:val="0"/>
        <w:numPr>
          <w:ilvl w:val="0"/>
          <w:numId w:val="1"/>
        </w:numPr>
        <w:ind w:hanging="720"/>
        <w:jc w:val="both"/>
        <w:rPr>
          <w:sz w:val="20"/>
          <w:szCs w:val="20"/>
        </w:rPr>
      </w:pPr>
      <w:r w:rsidRPr="00D43A9E">
        <w:rPr>
          <w:i/>
          <w:sz w:val="20"/>
          <w:szCs w:val="20"/>
        </w:rPr>
        <w:t xml:space="preserve">Bob </w:t>
      </w:r>
      <w:proofErr w:type="gramStart"/>
      <w:r w:rsidRPr="00D43A9E">
        <w:rPr>
          <w:i/>
          <w:sz w:val="20"/>
          <w:szCs w:val="20"/>
        </w:rPr>
        <w:t>Stevens</w:t>
      </w:r>
      <w:proofErr w:type="gramEnd"/>
      <w:r w:rsidRPr="00D43A9E">
        <w:rPr>
          <w:i/>
          <w:sz w:val="20"/>
          <w:szCs w:val="20"/>
        </w:rPr>
        <w:t xml:space="preserve"> v. Her Majesty the Queen in Right of the Province of Ontario</w:t>
      </w:r>
      <w:r w:rsidRPr="00D43A9E">
        <w:rPr>
          <w:sz w:val="20"/>
          <w:szCs w:val="20"/>
        </w:rPr>
        <w:t xml:space="preserve"> (Ont.) (Civil) (By Leave) </w:t>
      </w:r>
      <w:r w:rsidR="004B7F60" w:rsidRPr="00D43A9E">
        <w:rPr>
          <w:sz w:val="20"/>
          <w:szCs w:val="20"/>
        </w:rPr>
        <w:t>(34</w:t>
      </w:r>
      <w:r w:rsidRPr="00D43A9E">
        <w:rPr>
          <w:sz w:val="20"/>
          <w:szCs w:val="20"/>
        </w:rPr>
        <w:t>92</w:t>
      </w:r>
      <w:r w:rsidR="004B7F60" w:rsidRPr="00D43A9E">
        <w:rPr>
          <w:sz w:val="20"/>
          <w:szCs w:val="20"/>
        </w:rPr>
        <w:t>8)</w:t>
      </w:r>
    </w:p>
    <w:p w:rsidR="004B7F60" w:rsidRPr="00D43A9E" w:rsidRDefault="004B7F60" w:rsidP="004B7F60">
      <w:pPr>
        <w:widowControl w:val="0"/>
        <w:jc w:val="both"/>
        <w:rPr>
          <w:sz w:val="20"/>
          <w:szCs w:val="20"/>
        </w:rPr>
      </w:pPr>
    </w:p>
    <w:p w:rsidR="00D43A9E" w:rsidRPr="00D43A9E" w:rsidRDefault="00D43A9E" w:rsidP="004B7F60">
      <w:pPr>
        <w:widowControl w:val="0"/>
        <w:jc w:val="both"/>
        <w:rPr>
          <w:sz w:val="20"/>
          <w:szCs w:val="20"/>
        </w:rPr>
      </w:pPr>
    </w:p>
    <w:p w:rsidR="00D43A9E" w:rsidRPr="00C50A5C" w:rsidRDefault="00D43A9E" w:rsidP="00D43A9E">
      <w:pPr>
        <w:widowControl w:val="0"/>
        <w:jc w:val="center"/>
        <w:rPr>
          <w:b/>
          <w:sz w:val="20"/>
          <w:szCs w:val="20"/>
        </w:rPr>
      </w:pPr>
      <w:r w:rsidRPr="00C50A5C">
        <w:rPr>
          <w:b/>
          <w:sz w:val="20"/>
          <w:szCs w:val="20"/>
        </w:rPr>
        <w:t xml:space="preserve">CORAM: </w:t>
      </w:r>
      <w:r>
        <w:rPr>
          <w:b/>
          <w:sz w:val="20"/>
          <w:szCs w:val="20"/>
        </w:rPr>
        <w:t>Fish,</w:t>
      </w:r>
      <w:r w:rsidRPr="00C50A5C">
        <w:rPr>
          <w:b/>
          <w:sz w:val="20"/>
          <w:szCs w:val="20"/>
        </w:rPr>
        <w:t xml:space="preserve"> </w:t>
      </w:r>
      <w:r>
        <w:rPr>
          <w:b/>
          <w:sz w:val="20"/>
          <w:szCs w:val="20"/>
        </w:rPr>
        <w:t>Rothstein</w:t>
      </w:r>
      <w:r w:rsidRPr="00C50A5C">
        <w:rPr>
          <w:b/>
          <w:sz w:val="20"/>
          <w:szCs w:val="20"/>
        </w:rPr>
        <w:t xml:space="preserve"> and </w:t>
      </w:r>
      <w:r>
        <w:rPr>
          <w:b/>
          <w:sz w:val="20"/>
          <w:szCs w:val="20"/>
        </w:rPr>
        <w:t>Moldaver</w:t>
      </w:r>
      <w:r w:rsidRPr="00C50A5C">
        <w:rPr>
          <w:b/>
          <w:sz w:val="20"/>
          <w:szCs w:val="20"/>
        </w:rPr>
        <w:t xml:space="preserve"> JJ.</w:t>
      </w:r>
    </w:p>
    <w:p w:rsidR="00D43A9E" w:rsidRPr="00C50A5C" w:rsidRDefault="00D43A9E" w:rsidP="00D43A9E">
      <w:pPr>
        <w:widowControl w:val="0"/>
        <w:jc w:val="center"/>
        <w:rPr>
          <w:b/>
          <w:sz w:val="20"/>
          <w:szCs w:val="20"/>
          <w:lang w:val="fr-CA"/>
        </w:rPr>
      </w:pPr>
      <w:r w:rsidRPr="00C50A5C">
        <w:rPr>
          <w:b/>
          <w:sz w:val="20"/>
          <w:szCs w:val="20"/>
          <w:lang w:val="fr-CA"/>
        </w:rPr>
        <w:t xml:space="preserve">Les juges </w:t>
      </w:r>
      <w:r>
        <w:rPr>
          <w:b/>
          <w:sz w:val="20"/>
          <w:szCs w:val="20"/>
          <w:lang w:val="fr-CA"/>
        </w:rPr>
        <w:t>Fish</w:t>
      </w:r>
      <w:r w:rsidRPr="00C50A5C">
        <w:rPr>
          <w:b/>
          <w:sz w:val="20"/>
          <w:szCs w:val="20"/>
          <w:lang w:val="fr-CA"/>
        </w:rPr>
        <w:t xml:space="preserve">, </w:t>
      </w:r>
      <w:r>
        <w:rPr>
          <w:b/>
          <w:sz w:val="20"/>
          <w:szCs w:val="20"/>
          <w:lang w:val="fr-CA"/>
        </w:rPr>
        <w:t>Rothstein</w:t>
      </w:r>
      <w:r w:rsidRPr="00C50A5C">
        <w:rPr>
          <w:b/>
          <w:sz w:val="20"/>
          <w:szCs w:val="20"/>
          <w:lang w:val="fr-CA"/>
        </w:rPr>
        <w:t xml:space="preserve"> et </w:t>
      </w:r>
      <w:r>
        <w:rPr>
          <w:b/>
          <w:sz w:val="20"/>
          <w:szCs w:val="20"/>
          <w:lang w:val="fr-CA"/>
        </w:rPr>
        <w:t>Moldaver</w:t>
      </w:r>
    </w:p>
    <w:p w:rsidR="00D43A9E" w:rsidRPr="00D43A9E" w:rsidRDefault="00D43A9E" w:rsidP="00D43A9E">
      <w:pPr>
        <w:widowControl w:val="0"/>
        <w:rPr>
          <w:sz w:val="20"/>
          <w:szCs w:val="20"/>
          <w:lang w:val="fr-CA"/>
        </w:rPr>
      </w:pPr>
    </w:p>
    <w:p w:rsidR="004B7F60" w:rsidRPr="00D43A9E" w:rsidRDefault="00D43A9E" w:rsidP="004B7F60">
      <w:pPr>
        <w:pStyle w:val="ListParagraph"/>
        <w:widowControl w:val="0"/>
        <w:numPr>
          <w:ilvl w:val="0"/>
          <w:numId w:val="1"/>
        </w:numPr>
        <w:ind w:hanging="720"/>
        <w:jc w:val="both"/>
        <w:rPr>
          <w:sz w:val="20"/>
          <w:szCs w:val="20"/>
        </w:rPr>
      </w:pPr>
      <w:r w:rsidRPr="00D43A9E">
        <w:rPr>
          <w:i/>
          <w:sz w:val="20"/>
          <w:szCs w:val="20"/>
        </w:rPr>
        <w:t>Christopher Fijalkowski v. Her Majesty the Queen</w:t>
      </w:r>
      <w:r w:rsidRPr="00D43A9E">
        <w:rPr>
          <w:sz w:val="20"/>
          <w:szCs w:val="20"/>
        </w:rPr>
        <w:t xml:space="preserve"> (Ont.) (Crim</w:t>
      </w:r>
      <w:r>
        <w:rPr>
          <w:sz w:val="20"/>
          <w:szCs w:val="20"/>
        </w:rPr>
        <w:t>.</w:t>
      </w:r>
      <w:r w:rsidRPr="00D43A9E">
        <w:rPr>
          <w:sz w:val="20"/>
          <w:szCs w:val="20"/>
        </w:rPr>
        <w:t xml:space="preserve">) (By Leave) </w:t>
      </w:r>
      <w:r w:rsidR="004B7F60" w:rsidRPr="00D43A9E">
        <w:rPr>
          <w:sz w:val="20"/>
          <w:szCs w:val="20"/>
        </w:rPr>
        <w:t>(34</w:t>
      </w:r>
      <w:r w:rsidRPr="00D43A9E">
        <w:rPr>
          <w:sz w:val="20"/>
          <w:szCs w:val="20"/>
        </w:rPr>
        <w:t>93</w:t>
      </w:r>
      <w:r w:rsidR="004B7F60" w:rsidRPr="00D43A9E">
        <w:rPr>
          <w:sz w:val="20"/>
          <w:szCs w:val="20"/>
        </w:rPr>
        <w:t>3)</w:t>
      </w:r>
    </w:p>
    <w:p w:rsidR="004B7F60" w:rsidRPr="00D43A9E" w:rsidRDefault="004B7F60" w:rsidP="004B7F60">
      <w:pPr>
        <w:widowControl w:val="0"/>
        <w:jc w:val="both"/>
        <w:rPr>
          <w:sz w:val="20"/>
          <w:szCs w:val="20"/>
        </w:rPr>
      </w:pPr>
    </w:p>
    <w:p w:rsidR="004B7F60" w:rsidRPr="00C50A5C" w:rsidRDefault="00D43A9E" w:rsidP="004B7F60">
      <w:pPr>
        <w:pStyle w:val="ListParagraph"/>
        <w:widowControl w:val="0"/>
        <w:numPr>
          <w:ilvl w:val="0"/>
          <w:numId w:val="1"/>
        </w:numPr>
        <w:ind w:hanging="720"/>
        <w:jc w:val="both"/>
        <w:rPr>
          <w:sz w:val="20"/>
          <w:szCs w:val="20"/>
          <w:lang w:val="fr-CA"/>
        </w:rPr>
      </w:pPr>
      <w:r w:rsidRPr="00D43A9E">
        <w:rPr>
          <w:i/>
          <w:sz w:val="20"/>
          <w:szCs w:val="20"/>
        </w:rPr>
        <w:t>Francine Zelsman also known as Francine Kerdman aslso known as Francine Zelsman-Kerdman v. Meridian Credit Union Limited et al.</w:t>
      </w:r>
      <w:r w:rsidRPr="00D43A9E">
        <w:rPr>
          <w:sz w:val="20"/>
          <w:szCs w:val="20"/>
        </w:rPr>
        <w:t xml:space="preserve"> (Ont.) (Civil) (By Leave)</w:t>
      </w:r>
      <w:r>
        <w:rPr>
          <w:sz w:val="20"/>
          <w:szCs w:val="20"/>
        </w:rPr>
        <w:t xml:space="preserve"> </w:t>
      </w:r>
      <w:r w:rsidR="004B7F60" w:rsidRPr="00C50A5C">
        <w:rPr>
          <w:sz w:val="20"/>
          <w:szCs w:val="20"/>
          <w:lang w:val="fr-CA"/>
        </w:rPr>
        <w:t>(3</w:t>
      </w:r>
      <w:r w:rsidR="004B7F60">
        <w:rPr>
          <w:sz w:val="20"/>
          <w:szCs w:val="20"/>
          <w:lang w:val="fr-CA"/>
        </w:rPr>
        <w:t>4</w:t>
      </w:r>
      <w:r>
        <w:rPr>
          <w:sz w:val="20"/>
          <w:szCs w:val="20"/>
          <w:lang w:val="fr-CA"/>
        </w:rPr>
        <w:t>94</w:t>
      </w:r>
      <w:r w:rsidR="004B7F60">
        <w:rPr>
          <w:sz w:val="20"/>
          <w:szCs w:val="20"/>
          <w:lang w:val="fr-CA"/>
        </w:rPr>
        <w:t>1</w:t>
      </w:r>
      <w:r w:rsidR="004B7F60" w:rsidRPr="00C50A5C">
        <w:rPr>
          <w:sz w:val="20"/>
          <w:szCs w:val="20"/>
          <w:lang w:val="fr-CA"/>
        </w:rPr>
        <w:t>)</w:t>
      </w:r>
    </w:p>
    <w:p w:rsidR="00D43A9E" w:rsidRPr="00D43A9E" w:rsidRDefault="00D43A9E" w:rsidP="00D43A9E">
      <w:pPr>
        <w:widowControl w:val="0"/>
        <w:rPr>
          <w:sz w:val="20"/>
          <w:szCs w:val="20"/>
        </w:rPr>
      </w:pPr>
    </w:p>
    <w:p w:rsidR="002E2327" w:rsidRPr="00C50A5C" w:rsidRDefault="00BF3B03" w:rsidP="002E2327">
      <w:pPr>
        <w:widowControl w:val="0"/>
        <w:rPr>
          <w:sz w:val="20"/>
          <w:szCs w:val="20"/>
        </w:rPr>
      </w:pPr>
      <w:r w:rsidRPr="00BF3B03">
        <w:rPr>
          <w:sz w:val="20"/>
          <w:szCs w:val="20"/>
        </w:rPr>
        <w:pict>
          <v:rect id="_x0000_i1039" style="width:2in;height:1pt" o:hrpct="0" o:hralign="center" o:hrstd="t" o:hrnoshade="t" o:hr="t" fillcolor="black [3213]" stroked="f"/>
        </w:pict>
      </w:r>
    </w:p>
    <w:p w:rsidR="0044776A" w:rsidRPr="00C50A5C" w:rsidRDefault="0044776A" w:rsidP="002E2327">
      <w:pPr>
        <w:widowControl w:val="0"/>
        <w:spacing w:line="0" w:lineRule="atLeast"/>
        <w:rPr>
          <w:sz w:val="20"/>
          <w:szCs w:val="20"/>
        </w:rPr>
        <w:sectPr w:rsidR="0044776A" w:rsidRPr="00C50A5C" w:rsidSect="0044776A">
          <w:headerReference w:type="default" r:id="rId21"/>
          <w:footerReference w:type="default" r:id="rId22"/>
          <w:headerReference w:type="first" r:id="rId23"/>
          <w:footerReference w:type="first" r:id="rId24"/>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tblPr>
      <w:tblGrid>
        <w:gridCol w:w="4200"/>
        <w:gridCol w:w="1200"/>
        <w:gridCol w:w="4080"/>
      </w:tblGrid>
      <w:tr w:rsidR="008D292F" w:rsidRPr="00DC2D1F" w:rsidTr="00ED7E83">
        <w:tc>
          <w:tcPr>
            <w:tcW w:w="4200" w:type="dxa"/>
            <w:tcMar>
              <w:left w:w="0" w:type="dxa"/>
              <w:right w:w="0" w:type="dxa"/>
            </w:tcMar>
          </w:tcPr>
          <w:p w:rsidR="008D292F" w:rsidRPr="001D0D5F" w:rsidRDefault="008D292F" w:rsidP="00ED7E83">
            <w:pPr>
              <w:keepNext/>
              <w:keepLines/>
              <w:jc w:val="both"/>
              <w:rPr>
                <w:b/>
                <w:szCs w:val="24"/>
              </w:rPr>
            </w:pPr>
            <w:bookmarkStart w:id="0" w:name="QuickMark_1"/>
            <w:bookmarkEnd w:id="0"/>
            <w:r w:rsidRPr="001D0D5F">
              <w:rPr>
                <w:b/>
                <w:szCs w:val="24"/>
              </w:rPr>
              <w:lastRenderedPageBreak/>
              <w:t>JUDGMENTS ON APPLICATIONS</w:t>
            </w:r>
          </w:p>
          <w:p w:rsidR="008D292F" w:rsidRPr="001D0D5F" w:rsidRDefault="008D292F" w:rsidP="00ED7E83">
            <w:pPr>
              <w:keepNext/>
              <w:keepLines/>
              <w:jc w:val="both"/>
              <w:rPr>
                <w:b/>
                <w:szCs w:val="24"/>
              </w:rPr>
            </w:pPr>
            <w:r w:rsidRPr="001D0D5F">
              <w:rPr>
                <w:b/>
                <w:szCs w:val="24"/>
              </w:rPr>
              <w:t>FOR LEAVE</w:t>
            </w:r>
          </w:p>
        </w:tc>
        <w:tc>
          <w:tcPr>
            <w:tcW w:w="1200" w:type="dxa"/>
            <w:tcMar>
              <w:left w:w="0" w:type="dxa"/>
              <w:right w:w="0" w:type="dxa"/>
            </w:tcMar>
          </w:tcPr>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tc>
        <w:tc>
          <w:tcPr>
            <w:tcW w:w="4080" w:type="dxa"/>
            <w:tcMar>
              <w:left w:w="0" w:type="dxa"/>
              <w:right w:w="0" w:type="dxa"/>
            </w:tcMar>
          </w:tcPr>
          <w:p w:rsidR="008D292F" w:rsidRPr="001D0D5F" w:rsidRDefault="008D292F" w:rsidP="00ED7E83">
            <w:pPr>
              <w:keepNext/>
              <w:keepLines/>
              <w:jc w:val="both"/>
              <w:rPr>
                <w:b/>
                <w:szCs w:val="24"/>
                <w:lang w:val="fr-CA"/>
              </w:rPr>
            </w:pPr>
            <w:r w:rsidRPr="001D0D5F">
              <w:rPr>
                <w:b/>
                <w:szCs w:val="24"/>
                <w:lang w:val="fr-CA"/>
              </w:rPr>
              <w:t>JUGEMENTS RENDUS SUR LES DEMANDES D’AUTORISATION</w:t>
            </w:r>
          </w:p>
        </w:tc>
      </w:tr>
    </w:tbl>
    <w:p w:rsidR="008D292F" w:rsidRPr="00C50A5C" w:rsidRDefault="008D292F" w:rsidP="008D292F">
      <w:pPr>
        <w:rPr>
          <w:sz w:val="20"/>
          <w:szCs w:val="20"/>
          <w:lang w:val="fr-CA"/>
        </w:rPr>
      </w:pPr>
    </w:p>
    <w:p w:rsidR="008D292F" w:rsidRPr="00C50A5C" w:rsidRDefault="00A740D1" w:rsidP="008D292F">
      <w:pPr>
        <w:rPr>
          <w:b/>
          <w:sz w:val="20"/>
          <w:szCs w:val="20"/>
        </w:rPr>
      </w:pPr>
      <w:r>
        <w:rPr>
          <w:b/>
          <w:sz w:val="20"/>
          <w:szCs w:val="20"/>
        </w:rPr>
        <w:t>NOVEMBER</w:t>
      </w:r>
      <w:r w:rsidR="008D292F" w:rsidRPr="00C50A5C">
        <w:rPr>
          <w:b/>
          <w:sz w:val="20"/>
          <w:szCs w:val="20"/>
        </w:rPr>
        <w:t xml:space="preserve"> </w:t>
      </w:r>
      <w:r>
        <w:rPr>
          <w:b/>
          <w:sz w:val="20"/>
          <w:szCs w:val="20"/>
        </w:rPr>
        <w:t>8</w:t>
      </w:r>
      <w:r w:rsidR="008D292F" w:rsidRPr="00C50A5C">
        <w:rPr>
          <w:b/>
          <w:sz w:val="20"/>
          <w:szCs w:val="20"/>
        </w:rPr>
        <w:t>, 201</w:t>
      </w:r>
      <w:r w:rsidR="004E1E0A">
        <w:rPr>
          <w:b/>
          <w:sz w:val="20"/>
          <w:szCs w:val="20"/>
        </w:rPr>
        <w:t>2</w:t>
      </w:r>
      <w:r w:rsidR="008D292F" w:rsidRPr="00C50A5C">
        <w:rPr>
          <w:b/>
          <w:sz w:val="20"/>
          <w:szCs w:val="20"/>
        </w:rPr>
        <w:t xml:space="preserve"> / LE </w:t>
      </w:r>
      <w:r>
        <w:rPr>
          <w:b/>
          <w:sz w:val="20"/>
          <w:szCs w:val="20"/>
        </w:rPr>
        <w:t>8 NOVEMB</w:t>
      </w:r>
      <w:r w:rsidR="008D292F" w:rsidRPr="00C50A5C">
        <w:rPr>
          <w:b/>
          <w:sz w:val="20"/>
          <w:szCs w:val="20"/>
        </w:rPr>
        <w:t>R</w:t>
      </w:r>
      <w:r>
        <w:rPr>
          <w:b/>
          <w:sz w:val="20"/>
          <w:szCs w:val="20"/>
        </w:rPr>
        <w:t>E</w:t>
      </w:r>
      <w:r w:rsidR="008D292F" w:rsidRPr="00C50A5C">
        <w:rPr>
          <w:b/>
          <w:sz w:val="20"/>
          <w:szCs w:val="20"/>
        </w:rPr>
        <w:t xml:space="preserve"> 201</w:t>
      </w:r>
      <w:r w:rsidR="004E1E0A">
        <w:rPr>
          <w:b/>
          <w:sz w:val="20"/>
          <w:szCs w:val="20"/>
        </w:rPr>
        <w:t>2</w:t>
      </w:r>
    </w:p>
    <w:p w:rsidR="008D292F" w:rsidRDefault="008D292F" w:rsidP="008D292F">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65D14" w:rsidRPr="00DC2D1F" w:rsidTr="00565D14">
        <w:trPr>
          <w:cantSplit/>
        </w:trPr>
        <w:tc>
          <w:tcPr>
            <w:tcW w:w="1458" w:type="dxa"/>
          </w:tcPr>
          <w:p w:rsidR="00565D14" w:rsidRPr="003C7D2B" w:rsidRDefault="00565D14" w:rsidP="00565D14">
            <w:pPr>
              <w:rPr>
                <w:sz w:val="20"/>
                <w:szCs w:val="20"/>
              </w:rPr>
            </w:pPr>
            <w:r w:rsidRPr="003C7D2B">
              <w:rPr>
                <w:rStyle w:val="SCCFileNumberChar"/>
                <w:sz w:val="20"/>
                <w:szCs w:val="20"/>
              </w:rPr>
              <w:t>27997</w:t>
            </w:r>
          </w:p>
          <w:p w:rsidR="00565D14" w:rsidRPr="003C7D2B" w:rsidRDefault="00565D14" w:rsidP="00565D14">
            <w:pPr>
              <w:rPr>
                <w:b/>
                <w:sz w:val="20"/>
                <w:szCs w:val="20"/>
                <w:lang w:val="fr-CA"/>
              </w:rPr>
            </w:pPr>
          </w:p>
        </w:tc>
        <w:tc>
          <w:tcPr>
            <w:tcW w:w="8118" w:type="dxa"/>
          </w:tcPr>
          <w:p w:rsidR="00565D14" w:rsidRPr="003C7D2B" w:rsidRDefault="00565D14" w:rsidP="00565D14">
            <w:pPr>
              <w:rPr>
                <w:sz w:val="20"/>
                <w:szCs w:val="20"/>
                <w:lang w:val="fr-CA"/>
              </w:rPr>
            </w:pPr>
            <w:r w:rsidRPr="003C7D2B">
              <w:rPr>
                <w:rStyle w:val="SCCLsocChar"/>
                <w:sz w:val="20"/>
                <w:szCs w:val="20"/>
              </w:rPr>
              <w:t>N.V. c. P.-A.L.</w:t>
            </w:r>
            <w:r w:rsidRPr="003C7D2B">
              <w:rPr>
                <w:sz w:val="20"/>
                <w:szCs w:val="20"/>
                <w:lang w:val="fr-CA"/>
              </w:rPr>
              <w:t xml:space="preserve"> (Qc) (Civile) (Autorisation)</w:t>
            </w:r>
          </w:p>
          <w:p w:rsidR="00565D14" w:rsidRPr="003C7D2B" w:rsidRDefault="00565D14" w:rsidP="00565D14">
            <w:pPr>
              <w:rPr>
                <w:sz w:val="20"/>
                <w:szCs w:val="20"/>
                <w:lang w:val="fr-CA"/>
              </w:rPr>
            </w:pPr>
          </w:p>
        </w:tc>
      </w:tr>
      <w:tr w:rsidR="00565D14" w:rsidRPr="00DC2D1F" w:rsidTr="00565D14">
        <w:trPr>
          <w:cantSplit/>
        </w:trPr>
        <w:tc>
          <w:tcPr>
            <w:tcW w:w="1458" w:type="dxa"/>
          </w:tcPr>
          <w:p w:rsidR="00565D14" w:rsidRPr="003C7D2B" w:rsidRDefault="00565D14" w:rsidP="00565D14">
            <w:pPr>
              <w:rPr>
                <w:sz w:val="20"/>
                <w:szCs w:val="20"/>
              </w:rPr>
            </w:pPr>
            <w:r w:rsidRPr="003C7D2B">
              <w:rPr>
                <w:sz w:val="20"/>
                <w:szCs w:val="20"/>
              </w:rPr>
              <w:t>Coram :</w:t>
            </w:r>
          </w:p>
        </w:tc>
        <w:tc>
          <w:tcPr>
            <w:tcW w:w="8118" w:type="dxa"/>
          </w:tcPr>
          <w:p w:rsidR="00565D14" w:rsidRPr="003C7D2B" w:rsidRDefault="00565D14" w:rsidP="00565D14">
            <w:pPr>
              <w:rPr>
                <w:sz w:val="20"/>
                <w:szCs w:val="20"/>
                <w:lang w:val="fr-CA"/>
              </w:rPr>
            </w:pPr>
            <w:r w:rsidRPr="003C7D2B">
              <w:rPr>
                <w:rStyle w:val="SCCCoramChar"/>
                <w:sz w:val="20"/>
                <w:szCs w:val="20"/>
              </w:rPr>
              <w:t>Les juges LeBel, Abella et Cromwell</w:t>
            </w:r>
          </w:p>
          <w:p w:rsidR="00565D14" w:rsidRPr="003C7D2B" w:rsidRDefault="00565D14" w:rsidP="00565D14">
            <w:pPr>
              <w:rPr>
                <w:sz w:val="20"/>
                <w:szCs w:val="20"/>
                <w:u w:val="single"/>
                <w:lang w:val="fr-CA"/>
              </w:rPr>
            </w:pPr>
          </w:p>
        </w:tc>
      </w:tr>
      <w:tr w:rsidR="00565D14" w:rsidRPr="003C7D2B" w:rsidTr="00565D14">
        <w:trPr>
          <w:cantSplit/>
        </w:trPr>
        <w:tc>
          <w:tcPr>
            <w:tcW w:w="9576" w:type="dxa"/>
            <w:gridSpan w:val="2"/>
          </w:tcPr>
          <w:p w:rsidR="00565D14" w:rsidRPr="003C7D2B" w:rsidRDefault="00565D14" w:rsidP="00565D14">
            <w:pPr>
              <w:pStyle w:val="SCCShortJudgment"/>
              <w:rPr>
                <w:szCs w:val="20"/>
                <w:lang w:val="fr-CA"/>
              </w:rPr>
            </w:pPr>
            <w:r w:rsidRPr="003C7D2B">
              <w:rPr>
                <w:szCs w:val="20"/>
                <w:lang w:val="fr-CA"/>
              </w:rPr>
              <w:t>La demande d’autorisation d’appel de l’arrêt de la Cour d’appel du Québec (Montréal), numéro 500-09-009650-003, 2012 QCCA 930, daté du 16 mai 2012, est rejetée sans dépens.</w:t>
            </w:r>
          </w:p>
          <w:p w:rsidR="00565D14" w:rsidRPr="003C7D2B" w:rsidRDefault="00565D14" w:rsidP="00565D14">
            <w:pPr>
              <w:pStyle w:val="SCCShortJudgment"/>
              <w:ind w:firstLine="0"/>
              <w:rPr>
                <w:szCs w:val="20"/>
                <w:lang w:val="fr-CA"/>
              </w:rPr>
            </w:pPr>
          </w:p>
          <w:p w:rsidR="00565D14" w:rsidRPr="003C7D2B" w:rsidRDefault="00565D14" w:rsidP="00565D14">
            <w:pPr>
              <w:pStyle w:val="SCCShortJudgment"/>
              <w:rPr>
                <w:szCs w:val="20"/>
              </w:rPr>
            </w:pPr>
            <w:r w:rsidRPr="003C7D2B">
              <w:rPr>
                <w:szCs w:val="20"/>
              </w:rPr>
              <w:t>The application for leave to appeal from the judgment of the Court of Appeal of Quebec (Montréal), Number 500-09-009650-003, 2012 QCCA 930, dated May 16, 2012, is dismissed without costs.</w:t>
            </w:r>
          </w:p>
        </w:tc>
      </w:tr>
    </w:tbl>
    <w:p w:rsidR="00A740D1" w:rsidRDefault="00A740D1" w:rsidP="008D292F">
      <w:pPr>
        <w:rPr>
          <w:sz w:val="20"/>
          <w:szCs w:val="20"/>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8D292F">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3C4E56" w:rsidRPr="00201A3F" w:rsidTr="00B803D5">
        <w:tc>
          <w:tcPr>
            <w:tcW w:w="5000" w:type="pct"/>
            <w:gridSpan w:val="3"/>
          </w:tcPr>
          <w:p w:rsidR="003C4E56" w:rsidRPr="00201A3F" w:rsidRDefault="003C4E56" w:rsidP="00B803D5">
            <w:pPr>
              <w:jc w:val="both"/>
              <w:rPr>
                <w:rFonts w:eastAsia="Calibri"/>
                <w:smallCaps/>
                <w:sz w:val="20"/>
              </w:rPr>
            </w:pPr>
            <w:r w:rsidRPr="00201A3F">
              <w:rPr>
                <w:rFonts w:eastAsia="Calibri"/>
                <w:smallCaps/>
                <w:sz w:val="20"/>
              </w:rPr>
              <w:t>(Publication Ban in Case) (Publication Ban on Party)</w:t>
            </w:r>
          </w:p>
          <w:p w:rsidR="003C4E56" w:rsidRPr="00201A3F" w:rsidRDefault="003C4E56" w:rsidP="00B803D5">
            <w:pPr>
              <w:jc w:val="both"/>
              <w:rPr>
                <w:rFonts w:eastAsia="Calibri"/>
                <w:sz w:val="20"/>
              </w:rPr>
            </w:pPr>
          </w:p>
          <w:p w:rsidR="003C4E56" w:rsidRPr="00201A3F" w:rsidRDefault="003C4E56" w:rsidP="00B803D5">
            <w:pPr>
              <w:jc w:val="both"/>
              <w:rPr>
                <w:rFonts w:eastAsia="Calibri"/>
                <w:sz w:val="20"/>
              </w:rPr>
            </w:pPr>
            <w:r w:rsidRPr="00201A3F">
              <w:rPr>
                <w:rFonts w:eastAsia="Calibri"/>
                <w:sz w:val="20"/>
              </w:rPr>
              <w:t>Civil procedure — Motion to restore appeal from judgment rendered in 2000 — Whether Court of Appeal should have allowed motion.</w:t>
            </w:r>
          </w:p>
        </w:tc>
      </w:tr>
      <w:tr w:rsidR="003C4E56" w:rsidRPr="00201A3F" w:rsidTr="00B803D5">
        <w:tc>
          <w:tcPr>
            <w:tcW w:w="5000" w:type="pct"/>
            <w:gridSpan w:val="3"/>
          </w:tcPr>
          <w:p w:rsidR="003C4E56" w:rsidRPr="00201A3F" w:rsidRDefault="003C4E56" w:rsidP="00B803D5">
            <w:pPr>
              <w:jc w:val="both"/>
              <w:rPr>
                <w:rFonts w:eastAsia="Calibri"/>
                <w:sz w:val="20"/>
              </w:rPr>
            </w:pPr>
          </w:p>
        </w:tc>
      </w:tr>
      <w:tr w:rsidR="003C4E56" w:rsidRPr="00201A3F" w:rsidTr="00B803D5">
        <w:tc>
          <w:tcPr>
            <w:tcW w:w="5000" w:type="pct"/>
            <w:gridSpan w:val="3"/>
          </w:tcPr>
          <w:p w:rsidR="003C4E56" w:rsidRPr="00201A3F" w:rsidRDefault="003C4E56" w:rsidP="00B803D5">
            <w:pPr>
              <w:jc w:val="both"/>
              <w:rPr>
                <w:rFonts w:eastAsia="Calibri"/>
                <w:sz w:val="20"/>
              </w:rPr>
            </w:pPr>
            <w:r w:rsidRPr="00201A3F">
              <w:rPr>
                <w:rFonts w:eastAsia="Calibri"/>
                <w:sz w:val="20"/>
              </w:rPr>
              <w:t>In 2012, the applicant applied to the Quebec Superior Court for leave to file a motion in revocation of a judgment rendered by LeBel J. in 2000.  Rolland C.J. dismissed the motion, noting that the applicant had been declared to be a quarrelsome litigant and that her proceeding clearly could not succeed.</w:t>
            </w:r>
          </w:p>
          <w:p w:rsidR="003C4E56" w:rsidRPr="00201A3F" w:rsidRDefault="003C4E56" w:rsidP="00B803D5">
            <w:pPr>
              <w:jc w:val="both"/>
              <w:rPr>
                <w:rFonts w:eastAsia="Calibri"/>
                <w:sz w:val="20"/>
              </w:rPr>
            </w:pPr>
          </w:p>
          <w:p w:rsidR="003C4E56" w:rsidRPr="00201A3F" w:rsidRDefault="003C4E56" w:rsidP="00B803D5">
            <w:pPr>
              <w:jc w:val="both"/>
              <w:rPr>
                <w:rFonts w:eastAsia="Calibri"/>
                <w:sz w:val="20"/>
              </w:rPr>
            </w:pPr>
            <w:r w:rsidRPr="00201A3F">
              <w:rPr>
                <w:rFonts w:eastAsia="Calibri"/>
                <w:sz w:val="20"/>
              </w:rPr>
              <w:t xml:space="preserve">The applicant filed a motion in the Court of Appeal seeking to restore her appeal from LeBel J.’s judgment.  The Court dismissed the motion on the ground that the test in art. 523 </w:t>
            </w:r>
            <w:r w:rsidRPr="00201A3F">
              <w:rPr>
                <w:rFonts w:eastAsia="Calibri"/>
                <w:i/>
                <w:sz w:val="20"/>
              </w:rPr>
              <w:t>C.C.P.</w:t>
            </w:r>
            <w:r w:rsidRPr="00201A3F">
              <w:rPr>
                <w:rFonts w:eastAsia="Calibri"/>
                <w:sz w:val="20"/>
              </w:rPr>
              <w:t xml:space="preserve"> was not met.</w:t>
            </w:r>
          </w:p>
          <w:p w:rsidR="003C4E56" w:rsidRPr="00201A3F" w:rsidRDefault="003C4E56" w:rsidP="00B803D5">
            <w:pPr>
              <w:jc w:val="both"/>
              <w:rPr>
                <w:rFonts w:eastAsia="Calibri"/>
                <w:sz w:val="20"/>
              </w:rPr>
            </w:pPr>
          </w:p>
        </w:tc>
      </w:tr>
      <w:tr w:rsidR="003C4E56" w:rsidRPr="00201A3F" w:rsidTr="00B803D5">
        <w:tc>
          <w:tcPr>
            <w:tcW w:w="2427" w:type="pct"/>
          </w:tcPr>
          <w:p w:rsidR="003C4E56" w:rsidRPr="00201A3F" w:rsidRDefault="003C4E56" w:rsidP="00B803D5">
            <w:pPr>
              <w:jc w:val="both"/>
              <w:rPr>
                <w:rFonts w:eastAsia="Calibri"/>
                <w:sz w:val="20"/>
              </w:rPr>
            </w:pPr>
            <w:r w:rsidRPr="00201A3F">
              <w:rPr>
                <w:rFonts w:eastAsia="Calibri"/>
                <w:sz w:val="20"/>
              </w:rPr>
              <w:t xml:space="preserve">February 6, 2012 </w:t>
            </w:r>
          </w:p>
          <w:p w:rsidR="003C4E56" w:rsidRPr="00201A3F" w:rsidRDefault="003C4E56" w:rsidP="00B803D5">
            <w:pPr>
              <w:jc w:val="both"/>
              <w:rPr>
                <w:rFonts w:eastAsia="Calibri"/>
                <w:sz w:val="20"/>
              </w:rPr>
            </w:pPr>
            <w:r w:rsidRPr="00201A3F">
              <w:rPr>
                <w:rFonts w:eastAsia="Calibri"/>
                <w:sz w:val="20"/>
              </w:rPr>
              <w:t>Quebec Superior Court</w:t>
            </w:r>
          </w:p>
          <w:p w:rsidR="003C4E56" w:rsidRPr="00201A3F" w:rsidRDefault="003C4E56" w:rsidP="00B803D5">
            <w:pPr>
              <w:jc w:val="both"/>
              <w:rPr>
                <w:rFonts w:eastAsia="Calibri"/>
                <w:sz w:val="20"/>
              </w:rPr>
            </w:pPr>
            <w:r w:rsidRPr="00201A3F">
              <w:rPr>
                <w:rFonts w:eastAsia="Calibri"/>
                <w:sz w:val="20"/>
              </w:rPr>
              <w:t>(Rolland C.J.)</w:t>
            </w:r>
          </w:p>
          <w:p w:rsidR="003C4E56" w:rsidRPr="00201A3F" w:rsidRDefault="003C4E56" w:rsidP="00B803D5">
            <w:pPr>
              <w:jc w:val="both"/>
              <w:rPr>
                <w:rFonts w:eastAsia="Calibri"/>
                <w:sz w:val="20"/>
              </w:rPr>
            </w:pPr>
          </w:p>
        </w:tc>
        <w:tc>
          <w:tcPr>
            <w:tcW w:w="243" w:type="pct"/>
          </w:tcPr>
          <w:p w:rsidR="003C4E56" w:rsidRPr="00201A3F" w:rsidRDefault="003C4E56" w:rsidP="00B803D5">
            <w:pPr>
              <w:jc w:val="both"/>
              <w:rPr>
                <w:rFonts w:eastAsia="Calibri"/>
                <w:sz w:val="20"/>
              </w:rPr>
            </w:pPr>
          </w:p>
        </w:tc>
        <w:tc>
          <w:tcPr>
            <w:tcW w:w="2330" w:type="pct"/>
          </w:tcPr>
          <w:p w:rsidR="003C4E56" w:rsidRPr="00201A3F" w:rsidRDefault="003C4E56" w:rsidP="00B803D5">
            <w:pPr>
              <w:jc w:val="both"/>
              <w:rPr>
                <w:rFonts w:eastAsia="Calibri"/>
                <w:sz w:val="20"/>
              </w:rPr>
            </w:pPr>
            <w:r w:rsidRPr="00201A3F">
              <w:rPr>
                <w:rFonts w:eastAsia="Calibri"/>
                <w:sz w:val="20"/>
              </w:rPr>
              <w:t>Motion for leave to file motion in revocation of Superior Court judgment of April 28, 2000 dismissed</w:t>
            </w:r>
          </w:p>
          <w:p w:rsidR="003C4E56" w:rsidRPr="00201A3F" w:rsidRDefault="003C4E56" w:rsidP="00B803D5">
            <w:pPr>
              <w:jc w:val="both"/>
              <w:rPr>
                <w:rFonts w:eastAsia="Calibri"/>
                <w:sz w:val="20"/>
              </w:rPr>
            </w:pPr>
          </w:p>
        </w:tc>
      </w:tr>
      <w:tr w:rsidR="003C4E56" w:rsidRPr="00201A3F" w:rsidTr="00B803D5">
        <w:tc>
          <w:tcPr>
            <w:tcW w:w="2427" w:type="pct"/>
          </w:tcPr>
          <w:p w:rsidR="003C4E56" w:rsidRPr="00201A3F" w:rsidRDefault="003C4E56" w:rsidP="00B803D5">
            <w:pPr>
              <w:jc w:val="both"/>
              <w:rPr>
                <w:rFonts w:eastAsia="Calibri"/>
                <w:sz w:val="20"/>
              </w:rPr>
            </w:pPr>
            <w:r w:rsidRPr="00201A3F">
              <w:rPr>
                <w:rFonts w:eastAsia="Calibri"/>
                <w:sz w:val="20"/>
              </w:rPr>
              <w:t>May 16, 2012</w:t>
            </w:r>
          </w:p>
          <w:p w:rsidR="003C4E56" w:rsidRPr="00201A3F" w:rsidRDefault="003C4E56" w:rsidP="00B803D5">
            <w:pPr>
              <w:jc w:val="both"/>
              <w:rPr>
                <w:rFonts w:eastAsia="Calibri"/>
                <w:sz w:val="20"/>
              </w:rPr>
            </w:pPr>
            <w:r w:rsidRPr="00201A3F">
              <w:rPr>
                <w:rFonts w:eastAsia="Calibri"/>
                <w:sz w:val="20"/>
              </w:rPr>
              <w:t>Quebec Court of Appeal (Montréal)</w:t>
            </w:r>
          </w:p>
          <w:p w:rsidR="003C4E56" w:rsidRPr="00201A3F" w:rsidRDefault="003C4E56" w:rsidP="00B803D5">
            <w:pPr>
              <w:jc w:val="both"/>
              <w:rPr>
                <w:rFonts w:eastAsia="Calibri"/>
                <w:sz w:val="20"/>
              </w:rPr>
            </w:pPr>
            <w:r w:rsidRPr="00201A3F">
              <w:rPr>
                <w:rFonts w:eastAsia="Calibri"/>
                <w:sz w:val="20"/>
              </w:rPr>
              <w:t>(Forget, Morissette and Léger JJ.A.)</w:t>
            </w:r>
          </w:p>
          <w:p w:rsidR="003C4E56" w:rsidRPr="00201A3F" w:rsidRDefault="003C4E56" w:rsidP="00B803D5">
            <w:pPr>
              <w:jc w:val="both"/>
              <w:rPr>
                <w:rFonts w:eastAsia="Calibri"/>
                <w:sz w:val="20"/>
              </w:rPr>
            </w:pPr>
            <w:r w:rsidRPr="00201A3F">
              <w:rPr>
                <w:rFonts w:eastAsia="Calibri"/>
                <w:sz w:val="20"/>
              </w:rPr>
              <w:t>2012 QCCA 930; 500-09-009650-003</w:t>
            </w:r>
          </w:p>
          <w:p w:rsidR="003C4E56" w:rsidRPr="00201A3F" w:rsidRDefault="003C4E56" w:rsidP="00B803D5">
            <w:pPr>
              <w:jc w:val="both"/>
              <w:rPr>
                <w:rFonts w:eastAsia="Calibri"/>
                <w:sz w:val="20"/>
              </w:rPr>
            </w:pPr>
          </w:p>
        </w:tc>
        <w:tc>
          <w:tcPr>
            <w:tcW w:w="243" w:type="pct"/>
          </w:tcPr>
          <w:p w:rsidR="003C4E56" w:rsidRPr="00201A3F" w:rsidRDefault="003C4E56" w:rsidP="00B803D5">
            <w:pPr>
              <w:jc w:val="both"/>
              <w:rPr>
                <w:rFonts w:eastAsia="Calibri"/>
                <w:sz w:val="20"/>
              </w:rPr>
            </w:pPr>
          </w:p>
        </w:tc>
        <w:tc>
          <w:tcPr>
            <w:tcW w:w="2330" w:type="pct"/>
          </w:tcPr>
          <w:p w:rsidR="003C4E56" w:rsidRPr="00201A3F" w:rsidRDefault="003C4E56" w:rsidP="00B803D5">
            <w:pPr>
              <w:jc w:val="both"/>
              <w:rPr>
                <w:rFonts w:eastAsia="Calibri"/>
                <w:sz w:val="20"/>
              </w:rPr>
            </w:pPr>
            <w:r w:rsidRPr="00201A3F">
              <w:rPr>
                <w:rFonts w:eastAsia="Calibri"/>
                <w:sz w:val="20"/>
              </w:rPr>
              <w:t>Motion to restore appeal from Superior Court judgment of April 28, 2000 dismissed</w:t>
            </w:r>
          </w:p>
          <w:p w:rsidR="003C4E56" w:rsidRPr="00201A3F" w:rsidRDefault="003C4E56" w:rsidP="00B803D5">
            <w:pPr>
              <w:jc w:val="both"/>
              <w:rPr>
                <w:rFonts w:eastAsia="Calibri"/>
                <w:sz w:val="20"/>
              </w:rPr>
            </w:pPr>
          </w:p>
        </w:tc>
      </w:tr>
      <w:tr w:rsidR="003C4E56" w:rsidRPr="00201A3F" w:rsidTr="00B803D5">
        <w:tc>
          <w:tcPr>
            <w:tcW w:w="2427" w:type="pct"/>
          </w:tcPr>
          <w:p w:rsidR="003C4E56" w:rsidRPr="00201A3F" w:rsidRDefault="003C4E56" w:rsidP="00B803D5">
            <w:pPr>
              <w:jc w:val="both"/>
              <w:rPr>
                <w:rFonts w:eastAsia="Calibri"/>
                <w:sz w:val="20"/>
              </w:rPr>
            </w:pPr>
            <w:r w:rsidRPr="00201A3F">
              <w:rPr>
                <w:rFonts w:eastAsia="Calibri"/>
                <w:sz w:val="20"/>
              </w:rPr>
              <w:t>July 27, 2012</w:t>
            </w:r>
          </w:p>
          <w:p w:rsidR="003C4E56" w:rsidRPr="00201A3F" w:rsidRDefault="003C4E56" w:rsidP="00B803D5">
            <w:pPr>
              <w:jc w:val="both"/>
              <w:rPr>
                <w:rFonts w:eastAsia="Calibri"/>
                <w:sz w:val="20"/>
              </w:rPr>
            </w:pPr>
            <w:r w:rsidRPr="00201A3F">
              <w:rPr>
                <w:rFonts w:eastAsia="Calibri"/>
                <w:sz w:val="20"/>
              </w:rPr>
              <w:t>Supreme Court of Canada</w:t>
            </w:r>
          </w:p>
        </w:tc>
        <w:tc>
          <w:tcPr>
            <w:tcW w:w="243" w:type="pct"/>
          </w:tcPr>
          <w:p w:rsidR="003C4E56" w:rsidRPr="00201A3F" w:rsidRDefault="003C4E56" w:rsidP="00B803D5">
            <w:pPr>
              <w:jc w:val="both"/>
              <w:rPr>
                <w:rFonts w:eastAsia="Calibri"/>
                <w:sz w:val="20"/>
              </w:rPr>
            </w:pPr>
          </w:p>
        </w:tc>
        <w:tc>
          <w:tcPr>
            <w:tcW w:w="2330" w:type="pct"/>
          </w:tcPr>
          <w:p w:rsidR="003C4E56" w:rsidRPr="00201A3F" w:rsidRDefault="003C4E56" w:rsidP="00B803D5">
            <w:pPr>
              <w:jc w:val="both"/>
              <w:rPr>
                <w:rFonts w:eastAsia="Calibri"/>
                <w:sz w:val="20"/>
              </w:rPr>
            </w:pPr>
            <w:r w:rsidRPr="00201A3F">
              <w:rPr>
                <w:rFonts w:eastAsia="Calibri"/>
                <w:sz w:val="20"/>
              </w:rPr>
              <w:t>Application for leave to appeal filed</w:t>
            </w:r>
          </w:p>
          <w:p w:rsidR="003C4E56" w:rsidRPr="00201A3F" w:rsidRDefault="003C4E56" w:rsidP="00B803D5">
            <w:pPr>
              <w:jc w:val="both"/>
              <w:rPr>
                <w:rFonts w:eastAsia="Calibri"/>
                <w:sz w:val="20"/>
              </w:rPr>
            </w:pPr>
          </w:p>
        </w:tc>
      </w:tr>
    </w:tbl>
    <w:p w:rsidR="00A740D1" w:rsidRDefault="00A740D1" w:rsidP="008D292F">
      <w:pPr>
        <w:rPr>
          <w:sz w:val="20"/>
          <w:szCs w:val="20"/>
        </w:rPr>
      </w:pPr>
    </w:p>
    <w:p w:rsidR="00A740D1" w:rsidRPr="00C50A5C" w:rsidRDefault="00BF3B03" w:rsidP="00A740D1">
      <w:pPr>
        <w:rPr>
          <w:sz w:val="20"/>
          <w:szCs w:val="20"/>
        </w:rPr>
      </w:pPr>
      <w:r w:rsidRPr="00BF3B03">
        <w:rPr>
          <w:sz w:val="20"/>
          <w:szCs w:val="20"/>
          <w:lang w:val="fr-CA"/>
        </w:rPr>
        <w:pict>
          <v:rect id="_x0000_i1042"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8D292F">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3C4E56" w:rsidRPr="00DC2D1F" w:rsidTr="00B803D5">
        <w:tc>
          <w:tcPr>
            <w:tcW w:w="5000" w:type="pct"/>
            <w:gridSpan w:val="3"/>
          </w:tcPr>
          <w:p w:rsidR="003C4E56" w:rsidRPr="00201A3F" w:rsidRDefault="003C4E56" w:rsidP="00B803D5">
            <w:pPr>
              <w:jc w:val="both"/>
              <w:rPr>
                <w:rFonts w:eastAsia="Calibri"/>
                <w:smallCaps/>
                <w:sz w:val="20"/>
                <w:lang w:val="fr-CA"/>
              </w:rPr>
            </w:pPr>
            <w:r w:rsidRPr="00201A3F">
              <w:rPr>
                <w:rFonts w:eastAsia="Calibri"/>
                <w:smallCaps/>
                <w:sz w:val="20"/>
                <w:lang w:val="fr-CA"/>
              </w:rPr>
              <w:t>(Ordonnance de non</w:t>
            </w:r>
            <w:r w:rsidRPr="00201A3F">
              <w:rPr>
                <w:rFonts w:eastAsia="Calibri"/>
                <w:smallCaps/>
                <w:sz w:val="20"/>
                <w:lang w:val="fr-CA"/>
              </w:rPr>
              <w:noBreakHyphen/>
              <w:t>publication dans le dossier) (Ordonnance de non</w:t>
            </w:r>
            <w:r w:rsidRPr="00201A3F">
              <w:rPr>
                <w:rFonts w:eastAsia="Calibri"/>
                <w:smallCaps/>
                <w:sz w:val="20"/>
                <w:lang w:val="fr-CA"/>
              </w:rPr>
              <w:noBreakHyphen/>
              <w:t>publication visant une partie)</w:t>
            </w:r>
          </w:p>
          <w:p w:rsidR="003C4E56" w:rsidRPr="00201A3F" w:rsidRDefault="003C4E56" w:rsidP="00B803D5">
            <w:pPr>
              <w:jc w:val="both"/>
              <w:rPr>
                <w:rFonts w:eastAsia="Calibri"/>
                <w:sz w:val="20"/>
                <w:lang w:val="fr-CA"/>
              </w:rPr>
            </w:pPr>
          </w:p>
          <w:p w:rsidR="003C4E56" w:rsidRPr="00201A3F" w:rsidRDefault="003C4E56" w:rsidP="00B803D5">
            <w:pPr>
              <w:jc w:val="both"/>
              <w:rPr>
                <w:rFonts w:eastAsia="Calibri"/>
                <w:sz w:val="20"/>
                <w:lang w:val="fr-CA"/>
              </w:rPr>
            </w:pPr>
            <w:r w:rsidRPr="00201A3F">
              <w:rPr>
                <w:rFonts w:eastAsia="Calibri"/>
                <w:sz w:val="20"/>
                <w:lang w:val="fr-CA"/>
              </w:rPr>
              <w:t>Procédure civile — Requête pour la remise en état d’un appel à l’encontre d’un jugement rendu en 2000 — La Cour d’appel aurait</w:t>
            </w:r>
            <w:r w:rsidRPr="00201A3F">
              <w:rPr>
                <w:rFonts w:eastAsia="Calibri"/>
                <w:sz w:val="20"/>
                <w:lang w:val="fr-CA"/>
              </w:rPr>
              <w:noBreakHyphen/>
              <w:t>elle dû accueillir la requête?</w:t>
            </w:r>
          </w:p>
        </w:tc>
      </w:tr>
      <w:tr w:rsidR="003C4E56" w:rsidRPr="00DC2D1F" w:rsidTr="00B803D5">
        <w:tc>
          <w:tcPr>
            <w:tcW w:w="5000" w:type="pct"/>
            <w:gridSpan w:val="3"/>
          </w:tcPr>
          <w:p w:rsidR="003C4E56" w:rsidRPr="00201A3F" w:rsidRDefault="003C4E56" w:rsidP="00B803D5">
            <w:pPr>
              <w:jc w:val="both"/>
              <w:rPr>
                <w:rFonts w:eastAsia="Calibri"/>
                <w:sz w:val="20"/>
                <w:lang w:val="fr-CA"/>
              </w:rPr>
            </w:pPr>
          </w:p>
        </w:tc>
      </w:tr>
      <w:tr w:rsidR="003C4E56" w:rsidRPr="00DC2D1F" w:rsidTr="00B803D5">
        <w:tc>
          <w:tcPr>
            <w:tcW w:w="5000" w:type="pct"/>
            <w:gridSpan w:val="3"/>
          </w:tcPr>
          <w:p w:rsidR="003C4E56" w:rsidRPr="00201A3F" w:rsidRDefault="003C4E56" w:rsidP="00B803D5">
            <w:pPr>
              <w:jc w:val="both"/>
              <w:rPr>
                <w:rFonts w:eastAsia="Calibri"/>
                <w:sz w:val="20"/>
                <w:lang w:val="fr-CA"/>
              </w:rPr>
            </w:pPr>
            <w:r w:rsidRPr="00201A3F">
              <w:rPr>
                <w:rFonts w:eastAsia="Calibri"/>
                <w:sz w:val="20"/>
                <w:lang w:val="fr-CA"/>
              </w:rPr>
              <w:lastRenderedPageBreak/>
              <w:t xml:space="preserve">En 2012, la demanderesse s’adresse à la Cour supérieure du Québec pour demander l’autorisation de déposer une requête en rétractation de jugement à l’encontre d’une décision de la juge LeBel rendue en 2000.  Le juge en chef Rolland rejette la requête.  Il note que la demanderesse a été déclarée plaideuse quérulente et que sa procédure est manifestement vouée à l’échec. </w:t>
            </w:r>
          </w:p>
          <w:p w:rsidR="003C4E56" w:rsidRPr="00201A3F" w:rsidRDefault="003C4E56" w:rsidP="00B803D5">
            <w:pPr>
              <w:jc w:val="both"/>
              <w:rPr>
                <w:rFonts w:eastAsia="Calibri"/>
                <w:sz w:val="20"/>
                <w:lang w:val="fr-CA"/>
              </w:rPr>
            </w:pPr>
          </w:p>
          <w:p w:rsidR="003C4E56" w:rsidRPr="00201A3F" w:rsidRDefault="003C4E56" w:rsidP="00B803D5">
            <w:pPr>
              <w:jc w:val="both"/>
              <w:rPr>
                <w:rFonts w:eastAsia="Calibri"/>
                <w:sz w:val="20"/>
                <w:lang w:val="fr-CA"/>
              </w:rPr>
            </w:pPr>
            <w:r w:rsidRPr="00201A3F">
              <w:rPr>
                <w:rFonts w:eastAsia="Calibri"/>
                <w:sz w:val="20"/>
                <w:lang w:val="fr-CA"/>
              </w:rPr>
              <w:t xml:space="preserve">La demanderesse dépose une requête à la Cour d’appel où elle demande la remise en état de son appel contre le jugement de la juge LeBel.  La Cour rejette la requête, car elle est d’avis qu’il n’est pas satisfait au critère énoncé à l’art. 523 </w:t>
            </w:r>
            <w:r w:rsidRPr="00201A3F">
              <w:rPr>
                <w:rFonts w:eastAsia="Calibri"/>
                <w:i/>
                <w:sz w:val="20"/>
                <w:lang w:val="fr-CA"/>
              </w:rPr>
              <w:t>C.p.c</w:t>
            </w:r>
            <w:r w:rsidRPr="00201A3F">
              <w:rPr>
                <w:rFonts w:eastAsia="Calibri"/>
                <w:sz w:val="20"/>
                <w:lang w:val="fr-CA"/>
              </w:rPr>
              <w:t>.</w:t>
            </w:r>
          </w:p>
          <w:p w:rsidR="003C4E56" w:rsidRPr="00201A3F" w:rsidRDefault="003C4E56" w:rsidP="00B803D5">
            <w:pPr>
              <w:jc w:val="both"/>
              <w:rPr>
                <w:rFonts w:eastAsia="Calibri"/>
                <w:sz w:val="20"/>
                <w:lang w:val="fr-CA"/>
              </w:rPr>
            </w:pPr>
          </w:p>
        </w:tc>
      </w:tr>
      <w:tr w:rsidR="003C4E56" w:rsidRPr="00DC2D1F" w:rsidTr="00B803D5">
        <w:tc>
          <w:tcPr>
            <w:tcW w:w="2427" w:type="pct"/>
          </w:tcPr>
          <w:p w:rsidR="003C4E56" w:rsidRPr="00201A3F" w:rsidRDefault="003C4E56" w:rsidP="00B803D5">
            <w:pPr>
              <w:jc w:val="both"/>
              <w:rPr>
                <w:rFonts w:eastAsia="Calibri"/>
                <w:sz w:val="20"/>
                <w:lang w:val="fr-CA"/>
              </w:rPr>
            </w:pPr>
            <w:r w:rsidRPr="00201A3F">
              <w:rPr>
                <w:rFonts w:eastAsia="Calibri"/>
                <w:sz w:val="20"/>
                <w:lang w:val="fr-CA"/>
              </w:rPr>
              <w:t xml:space="preserve">Le 6 février 2012 </w:t>
            </w:r>
          </w:p>
          <w:p w:rsidR="003C4E56" w:rsidRPr="00201A3F" w:rsidRDefault="003C4E56" w:rsidP="00B803D5">
            <w:pPr>
              <w:jc w:val="both"/>
              <w:rPr>
                <w:rFonts w:eastAsia="Calibri"/>
                <w:sz w:val="20"/>
                <w:lang w:val="fr-CA"/>
              </w:rPr>
            </w:pPr>
            <w:r w:rsidRPr="00201A3F">
              <w:rPr>
                <w:rFonts w:eastAsia="Calibri"/>
                <w:sz w:val="20"/>
                <w:lang w:val="fr-CA"/>
              </w:rPr>
              <w:t>Cour supérieure du Québec</w:t>
            </w:r>
          </w:p>
          <w:p w:rsidR="003C4E56" w:rsidRPr="00201A3F" w:rsidRDefault="003C4E56" w:rsidP="00B803D5">
            <w:pPr>
              <w:jc w:val="both"/>
              <w:rPr>
                <w:rFonts w:eastAsia="Calibri"/>
                <w:sz w:val="20"/>
                <w:lang w:val="fr-CA"/>
              </w:rPr>
            </w:pPr>
            <w:r w:rsidRPr="00201A3F">
              <w:rPr>
                <w:rFonts w:eastAsia="Calibri"/>
                <w:sz w:val="20"/>
                <w:lang w:val="fr-CA"/>
              </w:rPr>
              <w:t>(Le juge en chef Rolland)</w:t>
            </w:r>
          </w:p>
          <w:p w:rsidR="003C4E56" w:rsidRPr="00201A3F" w:rsidRDefault="003C4E56" w:rsidP="00B803D5">
            <w:pPr>
              <w:jc w:val="both"/>
              <w:rPr>
                <w:rFonts w:eastAsia="Calibri"/>
                <w:sz w:val="20"/>
                <w:lang w:val="fr-CA"/>
              </w:rPr>
            </w:pPr>
          </w:p>
        </w:tc>
        <w:tc>
          <w:tcPr>
            <w:tcW w:w="243" w:type="pct"/>
          </w:tcPr>
          <w:p w:rsidR="003C4E56" w:rsidRPr="00201A3F" w:rsidRDefault="003C4E56" w:rsidP="00B803D5">
            <w:pPr>
              <w:jc w:val="both"/>
              <w:rPr>
                <w:rFonts w:eastAsia="Calibri"/>
                <w:sz w:val="20"/>
                <w:lang w:val="fr-CA"/>
              </w:rPr>
            </w:pPr>
          </w:p>
        </w:tc>
        <w:tc>
          <w:tcPr>
            <w:tcW w:w="2330" w:type="pct"/>
          </w:tcPr>
          <w:p w:rsidR="003C4E56" w:rsidRPr="00201A3F" w:rsidRDefault="003C4E56" w:rsidP="00B803D5">
            <w:pPr>
              <w:jc w:val="both"/>
              <w:rPr>
                <w:rFonts w:eastAsia="Calibri"/>
                <w:sz w:val="20"/>
                <w:lang w:val="fr-CA"/>
              </w:rPr>
            </w:pPr>
            <w:r w:rsidRPr="00201A3F">
              <w:rPr>
                <w:rFonts w:eastAsia="Calibri"/>
                <w:sz w:val="20"/>
                <w:lang w:val="fr-CA"/>
              </w:rPr>
              <w:t>Requête en autorisation de déposer une requête en rétractation de jugement à l’encontre du jugement de la Cour supérieure du 28 avril 2000 rejetée</w:t>
            </w:r>
          </w:p>
          <w:p w:rsidR="003C4E56" w:rsidRPr="00201A3F" w:rsidRDefault="003C4E56" w:rsidP="00B803D5">
            <w:pPr>
              <w:jc w:val="both"/>
              <w:rPr>
                <w:rFonts w:eastAsia="Calibri"/>
                <w:sz w:val="20"/>
                <w:lang w:val="fr-CA"/>
              </w:rPr>
            </w:pPr>
          </w:p>
        </w:tc>
      </w:tr>
      <w:tr w:rsidR="003C4E56" w:rsidRPr="00DC2D1F" w:rsidTr="00B803D5">
        <w:tc>
          <w:tcPr>
            <w:tcW w:w="2427" w:type="pct"/>
          </w:tcPr>
          <w:p w:rsidR="003C4E56" w:rsidRPr="00201A3F" w:rsidRDefault="003C4E56" w:rsidP="00B803D5">
            <w:pPr>
              <w:jc w:val="both"/>
              <w:rPr>
                <w:rFonts w:eastAsia="Calibri"/>
                <w:sz w:val="20"/>
                <w:lang w:val="fr-CA"/>
              </w:rPr>
            </w:pPr>
            <w:r w:rsidRPr="00201A3F">
              <w:rPr>
                <w:rFonts w:eastAsia="Calibri"/>
                <w:sz w:val="20"/>
                <w:lang w:val="fr-CA"/>
              </w:rPr>
              <w:t>Le 16 mai 2012</w:t>
            </w:r>
          </w:p>
          <w:p w:rsidR="003C4E56" w:rsidRPr="00201A3F" w:rsidRDefault="003C4E56" w:rsidP="00B803D5">
            <w:pPr>
              <w:jc w:val="both"/>
              <w:rPr>
                <w:rFonts w:eastAsia="Calibri"/>
                <w:sz w:val="20"/>
                <w:lang w:val="fr-CA"/>
              </w:rPr>
            </w:pPr>
            <w:r w:rsidRPr="00201A3F">
              <w:rPr>
                <w:rFonts w:eastAsia="Calibri"/>
                <w:sz w:val="20"/>
                <w:lang w:val="fr-CA"/>
              </w:rPr>
              <w:t>Cour d’appel du Québec (Montréal)</w:t>
            </w:r>
          </w:p>
          <w:p w:rsidR="003C4E56" w:rsidRPr="00201A3F" w:rsidRDefault="003C4E56" w:rsidP="00B803D5">
            <w:pPr>
              <w:jc w:val="both"/>
              <w:rPr>
                <w:rFonts w:eastAsia="Calibri"/>
                <w:sz w:val="20"/>
                <w:lang w:val="fr-CA"/>
              </w:rPr>
            </w:pPr>
            <w:r w:rsidRPr="00201A3F">
              <w:rPr>
                <w:rFonts w:eastAsia="Calibri"/>
                <w:sz w:val="20"/>
                <w:lang w:val="fr-CA"/>
              </w:rPr>
              <w:t>(Les juges Forget, Morissette et Léger)</w:t>
            </w:r>
          </w:p>
          <w:p w:rsidR="003C4E56" w:rsidRPr="00201A3F" w:rsidRDefault="003C4E56" w:rsidP="00B803D5">
            <w:pPr>
              <w:jc w:val="both"/>
              <w:rPr>
                <w:rFonts w:eastAsia="Calibri"/>
                <w:sz w:val="20"/>
                <w:lang w:val="fr-CA"/>
              </w:rPr>
            </w:pPr>
            <w:r w:rsidRPr="00201A3F">
              <w:rPr>
                <w:rFonts w:eastAsia="Calibri"/>
                <w:sz w:val="20"/>
                <w:lang w:val="fr-CA"/>
              </w:rPr>
              <w:t>2012 QCCA 930; 500</w:t>
            </w:r>
            <w:r w:rsidRPr="00201A3F">
              <w:rPr>
                <w:rFonts w:eastAsia="Calibri"/>
                <w:sz w:val="20"/>
                <w:lang w:val="fr-CA"/>
              </w:rPr>
              <w:noBreakHyphen/>
              <w:t>09</w:t>
            </w:r>
            <w:r w:rsidRPr="00201A3F">
              <w:rPr>
                <w:rFonts w:eastAsia="Calibri"/>
                <w:sz w:val="20"/>
                <w:lang w:val="fr-CA"/>
              </w:rPr>
              <w:noBreakHyphen/>
              <w:t>009650</w:t>
            </w:r>
            <w:r w:rsidRPr="00201A3F">
              <w:rPr>
                <w:rFonts w:eastAsia="Calibri"/>
                <w:sz w:val="20"/>
                <w:lang w:val="fr-CA"/>
              </w:rPr>
              <w:noBreakHyphen/>
              <w:t>003</w:t>
            </w:r>
          </w:p>
          <w:p w:rsidR="003C4E56" w:rsidRPr="00201A3F" w:rsidRDefault="003C4E56" w:rsidP="00B803D5">
            <w:pPr>
              <w:jc w:val="both"/>
              <w:rPr>
                <w:rFonts w:eastAsia="Calibri"/>
                <w:sz w:val="20"/>
                <w:lang w:val="fr-CA"/>
              </w:rPr>
            </w:pPr>
          </w:p>
        </w:tc>
        <w:tc>
          <w:tcPr>
            <w:tcW w:w="243" w:type="pct"/>
          </w:tcPr>
          <w:p w:rsidR="003C4E56" w:rsidRPr="00201A3F" w:rsidRDefault="003C4E56" w:rsidP="00B803D5">
            <w:pPr>
              <w:jc w:val="both"/>
              <w:rPr>
                <w:rFonts w:eastAsia="Calibri"/>
                <w:sz w:val="20"/>
                <w:lang w:val="fr-CA"/>
              </w:rPr>
            </w:pPr>
          </w:p>
        </w:tc>
        <w:tc>
          <w:tcPr>
            <w:tcW w:w="2330" w:type="pct"/>
          </w:tcPr>
          <w:p w:rsidR="003C4E56" w:rsidRPr="00201A3F" w:rsidRDefault="003C4E56" w:rsidP="00B803D5">
            <w:pPr>
              <w:jc w:val="both"/>
              <w:rPr>
                <w:rFonts w:eastAsia="Calibri"/>
                <w:sz w:val="20"/>
                <w:lang w:val="fr-CA"/>
              </w:rPr>
            </w:pPr>
            <w:r w:rsidRPr="00201A3F">
              <w:rPr>
                <w:rFonts w:eastAsia="Calibri"/>
                <w:sz w:val="20"/>
                <w:lang w:val="fr-CA"/>
              </w:rPr>
              <w:t>Requête pour la remise en état d’un appel à l’encontre du jugement de la Cour supérieure du 28 avril 2000 rejetée</w:t>
            </w:r>
          </w:p>
          <w:p w:rsidR="003C4E56" w:rsidRPr="00201A3F" w:rsidRDefault="003C4E56" w:rsidP="00B803D5">
            <w:pPr>
              <w:jc w:val="both"/>
              <w:rPr>
                <w:rFonts w:eastAsia="Calibri"/>
                <w:sz w:val="20"/>
                <w:lang w:val="fr-CA"/>
              </w:rPr>
            </w:pPr>
          </w:p>
        </w:tc>
      </w:tr>
      <w:tr w:rsidR="003C4E56" w:rsidRPr="00201A3F" w:rsidTr="00B803D5">
        <w:tc>
          <w:tcPr>
            <w:tcW w:w="2427" w:type="pct"/>
          </w:tcPr>
          <w:p w:rsidR="003C4E56" w:rsidRPr="00201A3F" w:rsidRDefault="003C4E56" w:rsidP="00B803D5">
            <w:pPr>
              <w:jc w:val="both"/>
              <w:rPr>
                <w:rFonts w:eastAsia="Calibri"/>
                <w:sz w:val="20"/>
                <w:lang w:val="fr-CA"/>
              </w:rPr>
            </w:pPr>
            <w:r w:rsidRPr="00201A3F">
              <w:rPr>
                <w:rFonts w:eastAsia="Calibri"/>
                <w:sz w:val="20"/>
                <w:lang w:val="fr-CA"/>
              </w:rPr>
              <w:t>Le 27 juillet 2012</w:t>
            </w:r>
          </w:p>
          <w:p w:rsidR="003C4E56" w:rsidRPr="00201A3F" w:rsidRDefault="003C4E56" w:rsidP="00B803D5">
            <w:pPr>
              <w:jc w:val="both"/>
              <w:rPr>
                <w:rFonts w:eastAsia="Calibri"/>
                <w:sz w:val="20"/>
                <w:lang w:val="fr-CA"/>
              </w:rPr>
            </w:pPr>
            <w:r w:rsidRPr="00201A3F">
              <w:rPr>
                <w:rFonts w:eastAsia="Calibri"/>
                <w:sz w:val="20"/>
                <w:lang w:val="fr-CA"/>
              </w:rPr>
              <w:t>Cour suprême du Canada</w:t>
            </w:r>
          </w:p>
        </w:tc>
        <w:tc>
          <w:tcPr>
            <w:tcW w:w="243" w:type="pct"/>
          </w:tcPr>
          <w:p w:rsidR="003C4E56" w:rsidRPr="00201A3F" w:rsidRDefault="003C4E56" w:rsidP="00B803D5">
            <w:pPr>
              <w:jc w:val="both"/>
              <w:rPr>
                <w:rFonts w:eastAsia="Calibri"/>
                <w:sz w:val="20"/>
                <w:lang w:val="fr-CA"/>
              </w:rPr>
            </w:pPr>
          </w:p>
        </w:tc>
        <w:tc>
          <w:tcPr>
            <w:tcW w:w="2330" w:type="pct"/>
          </w:tcPr>
          <w:p w:rsidR="003C4E56" w:rsidRPr="00201A3F" w:rsidRDefault="003C4E56" w:rsidP="00B803D5">
            <w:pPr>
              <w:jc w:val="both"/>
              <w:rPr>
                <w:rFonts w:eastAsia="Calibri"/>
                <w:sz w:val="20"/>
                <w:lang w:val="fr-CA"/>
              </w:rPr>
            </w:pPr>
            <w:r w:rsidRPr="00201A3F">
              <w:rPr>
                <w:rFonts w:eastAsia="Calibri"/>
                <w:sz w:val="20"/>
                <w:lang w:val="fr-CA"/>
              </w:rPr>
              <w:t>Demande d'autorisation d'appel déposée</w:t>
            </w:r>
          </w:p>
          <w:p w:rsidR="003C4E56" w:rsidRPr="00201A3F" w:rsidRDefault="003C4E56" w:rsidP="00B803D5">
            <w:pPr>
              <w:jc w:val="both"/>
              <w:rPr>
                <w:rFonts w:eastAsia="Calibri"/>
                <w:sz w:val="20"/>
                <w:lang w:val="fr-CA"/>
              </w:rPr>
            </w:pPr>
          </w:p>
        </w:tc>
      </w:tr>
    </w:tbl>
    <w:p w:rsidR="00A740D1" w:rsidRDefault="00A740D1" w:rsidP="008D292F">
      <w:pPr>
        <w:rPr>
          <w:sz w:val="20"/>
          <w:szCs w:val="20"/>
        </w:rPr>
      </w:pPr>
    </w:p>
    <w:p w:rsidR="00A740D1" w:rsidRDefault="00BF3B03" w:rsidP="008D292F">
      <w:pPr>
        <w:rPr>
          <w:sz w:val="20"/>
          <w:szCs w:val="20"/>
        </w:rPr>
      </w:pPr>
      <w:r w:rsidRPr="00BF3B03">
        <w:rPr>
          <w:sz w:val="20"/>
          <w:szCs w:val="20"/>
          <w:lang w:val="fr-CA"/>
        </w:rPr>
        <w:pict>
          <v:rect id="_x0000_i1043" style="width:2in;height:1pt" o:hrpct="0" o:hralign="center" o:hrstd="t" o:hrnoshade="t" o:hr="t" fillcolor="black [3213]" stroked="f"/>
        </w:pict>
      </w:r>
    </w:p>
    <w:p w:rsidR="00A740D1" w:rsidRDefault="00A740D1" w:rsidP="008D292F">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6290" w:rsidRPr="003C7D2B" w:rsidTr="00C46290">
        <w:trPr>
          <w:cantSplit/>
        </w:trPr>
        <w:tc>
          <w:tcPr>
            <w:tcW w:w="1458" w:type="dxa"/>
          </w:tcPr>
          <w:p w:rsidR="00C46290" w:rsidRPr="003C7D2B" w:rsidRDefault="00C46290" w:rsidP="00C46290">
            <w:pPr>
              <w:rPr>
                <w:sz w:val="20"/>
                <w:szCs w:val="20"/>
              </w:rPr>
            </w:pPr>
            <w:r w:rsidRPr="003C7D2B">
              <w:rPr>
                <w:rStyle w:val="SCCFileNumberChar"/>
                <w:sz w:val="20"/>
                <w:szCs w:val="20"/>
              </w:rPr>
              <w:t>34706</w:t>
            </w:r>
          </w:p>
          <w:p w:rsidR="00C46290" w:rsidRPr="003C7D2B" w:rsidRDefault="00C46290" w:rsidP="00C46290">
            <w:pPr>
              <w:rPr>
                <w:b/>
                <w:sz w:val="20"/>
                <w:szCs w:val="20"/>
                <w:lang w:val="fr-CA"/>
              </w:rPr>
            </w:pPr>
          </w:p>
        </w:tc>
        <w:tc>
          <w:tcPr>
            <w:tcW w:w="8118" w:type="dxa"/>
          </w:tcPr>
          <w:p w:rsidR="00C46290" w:rsidRPr="003C7D2B" w:rsidRDefault="00C46290" w:rsidP="00C46290">
            <w:pPr>
              <w:jc w:val="both"/>
              <w:rPr>
                <w:sz w:val="20"/>
                <w:szCs w:val="20"/>
              </w:rPr>
            </w:pPr>
            <w:r w:rsidRPr="00C46290">
              <w:rPr>
                <w:rStyle w:val="SCCLsocChar"/>
                <w:sz w:val="20"/>
                <w:szCs w:val="20"/>
                <w:lang w:val="en-CA"/>
              </w:rPr>
              <w:t>Public Service Alliance of Canada</w:t>
            </w:r>
            <w:r w:rsidR="00182E71">
              <w:rPr>
                <w:rStyle w:val="SCCLsocChar"/>
                <w:sz w:val="20"/>
                <w:szCs w:val="20"/>
                <w:lang w:val="en-CA"/>
              </w:rPr>
              <w:t xml:space="preserve"> and</w:t>
            </w:r>
            <w:r w:rsidRPr="00C46290">
              <w:rPr>
                <w:rStyle w:val="SCCLsocChar"/>
                <w:sz w:val="20"/>
                <w:szCs w:val="20"/>
                <w:lang w:val="en-CA"/>
              </w:rPr>
              <w:t xml:space="preserve"> Cathy Murphy v. Canada Revenue Agency</w:t>
            </w:r>
            <w:r w:rsidR="00182E71">
              <w:rPr>
                <w:rStyle w:val="SCCLsocChar"/>
                <w:sz w:val="20"/>
                <w:szCs w:val="20"/>
                <w:lang w:val="en-CA"/>
              </w:rPr>
              <w:t xml:space="preserve"> and</w:t>
            </w:r>
            <w:r w:rsidRPr="00C46290">
              <w:rPr>
                <w:rStyle w:val="SCCLsocChar"/>
                <w:sz w:val="20"/>
                <w:szCs w:val="20"/>
                <w:lang w:val="en-CA"/>
              </w:rPr>
              <w:t xml:space="preserve"> Canadian Human Rights Commission AND BETWEEN Canadian Human Rights Commission v. Canada Revenue Agency, Public Service Alliance of Canada</w:t>
            </w:r>
            <w:r w:rsidR="00182E71">
              <w:rPr>
                <w:rStyle w:val="SCCLsocChar"/>
                <w:sz w:val="20"/>
                <w:szCs w:val="20"/>
                <w:lang w:val="en-CA"/>
              </w:rPr>
              <w:t xml:space="preserve"> and</w:t>
            </w:r>
            <w:r w:rsidRPr="00C46290">
              <w:rPr>
                <w:rStyle w:val="SCCLsocChar"/>
                <w:sz w:val="20"/>
                <w:szCs w:val="20"/>
                <w:lang w:val="en-CA"/>
              </w:rPr>
              <w:t xml:space="preserve"> Cathy Murphy</w:t>
            </w:r>
            <w:r w:rsidRPr="003C7D2B">
              <w:rPr>
                <w:sz w:val="20"/>
                <w:szCs w:val="20"/>
              </w:rPr>
              <w:t xml:space="preserve"> (F</w:t>
            </w:r>
            <w:r>
              <w:rPr>
                <w:sz w:val="20"/>
                <w:szCs w:val="20"/>
              </w:rPr>
              <w:t>.</w:t>
            </w:r>
            <w:r w:rsidRPr="003C7D2B">
              <w:rPr>
                <w:sz w:val="20"/>
                <w:szCs w:val="20"/>
              </w:rPr>
              <w:t>C</w:t>
            </w:r>
            <w:r>
              <w:rPr>
                <w:sz w:val="20"/>
                <w:szCs w:val="20"/>
              </w:rPr>
              <w:t>.</w:t>
            </w:r>
            <w:r w:rsidRPr="003C7D2B">
              <w:rPr>
                <w:sz w:val="20"/>
                <w:szCs w:val="20"/>
              </w:rPr>
              <w:t>) (Civil) (By</w:t>
            </w:r>
            <w:r>
              <w:rPr>
                <w:sz w:val="20"/>
                <w:szCs w:val="20"/>
              </w:rPr>
              <w:t> </w:t>
            </w:r>
            <w:r w:rsidRPr="003C7D2B">
              <w:rPr>
                <w:sz w:val="20"/>
                <w:szCs w:val="20"/>
              </w:rPr>
              <w:t>Leave)</w:t>
            </w:r>
          </w:p>
          <w:p w:rsidR="00C46290" w:rsidRPr="003C7D2B" w:rsidRDefault="00C46290" w:rsidP="00C46290">
            <w:pPr>
              <w:rPr>
                <w:sz w:val="20"/>
                <w:szCs w:val="20"/>
              </w:rPr>
            </w:pPr>
          </w:p>
        </w:tc>
      </w:tr>
      <w:tr w:rsidR="00C46290" w:rsidRPr="003C7D2B" w:rsidTr="00C46290">
        <w:trPr>
          <w:cantSplit/>
        </w:trPr>
        <w:tc>
          <w:tcPr>
            <w:tcW w:w="1458" w:type="dxa"/>
          </w:tcPr>
          <w:p w:rsidR="00C46290" w:rsidRPr="003C7D2B" w:rsidRDefault="00C46290" w:rsidP="00C46290">
            <w:pPr>
              <w:rPr>
                <w:sz w:val="20"/>
                <w:szCs w:val="20"/>
              </w:rPr>
            </w:pPr>
            <w:r w:rsidRPr="003C7D2B">
              <w:rPr>
                <w:sz w:val="20"/>
                <w:szCs w:val="20"/>
              </w:rPr>
              <w:t>Coram :</w:t>
            </w:r>
          </w:p>
        </w:tc>
        <w:tc>
          <w:tcPr>
            <w:tcW w:w="8118" w:type="dxa"/>
          </w:tcPr>
          <w:p w:rsidR="00C46290" w:rsidRPr="003C7D2B" w:rsidRDefault="00C46290" w:rsidP="00C46290">
            <w:pPr>
              <w:rPr>
                <w:sz w:val="20"/>
                <w:szCs w:val="20"/>
              </w:rPr>
            </w:pPr>
            <w:r w:rsidRPr="00C46290">
              <w:rPr>
                <w:rStyle w:val="SCCCoramChar"/>
                <w:sz w:val="20"/>
                <w:szCs w:val="20"/>
                <w:lang w:val="en-CA"/>
              </w:rPr>
              <w:t>McLachlin C.J. and Rothstein and Moldaver JJ.</w:t>
            </w:r>
          </w:p>
          <w:p w:rsidR="00C46290" w:rsidRPr="003C7D2B" w:rsidRDefault="00C46290" w:rsidP="00C46290">
            <w:pPr>
              <w:rPr>
                <w:sz w:val="20"/>
                <w:szCs w:val="20"/>
                <w:u w:val="single"/>
              </w:rPr>
            </w:pPr>
          </w:p>
        </w:tc>
      </w:tr>
      <w:tr w:rsidR="00C46290" w:rsidRPr="00DC2D1F" w:rsidTr="00C46290">
        <w:trPr>
          <w:cantSplit/>
        </w:trPr>
        <w:tc>
          <w:tcPr>
            <w:tcW w:w="9576" w:type="dxa"/>
            <w:gridSpan w:val="2"/>
          </w:tcPr>
          <w:p w:rsidR="00C46290" w:rsidRPr="003C7D2B" w:rsidRDefault="00C46290" w:rsidP="00C46290">
            <w:pPr>
              <w:pStyle w:val="SCCShortJudgment"/>
              <w:rPr>
                <w:szCs w:val="20"/>
              </w:rPr>
            </w:pPr>
            <w:r w:rsidRPr="003C7D2B">
              <w:rPr>
                <w:szCs w:val="20"/>
              </w:rPr>
              <w:t>The applications for leave to appeal from the judgment of the Federal Court of Appeal, Number A-140-11, 2012 FCA 7, dated January 10, 2012, are dismissed with costs to the respondent Canadian Revenue Agency on the first application.</w:t>
            </w:r>
          </w:p>
          <w:p w:rsidR="00C46290" w:rsidRPr="003C7D2B" w:rsidRDefault="00C46290" w:rsidP="00C46290">
            <w:pPr>
              <w:pStyle w:val="SCCShortJudgment"/>
              <w:ind w:firstLine="0"/>
              <w:rPr>
                <w:szCs w:val="20"/>
              </w:rPr>
            </w:pPr>
          </w:p>
          <w:p w:rsidR="00C46290" w:rsidRPr="003C7D2B" w:rsidRDefault="00C46290" w:rsidP="00C46290">
            <w:pPr>
              <w:pStyle w:val="SCCShortJudgment"/>
              <w:rPr>
                <w:szCs w:val="20"/>
                <w:lang w:val="fr-CA"/>
              </w:rPr>
            </w:pPr>
            <w:r w:rsidRPr="003C7D2B">
              <w:rPr>
                <w:szCs w:val="20"/>
                <w:lang w:val="fr-CA"/>
              </w:rPr>
              <w:t>Les demandes d’autorisation d’appel de l’arrêt de la Cour d’appel fédérale, numéro A-140-11, 2012 CAF 7, daté du 10 janvier 2012, sont rejetées avec dépens en faveur de l’intimée Agence du revenu du Canada dans la première demande.</w:t>
            </w:r>
          </w:p>
        </w:tc>
      </w:tr>
    </w:tbl>
    <w:p w:rsidR="00A740D1" w:rsidRPr="00C46290"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9151CA" w:rsidRPr="00201A3F" w:rsidTr="00B803D5">
        <w:tc>
          <w:tcPr>
            <w:tcW w:w="5000" w:type="pct"/>
            <w:gridSpan w:val="3"/>
          </w:tcPr>
          <w:p w:rsidR="009151CA" w:rsidRPr="00201A3F" w:rsidRDefault="009151CA" w:rsidP="00B803D5">
            <w:pPr>
              <w:jc w:val="both"/>
              <w:rPr>
                <w:sz w:val="20"/>
              </w:rPr>
            </w:pPr>
            <w:r w:rsidRPr="00201A3F">
              <w:rPr>
                <w:sz w:val="20"/>
              </w:rPr>
              <w:t xml:space="preserve">Taxation — Income tax — Assessment — Interest — Human rights — Discriminatory practices — Equal wages — Lump sum payment for pay equity settlement </w:t>
            </w:r>
            <w:r w:rsidRPr="00201A3F">
              <w:rPr>
                <w:sz w:val="20"/>
              </w:rPr>
              <w:noBreakHyphen/>
              <w:t xml:space="preserve"> Can a human rights complaint be filed against the actions of a government actor where those actions are authorized by statute? — Do the actions of the Canadian Revenue Agency when assessing taxes constitute a service? — Do the actions of the Canadian Revenue Agency affect the Applicants in the course of employment? — What is necessary to establish a </w:t>
            </w:r>
            <w:r w:rsidRPr="00201A3F">
              <w:rPr>
                <w:i/>
                <w:sz w:val="20"/>
              </w:rPr>
              <w:t>prima fac</w:t>
            </w:r>
            <w:r w:rsidRPr="00201A3F">
              <w:rPr>
                <w:sz w:val="20"/>
              </w:rPr>
              <w:t xml:space="preserve">ie case in circumstances where different alternatives might have occurred had the discriminatory actions not taken place? — What is the legal role of interest and can it </w:t>
            </w:r>
            <w:proofErr w:type="gramStart"/>
            <w:r w:rsidRPr="00201A3F">
              <w:rPr>
                <w:sz w:val="20"/>
              </w:rPr>
              <w:t>be</w:t>
            </w:r>
            <w:proofErr w:type="gramEnd"/>
            <w:r w:rsidRPr="00201A3F">
              <w:rPr>
                <w:sz w:val="20"/>
              </w:rPr>
              <w:t xml:space="preserve"> used to off</w:t>
            </w:r>
            <w:r w:rsidRPr="00201A3F">
              <w:rPr>
                <w:sz w:val="20"/>
              </w:rPr>
              <w:noBreakHyphen/>
              <w:t xml:space="preserve">set other damages? — Whether government actions that are prescribed by federal legislation can be “services customarily available to the general public”, within the meaning of s. 5 of the </w:t>
            </w:r>
            <w:r w:rsidRPr="00201A3F">
              <w:rPr>
                <w:i/>
                <w:sz w:val="20"/>
              </w:rPr>
              <w:t>Canadian Human Rights Act</w:t>
            </w:r>
            <w:r w:rsidRPr="00201A3F">
              <w:rPr>
                <w:sz w:val="20"/>
              </w:rPr>
              <w:t xml:space="preserve"> — Whether the Canadian Human Rights Tribunal has the power to issue remedies that would affect provisions made pursuant to federal legislation — Whether the Federal Court of Appeal made a reversible error in finding that the </w:t>
            </w:r>
            <w:r w:rsidRPr="00201A3F">
              <w:rPr>
                <w:i/>
                <w:sz w:val="20"/>
              </w:rPr>
              <w:t>Canadian Human Rights Act</w:t>
            </w:r>
            <w:r w:rsidRPr="00201A3F">
              <w:rPr>
                <w:sz w:val="20"/>
              </w:rPr>
              <w:t xml:space="preserve"> cannot be used to address discriminatory impacts flowing from the </w:t>
            </w:r>
            <w:r w:rsidRPr="00201A3F">
              <w:rPr>
                <w:sz w:val="20"/>
              </w:rPr>
              <w:lastRenderedPageBreak/>
              <w:t>wording of inconsistent provisions in other federal legislation or regulations</w:t>
            </w:r>
          </w:p>
          <w:p w:rsidR="009151CA" w:rsidRPr="00201A3F" w:rsidRDefault="009151CA" w:rsidP="00B803D5">
            <w:pPr>
              <w:rPr>
                <w:sz w:val="20"/>
              </w:rPr>
            </w:pPr>
          </w:p>
        </w:tc>
      </w:tr>
      <w:tr w:rsidR="009151CA" w:rsidRPr="00201A3F" w:rsidTr="00B803D5">
        <w:trPr>
          <w:trHeight w:val="4896"/>
        </w:trPr>
        <w:tc>
          <w:tcPr>
            <w:tcW w:w="5000" w:type="pct"/>
            <w:gridSpan w:val="3"/>
          </w:tcPr>
          <w:p w:rsidR="009151CA" w:rsidRPr="00201A3F" w:rsidRDefault="009151CA" w:rsidP="00B803D5">
            <w:pPr>
              <w:pStyle w:val="loose"/>
              <w:spacing w:before="0"/>
              <w:jc w:val="both"/>
              <w:rPr>
                <w:color w:val="000000"/>
                <w:sz w:val="20"/>
                <w:szCs w:val="20"/>
              </w:rPr>
            </w:pPr>
            <w:r w:rsidRPr="00201A3F">
              <w:rPr>
                <w:color w:val="000000"/>
                <w:sz w:val="20"/>
                <w:szCs w:val="20"/>
                <w:lang w:val="en-CA"/>
              </w:rPr>
              <w:lastRenderedPageBreak/>
              <w:t xml:space="preserve">The Applicants applied </w:t>
            </w:r>
            <w:r w:rsidRPr="00201A3F">
              <w:rPr>
                <w:color w:val="000000"/>
                <w:sz w:val="20"/>
                <w:szCs w:val="20"/>
              </w:rPr>
              <w:t xml:space="preserve">for judicial review of a decision of the Canadian Human Rights Tribunal (“Tribunal”) regarding a complaint in which it was alleged that the Canada Revenue Agency (“CRA”) breached ss. 5 and 7 of the </w:t>
            </w:r>
            <w:r w:rsidRPr="00201A3F">
              <w:rPr>
                <w:rStyle w:val="italic1"/>
                <w:color w:val="000000"/>
                <w:sz w:val="20"/>
              </w:rPr>
              <w:t>Canadian Human Rights Act</w:t>
            </w:r>
            <w:r w:rsidRPr="00201A3F">
              <w:rPr>
                <w:color w:val="000000"/>
                <w:sz w:val="20"/>
                <w:szCs w:val="20"/>
              </w:rPr>
              <w:t xml:space="preserve"> (“</w:t>
            </w:r>
            <w:r w:rsidRPr="00201A3F">
              <w:rPr>
                <w:i/>
                <w:color w:val="000000"/>
                <w:sz w:val="20"/>
                <w:szCs w:val="20"/>
              </w:rPr>
              <w:t>CHRA”</w:t>
            </w:r>
            <w:r w:rsidRPr="00201A3F">
              <w:rPr>
                <w:color w:val="000000"/>
                <w:sz w:val="20"/>
                <w:szCs w:val="20"/>
              </w:rPr>
              <w:t xml:space="preserve">) in administering the provisions of the </w:t>
            </w:r>
            <w:r w:rsidRPr="00201A3F">
              <w:rPr>
                <w:rStyle w:val="italic1"/>
                <w:color w:val="000000"/>
                <w:sz w:val="20"/>
              </w:rPr>
              <w:t>Income Tax Act</w:t>
            </w:r>
            <w:r w:rsidRPr="00201A3F">
              <w:rPr>
                <w:color w:val="000000"/>
                <w:sz w:val="20"/>
                <w:szCs w:val="20"/>
              </w:rPr>
              <w:t xml:space="preserve"> (“</w:t>
            </w:r>
            <w:r w:rsidRPr="00201A3F">
              <w:rPr>
                <w:i/>
                <w:color w:val="000000"/>
                <w:sz w:val="20"/>
                <w:szCs w:val="20"/>
              </w:rPr>
              <w:t>ITA”</w:t>
            </w:r>
            <w:r w:rsidRPr="00201A3F">
              <w:rPr>
                <w:color w:val="000000"/>
                <w:sz w:val="20"/>
                <w:szCs w:val="20"/>
              </w:rPr>
              <w:t xml:space="preserve">) in respect of lump sum payments made to compensate for pay equity. </w:t>
            </w:r>
          </w:p>
          <w:p w:rsidR="009151CA" w:rsidRPr="00201A3F" w:rsidRDefault="009151CA" w:rsidP="00B803D5">
            <w:pPr>
              <w:pStyle w:val="loose"/>
              <w:spacing w:before="0"/>
              <w:jc w:val="both"/>
              <w:rPr>
                <w:color w:val="000000"/>
                <w:sz w:val="20"/>
                <w:szCs w:val="20"/>
              </w:rPr>
            </w:pPr>
          </w:p>
          <w:p w:rsidR="009151CA" w:rsidRPr="00201A3F" w:rsidRDefault="009151CA" w:rsidP="00B803D5">
            <w:pPr>
              <w:pStyle w:val="loose"/>
              <w:spacing w:before="0"/>
              <w:jc w:val="both"/>
              <w:rPr>
                <w:color w:val="000000"/>
                <w:sz w:val="20"/>
                <w:szCs w:val="20"/>
              </w:rPr>
            </w:pPr>
            <w:r w:rsidRPr="00201A3F">
              <w:rPr>
                <w:color w:val="000000"/>
                <w:sz w:val="20"/>
                <w:szCs w:val="20"/>
              </w:rPr>
              <w:t>The Applicant, Cathy Murphy, was a federal public servant from 1981 to 1994.  The other applicant, the Public Service Alliance of Canada (PSAC), was her union.  PSAC filed pay equity complaints against the Treasury Board of Canada, alleging that employees in a number of female</w:t>
            </w:r>
            <w:r w:rsidRPr="00201A3F">
              <w:rPr>
                <w:color w:val="000000"/>
                <w:sz w:val="20"/>
                <w:szCs w:val="20"/>
              </w:rPr>
              <w:noBreakHyphen/>
              <w:t xml:space="preserve">dominated occupational </w:t>
            </w:r>
            <w:proofErr w:type="gramStart"/>
            <w:r w:rsidRPr="00201A3F">
              <w:rPr>
                <w:color w:val="000000"/>
                <w:sz w:val="20"/>
                <w:szCs w:val="20"/>
              </w:rPr>
              <w:t>groups,</w:t>
            </w:r>
            <w:proofErr w:type="gramEnd"/>
            <w:r w:rsidRPr="00201A3F">
              <w:rPr>
                <w:color w:val="000000"/>
                <w:sz w:val="20"/>
                <w:szCs w:val="20"/>
              </w:rPr>
              <w:t xml:space="preserve"> were paid less than employees in male dominated groups for work of equal value.  In anticipation of a settlement, representatives from PSAC met with Revenue Canada to inquire about the tax treatment of pay equity adjustments.  The Tribunal eventually ordered Treasury Board to make the retroactive wage adjustment payments to the affected public service employees from 1985 to the date of the decision in 1998.  It also ordered the payment of simple interest on the wage adjustments.  In 2000, the government made lump sum payments to the recipients.</w:t>
            </w:r>
          </w:p>
          <w:p w:rsidR="009151CA" w:rsidRPr="00201A3F" w:rsidRDefault="009151CA" w:rsidP="00B803D5">
            <w:pPr>
              <w:pStyle w:val="loose"/>
              <w:spacing w:before="0"/>
              <w:jc w:val="both"/>
              <w:rPr>
                <w:color w:val="000000"/>
                <w:sz w:val="20"/>
                <w:szCs w:val="20"/>
              </w:rPr>
            </w:pPr>
          </w:p>
          <w:p w:rsidR="009151CA" w:rsidRPr="00201A3F" w:rsidRDefault="009151CA" w:rsidP="00B803D5">
            <w:pPr>
              <w:pStyle w:val="loose"/>
              <w:spacing w:before="0"/>
              <w:jc w:val="both"/>
              <w:rPr>
                <w:color w:val="000000"/>
                <w:sz w:val="20"/>
                <w:szCs w:val="20"/>
              </w:rPr>
            </w:pPr>
            <w:r w:rsidRPr="00201A3F">
              <w:rPr>
                <w:color w:val="000000"/>
                <w:sz w:val="20"/>
                <w:szCs w:val="20"/>
              </w:rPr>
              <w:t>In the meantime, the government introduced the Qualifying Retroactive Lump Sum Payment (“QRLSP”) mechanism measures to address concerns raised regarding the adverse tax consequences related to lump sum payments.  The mechanism only applied to qualifying lump sum payments and only if it was advantageous to the individual.  The QRLSP included a calculation of "notional tax", which was composed of not only the value of the tax that ought to have been paid in those years, but also an interest component to reflect the delay in payment of the tax.  The CRA advised Ms. Murphy that she was eligible for the QRLSP tax calculation but subsequently explained that the calculation did not benefit her.  The lump sum payments were therefore deemed for income tax purposes to be employment income in the year 2000 when she received the lump sum even though they related to employment that had occurred years earlier.</w:t>
            </w:r>
          </w:p>
          <w:p w:rsidR="009151CA" w:rsidRPr="00201A3F" w:rsidRDefault="009151CA" w:rsidP="00B803D5">
            <w:pPr>
              <w:pStyle w:val="loose"/>
              <w:spacing w:before="0"/>
              <w:jc w:val="both"/>
              <w:rPr>
                <w:color w:val="000000"/>
                <w:sz w:val="20"/>
                <w:szCs w:val="20"/>
              </w:rPr>
            </w:pPr>
          </w:p>
          <w:p w:rsidR="009151CA" w:rsidRPr="00201A3F" w:rsidRDefault="009151CA" w:rsidP="00B803D5">
            <w:pPr>
              <w:pStyle w:val="loose"/>
              <w:spacing w:before="0"/>
              <w:jc w:val="both"/>
              <w:rPr>
                <w:color w:val="000000"/>
                <w:sz w:val="20"/>
                <w:szCs w:val="20"/>
              </w:rPr>
            </w:pPr>
            <w:r w:rsidRPr="00201A3F">
              <w:rPr>
                <w:color w:val="000000"/>
                <w:sz w:val="20"/>
                <w:szCs w:val="20"/>
              </w:rPr>
              <w:t xml:space="preserve">In March, 2002, Ms. Murphy and PSAC filed human rights complaints on behalf of all pay equity recipients.  The complaints claimed that, in conducting its QRLSP analysis, CRA had discriminated against these individuals by charging compound interest on notional tax arrears which CRA had stated were owed to it from the date at which the income was earned.  PSAC maintained that this conduct reduced the actual value of the payments ordered by the Tribunal, perpetuating the pay gap that had been the subject of the complaints and was in violation of section 5 and paragraph 7(b) of the </w:t>
            </w:r>
            <w:r w:rsidRPr="00201A3F">
              <w:rPr>
                <w:i/>
                <w:color w:val="000000"/>
                <w:sz w:val="20"/>
                <w:szCs w:val="20"/>
              </w:rPr>
              <w:t>CHRA</w:t>
            </w:r>
            <w:r w:rsidRPr="00201A3F">
              <w:rPr>
                <w:color w:val="000000"/>
                <w:sz w:val="20"/>
                <w:szCs w:val="20"/>
              </w:rPr>
              <w:t>.</w:t>
            </w:r>
          </w:p>
          <w:p w:rsidR="009151CA" w:rsidRPr="00201A3F" w:rsidRDefault="009151CA" w:rsidP="00B803D5">
            <w:pPr>
              <w:rPr>
                <w:sz w:val="20"/>
              </w:rPr>
            </w:pPr>
          </w:p>
        </w:tc>
      </w:tr>
      <w:tr w:rsidR="009151CA" w:rsidRPr="00201A3F" w:rsidTr="00B803D5">
        <w:tc>
          <w:tcPr>
            <w:tcW w:w="2427" w:type="pct"/>
          </w:tcPr>
          <w:p w:rsidR="009151CA" w:rsidRPr="00201A3F" w:rsidRDefault="009151CA" w:rsidP="00B803D5">
            <w:pPr>
              <w:rPr>
                <w:sz w:val="20"/>
              </w:rPr>
            </w:pPr>
            <w:r w:rsidRPr="00201A3F">
              <w:rPr>
                <w:sz w:val="20"/>
              </w:rPr>
              <w:t>April 23, 2010</w:t>
            </w:r>
          </w:p>
          <w:p w:rsidR="009151CA" w:rsidRPr="00201A3F" w:rsidRDefault="009151CA" w:rsidP="00B803D5">
            <w:pPr>
              <w:rPr>
                <w:sz w:val="20"/>
              </w:rPr>
            </w:pPr>
            <w:r w:rsidRPr="00201A3F">
              <w:rPr>
                <w:sz w:val="20"/>
              </w:rPr>
              <w:t>Canadian Human Rights Tribunal</w:t>
            </w:r>
          </w:p>
          <w:p w:rsidR="009151CA" w:rsidRPr="00201A3F" w:rsidRDefault="009151CA" w:rsidP="00B803D5">
            <w:pPr>
              <w:rPr>
                <w:sz w:val="20"/>
              </w:rPr>
            </w:pPr>
            <w:r w:rsidRPr="00201A3F">
              <w:rPr>
                <w:sz w:val="20"/>
              </w:rPr>
              <w:t>(Hadjis, Commissioner)</w:t>
            </w:r>
          </w:p>
          <w:p w:rsidR="009151CA" w:rsidRPr="00201A3F" w:rsidRDefault="009151CA" w:rsidP="00B803D5">
            <w:pPr>
              <w:rPr>
                <w:sz w:val="20"/>
              </w:rPr>
            </w:pPr>
            <w:r w:rsidRPr="00201A3F">
              <w:rPr>
                <w:sz w:val="20"/>
              </w:rPr>
              <w:t>2010 CHRT 9</w:t>
            </w:r>
          </w:p>
          <w:p w:rsidR="009151CA" w:rsidRPr="00201A3F" w:rsidRDefault="009151CA" w:rsidP="00B803D5">
            <w:pPr>
              <w:rPr>
                <w:sz w:val="20"/>
              </w:rPr>
            </w:pPr>
          </w:p>
        </w:tc>
        <w:tc>
          <w:tcPr>
            <w:tcW w:w="243" w:type="pct"/>
          </w:tcPr>
          <w:p w:rsidR="009151CA" w:rsidRPr="00201A3F" w:rsidRDefault="009151CA" w:rsidP="00B803D5">
            <w:pPr>
              <w:rPr>
                <w:sz w:val="20"/>
              </w:rPr>
            </w:pPr>
          </w:p>
        </w:tc>
        <w:tc>
          <w:tcPr>
            <w:tcW w:w="2330" w:type="pct"/>
          </w:tcPr>
          <w:p w:rsidR="009151CA" w:rsidRPr="00201A3F" w:rsidRDefault="009151CA" w:rsidP="00B803D5">
            <w:pPr>
              <w:rPr>
                <w:sz w:val="20"/>
              </w:rPr>
            </w:pPr>
            <w:r w:rsidRPr="00201A3F">
              <w:rPr>
                <w:sz w:val="20"/>
              </w:rPr>
              <w:t>Human rights complaint held to be unsubstantiated</w:t>
            </w:r>
          </w:p>
        </w:tc>
      </w:tr>
      <w:tr w:rsidR="009151CA" w:rsidRPr="00201A3F" w:rsidTr="00B803D5">
        <w:tc>
          <w:tcPr>
            <w:tcW w:w="2427" w:type="pct"/>
          </w:tcPr>
          <w:p w:rsidR="009151CA" w:rsidRPr="00201A3F" w:rsidRDefault="009151CA" w:rsidP="00B803D5">
            <w:pPr>
              <w:rPr>
                <w:sz w:val="20"/>
              </w:rPr>
            </w:pPr>
            <w:r w:rsidRPr="00201A3F">
              <w:rPr>
                <w:sz w:val="20"/>
              </w:rPr>
              <w:t>February 22, 2011</w:t>
            </w:r>
          </w:p>
          <w:p w:rsidR="009151CA" w:rsidRPr="00201A3F" w:rsidRDefault="009151CA" w:rsidP="00B803D5">
            <w:pPr>
              <w:rPr>
                <w:sz w:val="20"/>
              </w:rPr>
            </w:pPr>
            <w:r w:rsidRPr="00201A3F">
              <w:rPr>
                <w:sz w:val="20"/>
              </w:rPr>
              <w:t>Federal Court</w:t>
            </w:r>
          </w:p>
          <w:p w:rsidR="009151CA" w:rsidRPr="00201A3F" w:rsidRDefault="009151CA" w:rsidP="00B803D5">
            <w:pPr>
              <w:rPr>
                <w:sz w:val="20"/>
              </w:rPr>
            </w:pPr>
            <w:r w:rsidRPr="00201A3F">
              <w:rPr>
                <w:sz w:val="20"/>
              </w:rPr>
              <w:t>(Beaudry J.)</w:t>
            </w:r>
          </w:p>
          <w:p w:rsidR="009151CA" w:rsidRPr="00201A3F" w:rsidRDefault="009151CA" w:rsidP="00B803D5">
            <w:pPr>
              <w:rPr>
                <w:sz w:val="20"/>
              </w:rPr>
            </w:pPr>
            <w:r w:rsidRPr="00201A3F">
              <w:rPr>
                <w:sz w:val="20"/>
              </w:rPr>
              <w:t>2011 FC 207</w:t>
            </w:r>
          </w:p>
          <w:p w:rsidR="009151CA" w:rsidRPr="00201A3F" w:rsidRDefault="009151CA" w:rsidP="00B803D5">
            <w:pPr>
              <w:rPr>
                <w:sz w:val="20"/>
              </w:rPr>
            </w:pPr>
          </w:p>
        </w:tc>
        <w:tc>
          <w:tcPr>
            <w:tcW w:w="243" w:type="pct"/>
          </w:tcPr>
          <w:p w:rsidR="009151CA" w:rsidRPr="00201A3F" w:rsidRDefault="009151CA" w:rsidP="00B803D5">
            <w:pPr>
              <w:rPr>
                <w:sz w:val="20"/>
              </w:rPr>
            </w:pPr>
          </w:p>
        </w:tc>
        <w:tc>
          <w:tcPr>
            <w:tcW w:w="2330" w:type="pct"/>
          </w:tcPr>
          <w:p w:rsidR="009151CA" w:rsidRPr="00201A3F" w:rsidRDefault="009151CA" w:rsidP="00B803D5">
            <w:pPr>
              <w:rPr>
                <w:sz w:val="20"/>
              </w:rPr>
            </w:pPr>
            <w:r w:rsidRPr="00201A3F">
              <w:rPr>
                <w:sz w:val="20"/>
              </w:rPr>
              <w:t>Application for judicial review dismissed</w:t>
            </w:r>
          </w:p>
          <w:p w:rsidR="009151CA" w:rsidRPr="00201A3F" w:rsidRDefault="009151CA" w:rsidP="00B803D5">
            <w:pPr>
              <w:rPr>
                <w:sz w:val="20"/>
              </w:rPr>
            </w:pPr>
          </w:p>
          <w:p w:rsidR="009151CA" w:rsidRPr="00201A3F" w:rsidRDefault="009151CA" w:rsidP="00B803D5">
            <w:pPr>
              <w:rPr>
                <w:sz w:val="20"/>
              </w:rPr>
            </w:pPr>
          </w:p>
        </w:tc>
      </w:tr>
      <w:tr w:rsidR="009151CA" w:rsidRPr="00201A3F" w:rsidTr="00B803D5">
        <w:tc>
          <w:tcPr>
            <w:tcW w:w="2427" w:type="pct"/>
          </w:tcPr>
          <w:p w:rsidR="009151CA" w:rsidRPr="00201A3F" w:rsidRDefault="009151CA" w:rsidP="00B803D5">
            <w:pPr>
              <w:rPr>
                <w:sz w:val="20"/>
              </w:rPr>
            </w:pPr>
            <w:r w:rsidRPr="00201A3F">
              <w:rPr>
                <w:sz w:val="20"/>
              </w:rPr>
              <w:t>January 10, 2012</w:t>
            </w:r>
          </w:p>
          <w:p w:rsidR="009151CA" w:rsidRPr="00201A3F" w:rsidRDefault="009151CA" w:rsidP="00B803D5">
            <w:pPr>
              <w:rPr>
                <w:sz w:val="20"/>
              </w:rPr>
            </w:pPr>
            <w:r w:rsidRPr="00201A3F">
              <w:rPr>
                <w:sz w:val="20"/>
              </w:rPr>
              <w:t>Federal Court of Appeal</w:t>
            </w:r>
          </w:p>
          <w:p w:rsidR="009151CA" w:rsidRPr="00201A3F" w:rsidRDefault="009151CA" w:rsidP="00B803D5">
            <w:pPr>
              <w:rPr>
                <w:sz w:val="20"/>
              </w:rPr>
            </w:pPr>
            <w:r w:rsidRPr="00201A3F">
              <w:rPr>
                <w:sz w:val="20"/>
              </w:rPr>
              <w:t>(Létourneau, Noël and Gauthier JJ.A.)</w:t>
            </w:r>
          </w:p>
          <w:p w:rsidR="009151CA" w:rsidRPr="00201A3F" w:rsidRDefault="009151CA" w:rsidP="00B803D5">
            <w:pPr>
              <w:rPr>
                <w:sz w:val="20"/>
                <w:lang w:val="fr-CA"/>
              </w:rPr>
            </w:pPr>
            <w:r w:rsidRPr="00201A3F">
              <w:rPr>
                <w:sz w:val="20"/>
                <w:lang w:val="fr-CA"/>
              </w:rPr>
              <w:t>2012 FCA 7</w:t>
            </w:r>
          </w:p>
          <w:p w:rsidR="009151CA" w:rsidRPr="00201A3F" w:rsidRDefault="009151CA" w:rsidP="00B803D5">
            <w:pPr>
              <w:rPr>
                <w:sz w:val="20"/>
                <w:lang w:val="fr-CA"/>
              </w:rPr>
            </w:pPr>
          </w:p>
        </w:tc>
        <w:tc>
          <w:tcPr>
            <w:tcW w:w="243" w:type="pct"/>
          </w:tcPr>
          <w:p w:rsidR="009151CA" w:rsidRPr="00201A3F" w:rsidRDefault="009151CA" w:rsidP="00B803D5">
            <w:pPr>
              <w:rPr>
                <w:sz w:val="20"/>
                <w:lang w:val="fr-CA"/>
              </w:rPr>
            </w:pPr>
          </w:p>
        </w:tc>
        <w:tc>
          <w:tcPr>
            <w:tcW w:w="2330" w:type="pct"/>
          </w:tcPr>
          <w:p w:rsidR="009151CA" w:rsidRPr="00201A3F" w:rsidRDefault="009151CA" w:rsidP="00B803D5">
            <w:pPr>
              <w:rPr>
                <w:sz w:val="20"/>
              </w:rPr>
            </w:pPr>
            <w:r w:rsidRPr="00201A3F">
              <w:rPr>
                <w:sz w:val="20"/>
              </w:rPr>
              <w:t>Appeal dismissed</w:t>
            </w:r>
          </w:p>
          <w:p w:rsidR="009151CA" w:rsidRPr="00201A3F" w:rsidRDefault="009151CA" w:rsidP="00B803D5">
            <w:pPr>
              <w:rPr>
                <w:sz w:val="20"/>
              </w:rPr>
            </w:pPr>
          </w:p>
          <w:p w:rsidR="009151CA" w:rsidRPr="00201A3F" w:rsidRDefault="009151CA" w:rsidP="00B803D5">
            <w:pPr>
              <w:rPr>
                <w:sz w:val="20"/>
              </w:rPr>
            </w:pPr>
          </w:p>
        </w:tc>
      </w:tr>
      <w:tr w:rsidR="009151CA" w:rsidRPr="00201A3F" w:rsidTr="00B803D5">
        <w:tc>
          <w:tcPr>
            <w:tcW w:w="2427" w:type="pct"/>
          </w:tcPr>
          <w:p w:rsidR="009151CA" w:rsidRPr="00201A3F" w:rsidRDefault="009151CA" w:rsidP="00B803D5">
            <w:pPr>
              <w:rPr>
                <w:sz w:val="20"/>
              </w:rPr>
            </w:pPr>
            <w:r w:rsidRPr="00201A3F">
              <w:rPr>
                <w:sz w:val="20"/>
              </w:rPr>
              <w:t>March 9, 2012</w:t>
            </w:r>
          </w:p>
          <w:p w:rsidR="009151CA" w:rsidRPr="00201A3F" w:rsidRDefault="009151CA" w:rsidP="00B803D5">
            <w:pPr>
              <w:rPr>
                <w:sz w:val="20"/>
              </w:rPr>
            </w:pPr>
            <w:r w:rsidRPr="00201A3F">
              <w:rPr>
                <w:sz w:val="20"/>
              </w:rPr>
              <w:t>Supreme Court of Canada</w:t>
            </w:r>
          </w:p>
          <w:p w:rsidR="009151CA" w:rsidRPr="00201A3F" w:rsidRDefault="009151CA" w:rsidP="00B803D5">
            <w:pPr>
              <w:rPr>
                <w:sz w:val="20"/>
              </w:rPr>
            </w:pPr>
          </w:p>
        </w:tc>
        <w:tc>
          <w:tcPr>
            <w:tcW w:w="243" w:type="pct"/>
          </w:tcPr>
          <w:p w:rsidR="009151CA" w:rsidRPr="00201A3F" w:rsidRDefault="009151CA" w:rsidP="00B803D5">
            <w:pPr>
              <w:rPr>
                <w:sz w:val="20"/>
              </w:rPr>
            </w:pPr>
          </w:p>
        </w:tc>
        <w:tc>
          <w:tcPr>
            <w:tcW w:w="2330" w:type="pct"/>
          </w:tcPr>
          <w:p w:rsidR="009151CA" w:rsidRPr="00201A3F" w:rsidRDefault="009151CA" w:rsidP="00B803D5">
            <w:pPr>
              <w:rPr>
                <w:sz w:val="20"/>
              </w:rPr>
            </w:pPr>
            <w:r w:rsidRPr="00201A3F">
              <w:rPr>
                <w:sz w:val="20"/>
              </w:rPr>
              <w:t>First application for leave to appeal filed</w:t>
            </w:r>
          </w:p>
          <w:p w:rsidR="009151CA" w:rsidRPr="00201A3F" w:rsidRDefault="009151CA" w:rsidP="00B803D5">
            <w:pPr>
              <w:rPr>
                <w:sz w:val="20"/>
              </w:rPr>
            </w:pPr>
          </w:p>
        </w:tc>
      </w:tr>
      <w:tr w:rsidR="009151CA" w:rsidRPr="00201A3F" w:rsidTr="00B803D5">
        <w:tc>
          <w:tcPr>
            <w:tcW w:w="2427" w:type="pct"/>
          </w:tcPr>
          <w:p w:rsidR="009151CA" w:rsidRPr="00201A3F" w:rsidRDefault="009151CA" w:rsidP="00B803D5">
            <w:pPr>
              <w:rPr>
                <w:sz w:val="20"/>
              </w:rPr>
            </w:pPr>
            <w:r w:rsidRPr="00201A3F">
              <w:rPr>
                <w:sz w:val="20"/>
              </w:rPr>
              <w:lastRenderedPageBreak/>
              <w:t>March 9, 2012</w:t>
            </w:r>
          </w:p>
          <w:p w:rsidR="009151CA" w:rsidRPr="00201A3F" w:rsidRDefault="009151CA" w:rsidP="00B803D5">
            <w:pPr>
              <w:rPr>
                <w:sz w:val="20"/>
              </w:rPr>
            </w:pPr>
            <w:r w:rsidRPr="00201A3F">
              <w:rPr>
                <w:sz w:val="20"/>
              </w:rPr>
              <w:t>Supreme Court of Canada</w:t>
            </w:r>
          </w:p>
        </w:tc>
        <w:tc>
          <w:tcPr>
            <w:tcW w:w="243" w:type="pct"/>
          </w:tcPr>
          <w:p w:rsidR="009151CA" w:rsidRPr="00201A3F" w:rsidRDefault="009151CA" w:rsidP="00B803D5">
            <w:pPr>
              <w:rPr>
                <w:sz w:val="20"/>
              </w:rPr>
            </w:pPr>
          </w:p>
        </w:tc>
        <w:tc>
          <w:tcPr>
            <w:tcW w:w="2330" w:type="pct"/>
          </w:tcPr>
          <w:p w:rsidR="009151CA" w:rsidRPr="00201A3F" w:rsidRDefault="009151CA" w:rsidP="00B803D5">
            <w:pPr>
              <w:rPr>
                <w:sz w:val="20"/>
              </w:rPr>
            </w:pPr>
            <w:r w:rsidRPr="00201A3F">
              <w:rPr>
                <w:sz w:val="20"/>
              </w:rPr>
              <w:t>Second application for leave to appeal filed</w:t>
            </w:r>
          </w:p>
          <w:p w:rsidR="009151CA" w:rsidRPr="00201A3F" w:rsidRDefault="009151CA" w:rsidP="00B803D5">
            <w:pPr>
              <w:rPr>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44"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9151CA" w:rsidRPr="00DC2D1F" w:rsidTr="00B803D5">
        <w:tc>
          <w:tcPr>
            <w:tcW w:w="5000" w:type="pct"/>
            <w:gridSpan w:val="3"/>
          </w:tcPr>
          <w:p w:rsidR="009151CA" w:rsidRPr="00201A3F" w:rsidRDefault="009151CA" w:rsidP="00B803D5">
            <w:pPr>
              <w:jc w:val="both"/>
              <w:rPr>
                <w:rFonts w:eastAsia="Calibri"/>
                <w:sz w:val="20"/>
                <w:lang w:val="fr-CA"/>
              </w:rPr>
            </w:pPr>
            <w:r w:rsidRPr="00201A3F">
              <w:rPr>
                <w:rFonts w:eastAsia="Calibri"/>
                <w:sz w:val="20"/>
                <w:lang w:val="fr-CA"/>
              </w:rPr>
              <w:t>Droit fiscal — Impôt sur le revenu — Cotisation — Intérêts — Droits de la personne — Pratiques discriminatoires — Parité salariale — Paiement forfaitaire de règlement en matière de parité salariale — Une plainte en matière des droits de la personne peut</w:t>
            </w:r>
            <w:r w:rsidRPr="00201A3F">
              <w:rPr>
                <w:rFonts w:eastAsia="Calibri"/>
                <w:sz w:val="20"/>
                <w:lang w:val="fr-CA"/>
              </w:rPr>
              <w:noBreakHyphen/>
              <w:t>elle être déposée contre les mesures d’un acteur gouvernemental lorsque ces mesures sont autorisées par la loi? — Les mesures prises par l’Agence du revenu du Canada qui établit une cotisation fiscale constituent</w:t>
            </w:r>
            <w:r w:rsidRPr="00201A3F">
              <w:rPr>
                <w:rFonts w:eastAsia="Calibri"/>
                <w:sz w:val="20"/>
                <w:lang w:val="fr-CA"/>
              </w:rPr>
              <w:noBreakHyphen/>
              <w:t>elles un service? — Les mesures prises par l’Agence du revenu du Canada touchent</w:t>
            </w:r>
            <w:r w:rsidRPr="00201A3F">
              <w:rPr>
                <w:rFonts w:eastAsia="Calibri"/>
                <w:sz w:val="20"/>
                <w:lang w:val="fr-CA"/>
              </w:rPr>
              <w:noBreakHyphen/>
              <w:t>elles les demanderesses en cours d’emploi? — Que faut</w:t>
            </w:r>
            <w:r w:rsidRPr="00201A3F">
              <w:rPr>
                <w:rFonts w:eastAsia="Calibri"/>
                <w:sz w:val="20"/>
                <w:lang w:val="fr-CA"/>
              </w:rPr>
              <w:noBreakHyphen/>
              <w:t xml:space="preserve">il pour établir une preuve </w:t>
            </w:r>
            <w:r w:rsidRPr="00201A3F">
              <w:rPr>
                <w:rFonts w:eastAsia="Calibri"/>
                <w:i/>
                <w:sz w:val="20"/>
                <w:lang w:val="fr-CA"/>
              </w:rPr>
              <w:t>prima facie</w:t>
            </w:r>
            <w:r w:rsidRPr="00201A3F">
              <w:rPr>
                <w:rFonts w:eastAsia="Calibri"/>
                <w:sz w:val="20"/>
                <w:lang w:val="fr-CA"/>
              </w:rPr>
              <w:t xml:space="preserve"> dans une situation où différentes choses auraient pu se produire n’eut été des mesures discriminatoires? — Quel est le rôle juridique des intérêts et ceux</w:t>
            </w:r>
            <w:r w:rsidRPr="00201A3F">
              <w:rPr>
                <w:rFonts w:eastAsia="Calibri"/>
                <w:sz w:val="20"/>
                <w:lang w:val="fr-CA"/>
              </w:rPr>
              <w:noBreakHyphen/>
              <w:t>ci peuvent</w:t>
            </w:r>
            <w:r w:rsidRPr="00201A3F">
              <w:rPr>
                <w:rFonts w:eastAsia="Calibri"/>
                <w:sz w:val="20"/>
                <w:lang w:val="fr-CA"/>
              </w:rPr>
              <w:noBreakHyphen/>
              <w:t xml:space="preserve">ils être utilisés pour compenser d’autres dommages? </w:t>
            </w:r>
            <w:r w:rsidRPr="00201A3F">
              <w:rPr>
                <w:rFonts w:eastAsia="Calibri"/>
                <w:sz w:val="20"/>
                <w:lang w:val="fr-CA"/>
              </w:rPr>
              <w:noBreakHyphen/>
              <w:t xml:space="preserve"> Les mesures gouvernementales qui sont prescrites par la législation fédérale peuvent</w:t>
            </w:r>
            <w:r w:rsidRPr="00201A3F">
              <w:rPr>
                <w:rFonts w:eastAsia="Calibri"/>
                <w:sz w:val="20"/>
                <w:lang w:val="fr-CA"/>
              </w:rPr>
              <w:noBreakHyphen/>
              <w:t xml:space="preserve">elles être des « services destinés au public » au sens de l’art. 5 de la </w:t>
            </w:r>
            <w:r w:rsidRPr="00201A3F">
              <w:rPr>
                <w:rFonts w:eastAsia="Calibri"/>
                <w:i/>
                <w:sz w:val="20"/>
                <w:lang w:val="fr-CA"/>
              </w:rPr>
              <w:t>Loi canadienne sur les droits de la personne</w:t>
            </w:r>
            <w:r w:rsidRPr="00201A3F">
              <w:rPr>
                <w:rFonts w:eastAsia="Calibri"/>
                <w:sz w:val="20"/>
                <w:lang w:val="fr-CA"/>
              </w:rPr>
              <w:t>? — Le Tribunal canadien des droits de la personne a</w:t>
            </w:r>
            <w:r w:rsidRPr="00201A3F">
              <w:rPr>
                <w:rFonts w:eastAsia="Calibri"/>
                <w:sz w:val="20"/>
                <w:lang w:val="fr-CA"/>
              </w:rPr>
              <w:noBreakHyphen/>
              <w:t>t</w:t>
            </w:r>
            <w:r w:rsidRPr="00201A3F">
              <w:rPr>
                <w:rFonts w:eastAsia="Calibri"/>
                <w:sz w:val="20"/>
                <w:lang w:val="fr-CA"/>
              </w:rPr>
              <w:noBreakHyphen/>
              <w:t>il le pouvoir d’ordonner des réparations susceptibles d’avoir une incidence sur des dispositions prises en vertu de la législation fédérale? — La Cour d’appel fédérale a</w:t>
            </w:r>
            <w:r w:rsidRPr="00201A3F">
              <w:rPr>
                <w:rFonts w:eastAsia="Calibri"/>
                <w:sz w:val="20"/>
                <w:lang w:val="fr-CA"/>
              </w:rPr>
              <w:noBreakHyphen/>
              <w:t>t</w:t>
            </w:r>
            <w:r w:rsidRPr="00201A3F">
              <w:rPr>
                <w:rFonts w:eastAsia="Calibri"/>
                <w:sz w:val="20"/>
                <w:lang w:val="fr-CA"/>
              </w:rPr>
              <w:noBreakHyphen/>
              <w:t xml:space="preserve">elle commis une erreur susceptible de révision en concluant que la </w:t>
            </w:r>
            <w:r w:rsidRPr="00201A3F">
              <w:rPr>
                <w:rFonts w:eastAsia="Calibri"/>
                <w:i/>
                <w:sz w:val="20"/>
                <w:lang w:val="fr-CA"/>
              </w:rPr>
              <w:t>Loi canadienne sur les droits de la personne</w:t>
            </w:r>
            <w:r w:rsidRPr="00201A3F">
              <w:rPr>
                <w:rFonts w:eastAsia="Calibri"/>
                <w:sz w:val="20"/>
                <w:lang w:val="fr-CA"/>
              </w:rPr>
              <w:t xml:space="preserve"> ne pouvait pas être utilisée pour rectifier les conséquences discriminatoires découlant de dispositions incompatibles dans d’autres lois ou règlements fédéraux?</w:t>
            </w:r>
          </w:p>
          <w:p w:rsidR="009151CA" w:rsidRPr="00201A3F" w:rsidRDefault="009151CA" w:rsidP="00B803D5">
            <w:pPr>
              <w:jc w:val="both"/>
              <w:rPr>
                <w:rFonts w:eastAsia="Calibri"/>
                <w:sz w:val="20"/>
                <w:lang w:val="fr-CA"/>
              </w:rPr>
            </w:pPr>
          </w:p>
        </w:tc>
      </w:tr>
      <w:tr w:rsidR="009151CA" w:rsidRPr="00DC2D1F" w:rsidTr="00B803D5">
        <w:tc>
          <w:tcPr>
            <w:tcW w:w="5000" w:type="pct"/>
            <w:gridSpan w:val="3"/>
          </w:tcPr>
          <w:p w:rsidR="009151CA" w:rsidRPr="00201A3F" w:rsidRDefault="009151CA" w:rsidP="00B803D5">
            <w:pPr>
              <w:jc w:val="both"/>
              <w:rPr>
                <w:color w:val="000000"/>
                <w:sz w:val="20"/>
                <w:lang w:val="fr-CA"/>
              </w:rPr>
            </w:pPr>
            <w:r w:rsidRPr="00201A3F">
              <w:rPr>
                <w:color w:val="000000"/>
                <w:sz w:val="20"/>
                <w:lang w:val="fr-CA"/>
              </w:rPr>
              <w:t xml:space="preserve">Les demanderesses ont présenté une demande de contrôle judiciaire visant une décision du Tribunal canadien des droits de la personne (le Tribunal) concernant une plainte dans laquelle il était allégué que l’Agence du revenu du Canada (ARC) avait violé les articles 5 et 7 de la </w:t>
            </w:r>
            <w:r w:rsidRPr="00201A3F">
              <w:rPr>
                <w:i/>
                <w:iCs/>
                <w:color w:val="000000"/>
                <w:sz w:val="20"/>
                <w:lang w:val="fr-CA"/>
              </w:rPr>
              <w:t xml:space="preserve">Loi canadienne sur les droits de la personne </w:t>
            </w:r>
            <w:r w:rsidRPr="00201A3F">
              <w:rPr>
                <w:color w:val="000000"/>
                <w:sz w:val="20"/>
                <w:lang w:val="fr-CA"/>
              </w:rPr>
              <w:t xml:space="preserve">(la LCDP) lorsqu’elle avait appliqué les dispositions de la </w:t>
            </w:r>
            <w:r w:rsidRPr="00201A3F">
              <w:rPr>
                <w:i/>
                <w:iCs/>
                <w:color w:val="000000"/>
                <w:sz w:val="20"/>
                <w:lang w:val="fr-CA"/>
              </w:rPr>
              <w:t xml:space="preserve">Loi de l’impôt sur le revenu </w:t>
            </w:r>
            <w:r w:rsidRPr="00201A3F">
              <w:rPr>
                <w:color w:val="000000"/>
                <w:sz w:val="20"/>
                <w:lang w:val="fr-CA"/>
              </w:rPr>
              <w:t xml:space="preserve">(la LIR) relativement à des paiements forfaitaires versés à titre d’indemnités de parité salariale. </w:t>
            </w:r>
          </w:p>
          <w:p w:rsidR="009151CA" w:rsidRPr="00201A3F" w:rsidRDefault="009151CA" w:rsidP="00B803D5">
            <w:pPr>
              <w:jc w:val="both"/>
              <w:rPr>
                <w:color w:val="000000"/>
                <w:sz w:val="20"/>
                <w:lang w:val="fr-CA"/>
              </w:rPr>
            </w:pPr>
          </w:p>
          <w:p w:rsidR="009151CA" w:rsidRPr="00201A3F" w:rsidRDefault="009151CA" w:rsidP="00B803D5">
            <w:pPr>
              <w:jc w:val="both"/>
              <w:rPr>
                <w:color w:val="000000"/>
                <w:sz w:val="20"/>
                <w:lang w:val="fr-CA"/>
              </w:rPr>
            </w:pPr>
            <w:r w:rsidRPr="00201A3F">
              <w:rPr>
                <w:color w:val="000000"/>
                <w:sz w:val="20"/>
                <w:lang w:val="fr-CA"/>
              </w:rPr>
              <w:t>La demanderesse Cathy Murphy a été fonctionnaire fédérale de 1981 à 1994.  L’autre demanderesse, l’Alliance de la fonction publique du Canada (AFPC), était son syndicat.  L’AFPC a déposé des plaintes contre le Conseil du Trésor du Canada, alléguant que les employées de plusieurs groupes professionnels à prédominance féminine étaient moins rémunérées que des employés de groupes à prédominance masculine exécutant des fonctions équivalentes.  S’attendant à un règlement, des représentants de l'AFPC ont rencontré Revenu Canada pour s’informer de la manière dont les ajustements au titre de la parité salariale seraient traités aux fins de l’impôt.  Le Tribunal a fini par ordonner au Conseil du Trésor d'effectuer les paiements rétroactifs d'ajustement salarial aux fonctionnaires fédéraux touchés de 1985 jusqu'à la date de la décision, en 1998.  Il a aussi ordonné au Conseil du Trésor de payer des intérêts simples sur les ajustements salariaux.  En 2000, le gouvernement a fait des paiements forfaitaires aux prestataires.</w:t>
            </w:r>
          </w:p>
          <w:p w:rsidR="009151CA" w:rsidRPr="00201A3F" w:rsidRDefault="009151CA" w:rsidP="00B803D5">
            <w:pPr>
              <w:jc w:val="both"/>
              <w:rPr>
                <w:color w:val="000000"/>
                <w:sz w:val="20"/>
                <w:lang w:val="fr-CA"/>
              </w:rPr>
            </w:pPr>
          </w:p>
          <w:p w:rsidR="009151CA" w:rsidRPr="00201A3F" w:rsidRDefault="009151CA" w:rsidP="00B803D5">
            <w:pPr>
              <w:jc w:val="both"/>
              <w:rPr>
                <w:color w:val="000000"/>
                <w:sz w:val="20"/>
                <w:lang w:val="fr-CA"/>
              </w:rPr>
            </w:pPr>
            <w:r w:rsidRPr="00201A3F">
              <w:rPr>
                <w:color w:val="000000"/>
                <w:sz w:val="20"/>
                <w:lang w:val="fr-CA"/>
              </w:rPr>
              <w:t>Entretemps, le gouvernement a adopté le mécanisme du paiement forfaitaire rétroactif admissible (PFRA), une mesure pour tenter de répondre aux préoccupations soulevées quant aux répercussions fiscales négatives reliées aux paiements forfaitaires.  Le mécanisme ne s’appliquait qu’aux paiements forfaitaires admissibles et seulement s’il était à l’avantage du particulier.  Le PFRA comprenait le calcul d’un « impôt théorique », qui comprenait non seulement l’impôt qui aurait dû être payé au cours de ces années, mais aussi un montant pour les intérêts qui reflétaient le retard dans le paiement des impôts pour le paiement forfaitaire rétroactif.  L'ARC a informé M</w:t>
            </w:r>
            <w:r w:rsidRPr="00201A3F">
              <w:rPr>
                <w:color w:val="000000"/>
                <w:sz w:val="20"/>
                <w:vertAlign w:val="superscript"/>
                <w:lang w:val="fr-CA"/>
              </w:rPr>
              <w:t>me</w:t>
            </w:r>
            <w:r w:rsidRPr="00201A3F">
              <w:rPr>
                <w:color w:val="000000"/>
                <w:sz w:val="20"/>
                <w:lang w:val="fr-CA"/>
              </w:rPr>
              <w:t> Murphy qu'elle était admissible au calcul de l'impôt selon le mécanisme des PFRA, mais lui a expliqué par la suite que ce calcul ne lui était pas avantageux.  Les paiements forfaitaires ont donc été réputés constituer un revenu d'emploi aux fins de l'impôt sur le revenu de l'année 2000, l’année où elle a reçu le montant forfaitaire, même s'ils visaient un emploi qui avait été exercé dans des années antérieures.</w:t>
            </w:r>
          </w:p>
          <w:p w:rsidR="009151CA" w:rsidRPr="00201A3F" w:rsidRDefault="009151CA" w:rsidP="00B803D5">
            <w:pPr>
              <w:jc w:val="both"/>
              <w:rPr>
                <w:color w:val="000000"/>
                <w:sz w:val="20"/>
                <w:lang w:val="fr-CA"/>
              </w:rPr>
            </w:pPr>
          </w:p>
          <w:p w:rsidR="009151CA" w:rsidRPr="00201A3F" w:rsidRDefault="009151CA" w:rsidP="00B803D5">
            <w:pPr>
              <w:jc w:val="both"/>
              <w:rPr>
                <w:color w:val="000000"/>
                <w:sz w:val="20"/>
                <w:lang w:val="fr-CA"/>
              </w:rPr>
            </w:pPr>
            <w:r w:rsidRPr="00201A3F">
              <w:rPr>
                <w:color w:val="000000"/>
                <w:sz w:val="20"/>
                <w:lang w:val="fr-CA"/>
              </w:rPr>
              <w:t>En mars 2002, M</w:t>
            </w:r>
            <w:r w:rsidRPr="00201A3F">
              <w:rPr>
                <w:color w:val="000000"/>
                <w:sz w:val="20"/>
                <w:vertAlign w:val="superscript"/>
                <w:lang w:val="fr-CA"/>
              </w:rPr>
              <w:t>me</w:t>
            </w:r>
            <w:r w:rsidRPr="00201A3F">
              <w:rPr>
                <w:color w:val="000000"/>
                <w:sz w:val="20"/>
                <w:lang w:val="fr-CA"/>
              </w:rPr>
              <w:t xml:space="preserve"> Murphy et l’AFPC ont déposés des plaintes en matière de droits de la personne au nom de tous les prestataires de parité salariale.  Les plaintes alléguaient que, dans le cadre de son analyse des PFRA, l’ARC avait fait une distinction illicite envers ces individus en appliquant des intérêts composés à des arriérés d’impôt théorique dont l’ARC avait affirmé qu’ils lui étaient dus depuis la date à laquelle les revenus avaient été gagnés.  L’AFPC soutenait </w:t>
            </w:r>
            <w:r w:rsidRPr="00201A3F">
              <w:rPr>
                <w:color w:val="000000"/>
                <w:sz w:val="20"/>
                <w:lang w:val="fr-CA"/>
              </w:rPr>
              <w:lastRenderedPageBreak/>
              <w:t>que cette démarche réduisait la valeur réelle des paiements que le Tribunal avait ordonnés, perpétuant ainsi l’écart salarial qui avait été l’objet des plaintes de 1984 et 1990, et que cela violait l’article 5 et l’alinéa 7</w:t>
            </w:r>
            <w:r w:rsidRPr="00201A3F">
              <w:rPr>
                <w:i/>
                <w:iCs/>
                <w:color w:val="000000"/>
                <w:sz w:val="20"/>
                <w:lang w:val="fr-CA"/>
              </w:rPr>
              <w:t>b</w:t>
            </w:r>
            <w:r w:rsidRPr="00201A3F">
              <w:rPr>
                <w:color w:val="000000"/>
                <w:sz w:val="20"/>
                <w:lang w:val="fr-CA"/>
              </w:rPr>
              <w:t>) de la LCDP.</w:t>
            </w:r>
          </w:p>
          <w:p w:rsidR="009151CA" w:rsidRPr="00201A3F" w:rsidRDefault="009151CA" w:rsidP="00B803D5">
            <w:pPr>
              <w:jc w:val="both"/>
              <w:rPr>
                <w:rFonts w:eastAsia="Calibri"/>
                <w:sz w:val="20"/>
                <w:lang w:val="fr-CA"/>
              </w:rPr>
            </w:pPr>
          </w:p>
        </w:tc>
      </w:tr>
      <w:tr w:rsidR="009151CA" w:rsidRPr="00DC2D1F" w:rsidTr="00B803D5">
        <w:tc>
          <w:tcPr>
            <w:tcW w:w="2427" w:type="pct"/>
          </w:tcPr>
          <w:p w:rsidR="009151CA" w:rsidRPr="00201A3F" w:rsidRDefault="009151CA" w:rsidP="00B803D5">
            <w:pPr>
              <w:jc w:val="both"/>
              <w:rPr>
                <w:rFonts w:eastAsia="Calibri"/>
                <w:sz w:val="20"/>
                <w:lang w:val="fr-CA"/>
              </w:rPr>
            </w:pPr>
            <w:r w:rsidRPr="00201A3F">
              <w:rPr>
                <w:rFonts w:eastAsia="Calibri"/>
                <w:sz w:val="20"/>
                <w:lang w:val="fr-CA"/>
              </w:rPr>
              <w:lastRenderedPageBreak/>
              <w:t>23 avril 2010</w:t>
            </w:r>
          </w:p>
          <w:p w:rsidR="009151CA" w:rsidRPr="00201A3F" w:rsidRDefault="009151CA" w:rsidP="00B803D5">
            <w:pPr>
              <w:jc w:val="both"/>
              <w:rPr>
                <w:rFonts w:eastAsia="Calibri"/>
                <w:sz w:val="20"/>
                <w:lang w:val="fr-CA"/>
              </w:rPr>
            </w:pPr>
            <w:r w:rsidRPr="00201A3F">
              <w:rPr>
                <w:rFonts w:eastAsia="Calibri"/>
                <w:sz w:val="20"/>
                <w:lang w:val="fr-CA"/>
              </w:rPr>
              <w:t>Tribunal canadien des droits de la personne</w:t>
            </w:r>
          </w:p>
          <w:p w:rsidR="009151CA" w:rsidRPr="00201A3F" w:rsidRDefault="009151CA" w:rsidP="00B803D5">
            <w:pPr>
              <w:jc w:val="both"/>
              <w:rPr>
                <w:rFonts w:eastAsia="Calibri"/>
                <w:sz w:val="20"/>
                <w:lang w:val="fr-CA"/>
              </w:rPr>
            </w:pPr>
            <w:r w:rsidRPr="00201A3F">
              <w:rPr>
                <w:rFonts w:eastAsia="Calibri"/>
                <w:sz w:val="20"/>
                <w:lang w:val="fr-CA"/>
              </w:rPr>
              <w:t>(Commissaire Hadjis)</w:t>
            </w:r>
          </w:p>
          <w:p w:rsidR="009151CA" w:rsidRPr="00201A3F" w:rsidRDefault="009151CA" w:rsidP="00B803D5">
            <w:pPr>
              <w:jc w:val="both"/>
              <w:rPr>
                <w:rFonts w:eastAsia="Calibri"/>
                <w:sz w:val="20"/>
                <w:lang w:val="fr-CA"/>
              </w:rPr>
            </w:pPr>
            <w:r w:rsidRPr="00201A3F">
              <w:rPr>
                <w:rFonts w:eastAsia="Calibri"/>
                <w:sz w:val="20"/>
                <w:lang w:val="fr-CA"/>
              </w:rPr>
              <w:t>2010 CHRT 9</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Plainte en matière des droits de la personne jugée non fondée</w:t>
            </w:r>
          </w:p>
        </w:tc>
      </w:tr>
      <w:tr w:rsidR="009151CA" w:rsidRPr="00201A3F" w:rsidTr="00B803D5">
        <w:tc>
          <w:tcPr>
            <w:tcW w:w="2427" w:type="pct"/>
          </w:tcPr>
          <w:p w:rsidR="009151CA" w:rsidRPr="00201A3F" w:rsidRDefault="009151CA" w:rsidP="00B803D5">
            <w:pPr>
              <w:jc w:val="both"/>
              <w:rPr>
                <w:rFonts w:eastAsia="Calibri"/>
                <w:sz w:val="20"/>
                <w:lang w:val="fr-CA"/>
              </w:rPr>
            </w:pPr>
            <w:r w:rsidRPr="00201A3F">
              <w:rPr>
                <w:rFonts w:eastAsia="Calibri"/>
                <w:sz w:val="20"/>
                <w:lang w:val="fr-CA"/>
              </w:rPr>
              <w:t>22 février 2011</w:t>
            </w:r>
          </w:p>
          <w:p w:rsidR="009151CA" w:rsidRPr="00201A3F" w:rsidRDefault="009151CA" w:rsidP="00B803D5">
            <w:pPr>
              <w:jc w:val="both"/>
              <w:rPr>
                <w:rFonts w:eastAsia="Calibri"/>
                <w:sz w:val="20"/>
                <w:lang w:val="fr-CA"/>
              </w:rPr>
            </w:pPr>
            <w:r w:rsidRPr="00201A3F">
              <w:rPr>
                <w:rFonts w:eastAsia="Calibri"/>
                <w:sz w:val="20"/>
                <w:lang w:val="fr-CA"/>
              </w:rPr>
              <w:t>Cour fédérale</w:t>
            </w:r>
          </w:p>
          <w:p w:rsidR="009151CA" w:rsidRPr="00201A3F" w:rsidRDefault="009151CA" w:rsidP="00B803D5">
            <w:pPr>
              <w:jc w:val="both"/>
              <w:rPr>
                <w:rFonts w:eastAsia="Calibri"/>
                <w:sz w:val="20"/>
                <w:lang w:val="fr-CA"/>
              </w:rPr>
            </w:pPr>
            <w:r w:rsidRPr="00201A3F">
              <w:rPr>
                <w:rFonts w:eastAsia="Calibri"/>
                <w:sz w:val="20"/>
                <w:lang w:val="fr-CA"/>
              </w:rPr>
              <w:t>(Juge Beaudry)</w:t>
            </w:r>
          </w:p>
          <w:p w:rsidR="009151CA" w:rsidRPr="00201A3F" w:rsidRDefault="009151CA" w:rsidP="00B803D5">
            <w:pPr>
              <w:jc w:val="both"/>
              <w:rPr>
                <w:rFonts w:eastAsia="Calibri"/>
                <w:sz w:val="20"/>
                <w:lang w:val="fr-CA"/>
              </w:rPr>
            </w:pPr>
            <w:r w:rsidRPr="00201A3F">
              <w:rPr>
                <w:rFonts w:eastAsia="Calibri"/>
                <w:sz w:val="20"/>
                <w:lang w:val="fr-CA"/>
              </w:rPr>
              <w:t>2011 FC 207</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Demande de contrôle judiciaire, rejetée</w:t>
            </w:r>
          </w:p>
          <w:p w:rsidR="009151CA" w:rsidRPr="00201A3F" w:rsidRDefault="009151CA" w:rsidP="00B803D5">
            <w:pPr>
              <w:jc w:val="both"/>
              <w:rPr>
                <w:rFonts w:eastAsia="Calibri"/>
                <w:sz w:val="20"/>
                <w:lang w:val="fr-CA"/>
              </w:rPr>
            </w:pPr>
          </w:p>
          <w:p w:rsidR="009151CA" w:rsidRPr="00201A3F" w:rsidRDefault="009151CA" w:rsidP="00B803D5">
            <w:pPr>
              <w:jc w:val="both"/>
              <w:rPr>
                <w:rFonts w:eastAsia="Calibri"/>
                <w:sz w:val="20"/>
                <w:lang w:val="fr-CA"/>
              </w:rPr>
            </w:pPr>
          </w:p>
        </w:tc>
      </w:tr>
      <w:tr w:rsidR="009151CA" w:rsidRPr="00201A3F" w:rsidTr="00B803D5">
        <w:tc>
          <w:tcPr>
            <w:tcW w:w="2427" w:type="pct"/>
          </w:tcPr>
          <w:p w:rsidR="009151CA" w:rsidRPr="00201A3F" w:rsidRDefault="009151CA" w:rsidP="00B803D5">
            <w:pPr>
              <w:jc w:val="both"/>
              <w:rPr>
                <w:rFonts w:eastAsia="Calibri"/>
                <w:sz w:val="20"/>
                <w:lang w:val="fr-CA"/>
              </w:rPr>
            </w:pPr>
            <w:r w:rsidRPr="00201A3F">
              <w:rPr>
                <w:rFonts w:eastAsia="Calibri"/>
                <w:sz w:val="20"/>
                <w:lang w:val="fr-CA"/>
              </w:rPr>
              <w:t>10 janvier 2012</w:t>
            </w:r>
          </w:p>
          <w:p w:rsidR="009151CA" w:rsidRPr="00201A3F" w:rsidRDefault="009151CA" w:rsidP="00B803D5">
            <w:pPr>
              <w:jc w:val="both"/>
              <w:rPr>
                <w:rFonts w:eastAsia="Calibri"/>
                <w:sz w:val="20"/>
                <w:lang w:val="fr-CA"/>
              </w:rPr>
            </w:pPr>
            <w:r w:rsidRPr="00201A3F">
              <w:rPr>
                <w:rFonts w:eastAsia="Calibri"/>
                <w:sz w:val="20"/>
                <w:lang w:val="fr-CA"/>
              </w:rPr>
              <w:t>Cour d’appel fédérale</w:t>
            </w:r>
          </w:p>
          <w:p w:rsidR="009151CA" w:rsidRPr="00201A3F" w:rsidRDefault="009151CA" w:rsidP="00B803D5">
            <w:pPr>
              <w:jc w:val="both"/>
              <w:rPr>
                <w:rFonts w:eastAsia="Calibri"/>
                <w:sz w:val="20"/>
                <w:lang w:val="fr-CA"/>
              </w:rPr>
            </w:pPr>
            <w:r w:rsidRPr="00201A3F">
              <w:rPr>
                <w:rFonts w:eastAsia="Calibri"/>
                <w:sz w:val="20"/>
                <w:lang w:val="fr-CA"/>
              </w:rPr>
              <w:t>(Juges Létourneau, Noël et Gauthier)</w:t>
            </w:r>
          </w:p>
          <w:p w:rsidR="009151CA" w:rsidRPr="00201A3F" w:rsidRDefault="009151CA" w:rsidP="00B803D5">
            <w:pPr>
              <w:jc w:val="both"/>
              <w:rPr>
                <w:rFonts w:eastAsia="Calibri"/>
                <w:sz w:val="20"/>
                <w:lang w:val="fr-CA"/>
              </w:rPr>
            </w:pPr>
            <w:r w:rsidRPr="00201A3F">
              <w:rPr>
                <w:rFonts w:eastAsia="Calibri"/>
                <w:sz w:val="20"/>
                <w:lang w:val="fr-CA"/>
              </w:rPr>
              <w:t>2012 FCA 7</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Appel rejeté</w:t>
            </w:r>
          </w:p>
          <w:p w:rsidR="009151CA" w:rsidRPr="00201A3F" w:rsidRDefault="009151CA" w:rsidP="00B803D5">
            <w:pPr>
              <w:jc w:val="both"/>
              <w:rPr>
                <w:rFonts w:eastAsia="Calibri"/>
                <w:sz w:val="20"/>
                <w:lang w:val="fr-CA"/>
              </w:rPr>
            </w:pPr>
          </w:p>
          <w:p w:rsidR="009151CA" w:rsidRPr="00201A3F" w:rsidRDefault="009151CA" w:rsidP="00B803D5">
            <w:pPr>
              <w:jc w:val="both"/>
              <w:rPr>
                <w:rFonts w:eastAsia="Calibri"/>
                <w:sz w:val="20"/>
                <w:lang w:val="fr-CA"/>
              </w:rPr>
            </w:pPr>
          </w:p>
        </w:tc>
      </w:tr>
      <w:tr w:rsidR="009151CA" w:rsidRPr="00201A3F" w:rsidTr="00B803D5">
        <w:tc>
          <w:tcPr>
            <w:tcW w:w="2427" w:type="pct"/>
          </w:tcPr>
          <w:p w:rsidR="009151CA" w:rsidRPr="00201A3F" w:rsidRDefault="009151CA" w:rsidP="00B803D5">
            <w:pPr>
              <w:jc w:val="both"/>
              <w:rPr>
                <w:rFonts w:eastAsia="Calibri"/>
                <w:sz w:val="20"/>
                <w:lang w:val="fr-CA"/>
              </w:rPr>
            </w:pPr>
            <w:r w:rsidRPr="00201A3F">
              <w:rPr>
                <w:rFonts w:eastAsia="Calibri"/>
                <w:sz w:val="20"/>
                <w:lang w:val="fr-CA"/>
              </w:rPr>
              <w:t>9 mars 2012</w:t>
            </w:r>
          </w:p>
          <w:p w:rsidR="009151CA" w:rsidRPr="00201A3F" w:rsidRDefault="009151CA" w:rsidP="00B803D5">
            <w:pPr>
              <w:jc w:val="both"/>
              <w:rPr>
                <w:rFonts w:eastAsia="Calibri"/>
                <w:sz w:val="20"/>
                <w:lang w:val="fr-CA"/>
              </w:rPr>
            </w:pPr>
            <w:r w:rsidRPr="00201A3F">
              <w:rPr>
                <w:rFonts w:eastAsia="Calibri"/>
                <w:sz w:val="20"/>
                <w:lang w:val="fr-CA"/>
              </w:rPr>
              <w:t>Cour suprême du Canada</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Première demande d’autorisation d’appel, déposée</w:t>
            </w:r>
          </w:p>
          <w:p w:rsidR="009151CA" w:rsidRPr="00201A3F" w:rsidRDefault="009151CA" w:rsidP="00B803D5">
            <w:pPr>
              <w:jc w:val="both"/>
              <w:rPr>
                <w:rFonts w:eastAsia="Calibri"/>
                <w:sz w:val="20"/>
                <w:lang w:val="fr-CA"/>
              </w:rPr>
            </w:pPr>
          </w:p>
        </w:tc>
      </w:tr>
      <w:tr w:rsidR="009151CA" w:rsidRPr="00201A3F" w:rsidTr="00B803D5">
        <w:tc>
          <w:tcPr>
            <w:tcW w:w="2427" w:type="pct"/>
          </w:tcPr>
          <w:p w:rsidR="009151CA" w:rsidRPr="00201A3F" w:rsidRDefault="009151CA" w:rsidP="00B803D5">
            <w:pPr>
              <w:jc w:val="both"/>
              <w:rPr>
                <w:rFonts w:eastAsia="Calibri"/>
                <w:sz w:val="20"/>
                <w:lang w:val="fr-CA"/>
              </w:rPr>
            </w:pPr>
            <w:r w:rsidRPr="00201A3F">
              <w:rPr>
                <w:rFonts w:eastAsia="Calibri"/>
                <w:sz w:val="20"/>
                <w:lang w:val="fr-CA"/>
              </w:rPr>
              <w:t>9 mars 2012</w:t>
            </w:r>
          </w:p>
          <w:p w:rsidR="009151CA" w:rsidRPr="00201A3F" w:rsidRDefault="009151CA" w:rsidP="00B803D5">
            <w:pPr>
              <w:jc w:val="both"/>
              <w:rPr>
                <w:rFonts w:eastAsia="Calibri"/>
                <w:sz w:val="20"/>
                <w:lang w:val="fr-CA"/>
              </w:rPr>
            </w:pPr>
            <w:r w:rsidRPr="00201A3F">
              <w:rPr>
                <w:rFonts w:eastAsia="Calibri"/>
                <w:sz w:val="20"/>
                <w:lang w:val="fr-CA"/>
              </w:rPr>
              <w:t>Cour suprême du Canada</w:t>
            </w: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Deuxième demande d’autorisation d’appel, déposée</w:t>
            </w:r>
          </w:p>
          <w:p w:rsidR="009151CA" w:rsidRPr="00201A3F" w:rsidRDefault="009151CA" w:rsidP="00B803D5">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45"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6290" w:rsidRPr="003C7D2B" w:rsidTr="00C46290">
        <w:trPr>
          <w:cantSplit/>
        </w:trPr>
        <w:tc>
          <w:tcPr>
            <w:tcW w:w="1458" w:type="dxa"/>
          </w:tcPr>
          <w:p w:rsidR="00C46290" w:rsidRPr="003C7D2B" w:rsidRDefault="00C46290" w:rsidP="00C46290">
            <w:pPr>
              <w:rPr>
                <w:sz w:val="20"/>
                <w:szCs w:val="20"/>
              </w:rPr>
            </w:pPr>
            <w:r w:rsidRPr="003C7D2B">
              <w:rPr>
                <w:rStyle w:val="SCCFileNumberChar"/>
                <w:sz w:val="20"/>
                <w:szCs w:val="20"/>
              </w:rPr>
              <w:t>34770</w:t>
            </w:r>
          </w:p>
          <w:p w:rsidR="00C46290" w:rsidRPr="003C7D2B" w:rsidRDefault="00C46290" w:rsidP="00C46290">
            <w:pPr>
              <w:rPr>
                <w:b/>
                <w:sz w:val="20"/>
                <w:szCs w:val="20"/>
                <w:lang w:val="fr-CA"/>
              </w:rPr>
            </w:pPr>
          </w:p>
        </w:tc>
        <w:tc>
          <w:tcPr>
            <w:tcW w:w="8118" w:type="dxa"/>
          </w:tcPr>
          <w:p w:rsidR="00C46290" w:rsidRPr="003C7D2B" w:rsidRDefault="00C46290" w:rsidP="00C46290">
            <w:pPr>
              <w:jc w:val="both"/>
              <w:rPr>
                <w:sz w:val="20"/>
                <w:szCs w:val="20"/>
              </w:rPr>
            </w:pPr>
            <w:r w:rsidRPr="00C46290">
              <w:rPr>
                <w:rStyle w:val="SCCLsocChar"/>
                <w:sz w:val="20"/>
                <w:szCs w:val="20"/>
                <w:lang w:val="en-CA"/>
              </w:rPr>
              <w:t>Communications, Energy &amp; Paperworkers Union of Canada, Local 721-G v. Mercury Graphics</w:t>
            </w:r>
            <w:r w:rsidRPr="003C7D2B">
              <w:rPr>
                <w:sz w:val="20"/>
                <w:szCs w:val="20"/>
              </w:rPr>
              <w:t xml:space="preserve"> (Sask.) (Civil) (By Leave)</w:t>
            </w:r>
          </w:p>
          <w:p w:rsidR="00C46290" w:rsidRPr="003C7D2B" w:rsidRDefault="00C46290" w:rsidP="00C46290">
            <w:pPr>
              <w:rPr>
                <w:sz w:val="20"/>
                <w:szCs w:val="20"/>
              </w:rPr>
            </w:pPr>
          </w:p>
        </w:tc>
      </w:tr>
      <w:tr w:rsidR="00C46290" w:rsidRPr="003C7D2B" w:rsidTr="00C46290">
        <w:trPr>
          <w:cantSplit/>
        </w:trPr>
        <w:tc>
          <w:tcPr>
            <w:tcW w:w="1458" w:type="dxa"/>
          </w:tcPr>
          <w:p w:rsidR="00C46290" w:rsidRPr="003C7D2B" w:rsidRDefault="00C46290" w:rsidP="00C46290">
            <w:pPr>
              <w:rPr>
                <w:sz w:val="20"/>
                <w:szCs w:val="20"/>
              </w:rPr>
            </w:pPr>
            <w:r w:rsidRPr="003C7D2B">
              <w:rPr>
                <w:sz w:val="20"/>
                <w:szCs w:val="20"/>
              </w:rPr>
              <w:t>Coram :</w:t>
            </w:r>
          </w:p>
        </w:tc>
        <w:tc>
          <w:tcPr>
            <w:tcW w:w="8118" w:type="dxa"/>
          </w:tcPr>
          <w:p w:rsidR="00C46290" w:rsidRPr="003C7D2B" w:rsidRDefault="00C46290" w:rsidP="00C46290">
            <w:pPr>
              <w:rPr>
                <w:sz w:val="20"/>
                <w:szCs w:val="20"/>
              </w:rPr>
            </w:pPr>
            <w:r w:rsidRPr="00C46290">
              <w:rPr>
                <w:rStyle w:val="SCCCoramChar"/>
                <w:sz w:val="20"/>
                <w:szCs w:val="20"/>
                <w:lang w:val="en-CA"/>
              </w:rPr>
              <w:t>McLachlin C.J. and Rothstein and Moldaver JJ.</w:t>
            </w:r>
          </w:p>
          <w:p w:rsidR="00C46290" w:rsidRPr="003C7D2B" w:rsidRDefault="00C46290" w:rsidP="00C46290">
            <w:pPr>
              <w:rPr>
                <w:sz w:val="20"/>
                <w:szCs w:val="20"/>
                <w:u w:val="single"/>
              </w:rPr>
            </w:pPr>
          </w:p>
        </w:tc>
      </w:tr>
      <w:tr w:rsidR="00C46290" w:rsidRPr="00DC2D1F" w:rsidTr="00C46290">
        <w:trPr>
          <w:cantSplit/>
        </w:trPr>
        <w:tc>
          <w:tcPr>
            <w:tcW w:w="9576" w:type="dxa"/>
            <w:gridSpan w:val="2"/>
          </w:tcPr>
          <w:p w:rsidR="00C46290" w:rsidRPr="003C7D2B" w:rsidRDefault="00C46290" w:rsidP="00C46290">
            <w:pPr>
              <w:pStyle w:val="SCCShortJudgment"/>
              <w:rPr>
                <w:szCs w:val="20"/>
              </w:rPr>
            </w:pPr>
            <w:r w:rsidRPr="003C7D2B">
              <w:rPr>
                <w:szCs w:val="20"/>
              </w:rPr>
              <w:t>The application for leave to appeal from the judgment of the Court of Appeal for Saskatchewan, Number CACV2048, 2012 SKCA 19, dated February 28, 2012, is dismissed with costs.</w:t>
            </w:r>
          </w:p>
          <w:p w:rsidR="00C46290" w:rsidRPr="003C7D2B" w:rsidRDefault="00C46290" w:rsidP="00C46290">
            <w:pPr>
              <w:pStyle w:val="SCCShortJudgment"/>
              <w:ind w:firstLine="0"/>
              <w:rPr>
                <w:szCs w:val="20"/>
              </w:rPr>
            </w:pPr>
          </w:p>
          <w:p w:rsidR="00C46290" w:rsidRPr="003C7D2B" w:rsidRDefault="00C46290" w:rsidP="00C46290">
            <w:pPr>
              <w:pStyle w:val="SCCShortJudgment"/>
              <w:rPr>
                <w:szCs w:val="20"/>
                <w:lang w:val="fr-CA"/>
              </w:rPr>
            </w:pPr>
            <w:r w:rsidRPr="003C7D2B">
              <w:rPr>
                <w:szCs w:val="20"/>
                <w:lang w:val="fr-CA"/>
              </w:rPr>
              <w:t>La demande d’autorisation d’appel de l’arrêt de la Cour d’appel de la Saskatchewan, numéro CACV2048, 2012 SKCA 19, daté du 28 février 2012, est rejetée avec dépens.</w:t>
            </w:r>
          </w:p>
        </w:tc>
      </w:tr>
    </w:tbl>
    <w:p w:rsidR="00A740D1" w:rsidRPr="00C46290"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9151CA" w:rsidRPr="00201A3F" w:rsidTr="00B803D5">
        <w:tc>
          <w:tcPr>
            <w:tcW w:w="5000" w:type="pct"/>
            <w:gridSpan w:val="3"/>
          </w:tcPr>
          <w:p w:rsidR="009151CA" w:rsidRPr="00201A3F" w:rsidRDefault="009151CA" w:rsidP="00B803D5">
            <w:pPr>
              <w:jc w:val="both"/>
              <w:rPr>
                <w:rFonts w:eastAsia="Calibri"/>
                <w:sz w:val="20"/>
              </w:rPr>
            </w:pPr>
            <w:r w:rsidRPr="00201A3F">
              <w:rPr>
                <w:rFonts w:eastAsia="Calibri"/>
                <w:sz w:val="20"/>
              </w:rPr>
              <w:t>Labour relations — Arbitration — Collective agreements — Entitlement to severance — Employees being terminated after a lawful strike had terminated their collective agreements — Is severance pay under a collective agreement an accrued right that vests and survives its termination — If it is not, can an arbitrator apply the law of wrongful dismissal and award severance pay at common law due to the termination of the employment relationship.</w:t>
            </w:r>
          </w:p>
        </w:tc>
      </w:tr>
      <w:tr w:rsidR="009151CA" w:rsidRPr="00201A3F" w:rsidTr="00B803D5">
        <w:tc>
          <w:tcPr>
            <w:tcW w:w="5000" w:type="pct"/>
            <w:gridSpan w:val="3"/>
          </w:tcPr>
          <w:p w:rsidR="009151CA" w:rsidRPr="00201A3F" w:rsidRDefault="009151CA" w:rsidP="00B803D5">
            <w:pPr>
              <w:jc w:val="both"/>
              <w:rPr>
                <w:rFonts w:eastAsia="Calibri"/>
                <w:sz w:val="20"/>
              </w:rPr>
            </w:pPr>
          </w:p>
        </w:tc>
      </w:tr>
      <w:tr w:rsidR="009151CA" w:rsidRPr="00201A3F" w:rsidTr="00B803D5">
        <w:tc>
          <w:tcPr>
            <w:tcW w:w="5000" w:type="pct"/>
            <w:gridSpan w:val="3"/>
          </w:tcPr>
          <w:p w:rsidR="009151CA" w:rsidRPr="00201A3F" w:rsidRDefault="009151CA" w:rsidP="00B803D5">
            <w:pPr>
              <w:jc w:val="both"/>
              <w:rPr>
                <w:rFonts w:eastAsia="Calibri"/>
                <w:sz w:val="20"/>
              </w:rPr>
            </w:pPr>
            <w:r w:rsidRPr="00201A3F">
              <w:rPr>
                <w:rFonts w:eastAsia="Calibri"/>
                <w:sz w:val="20"/>
              </w:rPr>
              <w:t xml:space="preserve">When collective bargaining failed, the Applicant called a lawful strike.  This terminated the collective bargaining agreements in place.  When further talks failed, the Respondent issued a lockout notice, and a letter seeking to implement the terms of its unilateral offer.  The employees never returned to work.  The Respondent gave notices of termination indicating that in two months business operations would cease and all employees would be terminated. </w:t>
            </w:r>
          </w:p>
          <w:p w:rsidR="009151CA" w:rsidRPr="00201A3F" w:rsidRDefault="009151CA" w:rsidP="00B803D5">
            <w:pPr>
              <w:jc w:val="both"/>
              <w:rPr>
                <w:rFonts w:eastAsia="Calibri"/>
                <w:sz w:val="20"/>
              </w:rPr>
            </w:pPr>
          </w:p>
          <w:p w:rsidR="009151CA" w:rsidRPr="00201A3F" w:rsidRDefault="009151CA" w:rsidP="00B803D5">
            <w:pPr>
              <w:jc w:val="both"/>
              <w:rPr>
                <w:rFonts w:eastAsia="Calibri"/>
                <w:sz w:val="20"/>
              </w:rPr>
            </w:pPr>
            <w:r w:rsidRPr="00201A3F">
              <w:rPr>
                <w:rFonts w:eastAsia="Calibri"/>
                <w:sz w:val="20"/>
              </w:rPr>
              <w:lastRenderedPageBreak/>
              <w:t>The collective agreements provided for severance pay in the event of a severance due to consolidation or technological change.  The Applicant initiated a grievance process to determine whether the Respondent had breached the severance provisions in the collective agreements and, alternatively, whether the employees had a claim for severance pay or damages according to common law principles.  The arbitrator concluded that the right to severance pay had not vested, since the collective agreements had terminated before the employees were terminated.  He found that he had no jurisdiction to enforce the severance pay provisions and that there were no collective agreements into which he could insert common law provisions.  He granted the Respondent’s motion for a non-suit.  The Court of Queen’s Bench of Saskatchewan dismissed the Applicant’s application for judicial review and the appellate court dismissed the appeal.</w:t>
            </w:r>
          </w:p>
          <w:p w:rsidR="009151CA" w:rsidRPr="00201A3F" w:rsidRDefault="009151CA" w:rsidP="00B803D5">
            <w:pPr>
              <w:jc w:val="both"/>
              <w:rPr>
                <w:rFonts w:eastAsia="Calibri"/>
                <w:sz w:val="20"/>
              </w:rPr>
            </w:pPr>
          </w:p>
        </w:tc>
      </w:tr>
      <w:tr w:rsidR="009151CA" w:rsidRPr="00201A3F" w:rsidTr="00B803D5">
        <w:tc>
          <w:tcPr>
            <w:tcW w:w="2427" w:type="pct"/>
          </w:tcPr>
          <w:p w:rsidR="009151CA" w:rsidRPr="00201A3F" w:rsidRDefault="009151CA" w:rsidP="00B803D5">
            <w:pPr>
              <w:jc w:val="both"/>
              <w:rPr>
                <w:rFonts w:eastAsia="Calibri"/>
                <w:sz w:val="20"/>
              </w:rPr>
            </w:pPr>
            <w:r w:rsidRPr="00201A3F">
              <w:rPr>
                <w:rFonts w:eastAsia="Calibri"/>
                <w:sz w:val="20"/>
              </w:rPr>
              <w:lastRenderedPageBreak/>
              <w:t>January 24, 2011</w:t>
            </w:r>
          </w:p>
          <w:p w:rsidR="009151CA" w:rsidRPr="00201A3F" w:rsidRDefault="009151CA" w:rsidP="00B803D5">
            <w:pPr>
              <w:jc w:val="both"/>
              <w:rPr>
                <w:rFonts w:eastAsia="Calibri"/>
                <w:sz w:val="20"/>
              </w:rPr>
            </w:pPr>
            <w:r w:rsidRPr="00201A3F">
              <w:rPr>
                <w:rFonts w:eastAsia="Calibri"/>
                <w:sz w:val="20"/>
              </w:rPr>
              <w:t>Court of Queen’s Bench of Saskatchewan</w:t>
            </w:r>
          </w:p>
          <w:p w:rsidR="009151CA" w:rsidRPr="00201A3F" w:rsidRDefault="009151CA" w:rsidP="00B803D5">
            <w:pPr>
              <w:jc w:val="both"/>
              <w:rPr>
                <w:rFonts w:eastAsia="Calibri"/>
                <w:sz w:val="20"/>
              </w:rPr>
            </w:pPr>
            <w:r w:rsidRPr="00201A3F">
              <w:rPr>
                <w:rFonts w:eastAsia="Calibri"/>
                <w:sz w:val="20"/>
              </w:rPr>
              <w:t>(Foley J.)</w:t>
            </w:r>
          </w:p>
          <w:p w:rsidR="009151CA" w:rsidRPr="00201A3F" w:rsidRDefault="009151CA" w:rsidP="00B803D5">
            <w:pPr>
              <w:jc w:val="both"/>
              <w:rPr>
                <w:rFonts w:eastAsia="Calibri"/>
                <w:sz w:val="20"/>
              </w:rPr>
            </w:pPr>
            <w:r w:rsidRPr="00201A3F">
              <w:rPr>
                <w:rFonts w:eastAsia="Calibri"/>
                <w:sz w:val="20"/>
              </w:rPr>
              <w:t>2011 SKQB 41</w:t>
            </w:r>
          </w:p>
          <w:p w:rsidR="009151CA" w:rsidRPr="00201A3F" w:rsidRDefault="009151CA" w:rsidP="00B803D5">
            <w:pPr>
              <w:jc w:val="both"/>
              <w:rPr>
                <w:rFonts w:eastAsia="Calibri"/>
                <w:sz w:val="20"/>
              </w:rPr>
            </w:pPr>
          </w:p>
        </w:tc>
        <w:tc>
          <w:tcPr>
            <w:tcW w:w="243" w:type="pct"/>
          </w:tcPr>
          <w:p w:rsidR="009151CA" w:rsidRPr="00201A3F" w:rsidRDefault="009151CA" w:rsidP="00B803D5">
            <w:pPr>
              <w:jc w:val="both"/>
              <w:rPr>
                <w:rFonts w:eastAsia="Calibri"/>
                <w:sz w:val="20"/>
              </w:rPr>
            </w:pPr>
          </w:p>
        </w:tc>
        <w:tc>
          <w:tcPr>
            <w:tcW w:w="2330" w:type="pct"/>
          </w:tcPr>
          <w:p w:rsidR="009151CA" w:rsidRPr="00201A3F" w:rsidRDefault="009151CA" w:rsidP="00B803D5">
            <w:pPr>
              <w:jc w:val="both"/>
              <w:rPr>
                <w:rFonts w:eastAsia="Calibri"/>
                <w:sz w:val="20"/>
              </w:rPr>
            </w:pPr>
            <w:r w:rsidRPr="00201A3F">
              <w:rPr>
                <w:rFonts w:eastAsia="Calibri"/>
                <w:sz w:val="20"/>
              </w:rPr>
              <w:t>Application for judicial review dismissed</w:t>
            </w:r>
          </w:p>
          <w:p w:rsidR="009151CA" w:rsidRPr="00201A3F" w:rsidRDefault="009151CA" w:rsidP="00B803D5">
            <w:pPr>
              <w:jc w:val="both"/>
              <w:rPr>
                <w:rFonts w:eastAsia="Calibri"/>
                <w:sz w:val="20"/>
              </w:rPr>
            </w:pPr>
          </w:p>
        </w:tc>
      </w:tr>
      <w:tr w:rsidR="009151CA" w:rsidRPr="00201A3F" w:rsidTr="00B803D5">
        <w:tc>
          <w:tcPr>
            <w:tcW w:w="2427" w:type="pct"/>
          </w:tcPr>
          <w:p w:rsidR="009151CA" w:rsidRPr="00201A3F" w:rsidRDefault="009151CA" w:rsidP="00B803D5">
            <w:pPr>
              <w:jc w:val="both"/>
              <w:rPr>
                <w:rFonts w:eastAsia="Calibri"/>
                <w:sz w:val="20"/>
              </w:rPr>
            </w:pPr>
            <w:r w:rsidRPr="00201A3F">
              <w:rPr>
                <w:rFonts w:eastAsia="Calibri"/>
                <w:sz w:val="20"/>
              </w:rPr>
              <w:t>February 28, 2012</w:t>
            </w:r>
          </w:p>
          <w:p w:rsidR="009151CA" w:rsidRPr="00201A3F" w:rsidRDefault="009151CA" w:rsidP="00B803D5">
            <w:pPr>
              <w:jc w:val="both"/>
              <w:rPr>
                <w:rFonts w:eastAsia="Calibri"/>
                <w:sz w:val="20"/>
              </w:rPr>
            </w:pPr>
            <w:r w:rsidRPr="00201A3F">
              <w:rPr>
                <w:rFonts w:eastAsia="Calibri"/>
                <w:sz w:val="20"/>
              </w:rPr>
              <w:t>Court of Appeal for Saskatchewan</w:t>
            </w:r>
          </w:p>
          <w:p w:rsidR="009151CA" w:rsidRPr="00201A3F" w:rsidRDefault="009151CA" w:rsidP="00B803D5">
            <w:pPr>
              <w:jc w:val="both"/>
              <w:rPr>
                <w:rFonts w:eastAsia="Calibri"/>
                <w:sz w:val="20"/>
              </w:rPr>
            </w:pPr>
            <w:r w:rsidRPr="00201A3F">
              <w:rPr>
                <w:rFonts w:eastAsia="Calibri"/>
                <w:sz w:val="20"/>
              </w:rPr>
              <w:t>(Vancise, Smith and Ottenbreit JJ.A.)</w:t>
            </w:r>
          </w:p>
          <w:p w:rsidR="009151CA" w:rsidRPr="00201A3F" w:rsidRDefault="009151CA" w:rsidP="00B803D5">
            <w:pPr>
              <w:jc w:val="both"/>
              <w:rPr>
                <w:rFonts w:eastAsia="Calibri"/>
                <w:sz w:val="20"/>
              </w:rPr>
            </w:pPr>
            <w:r w:rsidRPr="00201A3F">
              <w:rPr>
                <w:rFonts w:eastAsia="Calibri"/>
                <w:sz w:val="20"/>
              </w:rPr>
              <w:t>2012 SKCA 19</w:t>
            </w:r>
          </w:p>
          <w:p w:rsidR="009151CA" w:rsidRPr="00201A3F" w:rsidRDefault="009151CA" w:rsidP="00B803D5">
            <w:pPr>
              <w:jc w:val="both"/>
              <w:rPr>
                <w:rFonts w:eastAsia="Calibri"/>
                <w:sz w:val="20"/>
              </w:rPr>
            </w:pPr>
          </w:p>
        </w:tc>
        <w:tc>
          <w:tcPr>
            <w:tcW w:w="243" w:type="pct"/>
          </w:tcPr>
          <w:p w:rsidR="009151CA" w:rsidRPr="00201A3F" w:rsidRDefault="009151CA" w:rsidP="00B803D5">
            <w:pPr>
              <w:jc w:val="both"/>
              <w:rPr>
                <w:rFonts w:eastAsia="Calibri"/>
                <w:sz w:val="20"/>
              </w:rPr>
            </w:pPr>
          </w:p>
        </w:tc>
        <w:tc>
          <w:tcPr>
            <w:tcW w:w="2330" w:type="pct"/>
          </w:tcPr>
          <w:p w:rsidR="009151CA" w:rsidRPr="00201A3F" w:rsidRDefault="009151CA" w:rsidP="00B803D5">
            <w:pPr>
              <w:jc w:val="both"/>
              <w:rPr>
                <w:rFonts w:eastAsia="Calibri"/>
                <w:sz w:val="20"/>
              </w:rPr>
            </w:pPr>
            <w:r w:rsidRPr="00201A3F">
              <w:rPr>
                <w:rFonts w:eastAsia="Calibri"/>
                <w:sz w:val="20"/>
              </w:rPr>
              <w:t>Appeal dismissed</w:t>
            </w:r>
          </w:p>
          <w:p w:rsidR="009151CA" w:rsidRPr="00201A3F" w:rsidRDefault="009151CA" w:rsidP="00B803D5">
            <w:pPr>
              <w:jc w:val="both"/>
              <w:rPr>
                <w:rFonts w:eastAsia="Calibri"/>
                <w:sz w:val="20"/>
              </w:rPr>
            </w:pPr>
          </w:p>
        </w:tc>
      </w:tr>
      <w:tr w:rsidR="009151CA" w:rsidRPr="00201A3F" w:rsidTr="00B803D5">
        <w:tc>
          <w:tcPr>
            <w:tcW w:w="2427" w:type="pct"/>
          </w:tcPr>
          <w:p w:rsidR="009151CA" w:rsidRPr="00201A3F" w:rsidRDefault="009151CA" w:rsidP="00B803D5">
            <w:pPr>
              <w:jc w:val="both"/>
              <w:rPr>
                <w:rFonts w:eastAsia="Calibri"/>
                <w:sz w:val="20"/>
              </w:rPr>
            </w:pPr>
            <w:r w:rsidRPr="00201A3F">
              <w:rPr>
                <w:rFonts w:eastAsia="Calibri"/>
                <w:sz w:val="20"/>
              </w:rPr>
              <w:t>April 16, 2012</w:t>
            </w:r>
          </w:p>
          <w:p w:rsidR="009151CA" w:rsidRPr="00201A3F" w:rsidRDefault="009151CA" w:rsidP="00B803D5">
            <w:pPr>
              <w:jc w:val="both"/>
              <w:rPr>
                <w:rFonts w:eastAsia="Calibri"/>
                <w:sz w:val="20"/>
              </w:rPr>
            </w:pPr>
            <w:r w:rsidRPr="00201A3F">
              <w:rPr>
                <w:rFonts w:eastAsia="Calibri"/>
                <w:sz w:val="20"/>
              </w:rPr>
              <w:t>Supreme Court of Canada</w:t>
            </w:r>
          </w:p>
        </w:tc>
        <w:tc>
          <w:tcPr>
            <w:tcW w:w="243" w:type="pct"/>
          </w:tcPr>
          <w:p w:rsidR="009151CA" w:rsidRPr="00201A3F" w:rsidRDefault="009151CA" w:rsidP="00B803D5">
            <w:pPr>
              <w:jc w:val="both"/>
              <w:rPr>
                <w:rFonts w:eastAsia="Calibri"/>
                <w:sz w:val="20"/>
              </w:rPr>
            </w:pPr>
          </w:p>
        </w:tc>
        <w:tc>
          <w:tcPr>
            <w:tcW w:w="2330" w:type="pct"/>
          </w:tcPr>
          <w:p w:rsidR="009151CA" w:rsidRPr="00201A3F" w:rsidRDefault="009151CA" w:rsidP="00B803D5">
            <w:pPr>
              <w:jc w:val="both"/>
              <w:rPr>
                <w:rFonts w:eastAsia="Calibri"/>
                <w:sz w:val="20"/>
              </w:rPr>
            </w:pPr>
            <w:r w:rsidRPr="00201A3F">
              <w:rPr>
                <w:rFonts w:eastAsia="Calibri"/>
                <w:sz w:val="20"/>
              </w:rPr>
              <w:t>Application for leave to appeal filed</w:t>
            </w: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46"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9151CA" w:rsidRPr="00DC2D1F" w:rsidTr="00B803D5">
        <w:tc>
          <w:tcPr>
            <w:tcW w:w="5000" w:type="pct"/>
            <w:gridSpan w:val="3"/>
          </w:tcPr>
          <w:p w:rsidR="009151CA" w:rsidRPr="00201A3F" w:rsidRDefault="009151CA" w:rsidP="00B803D5">
            <w:pPr>
              <w:jc w:val="both"/>
              <w:rPr>
                <w:rFonts w:eastAsia="Calibri"/>
                <w:sz w:val="20"/>
                <w:lang w:val="fr-CA"/>
              </w:rPr>
            </w:pPr>
            <w:r w:rsidRPr="00201A3F">
              <w:rPr>
                <w:rFonts w:eastAsia="Calibri"/>
                <w:sz w:val="20"/>
                <w:lang w:val="fr-CA"/>
              </w:rPr>
              <w:t>Relations du travail — Arbitrage — Convention collectives — Droit à une indemnité de départ — Des employés ont été licenciés après qu'une grève légale a mis fin à leurs conventions collectives — L'indemnité de départ prévue dans une convention collective est</w:t>
            </w:r>
            <w:r w:rsidRPr="00201A3F">
              <w:rPr>
                <w:rFonts w:eastAsia="Calibri"/>
                <w:sz w:val="20"/>
                <w:lang w:val="fr-CA"/>
              </w:rPr>
              <w:noBreakHyphen/>
              <w:t>elle un droit acquis qui est dévolu et qui subsiste après la cessation de la convention? — Dans la négative, un arbitre peut</w:t>
            </w:r>
            <w:r w:rsidRPr="00201A3F">
              <w:rPr>
                <w:rFonts w:eastAsia="Calibri"/>
                <w:sz w:val="20"/>
                <w:lang w:val="fr-CA"/>
              </w:rPr>
              <w:noBreakHyphen/>
              <w:t>il appliquer le droit en matière de congédiement injustifié et accorder une indemnité de départ en vertu des règles de common law en raison de la cessation de la relation d'emploi?</w:t>
            </w:r>
          </w:p>
        </w:tc>
      </w:tr>
      <w:tr w:rsidR="009151CA" w:rsidRPr="00DC2D1F" w:rsidTr="00B803D5">
        <w:tc>
          <w:tcPr>
            <w:tcW w:w="5000" w:type="pct"/>
            <w:gridSpan w:val="3"/>
          </w:tcPr>
          <w:p w:rsidR="009151CA" w:rsidRPr="00201A3F" w:rsidRDefault="009151CA" w:rsidP="00B803D5">
            <w:pPr>
              <w:jc w:val="both"/>
              <w:rPr>
                <w:rFonts w:eastAsia="Calibri"/>
                <w:sz w:val="20"/>
                <w:lang w:val="fr-CA"/>
              </w:rPr>
            </w:pPr>
          </w:p>
        </w:tc>
      </w:tr>
      <w:tr w:rsidR="009151CA" w:rsidRPr="00DC2D1F" w:rsidTr="00B803D5">
        <w:tc>
          <w:tcPr>
            <w:tcW w:w="5000" w:type="pct"/>
            <w:gridSpan w:val="3"/>
          </w:tcPr>
          <w:p w:rsidR="009151CA" w:rsidRPr="00201A3F" w:rsidRDefault="009151CA" w:rsidP="00B803D5">
            <w:pPr>
              <w:jc w:val="both"/>
              <w:rPr>
                <w:rFonts w:eastAsia="Calibri"/>
                <w:sz w:val="20"/>
                <w:lang w:val="fr-CA"/>
              </w:rPr>
            </w:pPr>
            <w:r w:rsidRPr="00201A3F">
              <w:rPr>
                <w:rFonts w:eastAsia="Calibri"/>
                <w:sz w:val="20"/>
                <w:lang w:val="fr-CA"/>
              </w:rPr>
              <w:t xml:space="preserve">Après l'échec de négociations collectives, le demandeur a lancé un ordre de grève légale.  Cela a eu pour effet de mettre fin aux conventions collectives en vigueur.  Après l'échec de discussions subséquentes, l'intimée a délivré un avis de lockout et a fait parvenir une lettre qui visait à mettre en œuvre les conditions de son offre unilatérale.  Les employés ne sont jamais rentrés au travail.  L'intimée a donné des avis de licenciement indiquant que dans un délai de deux mois, les activités commerciales cesseraient et tous les employés seraient licenciés. </w:t>
            </w:r>
          </w:p>
          <w:p w:rsidR="009151CA" w:rsidRPr="00201A3F" w:rsidRDefault="009151CA" w:rsidP="00B803D5">
            <w:pPr>
              <w:jc w:val="both"/>
              <w:rPr>
                <w:rFonts w:eastAsia="Calibri"/>
                <w:sz w:val="20"/>
                <w:lang w:val="fr-CA"/>
              </w:rPr>
            </w:pPr>
          </w:p>
          <w:p w:rsidR="009151CA" w:rsidRPr="00201A3F" w:rsidRDefault="009151CA" w:rsidP="00B803D5">
            <w:pPr>
              <w:jc w:val="both"/>
              <w:rPr>
                <w:rFonts w:eastAsia="Calibri"/>
                <w:sz w:val="20"/>
                <w:lang w:val="fr-CA"/>
              </w:rPr>
            </w:pPr>
            <w:r w:rsidRPr="00201A3F">
              <w:rPr>
                <w:rFonts w:eastAsia="Calibri"/>
                <w:sz w:val="20"/>
                <w:lang w:val="fr-CA"/>
              </w:rPr>
              <w:t>Les conventions collectives prévoyaient une indemnité de départ en cas de consolidation ou de changement technologique.  Le demandeur a lancé un processus de grief pour qu’il soit statué sur la question de savoir si l'intimée avait violé les dispositions relatives à l'indemnité de départ dans les conventions collectives et, à titre subsidiaire, si les employés pouvaient réclamer une indemnité de départ ou des dommages</w:t>
            </w:r>
            <w:r w:rsidRPr="00201A3F">
              <w:rPr>
                <w:rFonts w:eastAsia="Calibri"/>
                <w:sz w:val="20"/>
                <w:lang w:val="fr-CA"/>
              </w:rPr>
              <w:noBreakHyphen/>
              <w:t>intérêts sur le fondement de principes de common law. L'arbitre a conclu que le droit à une indemnité de départ n'avait pas été dévolu, puisque les conventions collectives avaient pris fin avant le licenciement des employés.  Il a conclu qu'il n'avait pas compétence pour faire respecter les dispositions relatives à l'indemnité de départ et qu'il n'existait aucune convention collective dans laquelle il pouvait incorporer des dispositions de common law.  Il a accueilli la requête en irrecevabilité de l'intimée.  La Cour du Banc de la Reine de la Saskatchewan a rejeté la demande de contrôle judiciaire du demandeur et la Cour d'appel a rejeté l'appel.</w:t>
            </w:r>
          </w:p>
          <w:p w:rsidR="009151CA" w:rsidRPr="00201A3F" w:rsidRDefault="009151CA" w:rsidP="00B803D5">
            <w:pPr>
              <w:jc w:val="both"/>
              <w:rPr>
                <w:rFonts w:eastAsia="Calibri"/>
                <w:sz w:val="20"/>
                <w:lang w:val="fr-CA"/>
              </w:rPr>
            </w:pPr>
          </w:p>
        </w:tc>
      </w:tr>
      <w:tr w:rsidR="009151CA" w:rsidRPr="00201A3F" w:rsidTr="00C46290">
        <w:trPr>
          <w:cantSplit/>
        </w:trPr>
        <w:tc>
          <w:tcPr>
            <w:tcW w:w="2427" w:type="pct"/>
          </w:tcPr>
          <w:p w:rsidR="009151CA" w:rsidRPr="00201A3F" w:rsidRDefault="009151CA" w:rsidP="00B803D5">
            <w:pPr>
              <w:jc w:val="both"/>
              <w:rPr>
                <w:rFonts w:eastAsia="Calibri"/>
                <w:sz w:val="20"/>
                <w:lang w:val="fr-CA"/>
              </w:rPr>
            </w:pPr>
            <w:r w:rsidRPr="00201A3F">
              <w:rPr>
                <w:rFonts w:eastAsia="Calibri"/>
                <w:sz w:val="20"/>
                <w:lang w:val="fr-CA"/>
              </w:rPr>
              <w:lastRenderedPageBreak/>
              <w:t>24 janvier 2011</w:t>
            </w:r>
          </w:p>
          <w:p w:rsidR="009151CA" w:rsidRPr="00201A3F" w:rsidRDefault="009151CA" w:rsidP="00B803D5">
            <w:pPr>
              <w:jc w:val="both"/>
              <w:rPr>
                <w:rFonts w:eastAsia="Calibri"/>
                <w:sz w:val="20"/>
                <w:lang w:val="fr-CA"/>
              </w:rPr>
            </w:pPr>
            <w:r w:rsidRPr="00201A3F">
              <w:rPr>
                <w:rFonts w:eastAsia="Calibri"/>
                <w:sz w:val="20"/>
                <w:lang w:val="fr-CA"/>
              </w:rPr>
              <w:t>Cour du Banc de la Reine de la Saskatchewan</w:t>
            </w:r>
          </w:p>
          <w:p w:rsidR="009151CA" w:rsidRPr="00201A3F" w:rsidRDefault="009151CA" w:rsidP="00B803D5">
            <w:pPr>
              <w:jc w:val="both"/>
              <w:rPr>
                <w:rFonts w:eastAsia="Calibri"/>
                <w:sz w:val="20"/>
                <w:lang w:val="fr-CA"/>
              </w:rPr>
            </w:pPr>
            <w:r w:rsidRPr="00201A3F">
              <w:rPr>
                <w:rFonts w:eastAsia="Calibri"/>
                <w:sz w:val="20"/>
                <w:lang w:val="fr-CA"/>
              </w:rPr>
              <w:t>(Juge Foley)</w:t>
            </w:r>
          </w:p>
          <w:p w:rsidR="009151CA" w:rsidRPr="00201A3F" w:rsidRDefault="009151CA" w:rsidP="00B803D5">
            <w:pPr>
              <w:jc w:val="both"/>
              <w:rPr>
                <w:rFonts w:eastAsia="Calibri"/>
                <w:sz w:val="20"/>
                <w:lang w:val="fr-CA"/>
              </w:rPr>
            </w:pPr>
            <w:r w:rsidRPr="00201A3F">
              <w:rPr>
                <w:rFonts w:eastAsia="Calibri"/>
                <w:sz w:val="20"/>
                <w:lang w:val="fr-CA"/>
              </w:rPr>
              <w:t>2011 SKQB 41</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Demande de contrôle judiciaire, rejetée</w:t>
            </w:r>
          </w:p>
          <w:p w:rsidR="009151CA" w:rsidRPr="00201A3F" w:rsidRDefault="009151CA" w:rsidP="00B803D5">
            <w:pPr>
              <w:jc w:val="both"/>
              <w:rPr>
                <w:rFonts w:eastAsia="Calibri"/>
                <w:sz w:val="20"/>
                <w:lang w:val="fr-CA"/>
              </w:rPr>
            </w:pPr>
          </w:p>
        </w:tc>
      </w:tr>
      <w:tr w:rsidR="009151CA" w:rsidRPr="00201A3F" w:rsidTr="00C46290">
        <w:trPr>
          <w:cantSplit/>
        </w:trPr>
        <w:tc>
          <w:tcPr>
            <w:tcW w:w="2427" w:type="pct"/>
          </w:tcPr>
          <w:p w:rsidR="009151CA" w:rsidRPr="00201A3F" w:rsidRDefault="009151CA" w:rsidP="00B803D5">
            <w:pPr>
              <w:jc w:val="both"/>
              <w:rPr>
                <w:rFonts w:eastAsia="Calibri"/>
                <w:sz w:val="20"/>
                <w:lang w:val="fr-CA"/>
              </w:rPr>
            </w:pPr>
            <w:r w:rsidRPr="00201A3F">
              <w:rPr>
                <w:rFonts w:eastAsia="Calibri"/>
                <w:sz w:val="20"/>
                <w:lang w:val="fr-CA"/>
              </w:rPr>
              <w:t>28 février 2012</w:t>
            </w:r>
          </w:p>
          <w:p w:rsidR="009151CA" w:rsidRPr="00201A3F" w:rsidRDefault="009151CA" w:rsidP="00B803D5">
            <w:pPr>
              <w:jc w:val="both"/>
              <w:rPr>
                <w:rFonts w:eastAsia="Calibri"/>
                <w:sz w:val="20"/>
                <w:lang w:val="fr-CA"/>
              </w:rPr>
            </w:pPr>
            <w:r w:rsidRPr="00201A3F">
              <w:rPr>
                <w:rFonts w:eastAsia="Calibri"/>
                <w:sz w:val="20"/>
                <w:lang w:val="fr-CA"/>
              </w:rPr>
              <w:t>Cour d'appel de la Saskatchewan</w:t>
            </w:r>
          </w:p>
          <w:p w:rsidR="009151CA" w:rsidRPr="00201A3F" w:rsidRDefault="009151CA" w:rsidP="00B803D5">
            <w:pPr>
              <w:jc w:val="both"/>
              <w:rPr>
                <w:rFonts w:eastAsia="Calibri"/>
                <w:sz w:val="20"/>
                <w:lang w:val="fr-CA"/>
              </w:rPr>
            </w:pPr>
            <w:r w:rsidRPr="00201A3F">
              <w:rPr>
                <w:rFonts w:eastAsia="Calibri"/>
                <w:sz w:val="20"/>
                <w:lang w:val="fr-CA"/>
              </w:rPr>
              <w:t>(Juges Vancise, Smith et Ottenbreit)</w:t>
            </w:r>
          </w:p>
          <w:p w:rsidR="009151CA" w:rsidRPr="00201A3F" w:rsidRDefault="009151CA" w:rsidP="00B803D5">
            <w:pPr>
              <w:jc w:val="both"/>
              <w:rPr>
                <w:rFonts w:eastAsia="Calibri"/>
                <w:sz w:val="20"/>
                <w:lang w:val="fr-CA"/>
              </w:rPr>
            </w:pPr>
            <w:r w:rsidRPr="00201A3F">
              <w:rPr>
                <w:rFonts w:eastAsia="Calibri"/>
                <w:sz w:val="20"/>
                <w:lang w:val="fr-CA"/>
              </w:rPr>
              <w:t>2012 SKCA 19</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Appel rejeté</w:t>
            </w:r>
          </w:p>
          <w:p w:rsidR="009151CA" w:rsidRPr="00201A3F" w:rsidRDefault="009151CA" w:rsidP="00B803D5">
            <w:pPr>
              <w:jc w:val="both"/>
              <w:rPr>
                <w:rFonts w:eastAsia="Calibri"/>
                <w:sz w:val="20"/>
                <w:lang w:val="fr-CA"/>
              </w:rPr>
            </w:pPr>
          </w:p>
        </w:tc>
      </w:tr>
      <w:tr w:rsidR="009151CA" w:rsidRPr="00201A3F" w:rsidTr="00C46290">
        <w:trPr>
          <w:cantSplit/>
        </w:trPr>
        <w:tc>
          <w:tcPr>
            <w:tcW w:w="2427" w:type="pct"/>
          </w:tcPr>
          <w:p w:rsidR="009151CA" w:rsidRPr="00201A3F" w:rsidRDefault="009151CA" w:rsidP="00B803D5">
            <w:pPr>
              <w:jc w:val="both"/>
              <w:rPr>
                <w:rFonts w:eastAsia="Calibri"/>
                <w:sz w:val="20"/>
                <w:lang w:val="fr-CA"/>
              </w:rPr>
            </w:pPr>
            <w:r w:rsidRPr="00201A3F">
              <w:rPr>
                <w:rFonts w:eastAsia="Calibri"/>
                <w:sz w:val="20"/>
                <w:lang w:val="fr-CA"/>
              </w:rPr>
              <w:t>16 avril 2012</w:t>
            </w:r>
          </w:p>
          <w:p w:rsidR="009151CA" w:rsidRPr="00201A3F" w:rsidRDefault="009151CA" w:rsidP="00B803D5">
            <w:pPr>
              <w:jc w:val="both"/>
              <w:rPr>
                <w:rFonts w:eastAsia="Calibri"/>
                <w:sz w:val="20"/>
                <w:lang w:val="fr-CA"/>
              </w:rPr>
            </w:pPr>
            <w:r w:rsidRPr="00201A3F">
              <w:rPr>
                <w:rFonts w:eastAsia="Calibri"/>
                <w:sz w:val="20"/>
                <w:lang w:val="fr-CA"/>
              </w:rPr>
              <w:t>Cour suprême du Canada</w:t>
            </w: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Demande d'autorisation d'appel, déposée</w:t>
            </w:r>
          </w:p>
          <w:p w:rsidR="009151CA" w:rsidRPr="00201A3F" w:rsidRDefault="009151CA" w:rsidP="00B803D5">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47"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6290" w:rsidRPr="003C7D2B" w:rsidTr="00C46290">
        <w:trPr>
          <w:cantSplit/>
        </w:trPr>
        <w:tc>
          <w:tcPr>
            <w:tcW w:w="1458" w:type="dxa"/>
          </w:tcPr>
          <w:p w:rsidR="00C46290" w:rsidRPr="003C7D2B" w:rsidRDefault="00C46290" w:rsidP="00C46290">
            <w:pPr>
              <w:rPr>
                <w:sz w:val="20"/>
                <w:szCs w:val="20"/>
              </w:rPr>
            </w:pPr>
            <w:r w:rsidRPr="003C7D2B">
              <w:rPr>
                <w:rStyle w:val="SCCFileNumberChar"/>
                <w:sz w:val="20"/>
                <w:szCs w:val="20"/>
              </w:rPr>
              <w:t>34827</w:t>
            </w:r>
          </w:p>
          <w:p w:rsidR="00C46290" w:rsidRPr="003C7D2B" w:rsidRDefault="00C46290" w:rsidP="00C46290">
            <w:pPr>
              <w:rPr>
                <w:b/>
                <w:sz w:val="20"/>
                <w:szCs w:val="20"/>
                <w:lang w:val="fr-CA"/>
              </w:rPr>
            </w:pPr>
          </w:p>
        </w:tc>
        <w:tc>
          <w:tcPr>
            <w:tcW w:w="8118" w:type="dxa"/>
          </w:tcPr>
          <w:p w:rsidR="00C46290" w:rsidRPr="003C7D2B" w:rsidRDefault="00C46290" w:rsidP="00C46290">
            <w:pPr>
              <w:jc w:val="both"/>
              <w:rPr>
                <w:sz w:val="20"/>
                <w:szCs w:val="20"/>
              </w:rPr>
            </w:pPr>
            <w:r w:rsidRPr="00C46290">
              <w:rPr>
                <w:rStyle w:val="SCCLsocChar"/>
                <w:sz w:val="20"/>
                <w:szCs w:val="20"/>
                <w:lang w:val="en-CA"/>
              </w:rPr>
              <w:t>Nicole Lacroix</w:t>
            </w:r>
            <w:r w:rsidR="00C80CA7">
              <w:rPr>
                <w:rStyle w:val="SCCLsocChar"/>
                <w:sz w:val="20"/>
                <w:szCs w:val="20"/>
                <w:lang w:val="en-CA"/>
              </w:rPr>
              <w:t xml:space="preserve"> and</w:t>
            </w:r>
            <w:r w:rsidRPr="00C46290">
              <w:rPr>
                <w:rStyle w:val="SCCLsocChar"/>
                <w:sz w:val="20"/>
                <w:szCs w:val="20"/>
                <w:lang w:val="en-CA"/>
              </w:rPr>
              <w:t xml:space="preserve"> Rosie Ladouceur v. Canada Mortgage and Housing Corporation, Marc Rochon, Claude Poirier-Defoy, Jim Millar, Karen Kinsley, Gerald Norbraten, Jean-Guy Tanguay, David Metzak and Brian Knight being the Trustees of the Canada Mortgage and Housing Corporation Pension Fund AND BETWEEN Frank McCann</w:t>
            </w:r>
            <w:r w:rsidR="00C80CA7">
              <w:rPr>
                <w:rStyle w:val="SCCLsocChar"/>
                <w:sz w:val="20"/>
                <w:szCs w:val="20"/>
                <w:lang w:val="en-CA"/>
              </w:rPr>
              <w:t xml:space="preserve"> and</w:t>
            </w:r>
            <w:r w:rsidRPr="00C46290">
              <w:rPr>
                <w:rStyle w:val="SCCLsocChar"/>
                <w:sz w:val="20"/>
                <w:szCs w:val="20"/>
                <w:lang w:val="en-CA"/>
              </w:rPr>
              <w:t xml:space="preserve"> David Guffie v. Canada Mortgage and Housing Corporation, Marc Rochon, Claude Poirier-Defoy, Jim Millar, Karen Kinsley, Gerald Norbraten, Jean-Guy Tanguay, David Metzak and Brian Knight being the Trustees of the Canada Mortgage and Housing Corporation Pension Fund</w:t>
            </w:r>
            <w:r w:rsidRPr="003C7D2B">
              <w:rPr>
                <w:sz w:val="20"/>
                <w:szCs w:val="20"/>
              </w:rPr>
              <w:t xml:space="preserve"> (Ont.) (Civil) (By Leave)</w:t>
            </w:r>
          </w:p>
          <w:p w:rsidR="00C46290" w:rsidRPr="003C7D2B" w:rsidRDefault="00C46290" w:rsidP="00C46290">
            <w:pPr>
              <w:rPr>
                <w:sz w:val="20"/>
                <w:szCs w:val="20"/>
              </w:rPr>
            </w:pPr>
          </w:p>
        </w:tc>
      </w:tr>
      <w:tr w:rsidR="00C46290" w:rsidRPr="003C7D2B" w:rsidTr="00C46290">
        <w:trPr>
          <w:cantSplit/>
        </w:trPr>
        <w:tc>
          <w:tcPr>
            <w:tcW w:w="1458" w:type="dxa"/>
          </w:tcPr>
          <w:p w:rsidR="00C46290" w:rsidRPr="003C7D2B" w:rsidRDefault="00C46290" w:rsidP="00C46290">
            <w:pPr>
              <w:rPr>
                <w:sz w:val="20"/>
                <w:szCs w:val="20"/>
              </w:rPr>
            </w:pPr>
            <w:r w:rsidRPr="003C7D2B">
              <w:rPr>
                <w:sz w:val="20"/>
                <w:szCs w:val="20"/>
              </w:rPr>
              <w:t>Coram :</w:t>
            </w:r>
          </w:p>
        </w:tc>
        <w:tc>
          <w:tcPr>
            <w:tcW w:w="8118" w:type="dxa"/>
          </w:tcPr>
          <w:p w:rsidR="00C46290" w:rsidRPr="003C7D2B" w:rsidRDefault="00C46290" w:rsidP="00C46290">
            <w:pPr>
              <w:rPr>
                <w:sz w:val="20"/>
                <w:szCs w:val="20"/>
              </w:rPr>
            </w:pPr>
            <w:r w:rsidRPr="00C46290">
              <w:rPr>
                <w:rStyle w:val="SCCCoramChar"/>
                <w:sz w:val="20"/>
                <w:szCs w:val="20"/>
                <w:lang w:val="en-CA"/>
              </w:rPr>
              <w:t>McLachlin C.J. and Rothstein and Moldaver JJ.</w:t>
            </w:r>
          </w:p>
          <w:p w:rsidR="00C46290" w:rsidRPr="003C7D2B" w:rsidRDefault="00C46290" w:rsidP="00C46290">
            <w:pPr>
              <w:rPr>
                <w:sz w:val="20"/>
                <w:szCs w:val="20"/>
                <w:u w:val="single"/>
              </w:rPr>
            </w:pPr>
          </w:p>
        </w:tc>
      </w:tr>
      <w:tr w:rsidR="00C46290" w:rsidRPr="00DC2D1F" w:rsidTr="00C46290">
        <w:trPr>
          <w:cantSplit/>
        </w:trPr>
        <w:tc>
          <w:tcPr>
            <w:tcW w:w="9576" w:type="dxa"/>
            <w:gridSpan w:val="2"/>
          </w:tcPr>
          <w:p w:rsidR="00C46290" w:rsidRPr="003C7D2B" w:rsidRDefault="00C46290" w:rsidP="00C46290">
            <w:pPr>
              <w:pStyle w:val="SCCShortJudgment"/>
              <w:rPr>
                <w:szCs w:val="20"/>
              </w:rPr>
            </w:pPr>
            <w:r w:rsidRPr="003C7D2B">
              <w:rPr>
                <w:szCs w:val="20"/>
              </w:rPr>
              <w:t>The applications for leave to appeal from the judgment of the Court of Appeal for Ontario, Numbers C53012 and C53034, 2012 ONCA 243, dated April 18, 2012, are dismissed with costs.</w:t>
            </w:r>
          </w:p>
          <w:p w:rsidR="00C46290" w:rsidRPr="003C7D2B" w:rsidRDefault="00C46290" w:rsidP="00C46290">
            <w:pPr>
              <w:pStyle w:val="SCCShortJudgment"/>
              <w:ind w:firstLine="0"/>
              <w:rPr>
                <w:szCs w:val="20"/>
              </w:rPr>
            </w:pPr>
          </w:p>
          <w:p w:rsidR="00C46290" w:rsidRPr="003C7D2B" w:rsidRDefault="00C46290" w:rsidP="00C46290">
            <w:pPr>
              <w:pStyle w:val="SCCShortJudgment"/>
              <w:rPr>
                <w:szCs w:val="20"/>
                <w:lang w:val="fr-CA"/>
              </w:rPr>
            </w:pPr>
            <w:r w:rsidRPr="003C7D2B">
              <w:rPr>
                <w:szCs w:val="20"/>
                <w:lang w:val="fr-CA"/>
              </w:rPr>
              <w:t>Les demandes d’autorisation d’appel de l’arrêt de la Cour d’appel de l’Ontario, numéros C53012 et C53034, 2012 ONCA 243, daté du 18 avril 2012, sont rejetées avec dépens.</w:t>
            </w:r>
          </w:p>
        </w:tc>
      </w:tr>
    </w:tbl>
    <w:p w:rsidR="00A740D1" w:rsidRPr="00C46290"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9151CA" w:rsidRPr="00201A3F" w:rsidTr="00B803D5">
        <w:tc>
          <w:tcPr>
            <w:tcW w:w="5000" w:type="pct"/>
            <w:gridSpan w:val="3"/>
          </w:tcPr>
          <w:p w:rsidR="009151CA" w:rsidRPr="00201A3F" w:rsidRDefault="009151CA" w:rsidP="00B803D5">
            <w:pPr>
              <w:jc w:val="both"/>
              <w:rPr>
                <w:rFonts w:eastAsia="Calibri"/>
                <w:sz w:val="20"/>
              </w:rPr>
            </w:pPr>
            <w:r w:rsidRPr="00201A3F">
              <w:rPr>
                <w:rFonts w:eastAsia="Calibri"/>
                <w:sz w:val="20"/>
              </w:rPr>
              <w:t xml:space="preserve">Courts — Judges — Jurisdiction — Administrative law — Pensions — Civil Proceedings — Class Proceedings — Reasonable Apprehension of Bias — Whether Superior Court of Justice has jurisdiction under s. 8(11) of the </w:t>
            </w:r>
            <w:r w:rsidRPr="00201A3F">
              <w:rPr>
                <w:rFonts w:eastAsia="Calibri"/>
                <w:i/>
                <w:sz w:val="20"/>
              </w:rPr>
              <w:t>Pension Benefits Standards Act</w:t>
            </w:r>
            <w:r w:rsidRPr="00201A3F">
              <w:rPr>
                <w:rFonts w:eastAsia="Calibri"/>
                <w:sz w:val="20"/>
              </w:rPr>
              <w:t xml:space="preserve"> </w:t>
            </w:r>
            <w:r w:rsidRPr="00201A3F">
              <w:rPr>
                <w:rFonts w:eastAsia="Calibri"/>
                <w:i/>
                <w:sz w:val="20"/>
              </w:rPr>
              <w:t>1985</w:t>
            </w:r>
            <w:r w:rsidRPr="00201A3F">
              <w:rPr>
                <w:rFonts w:eastAsia="Calibri"/>
                <w:sz w:val="20"/>
              </w:rPr>
              <w:t>, R.S.C. 1985, c. 3, to review an administrator’s decision not to declare a partial termination of its pension fund — Whether Court of Appeal misinterpreted or misapplied governing precedents when interpreting the relevant provisions of the Act — Whether employers’ surplus sharing decisions in respect to pension fund amounted to a back</w:t>
            </w:r>
            <w:r w:rsidRPr="00201A3F">
              <w:rPr>
                <w:rFonts w:eastAsia="Calibri"/>
                <w:sz w:val="20"/>
              </w:rPr>
              <w:noBreakHyphen/>
              <w:t>door partial termination or crystallized a portion of the pension fund — Whether there is a reasonable apprehension of bias on part of Office of the Superintendent of Financial Institutions</w:t>
            </w:r>
          </w:p>
        </w:tc>
      </w:tr>
      <w:tr w:rsidR="009151CA" w:rsidRPr="00201A3F" w:rsidTr="00B803D5">
        <w:tc>
          <w:tcPr>
            <w:tcW w:w="5000" w:type="pct"/>
            <w:gridSpan w:val="3"/>
          </w:tcPr>
          <w:p w:rsidR="009151CA" w:rsidRPr="00201A3F" w:rsidRDefault="009151CA" w:rsidP="00B803D5">
            <w:pPr>
              <w:jc w:val="both"/>
              <w:rPr>
                <w:rFonts w:eastAsia="Calibri"/>
                <w:sz w:val="20"/>
              </w:rPr>
            </w:pPr>
          </w:p>
        </w:tc>
      </w:tr>
      <w:tr w:rsidR="009151CA" w:rsidRPr="00201A3F" w:rsidTr="00B803D5">
        <w:tc>
          <w:tcPr>
            <w:tcW w:w="5000" w:type="pct"/>
            <w:gridSpan w:val="3"/>
          </w:tcPr>
          <w:p w:rsidR="009151CA" w:rsidRPr="00201A3F" w:rsidRDefault="009151CA" w:rsidP="00B803D5">
            <w:pPr>
              <w:jc w:val="both"/>
              <w:rPr>
                <w:rFonts w:eastAsia="Calibri"/>
                <w:sz w:val="20"/>
              </w:rPr>
            </w:pPr>
            <w:r w:rsidRPr="00201A3F">
              <w:rPr>
                <w:rFonts w:eastAsia="Calibri"/>
                <w:sz w:val="20"/>
              </w:rPr>
              <w:t xml:space="preserve">CMHC twice used surplus pension plan funds to provide benefit enhancement packages to current employees but not former employees who had taken the commuted value of their benefits and left the plan upon dismissal.  In a class proceeding and a proposed class proceeding, the applicants applied to state common issues related to claims that CMHC was required to partially terminate the pension plan and its failure to do so put it in a conflict of interest.  </w:t>
            </w:r>
          </w:p>
          <w:p w:rsidR="009151CA" w:rsidRPr="00201A3F" w:rsidRDefault="009151CA" w:rsidP="00B803D5">
            <w:pPr>
              <w:jc w:val="both"/>
              <w:rPr>
                <w:rFonts w:eastAsia="Calibri"/>
                <w:sz w:val="20"/>
              </w:rPr>
            </w:pPr>
          </w:p>
        </w:tc>
      </w:tr>
      <w:tr w:rsidR="009151CA" w:rsidRPr="00201A3F" w:rsidTr="00C46290">
        <w:trPr>
          <w:cantSplit/>
        </w:trPr>
        <w:tc>
          <w:tcPr>
            <w:tcW w:w="2427" w:type="pct"/>
          </w:tcPr>
          <w:p w:rsidR="009151CA" w:rsidRPr="00201A3F" w:rsidRDefault="009151CA" w:rsidP="00B803D5">
            <w:pPr>
              <w:jc w:val="both"/>
              <w:rPr>
                <w:rFonts w:eastAsia="Calibri"/>
                <w:sz w:val="20"/>
              </w:rPr>
            </w:pPr>
            <w:r w:rsidRPr="00201A3F">
              <w:rPr>
                <w:rFonts w:eastAsia="Calibri"/>
                <w:sz w:val="20"/>
              </w:rPr>
              <w:lastRenderedPageBreak/>
              <w:t>January 26, 2009</w:t>
            </w:r>
          </w:p>
          <w:p w:rsidR="009151CA" w:rsidRPr="00201A3F" w:rsidRDefault="009151CA" w:rsidP="00B803D5">
            <w:pPr>
              <w:jc w:val="both"/>
              <w:rPr>
                <w:rFonts w:eastAsia="Calibri"/>
                <w:sz w:val="20"/>
              </w:rPr>
            </w:pPr>
            <w:r w:rsidRPr="00201A3F">
              <w:rPr>
                <w:rFonts w:eastAsia="Calibri"/>
                <w:sz w:val="20"/>
              </w:rPr>
              <w:t>Ontario Superior Court of Justice</w:t>
            </w:r>
          </w:p>
          <w:p w:rsidR="009151CA" w:rsidRPr="00201A3F" w:rsidRDefault="009151CA" w:rsidP="00B803D5">
            <w:pPr>
              <w:jc w:val="both"/>
              <w:rPr>
                <w:rFonts w:eastAsia="Calibri"/>
                <w:sz w:val="20"/>
              </w:rPr>
            </w:pPr>
            <w:r w:rsidRPr="00201A3F">
              <w:rPr>
                <w:rFonts w:eastAsia="Calibri"/>
                <w:sz w:val="20"/>
              </w:rPr>
              <w:t>(Charbonneau J.)</w:t>
            </w:r>
          </w:p>
          <w:p w:rsidR="009151CA" w:rsidRPr="00201A3F" w:rsidRDefault="009151CA" w:rsidP="00B803D5">
            <w:pPr>
              <w:jc w:val="both"/>
              <w:rPr>
                <w:rFonts w:eastAsia="Calibri"/>
                <w:sz w:val="20"/>
              </w:rPr>
            </w:pPr>
          </w:p>
        </w:tc>
        <w:tc>
          <w:tcPr>
            <w:tcW w:w="243" w:type="pct"/>
          </w:tcPr>
          <w:p w:rsidR="009151CA" w:rsidRPr="00201A3F" w:rsidRDefault="009151CA" w:rsidP="00B803D5">
            <w:pPr>
              <w:jc w:val="both"/>
              <w:rPr>
                <w:rFonts w:eastAsia="Calibri"/>
                <w:sz w:val="20"/>
              </w:rPr>
            </w:pPr>
          </w:p>
        </w:tc>
        <w:tc>
          <w:tcPr>
            <w:tcW w:w="2330" w:type="pct"/>
          </w:tcPr>
          <w:p w:rsidR="009151CA" w:rsidRPr="00201A3F" w:rsidRDefault="009151CA" w:rsidP="00B803D5">
            <w:pPr>
              <w:jc w:val="both"/>
              <w:rPr>
                <w:rFonts w:eastAsia="Calibri"/>
                <w:sz w:val="20"/>
              </w:rPr>
            </w:pPr>
            <w:r w:rsidRPr="00201A3F">
              <w:rPr>
                <w:rFonts w:eastAsia="Calibri"/>
                <w:sz w:val="20"/>
              </w:rPr>
              <w:t>Motion by Lacroix and Ladouceur to certify additional common issues and amend statement of action in class proceeding dismissed; Motion by McCann and Guffie for certification as class proceeding and certification of common issues dismissed</w:t>
            </w:r>
          </w:p>
          <w:p w:rsidR="009151CA" w:rsidRPr="00201A3F" w:rsidRDefault="009151CA" w:rsidP="00B803D5">
            <w:pPr>
              <w:jc w:val="both"/>
              <w:rPr>
                <w:rFonts w:eastAsia="Calibri"/>
                <w:sz w:val="20"/>
              </w:rPr>
            </w:pPr>
          </w:p>
        </w:tc>
      </w:tr>
      <w:tr w:rsidR="009151CA" w:rsidRPr="00201A3F" w:rsidTr="00C46290">
        <w:trPr>
          <w:cantSplit/>
        </w:trPr>
        <w:tc>
          <w:tcPr>
            <w:tcW w:w="2427" w:type="pct"/>
          </w:tcPr>
          <w:p w:rsidR="009151CA" w:rsidRPr="00201A3F" w:rsidRDefault="009151CA" w:rsidP="00B803D5">
            <w:pPr>
              <w:jc w:val="both"/>
              <w:rPr>
                <w:rFonts w:eastAsia="Calibri"/>
                <w:sz w:val="20"/>
              </w:rPr>
            </w:pPr>
            <w:r w:rsidRPr="00201A3F">
              <w:rPr>
                <w:rFonts w:eastAsia="Calibri"/>
                <w:sz w:val="20"/>
              </w:rPr>
              <w:t>June 16, 2010</w:t>
            </w:r>
          </w:p>
          <w:p w:rsidR="009151CA" w:rsidRPr="00201A3F" w:rsidRDefault="009151CA" w:rsidP="00B803D5">
            <w:pPr>
              <w:jc w:val="both"/>
              <w:rPr>
                <w:rFonts w:eastAsia="Calibri"/>
                <w:sz w:val="20"/>
              </w:rPr>
            </w:pPr>
            <w:r w:rsidRPr="00201A3F">
              <w:rPr>
                <w:rFonts w:eastAsia="Calibri"/>
                <w:sz w:val="20"/>
              </w:rPr>
              <w:t>Ontario Superior Court of Justice</w:t>
            </w:r>
          </w:p>
          <w:p w:rsidR="009151CA" w:rsidRPr="00201A3F" w:rsidRDefault="009151CA" w:rsidP="00B803D5">
            <w:pPr>
              <w:jc w:val="both"/>
              <w:rPr>
                <w:rFonts w:eastAsia="Calibri"/>
                <w:sz w:val="20"/>
                <w:lang w:val="fr-CA"/>
              </w:rPr>
            </w:pPr>
            <w:r w:rsidRPr="00201A3F">
              <w:rPr>
                <w:rFonts w:eastAsia="Calibri"/>
                <w:sz w:val="20"/>
                <w:lang w:val="fr-CA"/>
              </w:rPr>
              <w:t>(Wilson, Karakatsanis, Bryant JJ.)</w:t>
            </w:r>
          </w:p>
          <w:p w:rsidR="009151CA" w:rsidRPr="00201A3F" w:rsidRDefault="009151CA" w:rsidP="00B803D5">
            <w:pPr>
              <w:jc w:val="both"/>
              <w:rPr>
                <w:rFonts w:eastAsia="Calibri"/>
                <w:sz w:val="20"/>
              </w:rPr>
            </w:pPr>
            <w:r w:rsidRPr="00201A3F">
              <w:rPr>
                <w:rFonts w:eastAsia="Calibri"/>
                <w:sz w:val="20"/>
              </w:rPr>
              <w:t>2010 ONSC 65</w:t>
            </w:r>
          </w:p>
          <w:p w:rsidR="009151CA" w:rsidRPr="00201A3F" w:rsidRDefault="009151CA" w:rsidP="00B803D5">
            <w:pPr>
              <w:jc w:val="both"/>
              <w:rPr>
                <w:rFonts w:eastAsia="Calibri"/>
                <w:sz w:val="20"/>
              </w:rPr>
            </w:pPr>
          </w:p>
        </w:tc>
        <w:tc>
          <w:tcPr>
            <w:tcW w:w="243" w:type="pct"/>
          </w:tcPr>
          <w:p w:rsidR="009151CA" w:rsidRPr="00201A3F" w:rsidRDefault="009151CA" w:rsidP="00B803D5">
            <w:pPr>
              <w:jc w:val="both"/>
              <w:rPr>
                <w:rFonts w:eastAsia="Calibri"/>
                <w:sz w:val="20"/>
              </w:rPr>
            </w:pPr>
          </w:p>
        </w:tc>
        <w:tc>
          <w:tcPr>
            <w:tcW w:w="2330" w:type="pct"/>
          </w:tcPr>
          <w:p w:rsidR="009151CA" w:rsidRPr="00201A3F" w:rsidRDefault="009151CA" w:rsidP="00B803D5">
            <w:pPr>
              <w:jc w:val="both"/>
              <w:rPr>
                <w:rFonts w:eastAsia="Calibri"/>
                <w:sz w:val="20"/>
              </w:rPr>
            </w:pPr>
            <w:r w:rsidRPr="00201A3F">
              <w:rPr>
                <w:rFonts w:eastAsia="Calibri"/>
                <w:sz w:val="20"/>
              </w:rPr>
              <w:t>Appeals dismissed</w:t>
            </w:r>
          </w:p>
          <w:p w:rsidR="009151CA" w:rsidRPr="00201A3F" w:rsidRDefault="009151CA" w:rsidP="00B803D5">
            <w:pPr>
              <w:jc w:val="both"/>
              <w:rPr>
                <w:rFonts w:eastAsia="Calibri"/>
                <w:sz w:val="20"/>
              </w:rPr>
            </w:pPr>
          </w:p>
        </w:tc>
      </w:tr>
      <w:tr w:rsidR="009151CA" w:rsidRPr="00201A3F" w:rsidTr="00C46290">
        <w:trPr>
          <w:cantSplit/>
        </w:trPr>
        <w:tc>
          <w:tcPr>
            <w:tcW w:w="2427" w:type="pct"/>
          </w:tcPr>
          <w:p w:rsidR="009151CA" w:rsidRPr="00201A3F" w:rsidRDefault="009151CA" w:rsidP="00B803D5">
            <w:pPr>
              <w:jc w:val="both"/>
              <w:rPr>
                <w:rFonts w:eastAsia="Calibri"/>
                <w:sz w:val="20"/>
              </w:rPr>
            </w:pPr>
            <w:r w:rsidRPr="00201A3F">
              <w:rPr>
                <w:rFonts w:eastAsia="Calibri"/>
                <w:sz w:val="20"/>
              </w:rPr>
              <w:t>April 18, 2012</w:t>
            </w:r>
          </w:p>
          <w:p w:rsidR="009151CA" w:rsidRPr="00201A3F" w:rsidRDefault="009151CA" w:rsidP="00B803D5">
            <w:pPr>
              <w:jc w:val="both"/>
              <w:rPr>
                <w:rFonts w:eastAsia="Calibri"/>
                <w:sz w:val="20"/>
              </w:rPr>
            </w:pPr>
            <w:r w:rsidRPr="00201A3F">
              <w:rPr>
                <w:rFonts w:eastAsia="Calibri"/>
                <w:sz w:val="20"/>
              </w:rPr>
              <w:t>Court of Appeal for Ontario</w:t>
            </w:r>
          </w:p>
          <w:p w:rsidR="009151CA" w:rsidRPr="00201A3F" w:rsidRDefault="009151CA" w:rsidP="00B803D5">
            <w:pPr>
              <w:jc w:val="both"/>
              <w:rPr>
                <w:rFonts w:eastAsia="Calibri"/>
                <w:sz w:val="20"/>
              </w:rPr>
            </w:pPr>
            <w:r w:rsidRPr="00201A3F">
              <w:rPr>
                <w:rFonts w:eastAsia="Calibri"/>
                <w:sz w:val="20"/>
              </w:rPr>
              <w:t>(Doherty, Laskin, Simmons JJ.A.)</w:t>
            </w:r>
          </w:p>
          <w:p w:rsidR="009151CA" w:rsidRPr="00201A3F" w:rsidRDefault="009151CA" w:rsidP="00B803D5">
            <w:pPr>
              <w:jc w:val="both"/>
              <w:rPr>
                <w:rFonts w:eastAsia="Calibri"/>
                <w:sz w:val="20"/>
              </w:rPr>
            </w:pPr>
            <w:r w:rsidRPr="00201A3F">
              <w:rPr>
                <w:rFonts w:eastAsia="Calibri"/>
                <w:sz w:val="20"/>
              </w:rPr>
              <w:t xml:space="preserve">2012 ONCA 243; C53012; C53034 </w:t>
            </w:r>
          </w:p>
          <w:p w:rsidR="009151CA" w:rsidRPr="00201A3F" w:rsidRDefault="009151CA" w:rsidP="00B803D5">
            <w:pPr>
              <w:jc w:val="both"/>
              <w:rPr>
                <w:rFonts w:eastAsia="Calibri"/>
                <w:sz w:val="20"/>
              </w:rPr>
            </w:pPr>
          </w:p>
        </w:tc>
        <w:tc>
          <w:tcPr>
            <w:tcW w:w="243" w:type="pct"/>
          </w:tcPr>
          <w:p w:rsidR="009151CA" w:rsidRPr="00201A3F" w:rsidRDefault="009151CA" w:rsidP="00B803D5">
            <w:pPr>
              <w:jc w:val="both"/>
              <w:rPr>
                <w:rFonts w:eastAsia="Calibri"/>
                <w:sz w:val="20"/>
              </w:rPr>
            </w:pPr>
          </w:p>
        </w:tc>
        <w:tc>
          <w:tcPr>
            <w:tcW w:w="2330" w:type="pct"/>
          </w:tcPr>
          <w:p w:rsidR="009151CA" w:rsidRPr="00201A3F" w:rsidRDefault="009151CA" w:rsidP="00B803D5">
            <w:pPr>
              <w:jc w:val="both"/>
              <w:rPr>
                <w:rFonts w:eastAsia="Calibri"/>
                <w:sz w:val="20"/>
              </w:rPr>
            </w:pPr>
            <w:r w:rsidRPr="00201A3F">
              <w:rPr>
                <w:rFonts w:eastAsia="Calibri"/>
                <w:sz w:val="20"/>
              </w:rPr>
              <w:t>Appeals dismissed</w:t>
            </w:r>
          </w:p>
          <w:p w:rsidR="009151CA" w:rsidRPr="00201A3F" w:rsidRDefault="009151CA" w:rsidP="00B803D5">
            <w:pPr>
              <w:jc w:val="both"/>
              <w:rPr>
                <w:rFonts w:eastAsia="Calibri"/>
                <w:sz w:val="20"/>
              </w:rPr>
            </w:pPr>
          </w:p>
        </w:tc>
      </w:tr>
      <w:tr w:rsidR="009151CA" w:rsidRPr="00201A3F" w:rsidTr="00C46290">
        <w:trPr>
          <w:cantSplit/>
        </w:trPr>
        <w:tc>
          <w:tcPr>
            <w:tcW w:w="2427" w:type="pct"/>
          </w:tcPr>
          <w:p w:rsidR="009151CA" w:rsidRPr="00201A3F" w:rsidRDefault="009151CA" w:rsidP="00B803D5">
            <w:pPr>
              <w:jc w:val="both"/>
              <w:rPr>
                <w:rFonts w:eastAsia="Calibri"/>
                <w:sz w:val="20"/>
              </w:rPr>
            </w:pPr>
            <w:r w:rsidRPr="00201A3F">
              <w:rPr>
                <w:rFonts w:eastAsia="Calibri"/>
                <w:sz w:val="20"/>
              </w:rPr>
              <w:t>May 15, 2012</w:t>
            </w:r>
          </w:p>
          <w:p w:rsidR="009151CA" w:rsidRPr="00201A3F" w:rsidRDefault="009151CA" w:rsidP="00B803D5">
            <w:pPr>
              <w:jc w:val="both"/>
              <w:rPr>
                <w:rFonts w:eastAsia="Calibri"/>
                <w:sz w:val="20"/>
              </w:rPr>
            </w:pPr>
            <w:r w:rsidRPr="00201A3F">
              <w:rPr>
                <w:rFonts w:eastAsia="Calibri"/>
                <w:sz w:val="20"/>
              </w:rPr>
              <w:t>Supreme Court of Canada</w:t>
            </w:r>
          </w:p>
          <w:p w:rsidR="009151CA" w:rsidRPr="00201A3F" w:rsidRDefault="009151CA" w:rsidP="00B803D5">
            <w:pPr>
              <w:jc w:val="both"/>
              <w:rPr>
                <w:rFonts w:eastAsia="Calibri"/>
                <w:sz w:val="20"/>
              </w:rPr>
            </w:pPr>
          </w:p>
        </w:tc>
        <w:tc>
          <w:tcPr>
            <w:tcW w:w="243" w:type="pct"/>
          </w:tcPr>
          <w:p w:rsidR="009151CA" w:rsidRPr="00201A3F" w:rsidRDefault="009151CA" w:rsidP="00B803D5">
            <w:pPr>
              <w:jc w:val="both"/>
              <w:rPr>
                <w:rFonts w:eastAsia="Calibri"/>
                <w:sz w:val="20"/>
              </w:rPr>
            </w:pPr>
          </w:p>
        </w:tc>
        <w:tc>
          <w:tcPr>
            <w:tcW w:w="2330" w:type="pct"/>
          </w:tcPr>
          <w:p w:rsidR="009151CA" w:rsidRPr="00201A3F" w:rsidRDefault="009151CA" w:rsidP="00B803D5">
            <w:pPr>
              <w:jc w:val="both"/>
              <w:rPr>
                <w:rFonts w:eastAsia="Calibri"/>
                <w:sz w:val="20"/>
              </w:rPr>
            </w:pPr>
            <w:r w:rsidRPr="00201A3F">
              <w:rPr>
                <w:rFonts w:eastAsia="Calibri"/>
                <w:sz w:val="20"/>
              </w:rPr>
              <w:t>Application for leave to appeal filed</w:t>
            </w:r>
          </w:p>
          <w:p w:rsidR="009151CA" w:rsidRPr="00201A3F" w:rsidRDefault="009151CA" w:rsidP="00B803D5">
            <w:pPr>
              <w:jc w:val="both"/>
              <w:rPr>
                <w:rFonts w:eastAsia="Calibri"/>
                <w:sz w:val="20"/>
              </w:rPr>
            </w:pPr>
          </w:p>
        </w:tc>
      </w:tr>
      <w:tr w:rsidR="009151CA" w:rsidRPr="00201A3F" w:rsidTr="00C46290">
        <w:trPr>
          <w:cantSplit/>
          <w:trHeight w:val="80"/>
        </w:trPr>
        <w:tc>
          <w:tcPr>
            <w:tcW w:w="2427" w:type="pct"/>
          </w:tcPr>
          <w:p w:rsidR="009151CA" w:rsidRPr="00201A3F" w:rsidRDefault="009151CA" w:rsidP="00B803D5">
            <w:pPr>
              <w:jc w:val="both"/>
              <w:rPr>
                <w:rFonts w:eastAsia="Calibri"/>
                <w:sz w:val="20"/>
              </w:rPr>
            </w:pPr>
            <w:r w:rsidRPr="00201A3F">
              <w:rPr>
                <w:rFonts w:eastAsia="Calibri"/>
                <w:sz w:val="20"/>
              </w:rPr>
              <w:t>June 14, 2012</w:t>
            </w:r>
          </w:p>
          <w:p w:rsidR="009151CA" w:rsidRPr="00201A3F" w:rsidRDefault="009151CA" w:rsidP="00B803D5">
            <w:pPr>
              <w:jc w:val="both"/>
              <w:rPr>
                <w:rFonts w:eastAsia="Calibri"/>
                <w:sz w:val="20"/>
              </w:rPr>
            </w:pPr>
            <w:r w:rsidRPr="00201A3F">
              <w:rPr>
                <w:rFonts w:eastAsia="Calibri"/>
                <w:sz w:val="20"/>
              </w:rPr>
              <w:t>Supreme Court of Canada</w:t>
            </w:r>
          </w:p>
        </w:tc>
        <w:tc>
          <w:tcPr>
            <w:tcW w:w="243" w:type="pct"/>
          </w:tcPr>
          <w:p w:rsidR="009151CA" w:rsidRPr="00201A3F" w:rsidRDefault="009151CA" w:rsidP="00B803D5">
            <w:pPr>
              <w:jc w:val="both"/>
              <w:rPr>
                <w:rFonts w:eastAsia="Calibri"/>
                <w:sz w:val="20"/>
              </w:rPr>
            </w:pPr>
          </w:p>
        </w:tc>
        <w:tc>
          <w:tcPr>
            <w:tcW w:w="2330" w:type="pct"/>
          </w:tcPr>
          <w:p w:rsidR="009151CA" w:rsidRPr="00201A3F" w:rsidRDefault="009151CA" w:rsidP="00B803D5">
            <w:pPr>
              <w:jc w:val="both"/>
              <w:rPr>
                <w:rFonts w:eastAsia="Calibri"/>
                <w:sz w:val="20"/>
              </w:rPr>
            </w:pPr>
            <w:r w:rsidRPr="00201A3F">
              <w:rPr>
                <w:rFonts w:eastAsia="Calibri"/>
                <w:sz w:val="20"/>
              </w:rPr>
              <w:t>Application for leave to appeal filed</w:t>
            </w:r>
          </w:p>
          <w:p w:rsidR="009151CA" w:rsidRPr="00201A3F" w:rsidRDefault="009151CA" w:rsidP="00B803D5">
            <w:pPr>
              <w:jc w:val="both"/>
              <w:rPr>
                <w:rFonts w:eastAsia="Calibri"/>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48"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9151CA" w:rsidRPr="00DC2D1F" w:rsidTr="00B803D5">
        <w:tc>
          <w:tcPr>
            <w:tcW w:w="5000" w:type="pct"/>
            <w:gridSpan w:val="3"/>
          </w:tcPr>
          <w:p w:rsidR="009151CA" w:rsidRPr="00201A3F" w:rsidRDefault="009151CA" w:rsidP="00B803D5">
            <w:pPr>
              <w:jc w:val="both"/>
              <w:rPr>
                <w:rFonts w:eastAsia="Calibri"/>
                <w:sz w:val="20"/>
                <w:lang w:val="fr-CA"/>
              </w:rPr>
            </w:pPr>
            <w:r w:rsidRPr="00201A3F">
              <w:rPr>
                <w:rFonts w:eastAsia="Calibri"/>
                <w:sz w:val="20"/>
                <w:lang w:val="fr-CA"/>
              </w:rPr>
              <w:t>Tribunaux — Juges — Compétence — Droit administratif — Pensions — Instance civile — Recours collectif — Crainte raisonnable de partialité — La Cour supérieure de justice a</w:t>
            </w:r>
            <w:r w:rsidRPr="00201A3F">
              <w:rPr>
                <w:rFonts w:eastAsia="Calibri"/>
                <w:sz w:val="20"/>
                <w:lang w:val="fr-CA"/>
              </w:rPr>
              <w:noBreakHyphen/>
              <w:t>t</w:t>
            </w:r>
            <w:r w:rsidRPr="00201A3F">
              <w:rPr>
                <w:rFonts w:eastAsia="Calibri"/>
                <w:sz w:val="20"/>
                <w:lang w:val="fr-CA"/>
              </w:rPr>
              <w:noBreakHyphen/>
              <w:t>elle compétence, en vertu du par. 8(11) de la</w:t>
            </w:r>
            <w:r w:rsidRPr="00201A3F">
              <w:rPr>
                <w:rFonts w:eastAsia="Calibri"/>
                <w:i/>
                <w:sz w:val="20"/>
                <w:lang w:val="fr-CA"/>
              </w:rPr>
              <w:t xml:space="preserve"> Loi de 1985 sur les normes de prestation de pension</w:t>
            </w:r>
            <w:r w:rsidRPr="00201A3F">
              <w:rPr>
                <w:rFonts w:eastAsia="Calibri"/>
                <w:sz w:val="20"/>
                <w:lang w:val="fr-CA"/>
              </w:rPr>
              <w:t>, L.R.C. 1985, ch. 3, pour contrôler la décision d'un administrateur de ne pas déclarer la cessation partielle de sa caisse de retraite? — La Cour d'appel a</w:t>
            </w:r>
            <w:r w:rsidRPr="00201A3F">
              <w:rPr>
                <w:rFonts w:eastAsia="Calibri"/>
                <w:sz w:val="20"/>
                <w:lang w:val="fr-CA"/>
              </w:rPr>
              <w:noBreakHyphen/>
              <w:t>t</w:t>
            </w:r>
            <w:r w:rsidRPr="00201A3F">
              <w:rPr>
                <w:rFonts w:eastAsia="Calibri"/>
                <w:sz w:val="20"/>
                <w:lang w:val="fr-CA"/>
              </w:rPr>
              <w:noBreakHyphen/>
              <w:t>elle mal interprété ou mal appliqué la jurisprudence applicable dans son interprétation des dispositions pertinentes de la loi? — Les décisions de l'employeur relativement au partage du surplus de la caisse de retraite équivalaient</w:t>
            </w:r>
            <w:r w:rsidRPr="00201A3F">
              <w:rPr>
                <w:rFonts w:eastAsia="Calibri"/>
                <w:sz w:val="20"/>
                <w:lang w:val="fr-CA"/>
              </w:rPr>
              <w:noBreakHyphen/>
              <w:t>elles à une cessation partielle déguisée, ou ont</w:t>
            </w:r>
            <w:r w:rsidRPr="00201A3F">
              <w:rPr>
                <w:rFonts w:eastAsia="Calibri"/>
                <w:sz w:val="20"/>
                <w:lang w:val="fr-CA"/>
              </w:rPr>
              <w:noBreakHyphen/>
              <w:t>elles plutôt eu pour effet de cristalliser une partie de la caisse de retraite? — Y a</w:t>
            </w:r>
            <w:r w:rsidRPr="00201A3F">
              <w:rPr>
                <w:rFonts w:eastAsia="Calibri"/>
                <w:sz w:val="20"/>
                <w:lang w:val="fr-CA"/>
              </w:rPr>
              <w:noBreakHyphen/>
              <w:t>t</w:t>
            </w:r>
            <w:r w:rsidRPr="00201A3F">
              <w:rPr>
                <w:rFonts w:eastAsia="Calibri"/>
                <w:sz w:val="20"/>
                <w:lang w:val="fr-CA"/>
              </w:rPr>
              <w:noBreakHyphen/>
              <w:t>il une crainte raisonnable de partialité de la part du Bureau du surintendant des institutions financières?</w:t>
            </w:r>
          </w:p>
        </w:tc>
      </w:tr>
      <w:tr w:rsidR="009151CA" w:rsidRPr="00DC2D1F" w:rsidTr="00B803D5">
        <w:tc>
          <w:tcPr>
            <w:tcW w:w="5000" w:type="pct"/>
            <w:gridSpan w:val="3"/>
          </w:tcPr>
          <w:p w:rsidR="009151CA" w:rsidRPr="00201A3F" w:rsidRDefault="009151CA" w:rsidP="00B803D5">
            <w:pPr>
              <w:jc w:val="both"/>
              <w:rPr>
                <w:rFonts w:eastAsia="Calibri"/>
                <w:sz w:val="20"/>
                <w:lang w:val="fr-CA"/>
              </w:rPr>
            </w:pPr>
          </w:p>
        </w:tc>
      </w:tr>
      <w:tr w:rsidR="009151CA" w:rsidRPr="00DC2D1F" w:rsidTr="00B803D5">
        <w:tc>
          <w:tcPr>
            <w:tcW w:w="5000" w:type="pct"/>
            <w:gridSpan w:val="3"/>
          </w:tcPr>
          <w:p w:rsidR="009151CA" w:rsidRPr="00201A3F" w:rsidRDefault="009151CA" w:rsidP="00B803D5">
            <w:pPr>
              <w:jc w:val="both"/>
              <w:rPr>
                <w:rFonts w:eastAsia="Calibri"/>
                <w:sz w:val="20"/>
                <w:lang w:val="fr-CA"/>
              </w:rPr>
            </w:pPr>
            <w:r w:rsidRPr="00201A3F">
              <w:rPr>
                <w:rFonts w:eastAsia="Calibri"/>
                <w:sz w:val="20"/>
                <w:lang w:val="fr-CA"/>
              </w:rPr>
              <w:t>À deux reprises, la SCHL a utilisé le surplus de la caisse de retraite pour accorder des ensembles d'enrichissement de prestations à des employés actuels, mais non à d'anciens employés qui avaient pris la valeur de rachat de leurs prestations et quitté le régime au moment de leur renvoi.  Dans le cadre d'un recours collectif et d'un recours collectif projeté, les demandeurs ont présenté une motion pour énoncer des questions communes liées aux allégations selon lesquelles la SCHL était tenue de faire cesser partiellement le régime de retraite et que son omission de le faire la plaçait dans une situation de conflit d'intérêts.</w:t>
            </w:r>
          </w:p>
          <w:p w:rsidR="009151CA" w:rsidRPr="00201A3F" w:rsidRDefault="009151CA" w:rsidP="00B803D5">
            <w:pPr>
              <w:jc w:val="both"/>
              <w:rPr>
                <w:rFonts w:eastAsia="Calibri"/>
                <w:sz w:val="20"/>
                <w:lang w:val="fr-CA"/>
              </w:rPr>
            </w:pPr>
          </w:p>
        </w:tc>
      </w:tr>
      <w:tr w:rsidR="009151CA" w:rsidRPr="00DC2D1F" w:rsidTr="00B803D5">
        <w:tc>
          <w:tcPr>
            <w:tcW w:w="2427" w:type="pct"/>
          </w:tcPr>
          <w:p w:rsidR="009151CA" w:rsidRPr="00201A3F" w:rsidRDefault="009151CA" w:rsidP="00B803D5">
            <w:pPr>
              <w:jc w:val="both"/>
              <w:rPr>
                <w:rFonts w:eastAsia="Calibri"/>
                <w:sz w:val="20"/>
                <w:lang w:val="fr-CA"/>
              </w:rPr>
            </w:pPr>
            <w:r w:rsidRPr="00201A3F">
              <w:rPr>
                <w:rFonts w:eastAsia="Calibri"/>
                <w:sz w:val="20"/>
                <w:lang w:val="fr-CA"/>
              </w:rPr>
              <w:t>26 janvier 2009</w:t>
            </w:r>
          </w:p>
          <w:p w:rsidR="009151CA" w:rsidRPr="00201A3F" w:rsidRDefault="009151CA" w:rsidP="00B803D5">
            <w:pPr>
              <w:jc w:val="both"/>
              <w:rPr>
                <w:rFonts w:eastAsia="Calibri"/>
                <w:sz w:val="20"/>
                <w:lang w:val="fr-CA"/>
              </w:rPr>
            </w:pPr>
            <w:r w:rsidRPr="00201A3F">
              <w:rPr>
                <w:rFonts w:eastAsia="Calibri"/>
                <w:sz w:val="20"/>
                <w:lang w:val="fr-CA"/>
              </w:rPr>
              <w:t xml:space="preserve">Cour supérieure de justice de l'Ontario </w:t>
            </w:r>
          </w:p>
          <w:p w:rsidR="009151CA" w:rsidRPr="00201A3F" w:rsidRDefault="009151CA" w:rsidP="00B803D5">
            <w:pPr>
              <w:jc w:val="both"/>
              <w:rPr>
                <w:rFonts w:eastAsia="Calibri"/>
                <w:sz w:val="20"/>
                <w:lang w:val="fr-CA"/>
              </w:rPr>
            </w:pPr>
            <w:r w:rsidRPr="00201A3F">
              <w:rPr>
                <w:rFonts w:eastAsia="Calibri"/>
                <w:sz w:val="20"/>
                <w:lang w:val="fr-CA"/>
              </w:rPr>
              <w:t>(Juge Charbonneau)</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Motion de Mmes Lacroix et Ladouceur en vue de certifier des questions communes supplémentaires et de modifier la déclaration dans un recours collectif, rejetée; motion de MM. McCann et Guffie en certification de recours collectif et en certification de questions communes, rejetée</w:t>
            </w:r>
          </w:p>
          <w:p w:rsidR="009151CA" w:rsidRPr="00201A3F" w:rsidRDefault="009151CA" w:rsidP="00B803D5">
            <w:pPr>
              <w:jc w:val="both"/>
              <w:rPr>
                <w:rFonts w:eastAsia="Calibri"/>
                <w:sz w:val="20"/>
                <w:lang w:val="fr-CA"/>
              </w:rPr>
            </w:pPr>
          </w:p>
        </w:tc>
      </w:tr>
      <w:tr w:rsidR="009151CA" w:rsidRPr="00201A3F" w:rsidTr="00C46290">
        <w:trPr>
          <w:cantSplit/>
        </w:trPr>
        <w:tc>
          <w:tcPr>
            <w:tcW w:w="2427" w:type="pct"/>
          </w:tcPr>
          <w:p w:rsidR="009151CA" w:rsidRPr="00201A3F" w:rsidRDefault="009151CA" w:rsidP="00B803D5">
            <w:pPr>
              <w:jc w:val="both"/>
              <w:rPr>
                <w:rFonts w:eastAsia="Calibri"/>
                <w:sz w:val="20"/>
                <w:lang w:val="fr-CA"/>
              </w:rPr>
            </w:pPr>
            <w:r w:rsidRPr="00201A3F">
              <w:rPr>
                <w:rFonts w:eastAsia="Calibri"/>
                <w:sz w:val="20"/>
                <w:lang w:val="fr-CA"/>
              </w:rPr>
              <w:lastRenderedPageBreak/>
              <w:t>16 juin 2010</w:t>
            </w:r>
          </w:p>
          <w:p w:rsidR="009151CA" w:rsidRPr="00201A3F" w:rsidRDefault="009151CA" w:rsidP="00B803D5">
            <w:pPr>
              <w:jc w:val="both"/>
              <w:rPr>
                <w:rFonts w:eastAsia="Calibri"/>
                <w:sz w:val="20"/>
                <w:lang w:val="fr-CA"/>
              </w:rPr>
            </w:pPr>
            <w:r w:rsidRPr="00201A3F">
              <w:rPr>
                <w:rFonts w:eastAsia="Calibri"/>
                <w:sz w:val="20"/>
                <w:lang w:val="fr-CA"/>
              </w:rPr>
              <w:t xml:space="preserve">Cour supérieure de justice de l'Ontario </w:t>
            </w:r>
          </w:p>
          <w:p w:rsidR="009151CA" w:rsidRPr="00201A3F" w:rsidRDefault="009151CA" w:rsidP="00B803D5">
            <w:pPr>
              <w:jc w:val="both"/>
              <w:rPr>
                <w:rFonts w:eastAsia="Calibri"/>
                <w:sz w:val="20"/>
                <w:lang w:val="fr-CA"/>
              </w:rPr>
            </w:pPr>
            <w:r w:rsidRPr="00201A3F">
              <w:rPr>
                <w:rFonts w:eastAsia="Calibri"/>
                <w:sz w:val="20"/>
                <w:lang w:val="fr-CA"/>
              </w:rPr>
              <w:t>(Juges Wilson, Karakatsanis et Bryant)</w:t>
            </w:r>
          </w:p>
          <w:p w:rsidR="009151CA" w:rsidRPr="00201A3F" w:rsidRDefault="009151CA" w:rsidP="00B803D5">
            <w:pPr>
              <w:jc w:val="both"/>
              <w:rPr>
                <w:rFonts w:eastAsia="Calibri"/>
                <w:sz w:val="20"/>
                <w:lang w:val="fr-CA"/>
              </w:rPr>
            </w:pPr>
            <w:r w:rsidRPr="00201A3F">
              <w:rPr>
                <w:rFonts w:eastAsia="Calibri"/>
                <w:sz w:val="20"/>
                <w:lang w:val="fr-CA"/>
              </w:rPr>
              <w:t>2010 ONSC 65</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Appels rejetés</w:t>
            </w:r>
          </w:p>
          <w:p w:rsidR="009151CA" w:rsidRPr="00201A3F" w:rsidRDefault="009151CA" w:rsidP="00B803D5">
            <w:pPr>
              <w:jc w:val="both"/>
              <w:rPr>
                <w:rFonts w:eastAsia="Calibri"/>
                <w:sz w:val="20"/>
                <w:lang w:val="fr-CA"/>
              </w:rPr>
            </w:pPr>
          </w:p>
        </w:tc>
      </w:tr>
      <w:tr w:rsidR="009151CA" w:rsidRPr="00201A3F" w:rsidTr="00C46290">
        <w:trPr>
          <w:cantSplit/>
        </w:trPr>
        <w:tc>
          <w:tcPr>
            <w:tcW w:w="2427" w:type="pct"/>
          </w:tcPr>
          <w:p w:rsidR="009151CA" w:rsidRPr="00201A3F" w:rsidRDefault="009151CA" w:rsidP="00B803D5">
            <w:pPr>
              <w:jc w:val="both"/>
              <w:rPr>
                <w:rFonts w:eastAsia="Calibri"/>
                <w:sz w:val="20"/>
                <w:lang w:val="fr-CA"/>
              </w:rPr>
            </w:pPr>
            <w:r w:rsidRPr="00201A3F">
              <w:rPr>
                <w:rFonts w:eastAsia="Calibri"/>
                <w:sz w:val="20"/>
                <w:lang w:val="fr-CA"/>
              </w:rPr>
              <w:t>18 avril 2012</w:t>
            </w:r>
          </w:p>
          <w:p w:rsidR="009151CA" w:rsidRPr="00201A3F" w:rsidRDefault="009151CA" w:rsidP="00B803D5">
            <w:pPr>
              <w:jc w:val="both"/>
              <w:rPr>
                <w:rFonts w:eastAsia="Calibri"/>
                <w:sz w:val="20"/>
                <w:lang w:val="fr-CA"/>
              </w:rPr>
            </w:pPr>
            <w:r w:rsidRPr="00201A3F">
              <w:rPr>
                <w:rFonts w:eastAsia="Calibri"/>
                <w:sz w:val="20"/>
                <w:lang w:val="fr-CA"/>
              </w:rPr>
              <w:t>Cour d'appel de l’Ontario</w:t>
            </w:r>
          </w:p>
          <w:p w:rsidR="009151CA" w:rsidRPr="00201A3F" w:rsidRDefault="009151CA" w:rsidP="00B803D5">
            <w:pPr>
              <w:jc w:val="both"/>
              <w:rPr>
                <w:rFonts w:eastAsia="Calibri"/>
                <w:sz w:val="20"/>
                <w:lang w:val="fr-CA"/>
              </w:rPr>
            </w:pPr>
            <w:r w:rsidRPr="00201A3F">
              <w:rPr>
                <w:rFonts w:eastAsia="Calibri"/>
                <w:sz w:val="20"/>
                <w:lang w:val="fr-CA"/>
              </w:rPr>
              <w:t>(Juges Doherty, Laskin et Simmons)</w:t>
            </w:r>
          </w:p>
          <w:p w:rsidR="009151CA" w:rsidRPr="00201A3F" w:rsidRDefault="009151CA" w:rsidP="00B803D5">
            <w:pPr>
              <w:jc w:val="both"/>
              <w:rPr>
                <w:rFonts w:eastAsia="Calibri"/>
                <w:sz w:val="20"/>
                <w:lang w:val="fr-CA"/>
              </w:rPr>
            </w:pPr>
            <w:r w:rsidRPr="00201A3F">
              <w:rPr>
                <w:rFonts w:eastAsia="Calibri"/>
                <w:sz w:val="20"/>
                <w:lang w:val="fr-CA"/>
              </w:rPr>
              <w:t xml:space="preserve">2012 ONCA 243; C53012; C53034 </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Appels rejetés</w:t>
            </w:r>
          </w:p>
          <w:p w:rsidR="009151CA" w:rsidRPr="00201A3F" w:rsidRDefault="009151CA" w:rsidP="00B803D5">
            <w:pPr>
              <w:jc w:val="both"/>
              <w:rPr>
                <w:rFonts w:eastAsia="Calibri"/>
                <w:sz w:val="20"/>
                <w:lang w:val="fr-CA"/>
              </w:rPr>
            </w:pPr>
          </w:p>
        </w:tc>
      </w:tr>
      <w:tr w:rsidR="009151CA" w:rsidRPr="00201A3F" w:rsidTr="00C46290">
        <w:trPr>
          <w:cantSplit/>
        </w:trPr>
        <w:tc>
          <w:tcPr>
            <w:tcW w:w="2427" w:type="pct"/>
          </w:tcPr>
          <w:p w:rsidR="009151CA" w:rsidRPr="00201A3F" w:rsidRDefault="009151CA" w:rsidP="00B803D5">
            <w:pPr>
              <w:jc w:val="both"/>
              <w:rPr>
                <w:rFonts w:eastAsia="Calibri"/>
                <w:sz w:val="20"/>
                <w:lang w:val="fr-CA"/>
              </w:rPr>
            </w:pPr>
            <w:r w:rsidRPr="00201A3F">
              <w:rPr>
                <w:rFonts w:eastAsia="Calibri"/>
                <w:sz w:val="20"/>
                <w:lang w:val="fr-CA"/>
              </w:rPr>
              <w:t>15 mai 2012</w:t>
            </w:r>
          </w:p>
          <w:p w:rsidR="009151CA" w:rsidRPr="00201A3F" w:rsidRDefault="009151CA" w:rsidP="00B803D5">
            <w:pPr>
              <w:jc w:val="both"/>
              <w:rPr>
                <w:rFonts w:eastAsia="Calibri"/>
                <w:sz w:val="20"/>
                <w:lang w:val="fr-CA"/>
              </w:rPr>
            </w:pPr>
            <w:r w:rsidRPr="00201A3F">
              <w:rPr>
                <w:rFonts w:eastAsia="Calibri"/>
                <w:sz w:val="20"/>
                <w:lang w:val="fr-CA"/>
              </w:rPr>
              <w:t>Cour suprême du Canada</w:t>
            </w:r>
          </w:p>
          <w:p w:rsidR="009151CA" w:rsidRPr="00201A3F" w:rsidRDefault="009151CA" w:rsidP="00B803D5">
            <w:pPr>
              <w:jc w:val="both"/>
              <w:rPr>
                <w:rFonts w:eastAsia="Calibri"/>
                <w:sz w:val="20"/>
                <w:lang w:val="fr-CA"/>
              </w:rPr>
            </w:pP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Demande d'autorisation d'appel, déposée</w:t>
            </w:r>
          </w:p>
          <w:p w:rsidR="009151CA" w:rsidRPr="00201A3F" w:rsidRDefault="009151CA" w:rsidP="00B803D5">
            <w:pPr>
              <w:jc w:val="both"/>
              <w:rPr>
                <w:rFonts w:eastAsia="Calibri"/>
                <w:sz w:val="20"/>
                <w:lang w:val="fr-CA"/>
              </w:rPr>
            </w:pPr>
          </w:p>
        </w:tc>
      </w:tr>
      <w:tr w:rsidR="009151CA" w:rsidRPr="00201A3F" w:rsidTr="00C46290">
        <w:trPr>
          <w:cantSplit/>
          <w:trHeight w:val="80"/>
        </w:trPr>
        <w:tc>
          <w:tcPr>
            <w:tcW w:w="2427" w:type="pct"/>
          </w:tcPr>
          <w:p w:rsidR="009151CA" w:rsidRPr="00201A3F" w:rsidRDefault="009151CA" w:rsidP="00B803D5">
            <w:pPr>
              <w:jc w:val="both"/>
              <w:rPr>
                <w:rFonts w:eastAsia="Calibri"/>
                <w:sz w:val="20"/>
                <w:lang w:val="fr-CA"/>
              </w:rPr>
            </w:pPr>
            <w:r w:rsidRPr="00201A3F">
              <w:rPr>
                <w:rFonts w:eastAsia="Calibri"/>
                <w:sz w:val="20"/>
                <w:lang w:val="fr-CA"/>
              </w:rPr>
              <w:t>14 juin 2012</w:t>
            </w:r>
          </w:p>
          <w:p w:rsidR="009151CA" w:rsidRPr="00201A3F" w:rsidRDefault="009151CA" w:rsidP="00B803D5">
            <w:pPr>
              <w:jc w:val="both"/>
              <w:rPr>
                <w:rFonts w:eastAsia="Calibri"/>
                <w:sz w:val="20"/>
                <w:lang w:val="fr-CA"/>
              </w:rPr>
            </w:pPr>
            <w:r w:rsidRPr="00201A3F">
              <w:rPr>
                <w:rFonts w:eastAsia="Calibri"/>
                <w:sz w:val="20"/>
                <w:lang w:val="fr-CA"/>
              </w:rPr>
              <w:t xml:space="preserve">Cour suprême du Canada </w:t>
            </w:r>
          </w:p>
        </w:tc>
        <w:tc>
          <w:tcPr>
            <w:tcW w:w="243" w:type="pct"/>
          </w:tcPr>
          <w:p w:rsidR="009151CA" w:rsidRPr="00201A3F" w:rsidRDefault="009151CA" w:rsidP="00B803D5">
            <w:pPr>
              <w:jc w:val="both"/>
              <w:rPr>
                <w:rFonts w:eastAsia="Calibri"/>
                <w:sz w:val="20"/>
                <w:lang w:val="fr-CA"/>
              </w:rPr>
            </w:pPr>
          </w:p>
        </w:tc>
        <w:tc>
          <w:tcPr>
            <w:tcW w:w="2330" w:type="pct"/>
          </w:tcPr>
          <w:p w:rsidR="009151CA" w:rsidRPr="00201A3F" w:rsidRDefault="009151CA" w:rsidP="00B803D5">
            <w:pPr>
              <w:jc w:val="both"/>
              <w:rPr>
                <w:rFonts w:eastAsia="Calibri"/>
                <w:sz w:val="20"/>
                <w:lang w:val="fr-CA"/>
              </w:rPr>
            </w:pPr>
            <w:r w:rsidRPr="00201A3F">
              <w:rPr>
                <w:rFonts w:eastAsia="Calibri"/>
                <w:sz w:val="20"/>
                <w:lang w:val="fr-CA"/>
              </w:rPr>
              <w:t>Demande d'autorisation d'appel, déposée</w:t>
            </w:r>
          </w:p>
          <w:p w:rsidR="009151CA" w:rsidRPr="00201A3F" w:rsidRDefault="009151CA" w:rsidP="00B803D5">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49"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65D14" w:rsidRPr="00565D14" w:rsidTr="00565D14">
        <w:trPr>
          <w:cantSplit/>
        </w:trPr>
        <w:tc>
          <w:tcPr>
            <w:tcW w:w="1458" w:type="dxa"/>
          </w:tcPr>
          <w:p w:rsidR="00565D14" w:rsidRPr="00565D14" w:rsidRDefault="00565D14" w:rsidP="00565D14">
            <w:pPr>
              <w:rPr>
                <w:sz w:val="20"/>
                <w:szCs w:val="20"/>
              </w:rPr>
            </w:pPr>
            <w:r w:rsidRPr="00565D14">
              <w:rPr>
                <w:rStyle w:val="SCCFileNumberChar"/>
                <w:sz w:val="20"/>
                <w:szCs w:val="20"/>
              </w:rPr>
              <w:t>34865</w:t>
            </w:r>
          </w:p>
          <w:p w:rsidR="00565D14" w:rsidRPr="00565D14" w:rsidRDefault="00565D14" w:rsidP="00565D14">
            <w:pPr>
              <w:rPr>
                <w:b/>
                <w:sz w:val="20"/>
                <w:szCs w:val="20"/>
                <w:lang w:val="fr-CA"/>
              </w:rPr>
            </w:pPr>
          </w:p>
        </w:tc>
        <w:tc>
          <w:tcPr>
            <w:tcW w:w="8118" w:type="dxa"/>
          </w:tcPr>
          <w:p w:rsidR="00565D14" w:rsidRPr="00565D14" w:rsidRDefault="00565D14" w:rsidP="00565D14">
            <w:pPr>
              <w:rPr>
                <w:sz w:val="20"/>
                <w:szCs w:val="20"/>
              </w:rPr>
            </w:pPr>
            <w:r w:rsidRPr="00565D14">
              <w:rPr>
                <w:rStyle w:val="SCCLsocChar"/>
                <w:sz w:val="20"/>
                <w:szCs w:val="20"/>
                <w:lang w:val="en-CA"/>
              </w:rPr>
              <w:t>Dustin Duke Darby v. Her Majesty the Queen</w:t>
            </w:r>
            <w:r w:rsidRPr="00565D14">
              <w:rPr>
                <w:sz w:val="20"/>
                <w:szCs w:val="20"/>
              </w:rPr>
              <w:t xml:space="preserve"> (Alta.) (Criminal) (By Leave)</w:t>
            </w:r>
          </w:p>
          <w:p w:rsidR="00565D14" w:rsidRPr="00565D14" w:rsidRDefault="00565D14" w:rsidP="00565D14">
            <w:pPr>
              <w:rPr>
                <w:sz w:val="20"/>
                <w:szCs w:val="20"/>
              </w:rPr>
            </w:pPr>
          </w:p>
        </w:tc>
      </w:tr>
      <w:tr w:rsidR="00565D14" w:rsidRPr="00565D14" w:rsidTr="00565D14">
        <w:trPr>
          <w:cantSplit/>
        </w:trPr>
        <w:tc>
          <w:tcPr>
            <w:tcW w:w="1458" w:type="dxa"/>
          </w:tcPr>
          <w:p w:rsidR="00565D14" w:rsidRPr="00565D14" w:rsidRDefault="00565D14" w:rsidP="00565D14">
            <w:pPr>
              <w:rPr>
                <w:sz w:val="20"/>
                <w:szCs w:val="20"/>
              </w:rPr>
            </w:pPr>
            <w:r w:rsidRPr="00565D14">
              <w:rPr>
                <w:sz w:val="20"/>
                <w:szCs w:val="20"/>
              </w:rPr>
              <w:t>Coram :</w:t>
            </w:r>
          </w:p>
        </w:tc>
        <w:tc>
          <w:tcPr>
            <w:tcW w:w="8118" w:type="dxa"/>
          </w:tcPr>
          <w:p w:rsidR="00565D14" w:rsidRPr="00565D14" w:rsidRDefault="00565D14" w:rsidP="00565D14">
            <w:pPr>
              <w:rPr>
                <w:sz w:val="20"/>
                <w:szCs w:val="20"/>
              </w:rPr>
            </w:pPr>
            <w:r w:rsidRPr="00565D14">
              <w:rPr>
                <w:rStyle w:val="SCCCoramChar"/>
                <w:sz w:val="20"/>
                <w:szCs w:val="20"/>
                <w:lang w:val="en-CA"/>
              </w:rPr>
              <w:t>McLachlin C.J. and Rothstein and Moldaver JJ.</w:t>
            </w:r>
          </w:p>
          <w:p w:rsidR="00565D14" w:rsidRPr="00565D14" w:rsidRDefault="00565D14" w:rsidP="00565D14">
            <w:pPr>
              <w:rPr>
                <w:sz w:val="20"/>
                <w:szCs w:val="20"/>
                <w:u w:val="single"/>
              </w:rPr>
            </w:pPr>
          </w:p>
        </w:tc>
      </w:tr>
      <w:tr w:rsidR="00565D14" w:rsidRPr="00DC2D1F" w:rsidTr="00565D14">
        <w:trPr>
          <w:cantSplit/>
        </w:trPr>
        <w:tc>
          <w:tcPr>
            <w:tcW w:w="9576" w:type="dxa"/>
            <w:gridSpan w:val="2"/>
          </w:tcPr>
          <w:p w:rsidR="00565D14" w:rsidRPr="00565D14" w:rsidRDefault="00565D14" w:rsidP="00565D14">
            <w:pPr>
              <w:pStyle w:val="SCCShortJudgment"/>
              <w:rPr>
                <w:szCs w:val="20"/>
              </w:rPr>
            </w:pPr>
            <w:r w:rsidRPr="00565D14">
              <w:rPr>
                <w:szCs w:val="20"/>
              </w:rPr>
              <w:t>The motion for an extension of time to serve and file the application for leave to appeal is granted.  The application for leave to appeal from the judgment of the Court of Appeal of Alberta (Calgary), Number 1001-0100-A, 2012 ABCA 27, dated January 27, 2012, is dismissed without costs.</w:t>
            </w:r>
          </w:p>
          <w:p w:rsidR="00565D14" w:rsidRPr="00565D14" w:rsidRDefault="00565D14" w:rsidP="00565D14">
            <w:pPr>
              <w:pStyle w:val="SCCShortJudgment"/>
              <w:ind w:firstLine="0"/>
              <w:rPr>
                <w:szCs w:val="20"/>
              </w:rPr>
            </w:pPr>
          </w:p>
          <w:p w:rsidR="00565D14" w:rsidRPr="00565D14" w:rsidRDefault="00565D14" w:rsidP="00565D14">
            <w:pPr>
              <w:pStyle w:val="SCCShortJudgment"/>
              <w:rPr>
                <w:szCs w:val="20"/>
                <w:lang w:val="fr-CA"/>
              </w:rPr>
            </w:pPr>
            <w:r w:rsidRPr="00565D14">
              <w:rPr>
                <w:szCs w:val="20"/>
                <w:lang w:val="fr-CA"/>
              </w:rPr>
              <w:t>La requête en prorogation du délai de signification et de dépôt de la demande d’autorisation d’appel est accueillie.  La demande d’autorisation d’appel de l’arrêt de la Cour d'appel de l’Alberta (Calgary), numéro 1001-0100-A, 2012 ABCA 27, daté du 27 janvier 2012, est rejetée sans dépens.</w:t>
            </w:r>
          </w:p>
        </w:tc>
      </w:tr>
    </w:tbl>
    <w:p w:rsidR="00A740D1" w:rsidRPr="00565D14"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613480" w:rsidRPr="00201A3F" w:rsidTr="00B803D5">
        <w:tc>
          <w:tcPr>
            <w:tcW w:w="5000" w:type="pct"/>
            <w:gridSpan w:val="3"/>
          </w:tcPr>
          <w:p w:rsidR="00613480" w:rsidRPr="00201A3F" w:rsidRDefault="00613480" w:rsidP="00B803D5">
            <w:pPr>
              <w:jc w:val="both"/>
              <w:rPr>
                <w:rFonts w:eastAsia="Calibri"/>
                <w:sz w:val="20"/>
              </w:rPr>
            </w:pPr>
            <w:r w:rsidRPr="00201A3F">
              <w:rPr>
                <w:rFonts w:eastAsia="Calibri"/>
                <w:i/>
                <w:sz w:val="20"/>
              </w:rPr>
              <w:t>Canadian Charter of Rights and Freedoms</w:t>
            </w:r>
            <w:r w:rsidRPr="00201A3F">
              <w:rPr>
                <w:rFonts w:eastAsia="Calibri"/>
                <w:sz w:val="20"/>
              </w:rPr>
              <w:t xml:space="preserve"> — Search and Seizure — S. 8 of the </w:t>
            </w:r>
            <w:r w:rsidRPr="00201A3F">
              <w:rPr>
                <w:rFonts w:eastAsia="Calibri"/>
                <w:i/>
                <w:sz w:val="20"/>
              </w:rPr>
              <w:t>Charter</w:t>
            </w:r>
            <w:r w:rsidRPr="00201A3F">
              <w:rPr>
                <w:rFonts w:eastAsia="Calibri"/>
                <w:sz w:val="20"/>
              </w:rPr>
              <w:t xml:space="preserve"> — Criminal law — General Warrant — Whether the Court of Appeal erred in finding that the general warrant was validly executed — Whether the Court of Appeal erred in finding that the general warrant was valid when it failed to state the technique or procedure being granted — Whether the Court of Appeal erred in considering the Crown’s amplification evidence that went well beyond technical drafting errors — Whether there are issues of public importance raised — </w:t>
            </w:r>
            <w:r w:rsidRPr="00201A3F">
              <w:rPr>
                <w:rFonts w:eastAsia="Calibri"/>
                <w:i/>
                <w:sz w:val="20"/>
              </w:rPr>
              <w:t>Charter of Rights and Freedoms</w:t>
            </w:r>
            <w:r w:rsidRPr="00201A3F">
              <w:rPr>
                <w:rFonts w:eastAsia="Calibri"/>
                <w:sz w:val="20"/>
              </w:rPr>
              <w:t>, s. 8.</w:t>
            </w:r>
          </w:p>
        </w:tc>
      </w:tr>
      <w:tr w:rsidR="00613480" w:rsidRPr="00201A3F" w:rsidTr="00B803D5">
        <w:tc>
          <w:tcPr>
            <w:tcW w:w="5000" w:type="pct"/>
            <w:gridSpan w:val="3"/>
          </w:tcPr>
          <w:p w:rsidR="00613480" w:rsidRPr="00201A3F" w:rsidRDefault="00613480" w:rsidP="00B803D5">
            <w:pPr>
              <w:jc w:val="both"/>
              <w:rPr>
                <w:rFonts w:eastAsia="Calibri"/>
                <w:sz w:val="20"/>
              </w:rPr>
            </w:pPr>
          </w:p>
        </w:tc>
      </w:tr>
      <w:tr w:rsidR="00613480" w:rsidRPr="00201A3F" w:rsidTr="00B803D5">
        <w:tc>
          <w:tcPr>
            <w:tcW w:w="5000" w:type="pct"/>
            <w:gridSpan w:val="3"/>
          </w:tcPr>
          <w:p w:rsidR="00613480" w:rsidRPr="00201A3F" w:rsidRDefault="00613480" w:rsidP="00B803D5">
            <w:pPr>
              <w:jc w:val="both"/>
              <w:rPr>
                <w:rFonts w:eastAsia="Calibri"/>
                <w:sz w:val="20"/>
              </w:rPr>
            </w:pPr>
            <w:r w:rsidRPr="00201A3F">
              <w:rPr>
                <w:rFonts w:eastAsia="Calibri"/>
                <w:sz w:val="20"/>
              </w:rPr>
              <w:t xml:space="preserve">The police found a car prowler in a vehicle.  The police conducted a computer search and found that the vehicle’s registered owner was the applicant.  The blackberry found on the prowler was also linked to the applicant.  As the police searched the vehicle for registration documents, they found a loaded, unregistered handgun in the console.  That led to an extensive investigation of the applicant, which in turn led to him being charged with numerous drug and weapons related offences.  Following the applicant’s arrest, the police executed the general warrant to search one of the applicant’s apartments.  There they found eight kilograms of cocaine, approximately $150,000 in cash, body armour and a handgun.  The applications to exclude evidence or have proceedings stayed were dismissed. The trial judge held that there were no </w:t>
            </w:r>
            <w:r w:rsidRPr="00201A3F">
              <w:rPr>
                <w:rFonts w:eastAsia="Calibri"/>
                <w:i/>
                <w:sz w:val="20"/>
              </w:rPr>
              <w:t>Charter</w:t>
            </w:r>
            <w:r w:rsidRPr="00201A3F">
              <w:rPr>
                <w:rFonts w:eastAsia="Calibri"/>
                <w:sz w:val="20"/>
              </w:rPr>
              <w:t xml:space="preserve"> violations established; therefore, convictions were entered.  The Court of Appeal dismissed the appeal against conviction.</w:t>
            </w:r>
          </w:p>
          <w:p w:rsidR="00613480" w:rsidRPr="00201A3F" w:rsidRDefault="00613480" w:rsidP="00B803D5">
            <w:pPr>
              <w:jc w:val="both"/>
              <w:rPr>
                <w:rFonts w:eastAsia="Calibri"/>
                <w:sz w:val="20"/>
              </w:rPr>
            </w:pPr>
          </w:p>
        </w:tc>
      </w:tr>
      <w:tr w:rsidR="00613480" w:rsidRPr="00201A3F" w:rsidTr="00B803D5">
        <w:tc>
          <w:tcPr>
            <w:tcW w:w="2427" w:type="pct"/>
          </w:tcPr>
          <w:p w:rsidR="00613480" w:rsidRPr="00201A3F" w:rsidRDefault="00613480" w:rsidP="00B803D5">
            <w:pPr>
              <w:jc w:val="both"/>
              <w:rPr>
                <w:rFonts w:eastAsia="Calibri"/>
                <w:sz w:val="20"/>
              </w:rPr>
            </w:pPr>
            <w:r w:rsidRPr="00201A3F">
              <w:rPr>
                <w:rFonts w:eastAsia="Calibri"/>
                <w:sz w:val="20"/>
              </w:rPr>
              <w:lastRenderedPageBreak/>
              <w:t>April 8, 2010</w:t>
            </w:r>
          </w:p>
          <w:p w:rsidR="00613480" w:rsidRPr="00201A3F" w:rsidRDefault="00613480" w:rsidP="00B803D5">
            <w:pPr>
              <w:jc w:val="both"/>
              <w:rPr>
                <w:rFonts w:eastAsia="Calibri"/>
                <w:sz w:val="20"/>
              </w:rPr>
            </w:pPr>
            <w:r w:rsidRPr="00201A3F">
              <w:rPr>
                <w:rFonts w:eastAsia="Calibri"/>
                <w:sz w:val="20"/>
              </w:rPr>
              <w:t>Court of Queen’s Bench of Alberta</w:t>
            </w:r>
          </w:p>
          <w:p w:rsidR="00613480" w:rsidRPr="00201A3F" w:rsidRDefault="00613480" w:rsidP="00B803D5">
            <w:pPr>
              <w:jc w:val="both"/>
              <w:rPr>
                <w:rFonts w:eastAsia="Calibri"/>
                <w:sz w:val="20"/>
              </w:rPr>
            </w:pPr>
            <w:r w:rsidRPr="00201A3F">
              <w:rPr>
                <w:rFonts w:eastAsia="Calibri"/>
                <w:sz w:val="20"/>
              </w:rPr>
              <w:t>(Macleod J.)</w:t>
            </w:r>
          </w:p>
          <w:p w:rsidR="00613480" w:rsidRPr="00201A3F" w:rsidRDefault="00613480" w:rsidP="00B803D5">
            <w:pPr>
              <w:jc w:val="both"/>
              <w:rPr>
                <w:rFonts w:eastAsia="Calibri"/>
                <w:sz w:val="20"/>
              </w:rPr>
            </w:pPr>
          </w:p>
        </w:tc>
        <w:tc>
          <w:tcPr>
            <w:tcW w:w="243" w:type="pct"/>
          </w:tcPr>
          <w:p w:rsidR="00613480" w:rsidRPr="00201A3F" w:rsidRDefault="00613480" w:rsidP="00B803D5">
            <w:pPr>
              <w:jc w:val="both"/>
              <w:rPr>
                <w:rFonts w:eastAsia="Calibri"/>
                <w:sz w:val="20"/>
              </w:rPr>
            </w:pPr>
          </w:p>
        </w:tc>
        <w:tc>
          <w:tcPr>
            <w:tcW w:w="2330" w:type="pct"/>
          </w:tcPr>
          <w:p w:rsidR="00613480" w:rsidRPr="00201A3F" w:rsidRDefault="00613480" w:rsidP="00B803D5">
            <w:pPr>
              <w:jc w:val="both"/>
              <w:rPr>
                <w:rFonts w:eastAsia="Calibri"/>
                <w:sz w:val="20"/>
              </w:rPr>
            </w:pPr>
            <w:r w:rsidRPr="00201A3F">
              <w:rPr>
                <w:rFonts w:eastAsia="Calibri"/>
                <w:sz w:val="20"/>
              </w:rPr>
              <w:t xml:space="preserve">Applications to exclude evidence or have proceedings stayed dismissed: no </w:t>
            </w:r>
            <w:r w:rsidRPr="00201A3F">
              <w:rPr>
                <w:rFonts w:eastAsia="Calibri"/>
                <w:i/>
                <w:sz w:val="20"/>
              </w:rPr>
              <w:t>Charter</w:t>
            </w:r>
            <w:r w:rsidRPr="00201A3F">
              <w:rPr>
                <w:rFonts w:eastAsia="Calibri"/>
                <w:sz w:val="20"/>
              </w:rPr>
              <w:t xml:space="preserve"> violations established; convictions entered</w:t>
            </w:r>
          </w:p>
          <w:p w:rsidR="00613480" w:rsidRPr="00201A3F" w:rsidRDefault="00613480" w:rsidP="00B803D5">
            <w:pPr>
              <w:jc w:val="both"/>
              <w:rPr>
                <w:rFonts w:eastAsia="Calibri"/>
                <w:sz w:val="20"/>
              </w:rPr>
            </w:pPr>
          </w:p>
        </w:tc>
      </w:tr>
      <w:tr w:rsidR="00613480" w:rsidRPr="00201A3F" w:rsidTr="00B803D5">
        <w:tc>
          <w:tcPr>
            <w:tcW w:w="2427" w:type="pct"/>
          </w:tcPr>
          <w:p w:rsidR="00613480" w:rsidRPr="00201A3F" w:rsidRDefault="00613480" w:rsidP="00B803D5">
            <w:pPr>
              <w:jc w:val="both"/>
              <w:rPr>
                <w:rFonts w:eastAsia="Calibri"/>
                <w:sz w:val="20"/>
              </w:rPr>
            </w:pPr>
            <w:r w:rsidRPr="00201A3F">
              <w:rPr>
                <w:rFonts w:eastAsia="Calibri"/>
                <w:sz w:val="20"/>
              </w:rPr>
              <w:t>January 27, 2012</w:t>
            </w:r>
          </w:p>
          <w:p w:rsidR="00613480" w:rsidRPr="00201A3F" w:rsidRDefault="00613480" w:rsidP="00B803D5">
            <w:pPr>
              <w:jc w:val="both"/>
              <w:rPr>
                <w:rFonts w:eastAsia="Calibri"/>
                <w:sz w:val="20"/>
              </w:rPr>
            </w:pPr>
            <w:r w:rsidRPr="00201A3F">
              <w:rPr>
                <w:rFonts w:eastAsia="Calibri"/>
                <w:sz w:val="20"/>
              </w:rPr>
              <w:t>Court of Appeal of Alberta (Calgary)</w:t>
            </w:r>
          </w:p>
          <w:p w:rsidR="00613480" w:rsidRPr="00201A3F" w:rsidRDefault="00613480" w:rsidP="00B803D5">
            <w:pPr>
              <w:jc w:val="both"/>
              <w:rPr>
                <w:rFonts w:eastAsia="Calibri"/>
                <w:sz w:val="20"/>
              </w:rPr>
            </w:pPr>
            <w:r w:rsidRPr="00201A3F">
              <w:rPr>
                <w:rFonts w:eastAsia="Calibri"/>
                <w:sz w:val="20"/>
              </w:rPr>
              <w:t>(Picard, Martin, Rowbotham JJ.A.)</w:t>
            </w:r>
          </w:p>
          <w:p w:rsidR="00613480" w:rsidRPr="00201A3F" w:rsidRDefault="00613480" w:rsidP="00B803D5">
            <w:pPr>
              <w:jc w:val="both"/>
              <w:rPr>
                <w:rFonts w:eastAsia="Calibri"/>
                <w:sz w:val="20"/>
              </w:rPr>
            </w:pPr>
            <w:r w:rsidRPr="00201A3F">
              <w:rPr>
                <w:rFonts w:eastAsia="Calibri"/>
                <w:sz w:val="20"/>
              </w:rPr>
              <w:t>Neutral citation: 2012 ABCA 27</w:t>
            </w:r>
          </w:p>
          <w:p w:rsidR="00613480" w:rsidRPr="00201A3F" w:rsidRDefault="00613480" w:rsidP="00B803D5">
            <w:pPr>
              <w:jc w:val="both"/>
              <w:rPr>
                <w:rFonts w:eastAsia="Calibri"/>
                <w:sz w:val="20"/>
              </w:rPr>
            </w:pPr>
          </w:p>
        </w:tc>
        <w:tc>
          <w:tcPr>
            <w:tcW w:w="243" w:type="pct"/>
          </w:tcPr>
          <w:p w:rsidR="00613480" w:rsidRPr="00201A3F" w:rsidRDefault="00613480" w:rsidP="00B803D5">
            <w:pPr>
              <w:jc w:val="both"/>
              <w:rPr>
                <w:rFonts w:eastAsia="Calibri"/>
                <w:sz w:val="20"/>
              </w:rPr>
            </w:pPr>
          </w:p>
        </w:tc>
        <w:tc>
          <w:tcPr>
            <w:tcW w:w="2330" w:type="pct"/>
          </w:tcPr>
          <w:p w:rsidR="00613480" w:rsidRPr="00201A3F" w:rsidRDefault="00613480" w:rsidP="00B803D5">
            <w:pPr>
              <w:jc w:val="both"/>
              <w:rPr>
                <w:rFonts w:eastAsia="Calibri"/>
                <w:sz w:val="20"/>
              </w:rPr>
            </w:pPr>
            <w:r w:rsidRPr="00201A3F">
              <w:rPr>
                <w:rFonts w:eastAsia="Calibri"/>
                <w:sz w:val="20"/>
              </w:rPr>
              <w:t>Appeal against conviction dismissed</w:t>
            </w:r>
          </w:p>
          <w:p w:rsidR="00613480" w:rsidRPr="00201A3F" w:rsidRDefault="00613480" w:rsidP="00B803D5">
            <w:pPr>
              <w:jc w:val="both"/>
              <w:rPr>
                <w:rFonts w:eastAsia="Calibri"/>
                <w:sz w:val="20"/>
              </w:rPr>
            </w:pPr>
          </w:p>
        </w:tc>
      </w:tr>
      <w:tr w:rsidR="00613480" w:rsidRPr="00201A3F" w:rsidTr="00B803D5">
        <w:tc>
          <w:tcPr>
            <w:tcW w:w="2427" w:type="pct"/>
          </w:tcPr>
          <w:p w:rsidR="00613480" w:rsidRPr="00201A3F" w:rsidRDefault="00613480" w:rsidP="00B803D5">
            <w:pPr>
              <w:jc w:val="both"/>
              <w:rPr>
                <w:rFonts w:eastAsia="Calibri"/>
                <w:sz w:val="20"/>
              </w:rPr>
            </w:pPr>
            <w:r w:rsidRPr="00201A3F">
              <w:rPr>
                <w:rFonts w:eastAsia="Calibri"/>
                <w:sz w:val="20"/>
              </w:rPr>
              <w:t>June 11, 2012</w:t>
            </w:r>
          </w:p>
          <w:p w:rsidR="00613480" w:rsidRPr="00201A3F" w:rsidRDefault="00613480" w:rsidP="00B803D5">
            <w:pPr>
              <w:jc w:val="both"/>
              <w:rPr>
                <w:rFonts w:eastAsia="Calibri"/>
                <w:sz w:val="20"/>
              </w:rPr>
            </w:pPr>
            <w:r w:rsidRPr="00201A3F">
              <w:rPr>
                <w:rFonts w:eastAsia="Calibri"/>
                <w:sz w:val="20"/>
              </w:rPr>
              <w:t>Supreme Court of Canada</w:t>
            </w:r>
          </w:p>
          <w:p w:rsidR="00613480" w:rsidRPr="00201A3F" w:rsidRDefault="00613480" w:rsidP="00B803D5">
            <w:pPr>
              <w:jc w:val="both"/>
              <w:rPr>
                <w:rFonts w:eastAsia="Calibri"/>
                <w:sz w:val="20"/>
              </w:rPr>
            </w:pPr>
          </w:p>
        </w:tc>
        <w:tc>
          <w:tcPr>
            <w:tcW w:w="243" w:type="pct"/>
          </w:tcPr>
          <w:p w:rsidR="00613480" w:rsidRPr="00201A3F" w:rsidRDefault="00613480" w:rsidP="00B803D5">
            <w:pPr>
              <w:jc w:val="both"/>
              <w:rPr>
                <w:rFonts w:eastAsia="Calibri"/>
                <w:sz w:val="20"/>
              </w:rPr>
            </w:pPr>
          </w:p>
        </w:tc>
        <w:tc>
          <w:tcPr>
            <w:tcW w:w="2330" w:type="pct"/>
          </w:tcPr>
          <w:p w:rsidR="00613480" w:rsidRPr="00201A3F" w:rsidRDefault="00613480" w:rsidP="00B803D5">
            <w:pPr>
              <w:jc w:val="both"/>
              <w:rPr>
                <w:rFonts w:eastAsia="Calibri"/>
                <w:sz w:val="20"/>
              </w:rPr>
            </w:pPr>
            <w:r w:rsidRPr="00201A3F">
              <w:rPr>
                <w:rFonts w:eastAsia="Calibri"/>
                <w:sz w:val="20"/>
              </w:rPr>
              <w:t>Motion for an extension of time to serve and file the application for leave to appeal and application for leave to appeal filed</w:t>
            </w: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50"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613480" w:rsidRPr="00DC2D1F" w:rsidTr="00B803D5">
        <w:tc>
          <w:tcPr>
            <w:tcW w:w="5000" w:type="pct"/>
            <w:gridSpan w:val="3"/>
          </w:tcPr>
          <w:p w:rsidR="00613480" w:rsidRPr="00201A3F" w:rsidRDefault="00613480" w:rsidP="00B803D5">
            <w:pPr>
              <w:jc w:val="both"/>
              <w:rPr>
                <w:rFonts w:eastAsia="Calibri"/>
                <w:sz w:val="20"/>
                <w:lang w:val="fr-CA"/>
              </w:rPr>
            </w:pPr>
            <w:r w:rsidRPr="00201A3F">
              <w:rPr>
                <w:rFonts w:eastAsia="Calibri"/>
                <w:i/>
                <w:sz w:val="20"/>
                <w:lang w:val="fr-CA"/>
              </w:rPr>
              <w:t xml:space="preserve">Charte canadienne des droits et libertés </w:t>
            </w:r>
            <w:r w:rsidRPr="00201A3F">
              <w:rPr>
                <w:rFonts w:eastAsia="Calibri"/>
                <w:sz w:val="20"/>
                <w:lang w:val="fr-CA"/>
              </w:rPr>
              <w:t xml:space="preserve">— Fouilles et perquisitions — Art. 8 de la </w:t>
            </w:r>
            <w:r w:rsidRPr="00201A3F">
              <w:rPr>
                <w:rFonts w:eastAsia="Calibri"/>
                <w:i/>
                <w:sz w:val="20"/>
                <w:lang w:val="fr-CA"/>
              </w:rPr>
              <w:t>Charte</w:t>
            </w:r>
            <w:r w:rsidRPr="00201A3F">
              <w:rPr>
                <w:rFonts w:eastAsia="Calibri"/>
                <w:sz w:val="20"/>
                <w:lang w:val="fr-CA"/>
              </w:rPr>
              <w:t xml:space="preserve"> — Droit criminel — Mandat général — La Cour d'appel a</w:t>
            </w:r>
            <w:r w:rsidRPr="00201A3F">
              <w:rPr>
                <w:rFonts w:eastAsia="Calibri"/>
                <w:sz w:val="20"/>
                <w:lang w:val="fr-CA"/>
              </w:rPr>
              <w:noBreakHyphen/>
              <w:t>t</w:t>
            </w:r>
            <w:r w:rsidRPr="00201A3F">
              <w:rPr>
                <w:rFonts w:eastAsia="Calibri"/>
                <w:sz w:val="20"/>
                <w:lang w:val="fr-CA"/>
              </w:rPr>
              <w:noBreakHyphen/>
              <w:t>elle eu tort de conclure que le mandat général avait été validement exécuté? — La Cour d'appel a</w:t>
            </w:r>
            <w:r w:rsidRPr="00201A3F">
              <w:rPr>
                <w:rFonts w:eastAsia="Calibri"/>
                <w:sz w:val="20"/>
                <w:lang w:val="fr-CA"/>
              </w:rPr>
              <w:noBreakHyphen/>
              <w:t>t</w:t>
            </w:r>
            <w:r w:rsidRPr="00201A3F">
              <w:rPr>
                <w:rFonts w:eastAsia="Calibri"/>
                <w:sz w:val="20"/>
                <w:lang w:val="fr-CA"/>
              </w:rPr>
              <w:noBreakHyphen/>
              <w:t>elle eu tort de conclure que le mandat général était valide alors qu'il n'énonçait pas la technique ou la procédure accordée? — La Cour d'appel a</w:t>
            </w:r>
            <w:r w:rsidRPr="00201A3F">
              <w:rPr>
                <w:rFonts w:eastAsia="Calibri"/>
                <w:sz w:val="20"/>
                <w:lang w:val="fr-CA"/>
              </w:rPr>
              <w:noBreakHyphen/>
              <w:t>t</w:t>
            </w:r>
            <w:r w:rsidRPr="00201A3F">
              <w:rPr>
                <w:rFonts w:eastAsia="Calibri"/>
                <w:sz w:val="20"/>
                <w:lang w:val="fr-CA"/>
              </w:rPr>
              <w:noBreakHyphen/>
              <w:t>elle eu tort de considérer l'amplification de la preuve du ministère public qui allait bien au</w:t>
            </w:r>
            <w:r w:rsidRPr="00201A3F">
              <w:rPr>
                <w:rFonts w:eastAsia="Calibri"/>
                <w:sz w:val="20"/>
                <w:lang w:val="fr-CA"/>
              </w:rPr>
              <w:noBreakHyphen/>
              <w:t>delà des erreurs de rédaction d'ordre technique? — L'affaire soulève</w:t>
            </w:r>
            <w:r w:rsidRPr="00201A3F">
              <w:rPr>
                <w:rFonts w:eastAsia="Calibri"/>
                <w:sz w:val="20"/>
                <w:lang w:val="fr-CA"/>
              </w:rPr>
              <w:noBreakHyphen/>
              <w:t>t</w:t>
            </w:r>
            <w:r w:rsidRPr="00201A3F">
              <w:rPr>
                <w:rFonts w:eastAsia="Calibri"/>
                <w:sz w:val="20"/>
                <w:lang w:val="fr-CA"/>
              </w:rPr>
              <w:noBreakHyphen/>
              <w:t xml:space="preserve">elle des questions d'importance pour le public? — </w:t>
            </w:r>
            <w:r w:rsidRPr="00201A3F">
              <w:rPr>
                <w:rFonts w:eastAsia="Calibri"/>
                <w:i/>
                <w:sz w:val="20"/>
                <w:lang w:val="fr-CA"/>
              </w:rPr>
              <w:t>Charte des droits et libertés</w:t>
            </w:r>
            <w:r w:rsidRPr="00201A3F">
              <w:rPr>
                <w:rFonts w:eastAsia="Calibri"/>
                <w:sz w:val="20"/>
                <w:lang w:val="fr-CA"/>
              </w:rPr>
              <w:t>, art. 8.</w:t>
            </w:r>
          </w:p>
        </w:tc>
      </w:tr>
      <w:tr w:rsidR="00613480" w:rsidRPr="00DC2D1F" w:rsidTr="00B803D5">
        <w:tc>
          <w:tcPr>
            <w:tcW w:w="5000" w:type="pct"/>
            <w:gridSpan w:val="3"/>
          </w:tcPr>
          <w:p w:rsidR="00613480" w:rsidRPr="00201A3F" w:rsidRDefault="00613480" w:rsidP="00B803D5">
            <w:pPr>
              <w:jc w:val="both"/>
              <w:rPr>
                <w:rFonts w:eastAsia="Calibri"/>
                <w:sz w:val="20"/>
                <w:lang w:val="fr-CA"/>
              </w:rPr>
            </w:pPr>
          </w:p>
        </w:tc>
      </w:tr>
      <w:tr w:rsidR="00613480" w:rsidRPr="00DC2D1F" w:rsidTr="00B803D5">
        <w:tc>
          <w:tcPr>
            <w:tcW w:w="5000" w:type="pct"/>
            <w:gridSpan w:val="3"/>
          </w:tcPr>
          <w:p w:rsidR="00613480" w:rsidRPr="00201A3F" w:rsidRDefault="00613480" w:rsidP="00B803D5">
            <w:pPr>
              <w:jc w:val="both"/>
              <w:rPr>
                <w:rFonts w:eastAsia="Calibri"/>
                <w:sz w:val="20"/>
                <w:lang w:val="fr-CA"/>
              </w:rPr>
            </w:pPr>
            <w:r w:rsidRPr="00201A3F">
              <w:rPr>
                <w:rFonts w:eastAsia="Calibri"/>
                <w:sz w:val="20"/>
                <w:lang w:val="fr-CA"/>
              </w:rPr>
              <w:t>Des policiers ont trouvé un rôdeur dans un véhicule.  Les policiers ont effectué une recherche informatisée et ils ont constaté que le demandeur était le propriétaire enregistré du véhicule.  Le Blackberry trouvé sur le rôdeur était également lié au demandeur.  Alors que les policiers fouillaient le véhicule à la recherche de documents d'immatriculation, ils ont trouvé une arme de poing chargée et non enregistrée dans la console.  Cette découverte a mené à une enquête approfondie sur le demandeur, puis à ce que de nombreuses accusations d’infractions relatives à la drogue et aux armes soient portées contre lui. Après l'arrestation du demandeur, les policiers ont exécuté un mandat général pour perquisitionner un de ses appartements.  Ils y ont trouvé huit kilogrammes de cocaïne, environ 150 000 $ en argent comptant, un gilet pare</w:t>
            </w:r>
            <w:r w:rsidRPr="00201A3F">
              <w:rPr>
                <w:rFonts w:eastAsia="Calibri"/>
                <w:sz w:val="20"/>
                <w:lang w:val="fr-CA"/>
              </w:rPr>
              <w:noBreakHyphen/>
              <w:t xml:space="preserve">balles et une arme de poing.  Les demandes d'exclusion de la preuve ou d'arrêt des procédures ont été rejetées. Le juge du procès a statué qu'aucune violation de la </w:t>
            </w:r>
            <w:r w:rsidRPr="00201A3F">
              <w:rPr>
                <w:rFonts w:eastAsia="Calibri"/>
                <w:i/>
                <w:sz w:val="20"/>
                <w:lang w:val="fr-CA"/>
              </w:rPr>
              <w:t>Charte</w:t>
            </w:r>
            <w:r w:rsidRPr="00201A3F">
              <w:rPr>
                <w:rFonts w:eastAsia="Calibri"/>
                <w:sz w:val="20"/>
                <w:lang w:val="fr-CA"/>
              </w:rPr>
              <w:t xml:space="preserve"> n'avait été établie; par conséquent, des déclarations de culpabilité ont été inscrites.  La Cour d'appel a rejeté l'appel des déclarations de culpabilité.</w:t>
            </w:r>
          </w:p>
          <w:p w:rsidR="00613480" w:rsidRPr="00201A3F" w:rsidRDefault="00613480" w:rsidP="00B803D5">
            <w:pPr>
              <w:jc w:val="both"/>
              <w:rPr>
                <w:rFonts w:eastAsia="Calibri"/>
                <w:sz w:val="20"/>
                <w:lang w:val="fr-CA"/>
              </w:rPr>
            </w:pPr>
          </w:p>
        </w:tc>
      </w:tr>
      <w:tr w:rsidR="00613480" w:rsidRPr="00DC2D1F" w:rsidTr="00B803D5">
        <w:tc>
          <w:tcPr>
            <w:tcW w:w="2427" w:type="pct"/>
          </w:tcPr>
          <w:p w:rsidR="00613480" w:rsidRPr="00201A3F" w:rsidRDefault="00613480" w:rsidP="00B803D5">
            <w:pPr>
              <w:jc w:val="both"/>
              <w:rPr>
                <w:rFonts w:eastAsia="Calibri"/>
                <w:sz w:val="20"/>
                <w:lang w:val="fr-CA"/>
              </w:rPr>
            </w:pPr>
            <w:r w:rsidRPr="00201A3F">
              <w:rPr>
                <w:rFonts w:eastAsia="Calibri"/>
                <w:sz w:val="20"/>
                <w:lang w:val="fr-CA"/>
              </w:rPr>
              <w:t>8 avril 2010</w:t>
            </w:r>
          </w:p>
          <w:p w:rsidR="00613480" w:rsidRPr="00201A3F" w:rsidRDefault="00613480" w:rsidP="00B803D5">
            <w:pPr>
              <w:jc w:val="both"/>
              <w:rPr>
                <w:rFonts w:eastAsia="Calibri"/>
                <w:sz w:val="20"/>
                <w:lang w:val="fr-CA"/>
              </w:rPr>
            </w:pPr>
            <w:r w:rsidRPr="00201A3F">
              <w:rPr>
                <w:rFonts w:eastAsia="Calibri"/>
                <w:sz w:val="20"/>
                <w:lang w:val="fr-CA"/>
              </w:rPr>
              <w:t xml:space="preserve">Cour du Banc de la Reine de l'Alberta </w:t>
            </w:r>
          </w:p>
          <w:p w:rsidR="00613480" w:rsidRPr="00201A3F" w:rsidRDefault="00613480" w:rsidP="00B803D5">
            <w:pPr>
              <w:jc w:val="both"/>
              <w:rPr>
                <w:rFonts w:eastAsia="Calibri"/>
                <w:sz w:val="20"/>
                <w:lang w:val="fr-CA"/>
              </w:rPr>
            </w:pPr>
            <w:r w:rsidRPr="00201A3F">
              <w:rPr>
                <w:rFonts w:eastAsia="Calibri"/>
                <w:sz w:val="20"/>
                <w:lang w:val="fr-CA"/>
              </w:rPr>
              <w:t>(Juge Macleod)</w:t>
            </w:r>
          </w:p>
          <w:p w:rsidR="00613480" w:rsidRPr="00201A3F" w:rsidRDefault="00613480" w:rsidP="00B803D5">
            <w:pPr>
              <w:jc w:val="both"/>
              <w:rPr>
                <w:rFonts w:eastAsia="Calibri"/>
                <w:sz w:val="20"/>
                <w:lang w:val="fr-CA"/>
              </w:rPr>
            </w:pPr>
          </w:p>
        </w:tc>
        <w:tc>
          <w:tcPr>
            <w:tcW w:w="243" w:type="pct"/>
          </w:tcPr>
          <w:p w:rsidR="00613480" w:rsidRPr="00201A3F" w:rsidRDefault="00613480" w:rsidP="00B803D5">
            <w:pPr>
              <w:jc w:val="both"/>
              <w:rPr>
                <w:rFonts w:eastAsia="Calibri"/>
                <w:sz w:val="20"/>
                <w:lang w:val="fr-CA"/>
              </w:rPr>
            </w:pPr>
          </w:p>
        </w:tc>
        <w:tc>
          <w:tcPr>
            <w:tcW w:w="2330" w:type="pct"/>
          </w:tcPr>
          <w:p w:rsidR="00613480" w:rsidRPr="00201A3F" w:rsidRDefault="00613480" w:rsidP="00B803D5">
            <w:pPr>
              <w:jc w:val="both"/>
              <w:rPr>
                <w:rFonts w:eastAsia="Calibri"/>
                <w:sz w:val="20"/>
                <w:lang w:val="fr-CA"/>
              </w:rPr>
            </w:pPr>
            <w:r w:rsidRPr="00201A3F">
              <w:rPr>
                <w:rFonts w:eastAsia="Calibri"/>
                <w:sz w:val="20"/>
                <w:lang w:val="fr-CA"/>
              </w:rPr>
              <w:t xml:space="preserve">Demande d'exclusion de la preuve ou d'arrêt des procédures, rejetée : aucune violation de la </w:t>
            </w:r>
            <w:r w:rsidRPr="00201A3F">
              <w:rPr>
                <w:rFonts w:eastAsia="Calibri"/>
                <w:i/>
                <w:sz w:val="20"/>
                <w:lang w:val="fr-CA"/>
              </w:rPr>
              <w:t>Charte</w:t>
            </w:r>
            <w:r w:rsidRPr="00201A3F">
              <w:rPr>
                <w:rFonts w:eastAsia="Calibri"/>
                <w:sz w:val="20"/>
                <w:lang w:val="fr-CA"/>
              </w:rPr>
              <w:t xml:space="preserve"> n'a été établie; déclarations de culpabilité inscrites</w:t>
            </w:r>
          </w:p>
          <w:p w:rsidR="00613480" w:rsidRPr="00201A3F" w:rsidRDefault="00613480" w:rsidP="00B803D5">
            <w:pPr>
              <w:jc w:val="both"/>
              <w:rPr>
                <w:rFonts w:eastAsia="Calibri"/>
                <w:sz w:val="20"/>
                <w:lang w:val="fr-CA"/>
              </w:rPr>
            </w:pPr>
          </w:p>
        </w:tc>
      </w:tr>
      <w:tr w:rsidR="00613480" w:rsidRPr="00DC2D1F" w:rsidTr="00B803D5">
        <w:tc>
          <w:tcPr>
            <w:tcW w:w="2427" w:type="pct"/>
          </w:tcPr>
          <w:p w:rsidR="00613480" w:rsidRPr="00201A3F" w:rsidRDefault="00613480" w:rsidP="00B803D5">
            <w:pPr>
              <w:jc w:val="both"/>
              <w:rPr>
                <w:rFonts w:eastAsia="Calibri"/>
                <w:sz w:val="20"/>
                <w:lang w:val="fr-CA"/>
              </w:rPr>
            </w:pPr>
            <w:r w:rsidRPr="00201A3F">
              <w:rPr>
                <w:rFonts w:eastAsia="Calibri"/>
                <w:sz w:val="20"/>
                <w:lang w:val="fr-CA"/>
              </w:rPr>
              <w:t>27 janvier 2012</w:t>
            </w:r>
          </w:p>
          <w:p w:rsidR="00613480" w:rsidRPr="00201A3F" w:rsidRDefault="00613480" w:rsidP="00B803D5">
            <w:pPr>
              <w:jc w:val="both"/>
              <w:rPr>
                <w:rFonts w:eastAsia="Calibri"/>
                <w:sz w:val="20"/>
                <w:lang w:val="fr-CA"/>
              </w:rPr>
            </w:pPr>
            <w:r w:rsidRPr="00201A3F">
              <w:rPr>
                <w:rFonts w:eastAsia="Calibri"/>
                <w:sz w:val="20"/>
                <w:lang w:val="fr-CA"/>
              </w:rPr>
              <w:t>Cour d'appel de l'Alberta (Calgary)</w:t>
            </w:r>
          </w:p>
          <w:p w:rsidR="00613480" w:rsidRPr="00201A3F" w:rsidRDefault="00613480" w:rsidP="00B803D5">
            <w:pPr>
              <w:jc w:val="both"/>
              <w:rPr>
                <w:rFonts w:eastAsia="Calibri"/>
                <w:sz w:val="20"/>
                <w:lang w:val="fr-CA"/>
              </w:rPr>
            </w:pPr>
            <w:r w:rsidRPr="00201A3F">
              <w:rPr>
                <w:rFonts w:eastAsia="Calibri"/>
                <w:sz w:val="20"/>
                <w:lang w:val="fr-CA"/>
              </w:rPr>
              <w:t>(Juges Picard, Martin et Rowbotham)</w:t>
            </w:r>
          </w:p>
          <w:p w:rsidR="00613480" w:rsidRPr="00201A3F" w:rsidRDefault="00613480" w:rsidP="00B803D5">
            <w:pPr>
              <w:jc w:val="both"/>
              <w:rPr>
                <w:rFonts w:eastAsia="Calibri"/>
                <w:sz w:val="20"/>
                <w:lang w:val="fr-CA"/>
              </w:rPr>
            </w:pPr>
            <w:r w:rsidRPr="00201A3F">
              <w:rPr>
                <w:rFonts w:eastAsia="Calibri"/>
                <w:sz w:val="20"/>
                <w:lang w:val="fr-CA"/>
              </w:rPr>
              <w:t>Référence neutre : 2012 ABCA 27</w:t>
            </w:r>
          </w:p>
          <w:p w:rsidR="00613480" w:rsidRPr="00201A3F" w:rsidRDefault="00613480" w:rsidP="00B803D5">
            <w:pPr>
              <w:jc w:val="both"/>
              <w:rPr>
                <w:rFonts w:eastAsia="Calibri"/>
                <w:sz w:val="20"/>
                <w:lang w:val="fr-CA"/>
              </w:rPr>
            </w:pPr>
          </w:p>
        </w:tc>
        <w:tc>
          <w:tcPr>
            <w:tcW w:w="243" w:type="pct"/>
          </w:tcPr>
          <w:p w:rsidR="00613480" w:rsidRPr="00201A3F" w:rsidRDefault="00613480" w:rsidP="00B803D5">
            <w:pPr>
              <w:jc w:val="both"/>
              <w:rPr>
                <w:rFonts w:eastAsia="Calibri"/>
                <w:sz w:val="20"/>
                <w:lang w:val="fr-CA"/>
              </w:rPr>
            </w:pPr>
          </w:p>
        </w:tc>
        <w:tc>
          <w:tcPr>
            <w:tcW w:w="2330" w:type="pct"/>
          </w:tcPr>
          <w:p w:rsidR="00613480" w:rsidRPr="00201A3F" w:rsidRDefault="00613480" w:rsidP="00B803D5">
            <w:pPr>
              <w:jc w:val="both"/>
              <w:rPr>
                <w:rFonts w:eastAsia="Calibri"/>
                <w:sz w:val="20"/>
                <w:lang w:val="fr-CA"/>
              </w:rPr>
            </w:pPr>
            <w:r w:rsidRPr="00201A3F">
              <w:rPr>
                <w:rFonts w:eastAsia="Calibri"/>
                <w:sz w:val="20"/>
                <w:lang w:val="fr-CA"/>
              </w:rPr>
              <w:t>Appel des déclarations de culpabilité, rejeté</w:t>
            </w:r>
          </w:p>
          <w:p w:rsidR="00613480" w:rsidRPr="00201A3F" w:rsidRDefault="00613480" w:rsidP="00B803D5">
            <w:pPr>
              <w:jc w:val="both"/>
              <w:rPr>
                <w:rFonts w:eastAsia="Calibri"/>
                <w:sz w:val="20"/>
                <w:lang w:val="fr-CA"/>
              </w:rPr>
            </w:pPr>
          </w:p>
        </w:tc>
      </w:tr>
      <w:tr w:rsidR="00613480" w:rsidRPr="00DC2D1F" w:rsidTr="00B803D5">
        <w:tc>
          <w:tcPr>
            <w:tcW w:w="2427" w:type="pct"/>
          </w:tcPr>
          <w:p w:rsidR="00613480" w:rsidRPr="00201A3F" w:rsidRDefault="00613480" w:rsidP="00B803D5">
            <w:pPr>
              <w:jc w:val="both"/>
              <w:rPr>
                <w:rFonts w:eastAsia="Calibri"/>
                <w:sz w:val="20"/>
                <w:lang w:val="fr-CA"/>
              </w:rPr>
            </w:pPr>
            <w:r w:rsidRPr="00201A3F">
              <w:rPr>
                <w:rFonts w:eastAsia="Calibri"/>
                <w:sz w:val="20"/>
                <w:lang w:val="fr-CA"/>
              </w:rPr>
              <w:t>11 juin 2012</w:t>
            </w:r>
          </w:p>
          <w:p w:rsidR="00613480" w:rsidRPr="00201A3F" w:rsidRDefault="00613480" w:rsidP="00B803D5">
            <w:pPr>
              <w:jc w:val="both"/>
              <w:rPr>
                <w:rFonts w:eastAsia="Calibri"/>
                <w:sz w:val="20"/>
                <w:lang w:val="fr-CA"/>
              </w:rPr>
            </w:pPr>
            <w:r w:rsidRPr="00201A3F">
              <w:rPr>
                <w:rFonts w:eastAsia="Calibri"/>
                <w:sz w:val="20"/>
                <w:lang w:val="fr-CA"/>
              </w:rPr>
              <w:t>Cour suprême du Canada</w:t>
            </w:r>
          </w:p>
        </w:tc>
        <w:tc>
          <w:tcPr>
            <w:tcW w:w="243" w:type="pct"/>
          </w:tcPr>
          <w:p w:rsidR="00613480" w:rsidRPr="00201A3F" w:rsidRDefault="00613480" w:rsidP="00B803D5">
            <w:pPr>
              <w:jc w:val="both"/>
              <w:rPr>
                <w:rFonts w:eastAsia="Calibri"/>
                <w:sz w:val="20"/>
                <w:lang w:val="fr-CA"/>
              </w:rPr>
            </w:pPr>
          </w:p>
        </w:tc>
        <w:tc>
          <w:tcPr>
            <w:tcW w:w="2330" w:type="pct"/>
          </w:tcPr>
          <w:p w:rsidR="00613480" w:rsidRPr="00201A3F" w:rsidRDefault="00613480" w:rsidP="00B803D5">
            <w:pPr>
              <w:jc w:val="both"/>
              <w:rPr>
                <w:rFonts w:eastAsia="Calibri"/>
                <w:sz w:val="20"/>
                <w:lang w:val="fr-CA"/>
              </w:rPr>
            </w:pPr>
            <w:r w:rsidRPr="00201A3F">
              <w:rPr>
                <w:rFonts w:eastAsia="Calibri"/>
                <w:sz w:val="20"/>
                <w:lang w:val="fr-CA"/>
              </w:rPr>
              <w:t>Requête en prorogation du délai de signification et de dépôt de la demande autorisation d'appel et demande autorisation d'appel, déposées</w:t>
            </w:r>
          </w:p>
        </w:tc>
      </w:tr>
    </w:tbl>
    <w:p w:rsidR="00A740D1" w:rsidRPr="00613480" w:rsidRDefault="00A740D1" w:rsidP="00A740D1">
      <w:pPr>
        <w:rPr>
          <w:sz w:val="20"/>
          <w:szCs w:val="20"/>
          <w:lang w:val="fr-CA"/>
        </w:rPr>
      </w:pPr>
    </w:p>
    <w:p w:rsidR="00A740D1" w:rsidRDefault="00BF3B03" w:rsidP="00A740D1">
      <w:pPr>
        <w:rPr>
          <w:sz w:val="20"/>
          <w:szCs w:val="20"/>
        </w:rPr>
      </w:pPr>
      <w:r w:rsidRPr="00BF3B03">
        <w:rPr>
          <w:sz w:val="20"/>
          <w:szCs w:val="20"/>
          <w:lang w:val="fr-CA"/>
        </w:rPr>
        <w:pict>
          <v:rect id="_x0000_i1051" style="width:2in;height:1pt" o:hrpct="0" o:hralign="center" o:hrstd="t" o:hrnoshade="t" o:hr="t" fillcolor="black [3213]" stroked="f"/>
        </w:pic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6290" w:rsidRPr="003C7D2B" w:rsidTr="00C46290">
        <w:trPr>
          <w:cantSplit/>
        </w:trPr>
        <w:tc>
          <w:tcPr>
            <w:tcW w:w="1458" w:type="dxa"/>
          </w:tcPr>
          <w:p w:rsidR="00C46290" w:rsidRPr="003C7D2B" w:rsidRDefault="00C46290" w:rsidP="00C46290">
            <w:pPr>
              <w:rPr>
                <w:sz w:val="20"/>
                <w:szCs w:val="20"/>
              </w:rPr>
            </w:pPr>
            <w:r w:rsidRPr="003C7D2B">
              <w:rPr>
                <w:rStyle w:val="SCCFileNumberChar"/>
                <w:sz w:val="20"/>
                <w:szCs w:val="20"/>
              </w:rPr>
              <w:lastRenderedPageBreak/>
              <w:t>34883</w:t>
            </w:r>
          </w:p>
          <w:p w:rsidR="00C46290" w:rsidRPr="003C7D2B" w:rsidRDefault="00C46290" w:rsidP="00C46290">
            <w:pPr>
              <w:rPr>
                <w:b/>
                <w:sz w:val="20"/>
                <w:szCs w:val="20"/>
                <w:lang w:val="fr-CA"/>
              </w:rPr>
            </w:pPr>
          </w:p>
        </w:tc>
        <w:tc>
          <w:tcPr>
            <w:tcW w:w="8118" w:type="dxa"/>
          </w:tcPr>
          <w:p w:rsidR="00C46290" w:rsidRPr="003C7D2B" w:rsidRDefault="00C46290" w:rsidP="00C46290">
            <w:pPr>
              <w:jc w:val="both"/>
              <w:rPr>
                <w:sz w:val="20"/>
                <w:szCs w:val="20"/>
              </w:rPr>
            </w:pPr>
            <w:r w:rsidRPr="00C46290">
              <w:rPr>
                <w:rStyle w:val="SCCLsocChar"/>
                <w:sz w:val="20"/>
                <w:szCs w:val="20"/>
                <w:lang w:val="en-CA"/>
              </w:rPr>
              <w:t>Workers' Compensation Board of British Columbia v. Marko Jozipovic</w:t>
            </w:r>
            <w:r w:rsidR="00115D3F">
              <w:rPr>
                <w:rStyle w:val="SCCLsocChar"/>
                <w:sz w:val="20"/>
                <w:szCs w:val="20"/>
                <w:lang w:val="en-CA"/>
              </w:rPr>
              <w:t xml:space="preserve"> and</w:t>
            </w:r>
            <w:r w:rsidRPr="00C46290">
              <w:rPr>
                <w:rStyle w:val="SCCLsocChar"/>
                <w:sz w:val="20"/>
                <w:szCs w:val="20"/>
                <w:lang w:val="en-CA"/>
              </w:rPr>
              <w:t xml:space="preserve"> Workers' Compensation Appeal Tribunal</w:t>
            </w:r>
            <w:r w:rsidRPr="003C7D2B">
              <w:rPr>
                <w:sz w:val="20"/>
                <w:szCs w:val="20"/>
              </w:rPr>
              <w:t xml:space="preserve"> (B.C.) (Civil) (By Leave)</w:t>
            </w:r>
          </w:p>
          <w:p w:rsidR="00C46290" w:rsidRPr="003C7D2B" w:rsidRDefault="00C46290" w:rsidP="00C46290">
            <w:pPr>
              <w:rPr>
                <w:sz w:val="20"/>
                <w:szCs w:val="20"/>
              </w:rPr>
            </w:pPr>
          </w:p>
        </w:tc>
      </w:tr>
      <w:tr w:rsidR="00C46290" w:rsidRPr="003C7D2B" w:rsidTr="00C46290">
        <w:trPr>
          <w:cantSplit/>
        </w:trPr>
        <w:tc>
          <w:tcPr>
            <w:tcW w:w="1458" w:type="dxa"/>
          </w:tcPr>
          <w:p w:rsidR="00C46290" w:rsidRPr="003C7D2B" w:rsidRDefault="00C46290" w:rsidP="00C46290">
            <w:pPr>
              <w:rPr>
                <w:sz w:val="20"/>
                <w:szCs w:val="20"/>
              </w:rPr>
            </w:pPr>
            <w:r w:rsidRPr="003C7D2B">
              <w:rPr>
                <w:sz w:val="20"/>
                <w:szCs w:val="20"/>
              </w:rPr>
              <w:t>Coram :</w:t>
            </w:r>
          </w:p>
        </w:tc>
        <w:tc>
          <w:tcPr>
            <w:tcW w:w="8118" w:type="dxa"/>
          </w:tcPr>
          <w:p w:rsidR="00C46290" w:rsidRPr="003C7D2B" w:rsidRDefault="00C46290" w:rsidP="00C46290">
            <w:pPr>
              <w:rPr>
                <w:sz w:val="20"/>
                <w:szCs w:val="20"/>
              </w:rPr>
            </w:pPr>
            <w:r w:rsidRPr="00C46290">
              <w:rPr>
                <w:rStyle w:val="SCCCoramChar"/>
                <w:sz w:val="20"/>
                <w:szCs w:val="20"/>
                <w:lang w:val="en-CA"/>
              </w:rPr>
              <w:t>McLachlin C.J. and Rothstein and Moldaver JJ.</w:t>
            </w:r>
          </w:p>
          <w:p w:rsidR="00C46290" w:rsidRPr="003C7D2B" w:rsidRDefault="00C46290" w:rsidP="00C46290">
            <w:pPr>
              <w:rPr>
                <w:sz w:val="20"/>
                <w:szCs w:val="20"/>
                <w:u w:val="single"/>
              </w:rPr>
            </w:pPr>
          </w:p>
        </w:tc>
      </w:tr>
      <w:tr w:rsidR="00C46290" w:rsidRPr="00DC2D1F" w:rsidTr="00C46290">
        <w:trPr>
          <w:cantSplit/>
        </w:trPr>
        <w:tc>
          <w:tcPr>
            <w:tcW w:w="9576" w:type="dxa"/>
            <w:gridSpan w:val="2"/>
          </w:tcPr>
          <w:p w:rsidR="00C46290" w:rsidRPr="003C7D2B" w:rsidRDefault="00C46290" w:rsidP="00C46290">
            <w:pPr>
              <w:pStyle w:val="SCCShortJudgment"/>
              <w:rPr>
                <w:szCs w:val="20"/>
              </w:rPr>
            </w:pPr>
            <w:r w:rsidRPr="003C7D2B">
              <w:rPr>
                <w:szCs w:val="20"/>
              </w:rPr>
              <w:t>The application for leave to appeal from the judgment of the Court of Appeal for British Columbia (Vancouver), Number CA038929, 2012 BCCA 174, dated April 26, 2012, is dismissed with costs to the Respondent, Marko Jozipovic.</w:t>
            </w:r>
          </w:p>
          <w:p w:rsidR="00C46290" w:rsidRPr="003C7D2B" w:rsidRDefault="00C46290" w:rsidP="00C46290">
            <w:pPr>
              <w:pStyle w:val="SCCShortJudgment"/>
              <w:ind w:firstLine="0"/>
              <w:rPr>
                <w:szCs w:val="20"/>
              </w:rPr>
            </w:pPr>
          </w:p>
          <w:p w:rsidR="00C46290" w:rsidRPr="003C7D2B" w:rsidRDefault="00C46290" w:rsidP="00C46290">
            <w:pPr>
              <w:pStyle w:val="SCCShortJudgment"/>
              <w:rPr>
                <w:szCs w:val="20"/>
                <w:lang w:val="fr-CA"/>
              </w:rPr>
            </w:pPr>
            <w:r w:rsidRPr="003C7D2B">
              <w:rPr>
                <w:szCs w:val="20"/>
                <w:lang w:val="fr-CA"/>
              </w:rPr>
              <w:t>La demande d’autorisation d’appel de l’arrêt de la Cour d’appel de la Colombie-Britannique (Vancouver), numéro CA038929, 2012 BCCA 174, daté du 26 avril 2012, est rejetée avec dépens en faveur de l’intimé, Marko Jozipovic.</w:t>
            </w:r>
          </w:p>
        </w:tc>
      </w:tr>
    </w:tbl>
    <w:p w:rsidR="00A740D1" w:rsidRPr="00C46290"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7C40B1" w:rsidRPr="00201A3F" w:rsidTr="00B803D5">
        <w:tc>
          <w:tcPr>
            <w:tcW w:w="5000" w:type="pct"/>
            <w:gridSpan w:val="3"/>
          </w:tcPr>
          <w:p w:rsidR="007C40B1" w:rsidRPr="00201A3F" w:rsidRDefault="007C40B1" w:rsidP="00B803D5">
            <w:pPr>
              <w:jc w:val="both"/>
              <w:rPr>
                <w:rFonts w:eastAsia="Calibri"/>
                <w:sz w:val="20"/>
              </w:rPr>
            </w:pPr>
            <w:r w:rsidRPr="00201A3F">
              <w:rPr>
                <w:rFonts w:eastAsia="Calibri"/>
                <w:sz w:val="20"/>
              </w:rPr>
              <w:t xml:space="preserve">Administrative law — Judicial review — </w:t>
            </w:r>
            <w:r w:rsidRPr="00201A3F">
              <w:rPr>
                <w:rFonts w:eastAsia="Calibri"/>
                <w:i/>
                <w:sz w:val="20"/>
              </w:rPr>
              <w:t>Workers Compensation Act</w:t>
            </w:r>
            <w:r w:rsidRPr="00201A3F">
              <w:rPr>
                <w:rFonts w:eastAsia="Calibri"/>
                <w:sz w:val="20"/>
              </w:rPr>
              <w:t xml:space="preserve">, R.S.B.C. 1996, c. 492, s. 23(1), s. 23(3), s. 23(3.1), s. 99(2), s. 250(2), s. 251 and s. 255 — </w:t>
            </w:r>
            <w:r w:rsidRPr="00201A3F">
              <w:rPr>
                <w:rFonts w:eastAsia="Calibri"/>
                <w:i/>
                <w:sz w:val="20"/>
              </w:rPr>
              <w:t>Administrative Tribunals Act</w:t>
            </w:r>
            <w:r w:rsidRPr="00201A3F">
              <w:rPr>
                <w:rFonts w:eastAsia="Calibri"/>
                <w:sz w:val="20"/>
              </w:rPr>
              <w:t xml:space="preserve">, S.B.C. 2004, c. 45, s. 58 — </w:t>
            </w:r>
            <w:r w:rsidRPr="00201A3F">
              <w:rPr>
                <w:rFonts w:eastAsia="Calibri"/>
                <w:i/>
                <w:sz w:val="20"/>
              </w:rPr>
              <w:t>Constitution Act, 1867</w:t>
            </w:r>
            <w:r w:rsidRPr="00201A3F">
              <w:rPr>
                <w:rFonts w:eastAsia="Calibri"/>
                <w:sz w:val="20"/>
              </w:rPr>
              <w:t xml:space="preserve"> — Should a superior court undertake directly the judicial review of an administrative tribunal which is by statute subject to reasonableness review by another administrative tribunal? — How is a court to identify the appropriate object of review? — When is a question of law a question within the core of </w:t>
            </w:r>
            <w:proofErr w:type="gramStart"/>
            <w:r w:rsidRPr="00201A3F">
              <w:rPr>
                <w:rFonts w:eastAsia="Calibri"/>
                <w:sz w:val="20"/>
              </w:rPr>
              <w:t>a</w:t>
            </w:r>
            <w:proofErr w:type="gramEnd"/>
            <w:r w:rsidRPr="00201A3F">
              <w:rPr>
                <w:rFonts w:eastAsia="Calibri"/>
                <w:sz w:val="20"/>
              </w:rPr>
              <w:t xml:space="preserve"> s. 96 court’s jurisdiction? — Does the fact that one tribunal is required by statute to apply deference when reviewing the decision of another tribunal mean the court can side step clear legislative intention and judicially review the decision of the first tribunal without any regard for the decision of the second tribunal? — In light of the principles set out in </w:t>
            </w:r>
            <w:r w:rsidRPr="00201A3F">
              <w:rPr>
                <w:rFonts w:eastAsia="Calibri"/>
                <w:i/>
                <w:iCs/>
                <w:sz w:val="20"/>
              </w:rPr>
              <w:t>Alberta (Information and Privacy Commissioner) v. Alberta Teachers’ Association</w:t>
            </w:r>
            <w:r w:rsidRPr="00201A3F">
              <w:rPr>
                <w:rFonts w:eastAsia="Calibri"/>
                <w:sz w:val="20"/>
              </w:rPr>
              <w:t xml:space="preserve">, </w:t>
            </w:r>
            <w:hyperlink r:id="rId25" w:tgtFrame="_parent" w:history="1">
              <w:r w:rsidRPr="00201A3F">
                <w:rPr>
                  <w:rFonts w:eastAsia="Calibri"/>
                  <w:sz w:val="20"/>
                </w:rPr>
                <w:t>[2011] 3 S.C.R. 654</w:t>
              </w:r>
            </w:hyperlink>
            <w:r w:rsidRPr="00201A3F">
              <w:rPr>
                <w:rFonts w:eastAsia="Calibri"/>
                <w:sz w:val="20"/>
              </w:rPr>
              <w:t xml:space="preserve">, </w:t>
            </w:r>
            <w:hyperlink r:id="rId26" w:tgtFrame="_parent" w:history="1">
              <w:r w:rsidRPr="00201A3F">
                <w:rPr>
                  <w:rFonts w:eastAsia="Calibri"/>
                  <w:sz w:val="20"/>
                </w:rPr>
                <w:t>2011 SCC 61</w:t>
              </w:r>
            </w:hyperlink>
            <w:r w:rsidRPr="00201A3F">
              <w:rPr>
                <w:rFonts w:eastAsia="Calibri"/>
                <w:sz w:val="20"/>
              </w:rPr>
              <w:t>, should a court exercise its discretion to grant judicial review where an issue could have been but was not raised before the administrative tribunal in circumstances where the applicant was invited to make submissions but declined to do so and there is no implied decision on the precise issue raised?</w:t>
            </w:r>
          </w:p>
        </w:tc>
      </w:tr>
      <w:tr w:rsidR="007C40B1" w:rsidRPr="00201A3F" w:rsidTr="00B803D5">
        <w:tc>
          <w:tcPr>
            <w:tcW w:w="5000" w:type="pct"/>
            <w:gridSpan w:val="3"/>
          </w:tcPr>
          <w:p w:rsidR="007C40B1" w:rsidRPr="00201A3F" w:rsidRDefault="007C40B1" w:rsidP="00B803D5">
            <w:pPr>
              <w:jc w:val="both"/>
              <w:rPr>
                <w:rFonts w:eastAsia="Calibri"/>
                <w:sz w:val="20"/>
              </w:rPr>
            </w:pPr>
          </w:p>
        </w:tc>
      </w:tr>
      <w:tr w:rsidR="007C40B1" w:rsidRPr="00201A3F" w:rsidTr="00B803D5">
        <w:tc>
          <w:tcPr>
            <w:tcW w:w="5000" w:type="pct"/>
            <w:gridSpan w:val="3"/>
          </w:tcPr>
          <w:p w:rsidR="007C40B1" w:rsidRPr="00201A3F" w:rsidRDefault="007C40B1" w:rsidP="00B803D5">
            <w:pPr>
              <w:jc w:val="both"/>
              <w:rPr>
                <w:rFonts w:eastAsia="Calibri"/>
                <w:sz w:val="20"/>
              </w:rPr>
            </w:pPr>
            <w:r w:rsidRPr="00201A3F">
              <w:rPr>
                <w:rFonts w:eastAsia="Calibri"/>
                <w:sz w:val="20"/>
              </w:rPr>
              <w:t xml:space="preserve">The Respondent Marco Jozipovic suffered a back injury while working as a steel fabricator.  Effective October 25, 2004, he was declared by the Workers’ Compensation Board (the “WCB”) to be entitled to permanent partial disability benefits under the </w:t>
            </w:r>
            <w:r w:rsidRPr="00201A3F">
              <w:rPr>
                <w:rFonts w:eastAsia="Calibri"/>
                <w:i/>
                <w:sz w:val="20"/>
              </w:rPr>
              <w:t>Workers Compensation Act</w:t>
            </w:r>
            <w:r w:rsidRPr="00201A3F">
              <w:rPr>
                <w:rFonts w:eastAsia="Calibri"/>
                <w:sz w:val="20"/>
              </w:rPr>
              <w:t xml:space="preserve">, R.S.B.C. 1996, c. 492 (the “Act”).  The WCB applied the “Functional Impairment Method” in assessing the Respondent’s compensation entitlement pursuant to s. 23(1) of the Act and rejected the “Loss of Earnings Method” contemplated by s. 23(3) of the Act.  In so doing, the WCB followed the policy established by the WCB’s board of directors in this regard, which mandatorily set outs the procedure and criteria regarding the applicability of s. 23(3) and s. 23(3.2) of the Act.  The WCB’s assessment was upheld on review by a reviewing officer, and again on an appeal by the Workers’ Compensation Appeal Tribunal (the “WCAT”).  The Respondent subsequently initiated reconsideration proceedings before the WCAT, but was again unsuccessful.  The Respondent thereafter applied for judicial review on grounds that, </w:t>
            </w:r>
            <w:r w:rsidRPr="00201A3F">
              <w:rPr>
                <w:rFonts w:eastAsia="Calibri"/>
                <w:i/>
                <w:sz w:val="20"/>
              </w:rPr>
              <w:t>inter alia</w:t>
            </w:r>
            <w:r w:rsidRPr="00201A3F">
              <w:rPr>
                <w:rFonts w:eastAsia="Calibri"/>
                <w:sz w:val="20"/>
              </w:rPr>
              <w:t>, the policy established by the WCB’s board of directors with respect to the use of the Loss of Earnings Method is overly restrictive and not supported by the Act.</w:t>
            </w:r>
          </w:p>
          <w:p w:rsidR="007C40B1" w:rsidRPr="00201A3F" w:rsidRDefault="007C40B1" w:rsidP="00B803D5">
            <w:pPr>
              <w:jc w:val="both"/>
              <w:rPr>
                <w:rFonts w:eastAsia="Calibri"/>
                <w:sz w:val="20"/>
              </w:rPr>
            </w:pPr>
          </w:p>
        </w:tc>
      </w:tr>
      <w:tr w:rsidR="007C40B1" w:rsidRPr="00201A3F" w:rsidTr="00B803D5">
        <w:tc>
          <w:tcPr>
            <w:tcW w:w="2427" w:type="pct"/>
          </w:tcPr>
          <w:p w:rsidR="007C40B1" w:rsidRPr="00201A3F" w:rsidRDefault="007C40B1" w:rsidP="00B803D5">
            <w:pPr>
              <w:jc w:val="both"/>
              <w:rPr>
                <w:rFonts w:eastAsia="Calibri"/>
                <w:sz w:val="20"/>
              </w:rPr>
            </w:pPr>
            <w:r w:rsidRPr="00201A3F">
              <w:rPr>
                <w:rFonts w:eastAsia="Calibri"/>
                <w:sz w:val="20"/>
              </w:rPr>
              <w:t>May 30, 2006</w:t>
            </w:r>
          </w:p>
          <w:p w:rsidR="007C40B1" w:rsidRPr="00201A3F" w:rsidRDefault="007C40B1" w:rsidP="00B803D5">
            <w:pPr>
              <w:jc w:val="both"/>
              <w:rPr>
                <w:rFonts w:eastAsia="Calibri"/>
                <w:sz w:val="20"/>
              </w:rPr>
            </w:pPr>
            <w:r w:rsidRPr="00201A3F">
              <w:rPr>
                <w:rFonts w:eastAsia="Calibri"/>
                <w:sz w:val="20"/>
              </w:rPr>
              <w:t>Workers’ Compensation Appeal Tribunal</w:t>
            </w:r>
          </w:p>
          <w:p w:rsidR="007C40B1" w:rsidRPr="00201A3F" w:rsidRDefault="007C40B1" w:rsidP="00B803D5">
            <w:pPr>
              <w:jc w:val="both"/>
              <w:rPr>
                <w:rFonts w:eastAsia="Calibri"/>
                <w:sz w:val="20"/>
              </w:rPr>
            </w:pPr>
            <w:r w:rsidRPr="00201A3F">
              <w:rPr>
                <w:rFonts w:eastAsia="Calibri"/>
                <w:sz w:val="20"/>
              </w:rPr>
              <w:t>No. 2006</w:t>
            </w:r>
            <w:r w:rsidRPr="00201A3F">
              <w:rPr>
                <w:rFonts w:eastAsia="Calibri"/>
                <w:sz w:val="20"/>
              </w:rPr>
              <w:noBreakHyphen/>
              <w:t>02312</w:t>
            </w: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rPr>
            </w:pPr>
            <w:r w:rsidRPr="00201A3F">
              <w:rPr>
                <w:rFonts w:eastAsia="Calibri"/>
                <w:sz w:val="20"/>
              </w:rPr>
              <w:t>The Respondent Marko Jozipovic’s entitlement to compensation pursuant to s. 23(1) of the Act as determined by the WCB confirmed (the “Original Decision”).</w:t>
            </w:r>
          </w:p>
          <w:p w:rsidR="007C40B1" w:rsidRPr="00201A3F" w:rsidRDefault="007C40B1" w:rsidP="00B803D5">
            <w:pPr>
              <w:jc w:val="both"/>
              <w:rPr>
                <w:rFonts w:eastAsia="Calibri"/>
                <w:sz w:val="20"/>
              </w:rPr>
            </w:pPr>
          </w:p>
        </w:tc>
      </w:tr>
      <w:tr w:rsidR="007C40B1" w:rsidRPr="00201A3F" w:rsidTr="00B803D5">
        <w:tc>
          <w:tcPr>
            <w:tcW w:w="2427" w:type="pct"/>
          </w:tcPr>
          <w:p w:rsidR="007C40B1" w:rsidRPr="00201A3F" w:rsidRDefault="007C40B1" w:rsidP="00B803D5">
            <w:pPr>
              <w:jc w:val="both"/>
              <w:rPr>
                <w:rFonts w:eastAsia="Calibri"/>
                <w:sz w:val="20"/>
              </w:rPr>
            </w:pPr>
            <w:r w:rsidRPr="00201A3F">
              <w:rPr>
                <w:rFonts w:eastAsia="Calibri"/>
                <w:sz w:val="20"/>
              </w:rPr>
              <w:t>October 8, 2009</w:t>
            </w:r>
          </w:p>
          <w:p w:rsidR="007C40B1" w:rsidRPr="00201A3F" w:rsidRDefault="007C40B1" w:rsidP="00B803D5">
            <w:pPr>
              <w:jc w:val="both"/>
              <w:rPr>
                <w:rFonts w:eastAsia="Calibri"/>
                <w:sz w:val="20"/>
              </w:rPr>
            </w:pPr>
            <w:r w:rsidRPr="00201A3F">
              <w:rPr>
                <w:rFonts w:eastAsia="Calibri"/>
                <w:sz w:val="20"/>
              </w:rPr>
              <w:t>Workers’ Compensation Appeal Tribunal</w:t>
            </w:r>
          </w:p>
          <w:p w:rsidR="007C40B1" w:rsidRPr="00201A3F" w:rsidRDefault="007C40B1" w:rsidP="00B803D5">
            <w:pPr>
              <w:jc w:val="both"/>
              <w:rPr>
                <w:rFonts w:eastAsia="Calibri"/>
                <w:sz w:val="20"/>
              </w:rPr>
            </w:pPr>
            <w:r w:rsidRPr="00201A3F">
              <w:rPr>
                <w:rFonts w:eastAsia="Calibri"/>
                <w:sz w:val="20"/>
              </w:rPr>
              <w:t>No. 2009</w:t>
            </w:r>
            <w:r w:rsidRPr="00201A3F">
              <w:rPr>
                <w:rFonts w:eastAsia="Calibri"/>
                <w:sz w:val="20"/>
              </w:rPr>
              <w:noBreakHyphen/>
              <w:t>02631</w:t>
            </w:r>
          </w:p>
          <w:p w:rsidR="007C40B1" w:rsidRPr="00201A3F" w:rsidRDefault="007C40B1" w:rsidP="00B803D5">
            <w:pPr>
              <w:jc w:val="both"/>
              <w:rPr>
                <w:rFonts w:eastAsia="Calibri"/>
                <w:sz w:val="20"/>
              </w:rPr>
            </w:pP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rPr>
            </w:pPr>
            <w:r w:rsidRPr="00201A3F">
              <w:rPr>
                <w:rFonts w:eastAsia="Calibri"/>
                <w:sz w:val="20"/>
              </w:rPr>
              <w:t>Original Decision confirmed (the “Reconsideration Decision”).</w:t>
            </w:r>
          </w:p>
        </w:tc>
      </w:tr>
      <w:tr w:rsidR="007C40B1" w:rsidRPr="00201A3F" w:rsidTr="00B803D5">
        <w:tc>
          <w:tcPr>
            <w:tcW w:w="2427" w:type="pct"/>
          </w:tcPr>
          <w:p w:rsidR="007C40B1" w:rsidRPr="00201A3F" w:rsidRDefault="007C40B1" w:rsidP="00B803D5">
            <w:pPr>
              <w:jc w:val="both"/>
              <w:rPr>
                <w:rFonts w:eastAsia="Calibri"/>
                <w:sz w:val="20"/>
              </w:rPr>
            </w:pPr>
            <w:r w:rsidRPr="00201A3F">
              <w:rPr>
                <w:rFonts w:eastAsia="Calibri"/>
                <w:sz w:val="20"/>
              </w:rPr>
              <w:lastRenderedPageBreak/>
              <w:t>March 18, 2011</w:t>
            </w:r>
          </w:p>
          <w:p w:rsidR="007C40B1" w:rsidRPr="00201A3F" w:rsidRDefault="007C40B1" w:rsidP="00B803D5">
            <w:pPr>
              <w:jc w:val="both"/>
              <w:rPr>
                <w:rFonts w:eastAsia="Calibri"/>
                <w:sz w:val="20"/>
              </w:rPr>
            </w:pPr>
            <w:r w:rsidRPr="00201A3F">
              <w:rPr>
                <w:rFonts w:eastAsia="Calibri"/>
                <w:sz w:val="20"/>
              </w:rPr>
              <w:t>Supreme Court of British Columbia</w:t>
            </w:r>
          </w:p>
          <w:p w:rsidR="007C40B1" w:rsidRPr="00201A3F" w:rsidRDefault="007C40B1" w:rsidP="00B803D5">
            <w:pPr>
              <w:jc w:val="both"/>
              <w:rPr>
                <w:rFonts w:eastAsia="Calibri"/>
                <w:sz w:val="20"/>
              </w:rPr>
            </w:pPr>
            <w:r w:rsidRPr="00201A3F">
              <w:rPr>
                <w:rFonts w:eastAsia="Calibri"/>
                <w:sz w:val="20"/>
              </w:rPr>
              <w:t>(Bruce J.)</w:t>
            </w:r>
          </w:p>
          <w:p w:rsidR="007C40B1" w:rsidRPr="00201A3F" w:rsidRDefault="007C40B1" w:rsidP="00B803D5">
            <w:pPr>
              <w:jc w:val="both"/>
              <w:rPr>
                <w:rFonts w:eastAsia="Calibri"/>
                <w:sz w:val="20"/>
              </w:rPr>
            </w:pPr>
            <w:r w:rsidRPr="00201A3F">
              <w:rPr>
                <w:rFonts w:eastAsia="Calibri"/>
                <w:sz w:val="20"/>
              </w:rPr>
              <w:t>No. S098894; 2011 BCSC 329</w:t>
            </w:r>
          </w:p>
          <w:p w:rsidR="007C40B1" w:rsidRPr="00201A3F" w:rsidRDefault="007C40B1" w:rsidP="00B803D5">
            <w:pPr>
              <w:jc w:val="both"/>
              <w:rPr>
                <w:rFonts w:eastAsia="Calibri"/>
                <w:sz w:val="20"/>
              </w:rPr>
            </w:pP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rPr>
            </w:pPr>
            <w:r w:rsidRPr="00201A3F">
              <w:rPr>
                <w:rFonts w:eastAsia="Calibri"/>
                <w:sz w:val="20"/>
              </w:rPr>
              <w:t>Original Decision and Reconsideration Decision declared patently unreasonable insofar as they relate to (i) the calculation of the Respondent’s functional impairment award under section 23(1) of the Act, and (ii) the assessment of the Respondent’s eligibility for a pension calculated under section 23(3) of the Act on basis that the policy of the WCB’s board of directors is not rationally supported by the Act.  Both Decisions accordingly set aside and WCAT ordered to reconsider the Respondent’s pension entitlement under s. 23(1) and s. 23(3) of the Act having due regard for the principles outlined by the Supreme Court of British Columbia.</w:t>
            </w:r>
          </w:p>
          <w:p w:rsidR="007C40B1" w:rsidRPr="00201A3F" w:rsidRDefault="007C40B1" w:rsidP="00B803D5">
            <w:pPr>
              <w:jc w:val="both"/>
              <w:rPr>
                <w:rFonts w:eastAsia="Calibri"/>
                <w:sz w:val="20"/>
              </w:rPr>
            </w:pPr>
          </w:p>
        </w:tc>
      </w:tr>
      <w:tr w:rsidR="007C40B1" w:rsidRPr="00201A3F" w:rsidTr="00B803D5">
        <w:tc>
          <w:tcPr>
            <w:tcW w:w="2427" w:type="pct"/>
          </w:tcPr>
          <w:p w:rsidR="007C40B1" w:rsidRPr="00201A3F" w:rsidRDefault="007C40B1" w:rsidP="00B803D5">
            <w:pPr>
              <w:jc w:val="both"/>
              <w:rPr>
                <w:rFonts w:eastAsia="Calibri"/>
                <w:sz w:val="20"/>
              </w:rPr>
            </w:pPr>
            <w:r w:rsidRPr="00201A3F">
              <w:rPr>
                <w:rFonts w:eastAsia="Calibri"/>
                <w:sz w:val="20"/>
              </w:rPr>
              <w:t>April 26, 2012</w:t>
            </w:r>
          </w:p>
          <w:p w:rsidR="007C40B1" w:rsidRPr="00201A3F" w:rsidRDefault="007C40B1" w:rsidP="00B803D5">
            <w:pPr>
              <w:jc w:val="both"/>
              <w:rPr>
                <w:rFonts w:eastAsia="Calibri"/>
                <w:sz w:val="20"/>
              </w:rPr>
            </w:pPr>
            <w:r w:rsidRPr="00201A3F">
              <w:rPr>
                <w:rFonts w:eastAsia="Calibri"/>
                <w:sz w:val="20"/>
              </w:rPr>
              <w:t>Court of Appeal for British Columbia (Vancouver)</w:t>
            </w:r>
          </w:p>
          <w:p w:rsidR="007C40B1" w:rsidRPr="00201A3F" w:rsidRDefault="007C40B1" w:rsidP="00B803D5">
            <w:pPr>
              <w:jc w:val="both"/>
              <w:rPr>
                <w:rFonts w:eastAsia="Calibri"/>
                <w:sz w:val="20"/>
              </w:rPr>
            </w:pPr>
            <w:r w:rsidRPr="00201A3F">
              <w:rPr>
                <w:rFonts w:eastAsia="Calibri"/>
                <w:sz w:val="20"/>
              </w:rPr>
              <w:t>(Newbury, Kirkpatrick and Groberman JJ.A.)</w:t>
            </w:r>
          </w:p>
          <w:p w:rsidR="007C40B1" w:rsidRPr="00201A3F" w:rsidRDefault="007C40B1" w:rsidP="00B803D5">
            <w:pPr>
              <w:jc w:val="both"/>
              <w:rPr>
                <w:rFonts w:eastAsia="Calibri"/>
                <w:sz w:val="20"/>
              </w:rPr>
            </w:pPr>
            <w:r w:rsidRPr="00201A3F">
              <w:rPr>
                <w:rFonts w:eastAsia="Calibri"/>
                <w:sz w:val="20"/>
              </w:rPr>
              <w:t>No. CA038929; 2012 BCCA 174</w:t>
            </w: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rPr>
            </w:pPr>
            <w:r w:rsidRPr="00201A3F">
              <w:rPr>
                <w:rFonts w:eastAsia="Calibri"/>
                <w:sz w:val="20"/>
              </w:rPr>
              <w:t>The WCB’s appeal is dismissed and the Respondent Marko Jozipovic’s cross</w:t>
            </w:r>
            <w:r w:rsidRPr="00201A3F">
              <w:rPr>
                <w:rFonts w:eastAsia="Calibri"/>
                <w:sz w:val="20"/>
              </w:rPr>
              <w:noBreakHyphen/>
              <w:t>appeal is allowed; policy of the WCB’s board of directors declared of no force or effect to the extent of its inconsistency with the Act.</w:t>
            </w:r>
          </w:p>
          <w:p w:rsidR="007C40B1" w:rsidRPr="00201A3F" w:rsidRDefault="007C40B1" w:rsidP="00B803D5">
            <w:pPr>
              <w:jc w:val="both"/>
              <w:rPr>
                <w:rFonts w:eastAsia="Calibri"/>
                <w:sz w:val="20"/>
              </w:rPr>
            </w:pPr>
          </w:p>
        </w:tc>
      </w:tr>
      <w:tr w:rsidR="007C40B1" w:rsidRPr="00201A3F" w:rsidTr="00B803D5">
        <w:tc>
          <w:tcPr>
            <w:tcW w:w="2427" w:type="pct"/>
          </w:tcPr>
          <w:p w:rsidR="007C40B1" w:rsidRPr="00201A3F" w:rsidRDefault="007C40B1" w:rsidP="00B803D5">
            <w:pPr>
              <w:jc w:val="both"/>
              <w:rPr>
                <w:rFonts w:eastAsia="Calibri"/>
                <w:sz w:val="20"/>
              </w:rPr>
            </w:pPr>
            <w:r w:rsidRPr="00201A3F">
              <w:rPr>
                <w:rFonts w:eastAsia="Calibri"/>
                <w:sz w:val="20"/>
              </w:rPr>
              <w:t>June 20, 2012</w:t>
            </w:r>
          </w:p>
          <w:p w:rsidR="007C40B1" w:rsidRPr="00201A3F" w:rsidRDefault="007C40B1" w:rsidP="00B803D5">
            <w:pPr>
              <w:jc w:val="both"/>
              <w:rPr>
                <w:rFonts w:eastAsia="Calibri"/>
                <w:sz w:val="20"/>
              </w:rPr>
            </w:pPr>
            <w:r w:rsidRPr="00201A3F">
              <w:rPr>
                <w:rFonts w:eastAsia="Calibri"/>
                <w:sz w:val="20"/>
              </w:rPr>
              <w:t>Supreme Court of Canada</w:t>
            </w: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rPr>
            </w:pPr>
            <w:r w:rsidRPr="00201A3F">
              <w:rPr>
                <w:rFonts w:eastAsia="Calibri"/>
                <w:sz w:val="20"/>
              </w:rPr>
              <w:t>Application for leave to appeal filed.</w:t>
            </w: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52"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7C40B1" w:rsidRPr="00DC2D1F" w:rsidTr="00B803D5">
        <w:tc>
          <w:tcPr>
            <w:tcW w:w="5000" w:type="pct"/>
            <w:gridSpan w:val="3"/>
          </w:tcPr>
          <w:p w:rsidR="007C40B1" w:rsidRPr="00201A3F" w:rsidRDefault="007C40B1" w:rsidP="00B803D5">
            <w:pPr>
              <w:jc w:val="both"/>
              <w:rPr>
                <w:rFonts w:eastAsia="Calibri"/>
                <w:sz w:val="20"/>
                <w:lang w:val="fr-CA"/>
              </w:rPr>
            </w:pPr>
            <w:r w:rsidRPr="00201A3F">
              <w:rPr>
                <w:rFonts w:eastAsia="Calibri"/>
                <w:sz w:val="20"/>
                <w:lang w:val="fr-CA"/>
              </w:rPr>
              <w:t xml:space="preserve">Droit administratif — Contrôle judiciaire — </w:t>
            </w:r>
            <w:r w:rsidRPr="00201A3F">
              <w:rPr>
                <w:rFonts w:eastAsia="Calibri"/>
                <w:i/>
                <w:sz w:val="20"/>
                <w:lang w:val="fr-CA"/>
              </w:rPr>
              <w:t>Workers Compensation Act</w:t>
            </w:r>
            <w:r w:rsidRPr="00201A3F">
              <w:rPr>
                <w:rFonts w:eastAsia="Calibri"/>
                <w:sz w:val="20"/>
                <w:lang w:val="fr-CA"/>
              </w:rPr>
              <w:t xml:space="preserve">, R.S.B.C. 1996, ch. 492, par. 23(1), par. 23(3), par. 23(3.1), par. 99(2), par. 250(2), art. 251 et art. 255 — </w:t>
            </w:r>
            <w:r w:rsidRPr="00201A3F">
              <w:rPr>
                <w:rFonts w:eastAsia="Calibri"/>
                <w:i/>
                <w:sz w:val="20"/>
                <w:lang w:val="fr-CA"/>
              </w:rPr>
              <w:t>Administrative Tribunals Act</w:t>
            </w:r>
            <w:r w:rsidRPr="00201A3F">
              <w:rPr>
                <w:rFonts w:eastAsia="Calibri"/>
                <w:sz w:val="20"/>
                <w:lang w:val="fr-CA"/>
              </w:rPr>
              <w:t>, S.B.C. 2004, ch. 45, art. 58 —</w:t>
            </w:r>
            <w:r w:rsidRPr="00201A3F">
              <w:rPr>
                <w:rFonts w:eastAsia="Calibri"/>
                <w:i/>
                <w:sz w:val="20"/>
                <w:lang w:val="fr-CA"/>
              </w:rPr>
              <w:t xml:space="preserve"> Loi constitutionnelle de 1867</w:t>
            </w:r>
            <w:r w:rsidRPr="00201A3F">
              <w:rPr>
                <w:rFonts w:eastAsia="Calibri"/>
                <w:sz w:val="20"/>
                <w:lang w:val="fr-CA"/>
              </w:rPr>
              <w:t xml:space="preserve"> — Une cour supérieure devrait</w:t>
            </w:r>
            <w:r w:rsidRPr="00201A3F">
              <w:rPr>
                <w:rFonts w:eastAsia="Calibri"/>
                <w:sz w:val="20"/>
                <w:lang w:val="fr-CA"/>
              </w:rPr>
              <w:noBreakHyphen/>
              <w:t>elle entreprendre directement le contrôle judiciaire de la décision d’un tribunal administratif qui, en vertu de la loi, peut être examinée par un autre tribunal administratif suivant la norme de la décision raisonnable? — Comment une cour doit</w:t>
            </w:r>
            <w:r w:rsidRPr="00201A3F">
              <w:rPr>
                <w:rFonts w:eastAsia="Calibri"/>
                <w:sz w:val="20"/>
                <w:lang w:val="fr-CA"/>
              </w:rPr>
              <w:noBreakHyphen/>
              <w:t>elle identifier l’objet qu’il convient de contrôler? — Dans quelles situations une question de droit est</w:t>
            </w:r>
            <w:r w:rsidRPr="00201A3F">
              <w:rPr>
                <w:rFonts w:eastAsia="Calibri"/>
                <w:sz w:val="20"/>
                <w:lang w:val="fr-CA"/>
              </w:rPr>
              <w:noBreakHyphen/>
              <w:t>elle une question qui relève fondamentalement de la compétence d’une cour établie en vertu de l'article 96? — Le fait qu'un tribunal soit tenu par la loi de faire preuve de déférence lorsqu'il examine la décision d'un autre tribunal signifie</w:t>
            </w:r>
            <w:r w:rsidRPr="00201A3F">
              <w:rPr>
                <w:rFonts w:eastAsia="Calibri"/>
                <w:sz w:val="20"/>
                <w:lang w:val="fr-CA"/>
              </w:rPr>
              <w:noBreakHyphen/>
              <w:t>t</w:t>
            </w:r>
            <w:r w:rsidRPr="00201A3F">
              <w:rPr>
                <w:rFonts w:eastAsia="Calibri"/>
                <w:sz w:val="20"/>
                <w:lang w:val="fr-CA"/>
              </w:rPr>
              <w:noBreakHyphen/>
              <w:t xml:space="preserve">il que la cour peut passer outre à l'intention claire du législateur et contrôler judiciairement la décision du premier tribunal sans égard à la décision du deuxième tribunal? — À la lumière des principes énoncés dans l'arrêt </w:t>
            </w:r>
            <w:r w:rsidRPr="00201A3F">
              <w:rPr>
                <w:rFonts w:eastAsia="Calibri"/>
                <w:i/>
                <w:iCs/>
                <w:sz w:val="20"/>
                <w:lang w:val="fr-CA"/>
              </w:rPr>
              <w:t>Alberta (Information and Privacy Commissioner) c. Alberta Teachers’ Association</w:t>
            </w:r>
            <w:r w:rsidRPr="00201A3F">
              <w:rPr>
                <w:rFonts w:eastAsia="Calibri"/>
                <w:sz w:val="20"/>
                <w:lang w:val="fr-CA"/>
              </w:rPr>
              <w:t xml:space="preserve">, </w:t>
            </w:r>
            <w:hyperlink r:id="rId27" w:tgtFrame="_parent" w:history="1">
              <w:r w:rsidRPr="00201A3F">
                <w:rPr>
                  <w:rFonts w:eastAsia="Calibri"/>
                  <w:sz w:val="20"/>
                  <w:lang w:val="fr-CA"/>
                </w:rPr>
                <w:t>[2011] 3 R.C.S. 654</w:t>
              </w:r>
            </w:hyperlink>
            <w:r w:rsidRPr="00201A3F">
              <w:rPr>
                <w:rFonts w:eastAsia="Calibri"/>
                <w:sz w:val="20"/>
                <w:lang w:val="fr-CA"/>
              </w:rPr>
              <w:t xml:space="preserve">, </w:t>
            </w:r>
            <w:hyperlink r:id="rId28" w:tgtFrame="_parent" w:history="1">
              <w:r w:rsidRPr="00201A3F">
                <w:rPr>
                  <w:rFonts w:eastAsia="Calibri"/>
                  <w:sz w:val="20"/>
                  <w:lang w:val="fr-CA"/>
                </w:rPr>
                <w:t>2011 CSC 61</w:t>
              </w:r>
            </w:hyperlink>
            <w:r w:rsidRPr="00201A3F">
              <w:rPr>
                <w:rFonts w:eastAsia="Calibri"/>
                <w:sz w:val="20"/>
                <w:lang w:val="fr-CA"/>
              </w:rPr>
              <w:t>, une cour doit</w:t>
            </w:r>
            <w:r w:rsidRPr="00201A3F">
              <w:rPr>
                <w:rFonts w:eastAsia="Calibri"/>
                <w:sz w:val="20"/>
                <w:lang w:val="fr-CA"/>
              </w:rPr>
              <w:noBreakHyphen/>
              <w:t>elle exercer son pouvoir discrétionnaire d'accorder le contrôle judiciaire lorsqu'une question aurait pu être — mais n'a pas été — soulevée devant le tribunal administratif dans une situation où le demandeur avait été invité à présenter des observations mais a refusé de le faire et où il n'y a aucune décision implicite portant sur la question précise soulevée?</w:t>
            </w:r>
          </w:p>
        </w:tc>
      </w:tr>
      <w:tr w:rsidR="007C40B1" w:rsidRPr="00DC2D1F" w:rsidTr="00B803D5">
        <w:tc>
          <w:tcPr>
            <w:tcW w:w="5000" w:type="pct"/>
            <w:gridSpan w:val="3"/>
          </w:tcPr>
          <w:p w:rsidR="007C40B1" w:rsidRPr="00201A3F" w:rsidRDefault="007C40B1" w:rsidP="00B803D5">
            <w:pPr>
              <w:jc w:val="both"/>
              <w:rPr>
                <w:rFonts w:eastAsia="Calibri"/>
                <w:sz w:val="20"/>
                <w:lang w:val="fr-CA"/>
              </w:rPr>
            </w:pPr>
          </w:p>
        </w:tc>
      </w:tr>
      <w:tr w:rsidR="007C40B1" w:rsidRPr="00DC2D1F" w:rsidTr="00B803D5">
        <w:tc>
          <w:tcPr>
            <w:tcW w:w="5000" w:type="pct"/>
            <w:gridSpan w:val="3"/>
          </w:tcPr>
          <w:p w:rsidR="007C40B1" w:rsidRPr="00201A3F" w:rsidRDefault="007C40B1" w:rsidP="00B803D5">
            <w:pPr>
              <w:jc w:val="both"/>
              <w:rPr>
                <w:rFonts w:eastAsia="Calibri"/>
                <w:sz w:val="20"/>
                <w:lang w:val="fr-CA"/>
              </w:rPr>
            </w:pPr>
            <w:r w:rsidRPr="00201A3F">
              <w:rPr>
                <w:rFonts w:eastAsia="Calibri"/>
                <w:sz w:val="20"/>
                <w:lang w:val="fr-CA"/>
              </w:rPr>
              <w:t xml:space="preserve">L'intimé Marco Jozipovic a subi une blessure au dos pendant qu'il travaillait comme ouvrier aciériste.  À compter du 25 octobre 2004, la Workers’ Compensation Board (la « commission ») a déclaré qu'il avait droit à des prestations pour incapacité partielle permanente sous le régime de la </w:t>
            </w:r>
            <w:r w:rsidRPr="00201A3F">
              <w:rPr>
                <w:rFonts w:eastAsia="Calibri"/>
                <w:i/>
                <w:sz w:val="20"/>
                <w:lang w:val="fr-CA"/>
              </w:rPr>
              <w:t>Workers Compensation Act</w:t>
            </w:r>
            <w:r w:rsidRPr="00201A3F">
              <w:rPr>
                <w:rFonts w:eastAsia="Calibri"/>
                <w:sz w:val="20"/>
                <w:lang w:val="fr-CA"/>
              </w:rPr>
              <w:t>, R.S.B.C. 1996, ch. 492 (la « Loi »).  La commission a appliqué la méthode dite de la « déficience fonctionnelle » dans son évaluation du droit de l'intimé à une indemnité en vertu du par. 23(1) de la Loi et a rejeté la méthode dite de la [</w:t>
            </w:r>
            <w:r w:rsidRPr="00201A3F">
              <w:rPr>
                <w:rFonts w:eastAsia="Calibri"/>
                <w:smallCaps/>
                <w:sz w:val="20"/>
                <w:lang w:val="fr-CA"/>
              </w:rPr>
              <w:t>traduction</w:t>
            </w:r>
            <w:r w:rsidRPr="00201A3F">
              <w:rPr>
                <w:rFonts w:eastAsia="Calibri"/>
                <w:sz w:val="20"/>
                <w:lang w:val="fr-CA"/>
              </w:rPr>
              <w:t xml:space="preserve">] « perte de gains » prévue au par. 23(3) de la Loi.  Ce faisant, la commission respectait la politique établie par son conseil d'administration à cet égard, qui énonce obligatoirement la procédure et les critères relatifs à l'applicabilité des par. 23(3) et 23(3.2) de la Loi.  L'évaluation de la commission a été confirmée au terme d'un examen par un agent de révision et de nouveau en appel par le Workers’ Compensation Appeal Tribunal (le « tribunal »).  L'intimé a ensuite introduit une instance en réexamen devant le tribunal, mais il a été débouté de nouveau.  Par la suite, l'intimé a présenté une demande de contrôle judiciaire, faisant notamment valoir que la politique établie par le conseil </w:t>
            </w:r>
            <w:r w:rsidRPr="00201A3F">
              <w:rPr>
                <w:rFonts w:eastAsia="Calibri"/>
                <w:sz w:val="20"/>
                <w:lang w:val="fr-CA"/>
              </w:rPr>
              <w:lastRenderedPageBreak/>
              <w:t xml:space="preserve">d'administration de la commission relativement à l'utilisation de la méthode dite de la « perte des gains » </w:t>
            </w:r>
            <w:proofErr w:type="gramStart"/>
            <w:r w:rsidRPr="00201A3F">
              <w:rPr>
                <w:rFonts w:eastAsia="Calibri"/>
                <w:sz w:val="20"/>
                <w:lang w:val="fr-CA"/>
              </w:rPr>
              <w:t>était</w:t>
            </w:r>
            <w:proofErr w:type="gramEnd"/>
            <w:r w:rsidRPr="00201A3F">
              <w:rPr>
                <w:rFonts w:eastAsia="Calibri"/>
                <w:sz w:val="20"/>
                <w:lang w:val="fr-CA"/>
              </w:rPr>
              <w:t xml:space="preserve"> indûment restrictive et non étayée par la Loi.</w:t>
            </w:r>
          </w:p>
          <w:p w:rsidR="007C40B1" w:rsidRPr="00201A3F" w:rsidRDefault="007C40B1" w:rsidP="00B803D5">
            <w:pPr>
              <w:jc w:val="both"/>
              <w:rPr>
                <w:rFonts w:eastAsia="Calibri"/>
                <w:sz w:val="20"/>
                <w:lang w:val="fr-CA"/>
              </w:rPr>
            </w:pPr>
          </w:p>
        </w:tc>
      </w:tr>
      <w:tr w:rsidR="007C40B1" w:rsidRPr="00DC2D1F" w:rsidTr="00B803D5">
        <w:tc>
          <w:tcPr>
            <w:tcW w:w="2427" w:type="pct"/>
          </w:tcPr>
          <w:p w:rsidR="007C40B1" w:rsidRPr="00201A3F" w:rsidRDefault="007C40B1" w:rsidP="00B803D5">
            <w:pPr>
              <w:jc w:val="both"/>
              <w:rPr>
                <w:rFonts w:eastAsia="Calibri"/>
                <w:sz w:val="20"/>
              </w:rPr>
            </w:pPr>
            <w:r w:rsidRPr="00201A3F">
              <w:rPr>
                <w:rFonts w:eastAsia="Calibri"/>
                <w:sz w:val="20"/>
              </w:rPr>
              <w:lastRenderedPageBreak/>
              <w:t>30 mai 2006</w:t>
            </w:r>
          </w:p>
          <w:p w:rsidR="007C40B1" w:rsidRPr="00201A3F" w:rsidRDefault="007C40B1" w:rsidP="00B803D5">
            <w:pPr>
              <w:jc w:val="both"/>
              <w:rPr>
                <w:rFonts w:eastAsia="Calibri"/>
                <w:sz w:val="20"/>
              </w:rPr>
            </w:pPr>
            <w:r w:rsidRPr="00201A3F">
              <w:rPr>
                <w:rFonts w:eastAsia="Calibri"/>
                <w:sz w:val="20"/>
              </w:rPr>
              <w:t>Workers’ Compensation Appeal Tribunal</w:t>
            </w:r>
          </w:p>
          <w:p w:rsidR="007C40B1" w:rsidRPr="00201A3F" w:rsidRDefault="007C40B1" w:rsidP="00B803D5">
            <w:pPr>
              <w:jc w:val="both"/>
              <w:rPr>
                <w:rFonts w:eastAsia="Calibri"/>
                <w:sz w:val="20"/>
              </w:rPr>
            </w:pPr>
            <w:r w:rsidRPr="00201A3F">
              <w:rPr>
                <w:rFonts w:eastAsia="Calibri"/>
                <w:sz w:val="20"/>
              </w:rPr>
              <w:t>N</w:t>
            </w:r>
            <w:r w:rsidRPr="00201A3F">
              <w:rPr>
                <w:rFonts w:eastAsia="Calibri"/>
                <w:sz w:val="20"/>
                <w:vertAlign w:val="superscript"/>
              </w:rPr>
              <w:t>o</w:t>
            </w:r>
            <w:r w:rsidRPr="00201A3F">
              <w:rPr>
                <w:rFonts w:eastAsia="Calibri"/>
                <w:sz w:val="20"/>
              </w:rPr>
              <w:t xml:space="preserve"> 2006</w:t>
            </w:r>
            <w:r w:rsidRPr="00201A3F">
              <w:rPr>
                <w:rFonts w:eastAsia="Calibri"/>
                <w:sz w:val="20"/>
              </w:rPr>
              <w:noBreakHyphen/>
              <w:t>02312</w:t>
            </w: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lang w:val="fr-CA"/>
              </w:rPr>
            </w:pPr>
            <w:r w:rsidRPr="00201A3F">
              <w:rPr>
                <w:rFonts w:eastAsia="Calibri"/>
                <w:sz w:val="20"/>
                <w:lang w:val="fr-CA"/>
              </w:rPr>
              <w:t>Droit de l'intimé Marko Jozipovic à une indemnité en vertu du par. 23(1) de la Loi tel que reconnu par la commission, confirmé (la « décision initiale »).</w:t>
            </w:r>
          </w:p>
          <w:p w:rsidR="007C40B1" w:rsidRPr="00201A3F" w:rsidRDefault="007C40B1" w:rsidP="00B803D5">
            <w:pPr>
              <w:jc w:val="both"/>
              <w:rPr>
                <w:rFonts w:eastAsia="Calibri"/>
                <w:sz w:val="20"/>
                <w:lang w:val="fr-CA"/>
              </w:rPr>
            </w:pPr>
          </w:p>
        </w:tc>
      </w:tr>
      <w:tr w:rsidR="007C40B1" w:rsidRPr="00DC2D1F" w:rsidTr="00B803D5">
        <w:tc>
          <w:tcPr>
            <w:tcW w:w="2427" w:type="pct"/>
          </w:tcPr>
          <w:p w:rsidR="007C40B1" w:rsidRPr="00201A3F" w:rsidRDefault="007C40B1" w:rsidP="00B803D5">
            <w:pPr>
              <w:jc w:val="both"/>
              <w:rPr>
                <w:rFonts w:eastAsia="Calibri"/>
                <w:sz w:val="20"/>
              </w:rPr>
            </w:pPr>
            <w:r w:rsidRPr="00201A3F">
              <w:rPr>
                <w:rFonts w:eastAsia="Calibri"/>
                <w:sz w:val="20"/>
              </w:rPr>
              <w:t>8 octobre 2009</w:t>
            </w:r>
          </w:p>
          <w:p w:rsidR="007C40B1" w:rsidRPr="00201A3F" w:rsidRDefault="007C40B1" w:rsidP="00B803D5">
            <w:pPr>
              <w:jc w:val="both"/>
              <w:rPr>
                <w:rFonts w:eastAsia="Calibri"/>
                <w:sz w:val="20"/>
              </w:rPr>
            </w:pPr>
            <w:r w:rsidRPr="00201A3F">
              <w:rPr>
                <w:rFonts w:eastAsia="Calibri"/>
                <w:sz w:val="20"/>
              </w:rPr>
              <w:t>Workers’ Compensation Appeal Tribunal</w:t>
            </w:r>
          </w:p>
          <w:p w:rsidR="007C40B1" w:rsidRPr="00201A3F" w:rsidRDefault="007C40B1" w:rsidP="00B803D5">
            <w:pPr>
              <w:jc w:val="both"/>
              <w:rPr>
                <w:rFonts w:eastAsia="Calibri"/>
                <w:sz w:val="20"/>
              </w:rPr>
            </w:pPr>
            <w:r w:rsidRPr="00201A3F">
              <w:rPr>
                <w:rFonts w:eastAsia="Calibri"/>
                <w:sz w:val="20"/>
              </w:rPr>
              <w:t>N</w:t>
            </w:r>
            <w:r w:rsidRPr="00201A3F">
              <w:rPr>
                <w:rFonts w:eastAsia="Calibri"/>
                <w:sz w:val="20"/>
                <w:vertAlign w:val="superscript"/>
              </w:rPr>
              <w:t>o</w:t>
            </w:r>
            <w:r w:rsidRPr="00201A3F">
              <w:rPr>
                <w:rFonts w:eastAsia="Calibri"/>
                <w:sz w:val="20"/>
              </w:rPr>
              <w:t xml:space="preserve"> 2009</w:t>
            </w:r>
            <w:r w:rsidRPr="00201A3F">
              <w:rPr>
                <w:rFonts w:eastAsia="Calibri"/>
                <w:sz w:val="20"/>
              </w:rPr>
              <w:noBreakHyphen/>
              <w:t>02631</w:t>
            </w:r>
          </w:p>
          <w:p w:rsidR="007C40B1" w:rsidRPr="00201A3F" w:rsidRDefault="007C40B1" w:rsidP="00B803D5">
            <w:pPr>
              <w:jc w:val="both"/>
              <w:rPr>
                <w:rFonts w:eastAsia="Calibri"/>
                <w:sz w:val="20"/>
              </w:rPr>
            </w:pP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lang w:val="fr-CA"/>
              </w:rPr>
            </w:pPr>
            <w:r w:rsidRPr="00201A3F">
              <w:rPr>
                <w:rFonts w:eastAsia="Calibri"/>
                <w:sz w:val="20"/>
                <w:lang w:val="fr-CA"/>
              </w:rPr>
              <w:t>Décision initiale confirmée (la « décision en réexamen »).</w:t>
            </w:r>
          </w:p>
        </w:tc>
      </w:tr>
      <w:tr w:rsidR="007C40B1" w:rsidRPr="00DC2D1F" w:rsidTr="00B803D5">
        <w:tc>
          <w:tcPr>
            <w:tcW w:w="2427" w:type="pct"/>
          </w:tcPr>
          <w:p w:rsidR="007C40B1" w:rsidRPr="00201A3F" w:rsidRDefault="007C40B1" w:rsidP="00B803D5">
            <w:pPr>
              <w:jc w:val="both"/>
              <w:rPr>
                <w:rFonts w:eastAsia="Calibri"/>
                <w:sz w:val="20"/>
                <w:lang w:val="fr-CA"/>
              </w:rPr>
            </w:pPr>
            <w:r w:rsidRPr="00201A3F">
              <w:rPr>
                <w:rFonts w:eastAsia="Calibri"/>
                <w:sz w:val="20"/>
                <w:lang w:val="fr-CA"/>
              </w:rPr>
              <w:t>18 mars 2011</w:t>
            </w:r>
          </w:p>
          <w:p w:rsidR="007C40B1" w:rsidRPr="00201A3F" w:rsidRDefault="007C40B1" w:rsidP="00B803D5">
            <w:pPr>
              <w:jc w:val="both"/>
              <w:rPr>
                <w:rFonts w:eastAsia="Calibri"/>
                <w:sz w:val="20"/>
                <w:lang w:val="fr-CA"/>
              </w:rPr>
            </w:pPr>
            <w:r w:rsidRPr="00201A3F">
              <w:rPr>
                <w:rFonts w:eastAsia="Calibri"/>
                <w:sz w:val="20"/>
                <w:lang w:val="fr-CA"/>
              </w:rPr>
              <w:t>Cour suprême de la Colombie</w:t>
            </w:r>
            <w:r w:rsidRPr="00201A3F">
              <w:rPr>
                <w:rFonts w:eastAsia="Calibri"/>
                <w:sz w:val="20"/>
                <w:lang w:val="fr-CA"/>
              </w:rPr>
              <w:noBreakHyphen/>
              <w:t xml:space="preserve">Britannique </w:t>
            </w:r>
          </w:p>
          <w:p w:rsidR="007C40B1" w:rsidRPr="00201A3F" w:rsidRDefault="007C40B1" w:rsidP="00B803D5">
            <w:pPr>
              <w:jc w:val="both"/>
              <w:rPr>
                <w:rFonts w:eastAsia="Calibri"/>
                <w:sz w:val="20"/>
              </w:rPr>
            </w:pPr>
            <w:r w:rsidRPr="00201A3F">
              <w:rPr>
                <w:rFonts w:eastAsia="Calibri"/>
                <w:sz w:val="20"/>
              </w:rPr>
              <w:t>(Juge Bruce)</w:t>
            </w:r>
          </w:p>
          <w:p w:rsidR="007C40B1" w:rsidRPr="00201A3F" w:rsidRDefault="007C40B1" w:rsidP="00B803D5">
            <w:pPr>
              <w:jc w:val="both"/>
              <w:rPr>
                <w:rFonts w:eastAsia="Calibri"/>
                <w:sz w:val="20"/>
              </w:rPr>
            </w:pPr>
            <w:r w:rsidRPr="00201A3F">
              <w:rPr>
                <w:rFonts w:eastAsia="Calibri"/>
                <w:sz w:val="20"/>
              </w:rPr>
              <w:t>N</w:t>
            </w:r>
            <w:r w:rsidRPr="00201A3F">
              <w:rPr>
                <w:rFonts w:eastAsia="Calibri"/>
                <w:sz w:val="20"/>
                <w:vertAlign w:val="superscript"/>
              </w:rPr>
              <w:t>o</w:t>
            </w:r>
            <w:r w:rsidRPr="00201A3F">
              <w:rPr>
                <w:rFonts w:eastAsia="Calibri"/>
                <w:sz w:val="20"/>
              </w:rPr>
              <w:t xml:space="preserve"> S098894; 2011 BCSC 329</w:t>
            </w:r>
          </w:p>
          <w:p w:rsidR="007C40B1" w:rsidRPr="00201A3F" w:rsidRDefault="007C40B1" w:rsidP="00B803D5">
            <w:pPr>
              <w:jc w:val="both"/>
              <w:rPr>
                <w:rFonts w:eastAsia="Calibri"/>
                <w:sz w:val="20"/>
              </w:rPr>
            </w:pP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lang w:val="fr-CA"/>
              </w:rPr>
            </w:pPr>
            <w:r w:rsidRPr="00201A3F">
              <w:rPr>
                <w:rFonts w:eastAsia="Calibri"/>
                <w:sz w:val="20"/>
                <w:lang w:val="fr-CA"/>
              </w:rPr>
              <w:t>Décision initiale et décision en réexamen déclarées manifestement déraisonnables dans la mesure où elles se rapportent (i) au calcul du montant de l'indemnité accordée à l'intimé au titre de la déficience fonctionnelle en vertu du par. 23(1) de la Loi et (ii) à l'évaluation du droit de l'intimé à une pension calculée en vertu du par. 23(3) de la Loi au motif que la politique du conseil d'administration de la commission n'est pas rationnellement étayée par la Loi. Les deux décisions sont donc annulées et la commission est enjointe de réexaminer le droit à pension de l'intimé en vertu des par. 23(1) et 23(3) de la Loi ayant dûment égard aux principes énoncés par la Cour suprême de la Colombie</w:t>
            </w:r>
            <w:r w:rsidRPr="00201A3F">
              <w:rPr>
                <w:rFonts w:eastAsia="Calibri"/>
                <w:sz w:val="20"/>
                <w:lang w:val="fr-CA"/>
              </w:rPr>
              <w:noBreakHyphen/>
              <w:t>Britannique.</w:t>
            </w:r>
          </w:p>
          <w:p w:rsidR="007C40B1" w:rsidRPr="00201A3F" w:rsidRDefault="007C40B1" w:rsidP="00B803D5">
            <w:pPr>
              <w:jc w:val="both"/>
              <w:rPr>
                <w:rFonts w:eastAsia="Calibri"/>
                <w:sz w:val="20"/>
                <w:lang w:val="fr-CA"/>
              </w:rPr>
            </w:pPr>
          </w:p>
        </w:tc>
      </w:tr>
      <w:tr w:rsidR="007C40B1" w:rsidRPr="00DC2D1F" w:rsidTr="00B803D5">
        <w:tc>
          <w:tcPr>
            <w:tcW w:w="2427" w:type="pct"/>
          </w:tcPr>
          <w:p w:rsidR="007C40B1" w:rsidRPr="00201A3F" w:rsidRDefault="007C40B1" w:rsidP="00B803D5">
            <w:pPr>
              <w:jc w:val="both"/>
              <w:rPr>
                <w:rFonts w:eastAsia="Calibri"/>
                <w:sz w:val="20"/>
                <w:lang w:val="fr-CA"/>
              </w:rPr>
            </w:pPr>
            <w:r w:rsidRPr="00201A3F">
              <w:rPr>
                <w:rFonts w:eastAsia="Calibri"/>
                <w:sz w:val="20"/>
                <w:lang w:val="fr-CA"/>
              </w:rPr>
              <w:t>26 avril 2012</w:t>
            </w:r>
          </w:p>
          <w:p w:rsidR="007C40B1" w:rsidRPr="00201A3F" w:rsidRDefault="007C40B1" w:rsidP="00B803D5">
            <w:pPr>
              <w:jc w:val="both"/>
              <w:rPr>
                <w:rFonts w:eastAsia="Calibri"/>
                <w:sz w:val="20"/>
                <w:lang w:val="fr-CA"/>
              </w:rPr>
            </w:pPr>
            <w:r w:rsidRPr="00201A3F">
              <w:rPr>
                <w:rFonts w:eastAsia="Calibri"/>
                <w:sz w:val="20"/>
                <w:lang w:val="fr-CA"/>
              </w:rPr>
              <w:t>Cour d'appel de la Colombie</w:t>
            </w:r>
            <w:r w:rsidRPr="00201A3F">
              <w:rPr>
                <w:rFonts w:eastAsia="Calibri"/>
                <w:sz w:val="20"/>
                <w:lang w:val="fr-CA"/>
              </w:rPr>
              <w:noBreakHyphen/>
              <w:t>Britannique (Vancouver)</w:t>
            </w:r>
          </w:p>
          <w:p w:rsidR="007C40B1" w:rsidRPr="00201A3F" w:rsidRDefault="007C40B1" w:rsidP="00B803D5">
            <w:pPr>
              <w:jc w:val="both"/>
              <w:rPr>
                <w:rFonts w:eastAsia="Calibri"/>
                <w:sz w:val="20"/>
              </w:rPr>
            </w:pPr>
            <w:r w:rsidRPr="00201A3F">
              <w:rPr>
                <w:rFonts w:eastAsia="Calibri"/>
                <w:sz w:val="20"/>
              </w:rPr>
              <w:t>(Juges Newbury, Kirkpatrick et Groberman)</w:t>
            </w:r>
          </w:p>
          <w:p w:rsidR="007C40B1" w:rsidRPr="00201A3F" w:rsidRDefault="007C40B1" w:rsidP="00B803D5">
            <w:pPr>
              <w:jc w:val="both"/>
              <w:rPr>
                <w:rFonts w:eastAsia="Calibri"/>
                <w:sz w:val="20"/>
              </w:rPr>
            </w:pPr>
            <w:r w:rsidRPr="00201A3F">
              <w:rPr>
                <w:rFonts w:eastAsia="Calibri"/>
                <w:sz w:val="20"/>
              </w:rPr>
              <w:t>N</w:t>
            </w:r>
            <w:r w:rsidRPr="00201A3F">
              <w:rPr>
                <w:rFonts w:eastAsia="Calibri"/>
                <w:sz w:val="20"/>
                <w:vertAlign w:val="superscript"/>
              </w:rPr>
              <w:t>o</w:t>
            </w:r>
            <w:r w:rsidRPr="00201A3F">
              <w:rPr>
                <w:rFonts w:eastAsia="Calibri"/>
                <w:sz w:val="20"/>
              </w:rPr>
              <w:t xml:space="preserve"> CA038929; 2012 BCCA 174</w:t>
            </w: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lang w:val="fr-CA"/>
              </w:rPr>
            </w:pPr>
            <w:r w:rsidRPr="00201A3F">
              <w:rPr>
                <w:rFonts w:eastAsia="Calibri"/>
                <w:sz w:val="20"/>
                <w:lang w:val="fr-CA"/>
              </w:rPr>
              <w:t>L'appel de la commission est rejeté et l'appel incident de l'intimé Marko Jozipovic est accueilli; la politique du conseil d'administration de la commission est déclarée nulle dans la mesure où elle est incompatible avec la loi.</w:t>
            </w:r>
          </w:p>
          <w:p w:rsidR="007C40B1" w:rsidRPr="00201A3F" w:rsidRDefault="007C40B1" w:rsidP="00B803D5">
            <w:pPr>
              <w:jc w:val="both"/>
              <w:rPr>
                <w:rFonts w:eastAsia="Calibri"/>
                <w:sz w:val="20"/>
                <w:lang w:val="fr-CA"/>
              </w:rPr>
            </w:pPr>
          </w:p>
        </w:tc>
      </w:tr>
      <w:tr w:rsidR="007C40B1" w:rsidRPr="00201A3F" w:rsidTr="00B803D5">
        <w:tc>
          <w:tcPr>
            <w:tcW w:w="2427" w:type="pct"/>
          </w:tcPr>
          <w:p w:rsidR="007C40B1" w:rsidRPr="00201A3F" w:rsidRDefault="007C40B1" w:rsidP="00B803D5">
            <w:pPr>
              <w:jc w:val="both"/>
              <w:rPr>
                <w:rFonts w:eastAsia="Calibri"/>
                <w:sz w:val="20"/>
                <w:lang w:val="fr-CA"/>
              </w:rPr>
            </w:pPr>
            <w:r w:rsidRPr="00201A3F">
              <w:rPr>
                <w:rFonts w:eastAsia="Calibri"/>
                <w:sz w:val="20"/>
                <w:lang w:val="fr-CA"/>
              </w:rPr>
              <w:t>20 juin 2012</w:t>
            </w:r>
          </w:p>
          <w:p w:rsidR="007C40B1" w:rsidRPr="00201A3F" w:rsidRDefault="007C40B1" w:rsidP="00B803D5">
            <w:pPr>
              <w:jc w:val="both"/>
              <w:rPr>
                <w:rFonts w:eastAsia="Calibri"/>
                <w:sz w:val="20"/>
                <w:lang w:val="fr-CA"/>
              </w:rPr>
            </w:pPr>
            <w:r w:rsidRPr="00201A3F">
              <w:rPr>
                <w:rFonts w:eastAsia="Calibri"/>
                <w:sz w:val="20"/>
                <w:lang w:val="fr-CA"/>
              </w:rPr>
              <w:t>Cour suprême du Canada</w:t>
            </w:r>
          </w:p>
        </w:tc>
        <w:tc>
          <w:tcPr>
            <w:tcW w:w="243" w:type="pct"/>
          </w:tcPr>
          <w:p w:rsidR="007C40B1" w:rsidRPr="00201A3F" w:rsidRDefault="007C40B1" w:rsidP="00B803D5">
            <w:pPr>
              <w:jc w:val="both"/>
              <w:rPr>
                <w:rFonts w:eastAsia="Calibri"/>
                <w:sz w:val="20"/>
                <w:lang w:val="fr-CA"/>
              </w:rPr>
            </w:pPr>
          </w:p>
        </w:tc>
        <w:tc>
          <w:tcPr>
            <w:tcW w:w="2330" w:type="pct"/>
          </w:tcPr>
          <w:p w:rsidR="007C40B1" w:rsidRPr="00201A3F" w:rsidRDefault="007C40B1" w:rsidP="00B803D5">
            <w:pPr>
              <w:jc w:val="both"/>
              <w:rPr>
                <w:rFonts w:eastAsia="Calibri"/>
                <w:sz w:val="20"/>
                <w:lang w:val="fr-CA"/>
              </w:rPr>
            </w:pPr>
            <w:r w:rsidRPr="00201A3F">
              <w:rPr>
                <w:rFonts w:eastAsia="Calibri"/>
                <w:sz w:val="20"/>
                <w:lang w:val="fr-CA"/>
              </w:rPr>
              <w:t>Demande d'autorisation d'appel, déposée.</w:t>
            </w:r>
          </w:p>
          <w:p w:rsidR="007C40B1" w:rsidRPr="00201A3F" w:rsidRDefault="007C40B1" w:rsidP="00B803D5">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53"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6290" w:rsidRPr="003C7D2B" w:rsidTr="00C46290">
        <w:trPr>
          <w:cantSplit/>
        </w:trPr>
        <w:tc>
          <w:tcPr>
            <w:tcW w:w="1458" w:type="dxa"/>
          </w:tcPr>
          <w:p w:rsidR="00C46290" w:rsidRPr="003C7D2B" w:rsidRDefault="00C46290" w:rsidP="00C46290">
            <w:pPr>
              <w:rPr>
                <w:sz w:val="20"/>
                <w:szCs w:val="20"/>
              </w:rPr>
            </w:pPr>
            <w:r w:rsidRPr="003C7D2B">
              <w:rPr>
                <w:rStyle w:val="SCCFileNumberChar"/>
                <w:sz w:val="20"/>
                <w:szCs w:val="20"/>
              </w:rPr>
              <w:t>34891</w:t>
            </w:r>
          </w:p>
          <w:p w:rsidR="00C46290" w:rsidRPr="003C7D2B" w:rsidRDefault="00C46290" w:rsidP="00C46290">
            <w:pPr>
              <w:rPr>
                <w:b/>
                <w:sz w:val="20"/>
                <w:szCs w:val="20"/>
                <w:lang w:val="fr-CA"/>
              </w:rPr>
            </w:pPr>
          </w:p>
        </w:tc>
        <w:tc>
          <w:tcPr>
            <w:tcW w:w="8118" w:type="dxa"/>
          </w:tcPr>
          <w:p w:rsidR="00C46290" w:rsidRPr="003C7D2B" w:rsidRDefault="00C46290" w:rsidP="00C46290">
            <w:pPr>
              <w:rPr>
                <w:sz w:val="20"/>
                <w:szCs w:val="20"/>
              </w:rPr>
            </w:pPr>
            <w:r w:rsidRPr="00C46290">
              <w:rPr>
                <w:rStyle w:val="SCCLsocChar"/>
                <w:sz w:val="20"/>
                <w:szCs w:val="20"/>
                <w:lang w:val="en-CA"/>
              </w:rPr>
              <w:t>Richard Rousseau v. Scotia Bank</w:t>
            </w:r>
            <w:r w:rsidRPr="003C7D2B">
              <w:rPr>
                <w:sz w:val="20"/>
                <w:szCs w:val="20"/>
              </w:rPr>
              <w:t xml:space="preserve"> (Ont.) (Civil) (By Leave)</w:t>
            </w:r>
          </w:p>
          <w:p w:rsidR="00C46290" w:rsidRPr="003C7D2B" w:rsidRDefault="00C46290" w:rsidP="00C46290">
            <w:pPr>
              <w:rPr>
                <w:sz w:val="20"/>
                <w:szCs w:val="20"/>
              </w:rPr>
            </w:pPr>
          </w:p>
        </w:tc>
      </w:tr>
      <w:tr w:rsidR="00C46290" w:rsidRPr="003C7D2B" w:rsidTr="00C46290">
        <w:trPr>
          <w:cantSplit/>
        </w:trPr>
        <w:tc>
          <w:tcPr>
            <w:tcW w:w="1458" w:type="dxa"/>
          </w:tcPr>
          <w:p w:rsidR="00C46290" w:rsidRPr="003C7D2B" w:rsidRDefault="00C46290" w:rsidP="00C46290">
            <w:pPr>
              <w:rPr>
                <w:sz w:val="20"/>
                <w:szCs w:val="20"/>
              </w:rPr>
            </w:pPr>
            <w:r w:rsidRPr="003C7D2B">
              <w:rPr>
                <w:sz w:val="20"/>
                <w:szCs w:val="20"/>
              </w:rPr>
              <w:t>Coram :</w:t>
            </w:r>
          </w:p>
        </w:tc>
        <w:tc>
          <w:tcPr>
            <w:tcW w:w="8118" w:type="dxa"/>
          </w:tcPr>
          <w:p w:rsidR="00C46290" w:rsidRPr="003C7D2B" w:rsidRDefault="00C46290" w:rsidP="00C46290">
            <w:pPr>
              <w:rPr>
                <w:sz w:val="20"/>
                <w:szCs w:val="20"/>
              </w:rPr>
            </w:pPr>
            <w:r w:rsidRPr="00C46290">
              <w:rPr>
                <w:rStyle w:val="SCCCoramChar"/>
                <w:sz w:val="20"/>
                <w:szCs w:val="20"/>
                <w:lang w:val="en-CA"/>
              </w:rPr>
              <w:t>McLachlin C.J. and Rothstein and Moldaver JJ.</w:t>
            </w:r>
          </w:p>
          <w:p w:rsidR="00C46290" w:rsidRPr="003C7D2B" w:rsidRDefault="00C46290" w:rsidP="00C46290">
            <w:pPr>
              <w:rPr>
                <w:sz w:val="20"/>
                <w:szCs w:val="20"/>
                <w:u w:val="single"/>
              </w:rPr>
            </w:pPr>
          </w:p>
        </w:tc>
      </w:tr>
      <w:tr w:rsidR="00C46290" w:rsidRPr="00DC2D1F" w:rsidTr="00C46290">
        <w:trPr>
          <w:cantSplit/>
        </w:trPr>
        <w:tc>
          <w:tcPr>
            <w:tcW w:w="9576" w:type="dxa"/>
            <w:gridSpan w:val="2"/>
          </w:tcPr>
          <w:p w:rsidR="00C46290" w:rsidRPr="003C7D2B" w:rsidRDefault="00C46290" w:rsidP="00C46290">
            <w:pPr>
              <w:pStyle w:val="SCCShortJudgment"/>
              <w:rPr>
                <w:szCs w:val="20"/>
              </w:rPr>
            </w:pPr>
            <w:r w:rsidRPr="003C7D2B">
              <w:rPr>
                <w:szCs w:val="20"/>
              </w:rPr>
              <w:t>The motion for an extension of time to serve and file the application for leave to appeal is granted.  The application for leave to appeal from the judgment of the Court of Appeal for Ontario, Number C54264, 2012 ONCA 279, dated April 12, 2012 is dismissed with costs.</w:t>
            </w:r>
          </w:p>
          <w:p w:rsidR="00C46290" w:rsidRPr="003C7D2B" w:rsidRDefault="00C46290" w:rsidP="00C46290">
            <w:pPr>
              <w:pStyle w:val="SCCShortJudgment"/>
              <w:ind w:firstLine="0"/>
              <w:rPr>
                <w:szCs w:val="20"/>
              </w:rPr>
            </w:pPr>
          </w:p>
          <w:p w:rsidR="00C46290" w:rsidRPr="003C7D2B" w:rsidRDefault="00C46290" w:rsidP="00C46290">
            <w:pPr>
              <w:pStyle w:val="SCCShortJudgment"/>
              <w:rPr>
                <w:szCs w:val="20"/>
                <w:lang w:val="fr-CA"/>
              </w:rPr>
            </w:pPr>
            <w:r w:rsidRPr="003C7D2B">
              <w:rPr>
                <w:szCs w:val="20"/>
                <w:lang w:val="fr-CA"/>
              </w:rPr>
              <w:t>La requête en prorogation du délai de signification et de dépôt de la demande d’autorisation d’appel est accueillie.  La demande d’autorisation d’appel de l’arrêt de la Cour d’appel de l’Ontario, numéro C54264, 2012 ONCA 279, daté du 12 avril 2012, est rejetée avec dépens.</w:t>
            </w:r>
          </w:p>
        </w:tc>
      </w:tr>
    </w:tbl>
    <w:p w:rsidR="00A740D1" w:rsidRPr="00C46290" w:rsidRDefault="00A740D1" w:rsidP="00A740D1">
      <w:pPr>
        <w:rPr>
          <w:sz w:val="20"/>
          <w:szCs w:val="20"/>
          <w:lang w:val="fr-CA"/>
        </w:rPr>
      </w:pPr>
    </w:p>
    <w:p w:rsidR="00C46290" w:rsidRPr="00D41C9D" w:rsidRDefault="00C46290">
      <w:pPr>
        <w:rPr>
          <w:sz w:val="20"/>
          <w:szCs w:val="20"/>
          <w:u w:val="single"/>
          <w:lang w:val="fr-CA"/>
        </w:rPr>
      </w:pPr>
      <w:r w:rsidRPr="00D41C9D">
        <w:rPr>
          <w:sz w:val="20"/>
          <w:szCs w:val="20"/>
          <w:u w:val="single"/>
          <w:lang w:val="fr-CA"/>
        </w:rPr>
        <w:br w:type="page"/>
      </w:r>
    </w:p>
    <w:p w:rsidR="00A740D1" w:rsidRPr="001B157C" w:rsidRDefault="00A740D1" w:rsidP="00A740D1">
      <w:pPr>
        <w:rPr>
          <w:sz w:val="20"/>
          <w:szCs w:val="20"/>
          <w:u w:val="single"/>
        </w:rPr>
      </w:pPr>
      <w:r w:rsidRPr="001B157C">
        <w:rPr>
          <w:sz w:val="20"/>
          <w:szCs w:val="20"/>
          <w:u w:val="single"/>
        </w:rPr>
        <w:lastRenderedPageBreak/>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7C40B1" w:rsidRPr="00201A3F" w:rsidTr="00B803D5">
        <w:tc>
          <w:tcPr>
            <w:tcW w:w="5000" w:type="pct"/>
            <w:gridSpan w:val="3"/>
          </w:tcPr>
          <w:p w:rsidR="007C40B1" w:rsidRPr="00201A3F" w:rsidRDefault="007C40B1" w:rsidP="00B803D5">
            <w:pPr>
              <w:jc w:val="both"/>
              <w:rPr>
                <w:rFonts w:eastAsia="Calibri"/>
                <w:sz w:val="20"/>
              </w:rPr>
            </w:pPr>
            <w:r w:rsidRPr="00201A3F">
              <w:rPr>
                <w:rFonts w:eastAsia="Calibri"/>
                <w:sz w:val="20"/>
              </w:rPr>
              <w:t xml:space="preserve">Judgments and orders — Summary judgment — Negligence — Whether the application and constitutionality of the provisions of Rule 20 of the Ontario </w:t>
            </w:r>
            <w:r w:rsidRPr="00201A3F">
              <w:rPr>
                <w:rFonts w:eastAsia="Calibri"/>
                <w:i/>
                <w:sz w:val="20"/>
              </w:rPr>
              <w:t>Rules of Civil Procedure</w:t>
            </w:r>
            <w:r w:rsidRPr="00201A3F">
              <w:rPr>
                <w:rFonts w:eastAsia="Calibri"/>
                <w:sz w:val="20"/>
              </w:rPr>
              <w:t xml:space="preserve"> permit a motions judge to weigh evidence, make findings of credibility and draw inferences from the evidence — Whether the test for broker’s negligence should be separate and distinct from the tort of negligent misrepresentation — </w:t>
            </w:r>
            <w:r w:rsidRPr="00201A3F">
              <w:rPr>
                <w:rFonts w:eastAsia="Calibri"/>
                <w:i/>
                <w:sz w:val="20"/>
              </w:rPr>
              <w:t>Rules of Civil Procedure</w:t>
            </w:r>
            <w:r w:rsidRPr="00201A3F">
              <w:rPr>
                <w:rFonts w:eastAsia="Calibri"/>
                <w:sz w:val="20"/>
              </w:rPr>
              <w:t>, R.R.O. 1990, Reg. 149, rule 20</w:t>
            </w:r>
          </w:p>
        </w:tc>
      </w:tr>
      <w:tr w:rsidR="007C40B1" w:rsidRPr="00201A3F" w:rsidTr="00B803D5">
        <w:tc>
          <w:tcPr>
            <w:tcW w:w="5000" w:type="pct"/>
            <w:gridSpan w:val="3"/>
          </w:tcPr>
          <w:p w:rsidR="007C40B1" w:rsidRPr="00201A3F" w:rsidRDefault="007C40B1" w:rsidP="00B803D5">
            <w:pPr>
              <w:jc w:val="both"/>
              <w:rPr>
                <w:rFonts w:eastAsia="Calibri"/>
                <w:sz w:val="20"/>
              </w:rPr>
            </w:pPr>
          </w:p>
        </w:tc>
      </w:tr>
      <w:tr w:rsidR="007C40B1" w:rsidRPr="00201A3F" w:rsidTr="00B803D5">
        <w:tc>
          <w:tcPr>
            <w:tcW w:w="5000" w:type="pct"/>
            <w:gridSpan w:val="3"/>
          </w:tcPr>
          <w:p w:rsidR="007C40B1" w:rsidRPr="00201A3F" w:rsidRDefault="007C40B1" w:rsidP="00B803D5">
            <w:pPr>
              <w:jc w:val="both"/>
              <w:rPr>
                <w:rFonts w:eastAsia="Calibri"/>
                <w:sz w:val="20"/>
              </w:rPr>
            </w:pPr>
            <w:r w:rsidRPr="00201A3F">
              <w:rPr>
                <w:rFonts w:eastAsia="Calibri"/>
                <w:sz w:val="20"/>
              </w:rPr>
              <w:t>In 2002, Rousseau borrowed money from the Bank of Nova Scotia (“the Bank”) to buy a house and the loan was secured by a mortgage.  When he signed the loan application, Rousseau accepted mortgage insurance that would pay the mortgage if he died.  He declined health crisis insurance which would have paid the mortgage if he suffered any of a number of specified major health problems such as heart attack, cancer or stroke.  The Bank had no mortgage protection policy that would pay in the event of disability.  Rousseau alleges that the Bank’s loan officer was negligent in failing to inform him that he should consider getting his own disability insurance from someone who offered it.  Rousseau was disabled in a car accident in 2005.  He had no insurance to pay off the mortgage and he paid it off in 2008.  Rousseau claimed the amount that he had to pay and damages for mental distress.</w:t>
            </w:r>
          </w:p>
          <w:p w:rsidR="007C40B1" w:rsidRPr="00201A3F" w:rsidRDefault="007C40B1" w:rsidP="00B803D5">
            <w:pPr>
              <w:jc w:val="both"/>
              <w:rPr>
                <w:rFonts w:eastAsia="Calibri"/>
                <w:sz w:val="20"/>
              </w:rPr>
            </w:pPr>
          </w:p>
          <w:p w:rsidR="007C40B1" w:rsidRPr="00201A3F" w:rsidRDefault="007C40B1" w:rsidP="00B803D5">
            <w:pPr>
              <w:jc w:val="both"/>
              <w:rPr>
                <w:rFonts w:eastAsia="Calibri"/>
                <w:sz w:val="20"/>
              </w:rPr>
            </w:pPr>
            <w:r w:rsidRPr="00201A3F">
              <w:rPr>
                <w:rFonts w:eastAsia="Calibri"/>
                <w:sz w:val="20"/>
              </w:rPr>
              <w:t>Rousseau’s claim against the Bank for negligent misrepresentation and breach of fiduciary or statutory duty was dismissed on summary judgment.  Rousseau’s appeal was also dismissed.</w:t>
            </w:r>
          </w:p>
          <w:p w:rsidR="007C40B1" w:rsidRPr="00201A3F" w:rsidRDefault="007C40B1" w:rsidP="00B803D5">
            <w:pPr>
              <w:jc w:val="both"/>
              <w:rPr>
                <w:rFonts w:eastAsia="Calibri"/>
                <w:sz w:val="20"/>
              </w:rPr>
            </w:pPr>
          </w:p>
        </w:tc>
      </w:tr>
      <w:tr w:rsidR="007C40B1" w:rsidRPr="00201A3F" w:rsidTr="00B803D5">
        <w:tc>
          <w:tcPr>
            <w:tcW w:w="2427" w:type="pct"/>
          </w:tcPr>
          <w:p w:rsidR="007C40B1" w:rsidRPr="00201A3F" w:rsidRDefault="007C40B1" w:rsidP="00B803D5">
            <w:pPr>
              <w:jc w:val="both"/>
              <w:rPr>
                <w:rFonts w:eastAsia="Calibri"/>
                <w:sz w:val="20"/>
              </w:rPr>
            </w:pPr>
            <w:r w:rsidRPr="00201A3F">
              <w:rPr>
                <w:rFonts w:eastAsia="Calibri"/>
                <w:sz w:val="20"/>
              </w:rPr>
              <w:t>August 2, 2011</w:t>
            </w:r>
          </w:p>
          <w:p w:rsidR="007C40B1" w:rsidRPr="00201A3F" w:rsidRDefault="007C40B1" w:rsidP="00B803D5">
            <w:pPr>
              <w:jc w:val="both"/>
              <w:rPr>
                <w:rFonts w:eastAsia="Calibri"/>
                <w:sz w:val="20"/>
              </w:rPr>
            </w:pPr>
            <w:r w:rsidRPr="00201A3F">
              <w:rPr>
                <w:rFonts w:eastAsia="Calibri"/>
                <w:sz w:val="20"/>
              </w:rPr>
              <w:t>Ontario Superior Court of Justice</w:t>
            </w:r>
          </w:p>
          <w:p w:rsidR="007C40B1" w:rsidRPr="00201A3F" w:rsidRDefault="007C40B1" w:rsidP="00B803D5">
            <w:pPr>
              <w:jc w:val="both"/>
              <w:rPr>
                <w:rFonts w:eastAsia="Calibri"/>
                <w:sz w:val="20"/>
              </w:rPr>
            </w:pPr>
            <w:r w:rsidRPr="00201A3F">
              <w:rPr>
                <w:rFonts w:eastAsia="Calibri"/>
                <w:sz w:val="20"/>
              </w:rPr>
              <w:t>(Ramsay J.)</w:t>
            </w:r>
          </w:p>
          <w:p w:rsidR="007C40B1" w:rsidRPr="00201A3F" w:rsidRDefault="007C40B1" w:rsidP="00B803D5">
            <w:pPr>
              <w:jc w:val="both"/>
              <w:rPr>
                <w:rFonts w:eastAsia="Calibri"/>
                <w:sz w:val="20"/>
              </w:rPr>
            </w:pP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rPr>
            </w:pPr>
            <w:r w:rsidRPr="00201A3F">
              <w:rPr>
                <w:rFonts w:eastAsia="Calibri"/>
                <w:sz w:val="20"/>
              </w:rPr>
              <w:t>Motion for summary judgment granted; Applicant’s action dismissed</w:t>
            </w:r>
          </w:p>
          <w:p w:rsidR="007C40B1" w:rsidRPr="00201A3F" w:rsidRDefault="007C40B1" w:rsidP="00B803D5">
            <w:pPr>
              <w:jc w:val="both"/>
              <w:rPr>
                <w:rFonts w:eastAsia="Calibri"/>
                <w:sz w:val="20"/>
              </w:rPr>
            </w:pPr>
          </w:p>
        </w:tc>
      </w:tr>
      <w:tr w:rsidR="007C40B1" w:rsidRPr="00201A3F" w:rsidTr="00B803D5">
        <w:tc>
          <w:tcPr>
            <w:tcW w:w="2427" w:type="pct"/>
          </w:tcPr>
          <w:p w:rsidR="007C40B1" w:rsidRPr="00201A3F" w:rsidRDefault="007C40B1" w:rsidP="00B803D5">
            <w:pPr>
              <w:jc w:val="both"/>
              <w:rPr>
                <w:rFonts w:eastAsia="Calibri"/>
                <w:sz w:val="20"/>
              </w:rPr>
            </w:pPr>
            <w:r w:rsidRPr="00201A3F">
              <w:rPr>
                <w:rFonts w:eastAsia="Calibri"/>
                <w:sz w:val="20"/>
              </w:rPr>
              <w:t>April 12, 2012</w:t>
            </w:r>
          </w:p>
          <w:p w:rsidR="007C40B1" w:rsidRPr="00201A3F" w:rsidRDefault="007C40B1" w:rsidP="00B803D5">
            <w:pPr>
              <w:jc w:val="both"/>
              <w:rPr>
                <w:rFonts w:eastAsia="Calibri"/>
                <w:sz w:val="20"/>
              </w:rPr>
            </w:pPr>
            <w:r w:rsidRPr="00201A3F">
              <w:rPr>
                <w:rFonts w:eastAsia="Calibri"/>
                <w:sz w:val="20"/>
              </w:rPr>
              <w:t>Court of Appeal for Ontario</w:t>
            </w:r>
          </w:p>
          <w:p w:rsidR="007C40B1" w:rsidRPr="00201A3F" w:rsidRDefault="007C40B1" w:rsidP="00B803D5">
            <w:pPr>
              <w:jc w:val="both"/>
              <w:rPr>
                <w:rFonts w:eastAsia="Calibri"/>
                <w:sz w:val="20"/>
              </w:rPr>
            </w:pPr>
            <w:r w:rsidRPr="00201A3F">
              <w:rPr>
                <w:rFonts w:eastAsia="Calibri"/>
                <w:sz w:val="20"/>
              </w:rPr>
              <w:t>(Feldman, Simmons and Cronk JJ.A.)</w:t>
            </w:r>
          </w:p>
          <w:p w:rsidR="007C40B1" w:rsidRPr="00201A3F" w:rsidRDefault="007C40B1" w:rsidP="00B803D5">
            <w:pPr>
              <w:jc w:val="both"/>
              <w:rPr>
                <w:rFonts w:eastAsia="Calibri"/>
                <w:sz w:val="20"/>
              </w:rPr>
            </w:pPr>
            <w:r w:rsidRPr="00201A3F">
              <w:rPr>
                <w:rFonts w:eastAsia="Calibri"/>
                <w:sz w:val="20"/>
              </w:rPr>
              <w:t>2012 ONCA 279; C54264</w:t>
            </w:r>
          </w:p>
          <w:p w:rsidR="007C40B1" w:rsidRPr="00201A3F" w:rsidRDefault="007C40B1" w:rsidP="00B803D5">
            <w:pPr>
              <w:jc w:val="both"/>
              <w:rPr>
                <w:rFonts w:eastAsia="Calibri"/>
                <w:sz w:val="20"/>
              </w:rPr>
            </w:pP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rPr>
            </w:pPr>
            <w:r w:rsidRPr="00201A3F">
              <w:rPr>
                <w:rFonts w:eastAsia="Calibri"/>
                <w:sz w:val="20"/>
              </w:rPr>
              <w:t>Appeal dismissed</w:t>
            </w:r>
          </w:p>
          <w:p w:rsidR="007C40B1" w:rsidRPr="00201A3F" w:rsidRDefault="007C40B1" w:rsidP="00B803D5">
            <w:pPr>
              <w:jc w:val="both"/>
              <w:rPr>
                <w:rFonts w:eastAsia="Calibri"/>
                <w:sz w:val="20"/>
              </w:rPr>
            </w:pPr>
          </w:p>
        </w:tc>
      </w:tr>
      <w:tr w:rsidR="007C40B1" w:rsidRPr="00201A3F" w:rsidTr="00B803D5">
        <w:tc>
          <w:tcPr>
            <w:tcW w:w="2427" w:type="pct"/>
          </w:tcPr>
          <w:p w:rsidR="007C40B1" w:rsidRPr="00201A3F" w:rsidRDefault="007C40B1" w:rsidP="00B803D5">
            <w:pPr>
              <w:jc w:val="both"/>
              <w:rPr>
                <w:rFonts w:eastAsia="Calibri"/>
                <w:sz w:val="20"/>
              </w:rPr>
            </w:pPr>
            <w:r w:rsidRPr="00201A3F">
              <w:rPr>
                <w:rFonts w:eastAsia="Calibri"/>
                <w:sz w:val="20"/>
              </w:rPr>
              <w:t>June 28, 2012</w:t>
            </w:r>
          </w:p>
          <w:p w:rsidR="007C40B1" w:rsidRPr="00201A3F" w:rsidRDefault="007C40B1" w:rsidP="00B803D5">
            <w:pPr>
              <w:jc w:val="both"/>
              <w:rPr>
                <w:rFonts w:eastAsia="Calibri"/>
                <w:sz w:val="20"/>
              </w:rPr>
            </w:pPr>
            <w:r w:rsidRPr="00201A3F">
              <w:rPr>
                <w:rFonts w:eastAsia="Calibri"/>
                <w:sz w:val="20"/>
              </w:rPr>
              <w:t>Supreme Court of Canada</w:t>
            </w:r>
          </w:p>
          <w:p w:rsidR="007C40B1" w:rsidRPr="00201A3F" w:rsidRDefault="007C40B1" w:rsidP="00B803D5">
            <w:pPr>
              <w:jc w:val="both"/>
              <w:rPr>
                <w:rFonts w:eastAsia="Calibri"/>
                <w:sz w:val="20"/>
              </w:rPr>
            </w:pPr>
          </w:p>
        </w:tc>
        <w:tc>
          <w:tcPr>
            <w:tcW w:w="243" w:type="pct"/>
          </w:tcPr>
          <w:p w:rsidR="007C40B1" w:rsidRPr="00201A3F" w:rsidRDefault="007C40B1" w:rsidP="00B803D5">
            <w:pPr>
              <w:jc w:val="both"/>
              <w:rPr>
                <w:rFonts w:eastAsia="Calibri"/>
                <w:sz w:val="20"/>
              </w:rPr>
            </w:pPr>
          </w:p>
        </w:tc>
        <w:tc>
          <w:tcPr>
            <w:tcW w:w="2330" w:type="pct"/>
          </w:tcPr>
          <w:p w:rsidR="007C40B1" w:rsidRPr="00201A3F" w:rsidRDefault="007C40B1" w:rsidP="00B803D5">
            <w:pPr>
              <w:jc w:val="both"/>
              <w:rPr>
                <w:rFonts w:eastAsia="Calibri"/>
                <w:sz w:val="20"/>
              </w:rPr>
            </w:pPr>
            <w:r w:rsidRPr="00201A3F">
              <w:rPr>
                <w:rFonts w:eastAsia="Calibri"/>
                <w:sz w:val="20"/>
              </w:rPr>
              <w:t>Motion for extension of time to serve and file the application for leave to appeal and Application for leave to appeal filed</w:t>
            </w: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54"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7C40B1" w:rsidRPr="00DC2D1F" w:rsidTr="00B803D5">
        <w:tc>
          <w:tcPr>
            <w:tcW w:w="5000" w:type="pct"/>
            <w:gridSpan w:val="3"/>
          </w:tcPr>
          <w:p w:rsidR="007C40B1" w:rsidRPr="00201A3F" w:rsidRDefault="007C40B1" w:rsidP="00B803D5">
            <w:pPr>
              <w:jc w:val="both"/>
              <w:rPr>
                <w:rFonts w:eastAsia="Calibri"/>
                <w:sz w:val="20"/>
                <w:lang w:val="fr-CA"/>
              </w:rPr>
            </w:pPr>
            <w:r w:rsidRPr="00201A3F">
              <w:rPr>
                <w:rFonts w:eastAsia="Calibri"/>
                <w:sz w:val="20"/>
                <w:lang w:val="fr-CA"/>
              </w:rPr>
              <w:t>Jugements et ordonnances — Jugement sommaire — Négligence — L'application et la constitutionnalité des dispositions de la règle 20 des</w:t>
            </w:r>
            <w:r w:rsidRPr="00201A3F">
              <w:rPr>
                <w:rFonts w:eastAsia="Calibri"/>
                <w:i/>
                <w:sz w:val="20"/>
                <w:lang w:val="fr-CA"/>
              </w:rPr>
              <w:t xml:space="preserve"> Règles de procédure civile </w:t>
            </w:r>
            <w:r w:rsidRPr="00201A3F">
              <w:rPr>
                <w:rFonts w:eastAsia="Calibri"/>
                <w:sz w:val="20"/>
                <w:lang w:val="fr-CA"/>
              </w:rPr>
              <w:t>de l'Ontario permettent</w:t>
            </w:r>
            <w:r w:rsidRPr="00201A3F">
              <w:rPr>
                <w:rFonts w:eastAsia="Calibri"/>
                <w:sz w:val="20"/>
                <w:lang w:val="fr-CA"/>
              </w:rPr>
              <w:noBreakHyphen/>
              <w:t>elles à un juge saisi d'une motion d'apprécier la preuve, de tirer des conclusions sur la crédibilité et de tirer des conclusions à partir de la preuve? — Le critère applicable à la négligence du courtier doit</w:t>
            </w:r>
            <w:r w:rsidRPr="00201A3F">
              <w:rPr>
                <w:rFonts w:eastAsia="Calibri"/>
                <w:sz w:val="20"/>
                <w:lang w:val="fr-CA"/>
              </w:rPr>
              <w:noBreakHyphen/>
              <w:t>il être distinct de celui qui s'applique au délit de déclaration inexacte faite par négligence? —</w:t>
            </w:r>
            <w:r w:rsidRPr="00201A3F">
              <w:rPr>
                <w:rFonts w:eastAsia="Calibri"/>
                <w:i/>
                <w:sz w:val="20"/>
                <w:lang w:val="fr-CA"/>
              </w:rPr>
              <w:t xml:space="preserve"> Règles de procédure civile</w:t>
            </w:r>
            <w:r w:rsidRPr="00201A3F">
              <w:rPr>
                <w:rFonts w:eastAsia="Calibri"/>
                <w:sz w:val="20"/>
                <w:lang w:val="fr-CA"/>
              </w:rPr>
              <w:t>, R.R.O. 1990, Règl. 149, règle 20</w:t>
            </w:r>
          </w:p>
        </w:tc>
      </w:tr>
      <w:tr w:rsidR="007C40B1" w:rsidRPr="00DC2D1F" w:rsidTr="00B803D5">
        <w:tc>
          <w:tcPr>
            <w:tcW w:w="5000" w:type="pct"/>
            <w:gridSpan w:val="3"/>
          </w:tcPr>
          <w:p w:rsidR="007C40B1" w:rsidRPr="00201A3F" w:rsidRDefault="007C40B1" w:rsidP="00B803D5">
            <w:pPr>
              <w:jc w:val="both"/>
              <w:rPr>
                <w:rFonts w:eastAsia="Calibri"/>
                <w:sz w:val="20"/>
                <w:lang w:val="fr-CA"/>
              </w:rPr>
            </w:pPr>
          </w:p>
        </w:tc>
      </w:tr>
      <w:tr w:rsidR="007C40B1" w:rsidRPr="00201A3F" w:rsidTr="00B803D5">
        <w:tc>
          <w:tcPr>
            <w:tcW w:w="5000" w:type="pct"/>
            <w:gridSpan w:val="3"/>
          </w:tcPr>
          <w:p w:rsidR="007C40B1" w:rsidRPr="00201A3F" w:rsidRDefault="007C40B1" w:rsidP="00B803D5">
            <w:pPr>
              <w:jc w:val="both"/>
              <w:rPr>
                <w:rFonts w:eastAsia="Calibri"/>
                <w:sz w:val="20"/>
                <w:lang w:val="fr-CA"/>
              </w:rPr>
            </w:pPr>
            <w:r w:rsidRPr="00201A3F">
              <w:rPr>
                <w:rFonts w:eastAsia="Calibri"/>
                <w:sz w:val="20"/>
                <w:lang w:val="fr-CA"/>
              </w:rPr>
              <w:t>En 2002, M. Rousseau a emprunté de l'argent de la Banque de Nouvelle</w:t>
            </w:r>
            <w:r w:rsidRPr="00201A3F">
              <w:rPr>
                <w:rFonts w:eastAsia="Calibri"/>
                <w:sz w:val="20"/>
                <w:lang w:val="fr-CA"/>
              </w:rPr>
              <w:noBreakHyphen/>
              <w:t xml:space="preserve">Écosse (« la banque ») pour acheter une maison et l'emprunt était garanti par une hypothèque.  Lorsqu'il a signé la demande d'emprunt, M. Rousseau a accepté une assurance hypothèque qui réglerait le solde de l’emprunt s'il décédait.  Il a refusé l'assurance maladie grave qui aurait réglé le solde de l'emprunt s'il avait connu certains problèmes de santé grave particuliers, par exemple un infarctus, un cancer ou un accident vasculaire cérébral.  La banque n'offrait aucune assurance hypothèque qui réglerait le solde en cas d'invalidité.  Monsieur Rousseau allègue que le responsable des prêts de la banque a été négligent en omettant de l'informer qu'il devait envisager de souscrire sa propre assurance invalidité de quelqu'un qui l'offrait.  </w:t>
            </w:r>
            <w:r w:rsidRPr="00201A3F">
              <w:rPr>
                <w:rFonts w:eastAsia="Calibri"/>
                <w:sz w:val="20"/>
                <w:lang w:val="fr-CA"/>
              </w:rPr>
              <w:lastRenderedPageBreak/>
              <w:t>Monsieur Rousseau est devenu invalide à la suite d'un accident de voiture survenu en 2005.  Il n'avait aucune assurance pour régler le solde de l'emprunt hypothécaire et il a réglé cet emprunt en 2008.  Monsieur Rousseau a réclamé le montant qu'il avait dû payer et des dommages</w:t>
            </w:r>
            <w:r w:rsidRPr="00201A3F">
              <w:rPr>
                <w:rFonts w:eastAsia="Calibri"/>
                <w:sz w:val="20"/>
                <w:lang w:val="fr-CA"/>
              </w:rPr>
              <w:noBreakHyphen/>
              <w:t>intérêts pour souffrance morale.</w:t>
            </w:r>
          </w:p>
          <w:p w:rsidR="007C40B1" w:rsidRPr="00201A3F" w:rsidRDefault="007C40B1" w:rsidP="00B803D5">
            <w:pPr>
              <w:jc w:val="both"/>
              <w:rPr>
                <w:rFonts w:eastAsia="Calibri"/>
                <w:sz w:val="20"/>
                <w:lang w:val="fr-CA"/>
              </w:rPr>
            </w:pPr>
          </w:p>
          <w:p w:rsidR="007C40B1" w:rsidRPr="00201A3F" w:rsidRDefault="007C40B1" w:rsidP="00B803D5">
            <w:pPr>
              <w:jc w:val="both"/>
              <w:rPr>
                <w:rFonts w:eastAsia="Calibri"/>
                <w:sz w:val="20"/>
                <w:lang w:val="fr-CA"/>
              </w:rPr>
            </w:pPr>
            <w:r w:rsidRPr="00201A3F">
              <w:rPr>
                <w:rFonts w:eastAsia="Calibri"/>
                <w:sz w:val="20"/>
                <w:lang w:val="fr-CA"/>
              </w:rPr>
              <w:t>La demande de M. Rousseau contre la banque pour déclaration inexacte faite par négligence et manquement à une obligation fiduciaire ou légale a été rejetée par jugement sommaire.  L'appel de M. Rousseau a également été rejeté.</w:t>
            </w:r>
          </w:p>
          <w:p w:rsidR="007C40B1" w:rsidRPr="00201A3F" w:rsidRDefault="007C40B1" w:rsidP="00B803D5">
            <w:pPr>
              <w:jc w:val="both"/>
              <w:rPr>
                <w:rFonts w:eastAsia="Calibri"/>
                <w:sz w:val="20"/>
                <w:lang w:val="fr-CA"/>
              </w:rPr>
            </w:pPr>
          </w:p>
        </w:tc>
      </w:tr>
      <w:tr w:rsidR="007C40B1" w:rsidRPr="00DC2D1F" w:rsidTr="00B803D5">
        <w:tc>
          <w:tcPr>
            <w:tcW w:w="2427" w:type="pct"/>
          </w:tcPr>
          <w:p w:rsidR="007C40B1" w:rsidRPr="00201A3F" w:rsidRDefault="007C40B1" w:rsidP="00B803D5">
            <w:pPr>
              <w:jc w:val="both"/>
              <w:rPr>
                <w:rFonts w:eastAsia="Calibri"/>
                <w:sz w:val="20"/>
                <w:lang w:val="fr-CA"/>
              </w:rPr>
            </w:pPr>
            <w:r w:rsidRPr="00201A3F">
              <w:rPr>
                <w:rFonts w:eastAsia="Calibri"/>
                <w:sz w:val="20"/>
                <w:lang w:val="fr-CA"/>
              </w:rPr>
              <w:lastRenderedPageBreak/>
              <w:t>2 août 2011</w:t>
            </w:r>
          </w:p>
          <w:p w:rsidR="007C40B1" w:rsidRPr="00201A3F" w:rsidRDefault="007C40B1" w:rsidP="00B803D5">
            <w:pPr>
              <w:jc w:val="both"/>
              <w:rPr>
                <w:rFonts w:eastAsia="Calibri"/>
                <w:sz w:val="20"/>
                <w:lang w:val="fr-CA"/>
              </w:rPr>
            </w:pPr>
            <w:r w:rsidRPr="00201A3F">
              <w:rPr>
                <w:rFonts w:eastAsia="Calibri"/>
                <w:sz w:val="20"/>
                <w:lang w:val="fr-CA"/>
              </w:rPr>
              <w:t xml:space="preserve">Cour supérieure de justice de l'Ontario </w:t>
            </w:r>
          </w:p>
          <w:p w:rsidR="007C40B1" w:rsidRPr="00201A3F" w:rsidRDefault="007C40B1" w:rsidP="00B803D5">
            <w:pPr>
              <w:jc w:val="both"/>
              <w:rPr>
                <w:rFonts w:eastAsia="Calibri"/>
                <w:sz w:val="20"/>
                <w:lang w:val="fr-CA"/>
              </w:rPr>
            </w:pPr>
            <w:r w:rsidRPr="00201A3F">
              <w:rPr>
                <w:rFonts w:eastAsia="Calibri"/>
                <w:sz w:val="20"/>
                <w:lang w:val="fr-CA"/>
              </w:rPr>
              <w:t>(Juge Ramsay)</w:t>
            </w:r>
          </w:p>
          <w:p w:rsidR="007C40B1" w:rsidRPr="00201A3F" w:rsidRDefault="007C40B1" w:rsidP="00B803D5">
            <w:pPr>
              <w:jc w:val="both"/>
              <w:rPr>
                <w:rFonts w:eastAsia="Calibri"/>
                <w:sz w:val="20"/>
                <w:lang w:val="fr-CA"/>
              </w:rPr>
            </w:pPr>
          </w:p>
        </w:tc>
        <w:tc>
          <w:tcPr>
            <w:tcW w:w="243" w:type="pct"/>
          </w:tcPr>
          <w:p w:rsidR="007C40B1" w:rsidRPr="00201A3F" w:rsidRDefault="007C40B1" w:rsidP="00B803D5">
            <w:pPr>
              <w:jc w:val="both"/>
              <w:rPr>
                <w:rFonts w:eastAsia="Calibri"/>
                <w:sz w:val="20"/>
                <w:lang w:val="fr-CA"/>
              </w:rPr>
            </w:pPr>
          </w:p>
        </w:tc>
        <w:tc>
          <w:tcPr>
            <w:tcW w:w="2330" w:type="pct"/>
          </w:tcPr>
          <w:p w:rsidR="007C40B1" w:rsidRPr="00201A3F" w:rsidRDefault="007C40B1" w:rsidP="00B803D5">
            <w:pPr>
              <w:jc w:val="both"/>
              <w:rPr>
                <w:rFonts w:eastAsia="Calibri"/>
                <w:sz w:val="20"/>
                <w:lang w:val="fr-CA"/>
              </w:rPr>
            </w:pPr>
            <w:r w:rsidRPr="00201A3F">
              <w:rPr>
                <w:rFonts w:eastAsia="Calibri"/>
                <w:sz w:val="20"/>
                <w:lang w:val="fr-CA"/>
              </w:rPr>
              <w:t>Motion en jugement sommaire, accueillie; action du demandeur, rejetée</w:t>
            </w:r>
          </w:p>
          <w:p w:rsidR="007C40B1" w:rsidRPr="00201A3F" w:rsidRDefault="007C40B1" w:rsidP="00B803D5">
            <w:pPr>
              <w:jc w:val="both"/>
              <w:rPr>
                <w:rFonts w:eastAsia="Calibri"/>
                <w:sz w:val="20"/>
                <w:lang w:val="fr-CA"/>
              </w:rPr>
            </w:pPr>
          </w:p>
        </w:tc>
      </w:tr>
      <w:tr w:rsidR="007C40B1" w:rsidRPr="00201A3F" w:rsidTr="00B803D5">
        <w:tc>
          <w:tcPr>
            <w:tcW w:w="2427" w:type="pct"/>
          </w:tcPr>
          <w:p w:rsidR="007C40B1" w:rsidRPr="00201A3F" w:rsidRDefault="007C40B1" w:rsidP="00B803D5">
            <w:pPr>
              <w:jc w:val="both"/>
              <w:rPr>
                <w:rFonts w:eastAsia="Calibri"/>
                <w:sz w:val="20"/>
                <w:lang w:val="fr-CA"/>
              </w:rPr>
            </w:pPr>
            <w:r w:rsidRPr="00201A3F">
              <w:rPr>
                <w:rFonts w:eastAsia="Calibri"/>
                <w:sz w:val="20"/>
                <w:lang w:val="fr-CA"/>
              </w:rPr>
              <w:t>12 avril 2012</w:t>
            </w:r>
          </w:p>
          <w:p w:rsidR="007C40B1" w:rsidRPr="00201A3F" w:rsidRDefault="007C40B1" w:rsidP="00B803D5">
            <w:pPr>
              <w:jc w:val="both"/>
              <w:rPr>
                <w:rFonts w:eastAsia="Calibri"/>
                <w:sz w:val="20"/>
                <w:lang w:val="fr-CA"/>
              </w:rPr>
            </w:pPr>
            <w:r w:rsidRPr="00201A3F">
              <w:rPr>
                <w:rFonts w:eastAsia="Calibri"/>
                <w:sz w:val="20"/>
                <w:lang w:val="fr-CA"/>
              </w:rPr>
              <w:t xml:space="preserve">Cour d'appel de l'Ontario </w:t>
            </w:r>
          </w:p>
          <w:p w:rsidR="007C40B1" w:rsidRPr="00201A3F" w:rsidRDefault="007C40B1" w:rsidP="00B803D5">
            <w:pPr>
              <w:jc w:val="both"/>
              <w:rPr>
                <w:rFonts w:eastAsia="Calibri"/>
                <w:sz w:val="20"/>
                <w:lang w:val="fr-CA"/>
              </w:rPr>
            </w:pPr>
            <w:r w:rsidRPr="00201A3F">
              <w:rPr>
                <w:rFonts w:eastAsia="Calibri"/>
                <w:sz w:val="20"/>
                <w:lang w:val="fr-CA"/>
              </w:rPr>
              <w:t>(Juges Feldman, Simmons et Cronk)</w:t>
            </w:r>
          </w:p>
          <w:p w:rsidR="007C40B1" w:rsidRPr="00201A3F" w:rsidRDefault="007C40B1" w:rsidP="00B803D5">
            <w:pPr>
              <w:jc w:val="both"/>
              <w:rPr>
                <w:rFonts w:eastAsia="Calibri"/>
                <w:sz w:val="20"/>
                <w:lang w:val="fr-CA"/>
              </w:rPr>
            </w:pPr>
            <w:r w:rsidRPr="00201A3F">
              <w:rPr>
                <w:rFonts w:eastAsia="Calibri"/>
                <w:sz w:val="20"/>
                <w:lang w:val="fr-CA"/>
              </w:rPr>
              <w:t>2012 ONCA 279; C54264</w:t>
            </w:r>
          </w:p>
          <w:p w:rsidR="007C40B1" w:rsidRPr="00201A3F" w:rsidRDefault="007C40B1" w:rsidP="00B803D5">
            <w:pPr>
              <w:jc w:val="both"/>
              <w:rPr>
                <w:rFonts w:eastAsia="Calibri"/>
                <w:sz w:val="20"/>
                <w:lang w:val="fr-CA"/>
              </w:rPr>
            </w:pPr>
          </w:p>
        </w:tc>
        <w:tc>
          <w:tcPr>
            <w:tcW w:w="243" w:type="pct"/>
          </w:tcPr>
          <w:p w:rsidR="007C40B1" w:rsidRPr="00201A3F" w:rsidRDefault="007C40B1" w:rsidP="00B803D5">
            <w:pPr>
              <w:jc w:val="both"/>
              <w:rPr>
                <w:rFonts w:eastAsia="Calibri"/>
                <w:sz w:val="20"/>
                <w:lang w:val="fr-CA"/>
              </w:rPr>
            </w:pPr>
          </w:p>
        </w:tc>
        <w:tc>
          <w:tcPr>
            <w:tcW w:w="2330" w:type="pct"/>
          </w:tcPr>
          <w:p w:rsidR="007C40B1" w:rsidRPr="00201A3F" w:rsidRDefault="007C40B1" w:rsidP="00B803D5">
            <w:pPr>
              <w:jc w:val="both"/>
              <w:rPr>
                <w:rFonts w:eastAsia="Calibri"/>
                <w:sz w:val="20"/>
                <w:lang w:val="fr-CA"/>
              </w:rPr>
            </w:pPr>
            <w:r w:rsidRPr="00201A3F">
              <w:rPr>
                <w:rFonts w:eastAsia="Calibri"/>
                <w:sz w:val="20"/>
                <w:lang w:val="fr-CA"/>
              </w:rPr>
              <w:t>Appel rejeté</w:t>
            </w:r>
          </w:p>
          <w:p w:rsidR="007C40B1" w:rsidRPr="00201A3F" w:rsidRDefault="007C40B1" w:rsidP="00B803D5">
            <w:pPr>
              <w:jc w:val="both"/>
              <w:rPr>
                <w:rFonts w:eastAsia="Calibri"/>
                <w:sz w:val="20"/>
                <w:lang w:val="fr-CA"/>
              </w:rPr>
            </w:pPr>
          </w:p>
        </w:tc>
      </w:tr>
      <w:tr w:rsidR="007C40B1" w:rsidRPr="00DC2D1F" w:rsidTr="00B803D5">
        <w:tc>
          <w:tcPr>
            <w:tcW w:w="2427" w:type="pct"/>
          </w:tcPr>
          <w:p w:rsidR="007C40B1" w:rsidRPr="00201A3F" w:rsidRDefault="007C40B1" w:rsidP="00B803D5">
            <w:pPr>
              <w:jc w:val="both"/>
              <w:rPr>
                <w:rFonts w:eastAsia="Calibri"/>
                <w:sz w:val="20"/>
                <w:lang w:val="fr-CA"/>
              </w:rPr>
            </w:pPr>
            <w:r w:rsidRPr="00201A3F">
              <w:rPr>
                <w:rFonts w:eastAsia="Calibri"/>
                <w:sz w:val="20"/>
                <w:lang w:val="fr-CA"/>
              </w:rPr>
              <w:t>28 juin 2012</w:t>
            </w:r>
          </w:p>
          <w:p w:rsidR="007C40B1" w:rsidRPr="00201A3F" w:rsidRDefault="007C40B1" w:rsidP="00B803D5">
            <w:pPr>
              <w:jc w:val="both"/>
              <w:rPr>
                <w:rFonts w:eastAsia="Calibri"/>
                <w:sz w:val="20"/>
                <w:lang w:val="fr-CA"/>
              </w:rPr>
            </w:pPr>
            <w:r w:rsidRPr="00201A3F">
              <w:rPr>
                <w:rFonts w:eastAsia="Calibri"/>
                <w:sz w:val="20"/>
                <w:lang w:val="fr-CA"/>
              </w:rPr>
              <w:t>Cour suprême du Canada</w:t>
            </w:r>
          </w:p>
          <w:p w:rsidR="007C40B1" w:rsidRPr="00201A3F" w:rsidRDefault="007C40B1" w:rsidP="00B803D5">
            <w:pPr>
              <w:jc w:val="both"/>
              <w:rPr>
                <w:rFonts w:eastAsia="Calibri"/>
                <w:sz w:val="20"/>
                <w:lang w:val="fr-CA"/>
              </w:rPr>
            </w:pPr>
          </w:p>
        </w:tc>
        <w:tc>
          <w:tcPr>
            <w:tcW w:w="243" w:type="pct"/>
          </w:tcPr>
          <w:p w:rsidR="007C40B1" w:rsidRPr="00201A3F" w:rsidRDefault="007C40B1" w:rsidP="00B803D5">
            <w:pPr>
              <w:jc w:val="both"/>
              <w:rPr>
                <w:rFonts w:eastAsia="Calibri"/>
                <w:sz w:val="20"/>
                <w:lang w:val="fr-CA"/>
              </w:rPr>
            </w:pPr>
          </w:p>
        </w:tc>
        <w:tc>
          <w:tcPr>
            <w:tcW w:w="2330" w:type="pct"/>
          </w:tcPr>
          <w:p w:rsidR="007C40B1" w:rsidRPr="00201A3F" w:rsidRDefault="007C40B1" w:rsidP="00B803D5">
            <w:pPr>
              <w:jc w:val="both"/>
              <w:rPr>
                <w:rFonts w:eastAsia="Calibri"/>
                <w:sz w:val="20"/>
                <w:lang w:val="fr-CA"/>
              </w:rPr>
            </w:pPr>
            <w:r w:rsidRPr="00201A3F">
              <w:rPr>
                <w:rFonts w:eastAsia="Calibri"/>
                <w:sz w:val="20"/>
                <w:lang w:val="fr-CA"/>
              </w:rPr>
              <w:t>Requête en prorogation du délai de signification et de dépôt de la demande d'autorisation d'appel et demande d'autorisation d'appel, déposées</w:t>
            </w:r>
          </w:p>
        </w:tc>
      </w:tr>
    </w:tbl>
    <w:p w:rsidR="00A740D1" w:rsidRPr="007C40B1" w:rsidRDefault="00A740D1" w:rsidP="00A740D1">
      <w:pPr>
        <w:rPr>
          <w:sz w:val="20"/>
          <w:szCs w:val="20"/>
          <w:lang w:val="fr-CA"/>
        </w:rPr>
      </w:pPr>
    </w:p>
    <w:p w:rsidR="00A740D1" w:rsidRDefault="00BF3B03" w:rsidP="00A740D1">
      <w:pPr>
        <w:rPr>
          <w:sz w:val="20"/>
          <w:szCs w:val="20"/>
        </w:rPr>
      </w:pPr>
      <w:r w:rsidRPr="00BF3B03">
        <w:rPr>
          <w:sz w:val="20"/>
          <w:szCs w:val="20"/>
          <w:lang w:val="fr-CA"/>
        </w:rPr>
        <w:pict>
          <v:rect id="_x0000_i1055"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6290" w:rsidRPr="003C7D2B" w:rsidTr="00C46290">
        <w:trPr>
          <w:cantSplit/>
        </w:trPr>
        <w:tc>
          <w:tcPr>
            <w:tcW w:w="1458" w:type="dxa"/>
          </w:tcPr>
          <w:p w:rsidR="00C46290" w:rsidRPr="003C7D2B" w:rsidRDefault="00C46290" w:rsidP="00C46290">
            <w:pPr>
              <w:rPr>
                <w:sz w:val="20"/>
                <w:szCs w:val="20"/>
              </w:rPr>
            </w:pPr>
            <w:r w:rsidRPr="003C7D2B">
              <w:rPr>
                <w:rStyle w:val="SCCFileNumberChar"/>
                <w:sz w:val="20"/>
                <w:szCs w:val="20"/>
              </w:rPr>
              <w:t>34892</w:t>
            </w:r>
          </w:p>
          <w:p w:rsidR="00C46290" w:rsidRPr="003C7D2B" w:rsidRDefault="00C46290" w:rsidP="00C46290">
            <w:pPr>
              <w:rPr>
                <w:b/>
                <w:sz w:val="20"/>
                <w:szCs w:val="20"/>
                <w:lang w:val="fr-CA"/>
              </w:rPr>
            </w:pPr>
          </w:p>
        </w:tc>
        <w:tc>
          <w:tcPr>
            <w:tcW w:w="8118" w:type="dxa"/>
          </w:tcPr>
          <w:p w:rsidR="00C46290" w:rsidRPr="003C7D2B" w:rsidRDefault="00C46290" w:rsidP="00C46290">
            <w:pPr>
              <w:rPr>
                <w:sz w:val="20"/>
                <w:szCs w:val="20"/>
              </w:rPr>
            </w:pPr>
            <w:r w:rsidRPr="00C46290">
              <w:rPr>
                <w:rStyle w:val="SCCLsocChar"/>
                <w:sz w:val="20"/>
                <w:szCs w:val="20"/>
                <w:lang w:val="en-CA"/>
              </w:rPr>
              <w:t>Victor J. Buencamino v. Canada Minister of Justice</w:t>
            </w:r>
            <w:r w:rsidRPr="003C7D2B">
              <w:rPr>
                <w:sz w:val="20"/>
                <w:szCs w:val="20"/>
              </w:rPr>
              <w:t xml:space="preserve"> (B.C.) (Criminal) (By Leave)</w:t>
            </w:r>
          </w:p>
          <w:p w:rsidR="00C46290" w:rsidRPr="003C7D2B" w:rsidRDefault="00C46290" w:rsidP="00C46290">
            <w:pPr>
              <w:rPr>
                <w:sz w:val="20"/>
                <w:szCs w:val="20"/>
              </w:rPr>
            </w:pPr>
          </w:p>
        </w:tc>
      </w:tr>
      <w:tr w:rsidR="00C46290" w:rsidRPr="003C7D2B" w:rsidTr="00C46290">
        <w:trPr>
          <w:cantSplit/>
        </w:trPr>
        <w:tc>
          <w:tcPr>
            <w:tcW w:w="1458" w:type="dxa"/>
          </w:tcPr>
          <w:p w:rsidR="00C46290" w:rsidRPr="003C7D2B" w:rsidRDefault="00C46290" w:rsidP="00C46290">
            <w:pPr>
              <w:rPr>
                <w:sz w:val="20"/>
                <w:szCs w:val="20"/>
              </w:rPr>
            </w:pPr>
            <w:r w:rsidRPr="003C7D2B">
              <w:rPr>
                <w:sz w:val="20"/>
                <w:szCs w:val="20"/>
              </w:rPr>
              <w:t>Coram :</w:t>
            </w:r>
          </w:p>
        </w:tc>
        <w:tc>
          <w:tcPr>
            <w:tcW w:w="8118" w:type="dxa"/>
          </w:tcPr>
          <w:p w:rsidR="00C46290" w:rsidRPr="003C7D2B" w:rsidRDefault="00C46290" w:rsidP="00C46290">
            <w:pPr>
              <w:rPr>
                <w:sz w:val="20"/>
                <w:szCs w:val="20"/>
              </w:rPr>
            </w:pPr>
            <w:r w:rsidRPr="00C46290">
              <w:rPr>
                <w:rStyle w:val="SCCCoramChar"/>
                <w:sz w:val="20"/>
                <w:szCs w:val="20"/>
                <w:lang w:val="en-CA"/>
              </w:rPr>
              <w:t>McLachlin C.J. and Rothstein and Moldaver JJ.</w:t>
            </w:r>
          </w:p>
          <w:p w:rsidR="00C46290" w:rsidRPr="003C7D2B" w:rsidRDefault="00C46290" w:rsidP="00C46290">
            <w:pPr>
              <w:rPr>
                <w:sz w:val="20"/>
                <w:szCs w:val="20"/>
                <w:u w:val="single"/>
              </w:rPr>
            </w:pPr>
          </w:p>
        </w:tc>
      </w:tr>
      <w:tr w:rsidR="00C46290" w:rsidRPr="00DC2D1F" w:rsidTr="00C46290">
        <w:trPr>
          <w:cantSplit/>
        </w:trPr>
        <w:tc>
          <w:tcPr>
            <w:tcW w:w="9576" w:type="dxa"/>
            <w:gridSpan w:val="2"/>
          </w:tcPr>
          <w:p w:rsidR="00C46290" w:rsidRPr="003C7D2B" w:rsidRDefault="00C46290" w:rsidP="00C46290">
            <w:pPr>
              <w:pStyle w:val="SCCShortJudgment"/>
              <w:rPr>
                <w:szCs w:val="20"/>
              </w:rPr>
            </w:pPr>
            <w:r w:rsidRPr="003C7D2B">
              <w:rPr>
                <w:szCs w:val="20"/>
              </w:rPr>
              <w:t>The application for leave to appeal from the judgment of the Court of Appeal for British Columbia (Vancouver), Number CA039398, 2012 BCCA 287, dated June 27, 2012, and all ancillary motions are dismissed without costs.</w:t>
            </w:r>
          </w:p>
          <w:p w:rsidR="00C46290" w:rsidRPr="003C7D2B" w:rsidRDefault="00C46290" w:rsidP="00C46290">
            <w:pPr>
              <w:pStyle w:val="SCCShortJudgment"/>
              <w:ind w:firstLine="0"/>
              <w:rPr>
                <w:szCs w:val="20"/>
              </w:rPr>
            </w:pPr>
          </w:p>
          <w:p w:rsidR="00C46290" w:rsidRPr="003C7D2B" w:rsidRDefault="00C46290" w:rsidP="00C46290">
            <w:pPr>
              <w:pStyle w:val="SCCShortJudgment"/>
              <w:rPr>
                <w:szCs w:val="20"/>
                <w:lang w:val="fr-CA"/>
              </w:rPr>
            </w:pPr>
            <w:r w:rsidRPr="003C7D2B">
              <w:rPr>
                <w:szCs w:val="20"/>
                <w:lang w:val="fr-CA"/>
              </w:rPr>
              <w:t xml:space="preserve">La demande d’autorisation d’appel de l’arrêt de la Cour d’appel de la Colombie-Britannique (Vancouver), numéro CA039398, 2012 BCCA 287, daté du 27 juin 2012, </w:t>
            </w:r>
            <w:r w:rsidR="00FB7CFF">
              <w:rPr>
                <w:szCs w:val="20"/>
                <w:lang w:val="fr-CA"/>
              </w:rPr>
              <w:t xml:space="preserve">et toutes requêtes accessoires </w:t>
            </w:r>
            <w:r w:rsidRPr="003C7D2B">
              <w:rPr>
                <w:szCs w:val="20"/>
                <w:lang w:val="fr-CA"/>
              </w:rPr>
              <w:t>sont rejetées sans dépens.</w:t>
            </w:r>
          </w:p>
        </w:tc>
      </w:tr>
    </w:tbl>
    <w:p w:rsidR="00A740D1" w:rsidRPr="00C46290"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C66993" w:rsidRPr="00201A3F" w:rsidTr="00B803D5">
        <w:tc>
          <w:tcPr>
            <w:tcW w:w="5000" w:type="pct"/>
            <w:gridSpan w:val="3"/>
          </w:tcPr>
          <w:p w:rsidR="00C66993" w:rsidRPr="00201A3F" w:rsidRDefault="00C66993" w:rsidP="00B803D5">
            <w:pPr>
              <w:jc w:val="both"/>
              <w:rPr>
                <w:rFonts w:eastAsia="Calibri"/>
                <w:sz w:val="20"/>
              </w:rPr>
            </w:pPr>
            <w:r w:rsidRPr="00201A3F">
              <w:rPr>
                <w:rFonts w:eastAsia="Calibri"/>
                <w:sz w:val="20"/>
              </w:rPr>
              <w:t>Extradition — Accused, alone and with co-accused, stole identities, which he used to obtain cash, credit and property in U.S. — U.S. sought surrender of accused for 68 counts of bank and other fraud and false statements on loan application — Minister of Justice of Canada authorized Attorney General to seek accused’s committal for fraud and identity theft — Authority to proceed referenced Canadian offences that corresponded to offences in U.S. for which U.S. authorities wished to prosecute accused — Minister later signed surrender order — Whether surrender order was reasonable —</w:t>
            </w:r>
            <w:r w:rsidRPr="00201A3F">
              <w:rPr>
                <w:rFonts w:eastAsia="Calibri"/>
                <w:i/>
                <w:sz w:val="20"/>
              </w:rPr>
              <w:t xml:space="preserve"> Extradition Act</w:t>
            </w:r>
            <w:r w:rsidRPr="00201A3F">
              <w:rPr>
                <w:rFonts w:eastAsia="Calibri"/>
                <w:sz w:val="20"/>
              </w:rPr>
              <w:t>, S.C. 1999, c. 18.</w:t>
            </w:r>
          </w:p>
        </w:tc>
      </w:tr>
      <w:tr w:rsidR="00C66993" w:rsidRPr="00201A3F" w:rsidTr="00B803D5">
        <w:trPr>
          <w:trHeight w:val="198"/>
        </w:trPr>
        <w:tc>
          <w:tcPr>
            <w:tcW w:w="5000" w:type="pct"/>
            <w:gridSpan w:val="3"/>
          </w:tcPr>
          <w:p w:rsidR="00C66993" w:rsidRPr="00201A3F" w:rsidRDefault="00C66993" w:rsidP="00B803D5">
            <w:pPr>
              <w:jc w:val="both"/>
              <w:rPr>
                <w:rFonts w:eastAsia="Calibri"/>
                <w:sz w:val="20"/>
              </w:rPr>
            </w:pPr>
          </w:p>
        </w:tc>
      </w:tr>
      <w:tr w:rsidR="00C66993" w:rsidRPr="00201A3F" w:rsidTr="00B803D5">
        <w:tc>
          <w:tcPr>
            <w:tcW w:w="5000" w:type="pct"/>
            <w:gridSpan w:val="3"/>
          </w:tcPr>
          <w:p w:rsidR="00C66993" w:rsidRPr="00201A3F" w:rsidRDefault="00C66993" w:rsidP="00B803D5">
            <w:pPr>
              <w:jc w:val="both"/>
              <w:rPr>
                <w:rFonts w:eastAsia="Calibri"/>
                <w:sz w:val="20"/>
              </w:rPr>
            </w:pPr>
            <w:r w:rsidRPr="00201A3F">
              <w:rPr>
                <w:rFonts w:eastAsia="Calibri"/>
                <w:sz w:val="20"/>
              </w:rPr>
              <w:t xml:space="preserve">The U.S. alleged that Mr. Buencamino, alone and with co-accused, stole identities, which he used to obtain cash, credit and property.  The U.S. sought Mr. Buencamino’s surrender for 68 counts of bank and other fraud and false statements on loan application.  The Minister of Justice of Canada authorized an arrest warrant and issued an authority to proceed with Mr. Buencamino’s committal for fraud and identity theft. An extradition judge then ordered Mr. Buencamino’s committal to await extradition, which Mr. Buencamino did not appeal. The Minister later ordered Mr. Buencamino’s surrender.  Mr. Buencamino sought judicial review of the surrender order on the basis that the Minister erred in drafting the authority to proceed to list only the Canadian offences of fraud and identify theft, while the U.S. sought his extradition for a large number of felony offences.  The surrender order listed the U.S. offences.  </w:t>
            </w:r>
            <w:r w:rsidRPr="00201A3F">
              <w:rPr>
                <w:rFonts w:eastAsia="Calibri"/>
                <w:sz w:val="20"/>
              </w:rPr>
              <w:lastRenderedPageBreak/>
              <w:t>The Court of Appeal held that the authority to proceed correctly referenced the Canadian offences that corresponded to the U.S. offences.  The Court of Appeal further held that the Minister is not required to match the offences listed in the surrender order with those listed in the authority to proceed.  Mr. Buencamino then applied to re-open the review on the basis that he had withdrawn instructions to his counsel and that he expected the hearing would be adjourned as a result.  The Court of Appeal dismissed the application being satisfied that counsel who argued the case was properly instructed by Mr. Buencamino at the time.</w:t>
            </w:r>
          </w:p>
          <w:p w:rsidR="00C66993" w:rsidRPr="00201A3F" w:rsidRDefault="00C66993" w:rsidP="00B803D5">
            <w:pPr>
              <w:jc w:val="both"/>
              <w:rPr>
                <w:rFonts w:eastAsia="Calibri"/>
                <w:sz w:val="20"/>
              </w:rPr>
            </w:pPr>
          </w:p>
        </w:tc>
      </w:tr>
      <w:tr w:rsidR="00C66993" w:rsidRPr="00201A3F" w:rsidTr="00B803D5">
        <w:tc>
          <w:tcPr>
            <w:tcW w:w="2427" w:type="pct"/>
          </w:tcPr>
          <w:p w:rsidR="00C66993" w:rsidRPr="00201A3F" w:rsidRDefault="00C66993" w:rsidP="00B803D5">
            <w:pPr>
              <w:jc w:val="both"/>
              <w:rPr>
                <w:rFonts w:eastAsia="Calibri"/>
                <w:sz w:val="20"/>
              </w:rPr>
            </w:pPr>
            <w:r w:rsidRPr="00201A3F">
              <w:rPr>
                <w:rFonts w:eastAsia="Calibri"/>
                <w:sz w:val="20"/>
              </w:rPr>
              <w:lastRenderedPageBreak/>
              <w:t>September 13, 2011</w:t>
            </w:r>
          </w:p>
          <w:p w:rsidR="00C66993" w:rsidRPr="00201A3F" w:rsidRDefault="00C66993" w:rsidP="00B803D5">
            <w:pPr>
              <w:jc w:val="both"/>
              <w:rPr>
                <w:rFonts w:eastAsia="Calibri"/>
                <w:sz w:val="20"/>
              </w:rPr>
            </w:pPr>
            <w:r w:rsidRPr="00201A3F">
              <w:rPr>
                <w:rFonts w:eastAsia="Calibri"/>
                <w:sz w:val="20"/>
              </w:rPr>
              <w:t>Minister of Justice of Canada</w:t>
            </w:r>
          </w:p>
          <w:p w:rsidR="00C66993" w:rsidRPr="00201A3F" w:rsidRDefault="00C66993" w:rsidP="00B803D5">
            <w:pPr>
              <w:jc w:val="both"/>
              <w:rPr>
                <w:rFonts w:eastAsia="Calibri"/>
                <w:sz w:val="20"/>
              </w:rPr>
            </w:pPr>
          </w:p>
        </w:tc>
        <w:tc>
          <w:tcPr>
            <w:tcW w:w="243" w:type="pct"/>
          </w:tcPr>
          <w:p w:rsidR="00C66993" w:rsidRPr="00201A3F" w:rsidRDefault="00C66993" w:rsidP="00B803D5">
            <w:pPr>
              <w:jc w:val="both"/>
              <w:rPr>
                <w:rFonts w:eastAsia="Calibri"/>
                <w:sz w:val="20"/>
              </w:rPr>
            </w:pPr>
          </w:p>
        </w:tc>
        <w:tc>
          <w:tcPr>
            <w:tcW w:w="2330" w:type="pct"/>
          </w:tcPr>
          <w:p w:rsidR="00C66993" w:rsidRPr="00201A3F" w:rsidRDefault="00C66993" w:rsidP="00B803D5">
            <w:pPr>
              <w:jc w:val="both"/>
              <w:rPr>
                <w:rFonts w:eastAsia="Calibri"/>
                <w:sz w:val="20"/>
              </w:rPr>
            </w:pPr>
            <w:r w:rsidRPr="00201A3F">
              <w:rPr>
                <w:rFonts w:eastAsia="Calibri"/>
                <w:sz w:val="20"/>
              </w:rPr>
              <w:t>Surrender order issued.</w:t>
            </w:r>
          </w:p>
          <w:p w:rsidR="00C66993" w:rsidRPr="00201A3F" w:rsidRDefault="00C66993" w:rsidP="00B803D5">
            <w:pPr>
              <w:jc w:val="both"/>
              <w:rPr>
                <w:rFonts w:eastAsia="Calibri"/>
                <w:sz w:val="20"/>
              </w:rPr>
            </w:pPr>
          </w:p>
        </w:tc>
      </w:tr>
      <w:tr w:rsidR="00C66993" w:rsidRPr="00201A3F" w:rsidTr="00B803D5">
        <w:tc>
          <w:tcPr>
            <w:tcW w:w="2427" w:type="pct"/>
          </w:tcPr>
          <w:p w:rsidR="00C66993" w:rsidRPr="00201A3F" w:rsidRDefault="00C66993" w:rsidP="00B803D5">
            <w:pPr>
              <w:jc w:val="both"/>
              <w:rPr>
                <w:rFonts w:eastAsia="Calibri"/>
                <w:sz w:val="20"/>
              </w:rPr>
            </w:pPr>
            <w:r w:rsidRPr="00201A3F">
              <w:rPr>
                <w:rFonts w:eastAsia="Calibri"/>
                <w:sz w:val="20"/>
              </w:rPr>
              <w:t>May 10, 2012</w:t>
            </w:r>
          </w:p>
          <w:p w:rsidR="00C66993" w:rsidRPr="00201A3F" w:rsidRDefault="00C66993" w:rsidP="00B803D5">
            <w:pPr>
              <w:jc w:val="both"/>
              <w:rPr>
                <w:rFonts w:eastAsia="Calibri"/>
                <w:sz w:val="20"/>
              </w:rPr>
            </w:pPr>
            <w:r w:rsidRPr="00201A3F">
              <w:rPr>
                <w:rFonts w:eastAsia="Calibri"/>
                <w:sz w:val="20"/>
              </w:rPr>
              <w:t xml:space="preserve">Court of Appeal for British Columbia </w:t>
            </w:r>
          </w:p>
          <w:p w:rsidR="00C66993" w:rsidRPr="00201A3F" w:rsidRDefault="00C66993" w:rsidP="00B803D5">
            <w:pPr>
              <w:jc w:val="both"/>
              <w:rPr>
                <w:rFonts w:eastAsia="Calibri"/>
                <w:sz w:val="20"/>
              </w:rPr>
            </w:pPr>
            <w:r w:rsidRPr="00201A3F">
              <w:rPr>
                <w:rFonts w:eastAsia="Calibri"/>
                <w:sz w:val="20"/>
              </w:rPr>
              <w:t>(Vancouver)</w:t>
            </w:r>
          </w:p>
          <w:p w:rsidR="00C66993" w:rsidRPr="00201A3F" w:rsidRDefault="00C66993" w:rsidP="00B803D5">
            <w:pPr>
              <w:jc w:val="both"/>
              <w:rPr>
                <w:rFonts w:eastAsia="Calibri"/>
                <w:sz w:val="20"/>
              </w:rPr>
            </w:pPr>
            <w:r w:rsidRPr="00201A3F">
              <w:rPr>
                <w:rFonts w:eastAsia="Calibri"/>
                <w:sz w:val="20"/>
              </w:rPr>
              <w:t>(Newbury, Low and Groberman JJ.A.)</w:t>
            </w:r>
          </w:p>
          <w:p w:rsidR="00C66993" w:rsidRPr="00201A3F" w:rsidRDefault="00C66993" w:rsidP="00B803D5">
            <w:pPr>
              <w:jc w:val="both"/>
              <w:rPr>
                <w:rFonts w:eastAsia="Calibri"/>
                <w:sz w:val="20"/>
              </w:rPr>
            </w:pPr>
            <w:r w:rsidRPr="00201A3F">
              <w:rPr>
                <w:rFonts w:eastAsia="Calibri"/>
                <w:sz w:val="20"/>
              </w:rPr>
              <w:t>2012 BCCA 212</w:t>
            </w:r>
          </w:p>
          <w:p w:rsidR="00C66993" w:rsidRPr="00201A3F" w:rsidRDefault="00C66993" w:rsidP="00B803D5">
            <w:pPr>
              <w:jc w:val="both"/>
              <w:rPr>
                <w:rFonts w:eastAsia="Calibri"/>
                <w:sz w:val="20"/>
              </w:rPr>
            </w:pPr>
          </w:p>
        </w:tc>
        <w:tc>
          <w:tcPr>
            <w:tcW w:w="243" w:type="pct"/>
          </w:tcPr>
          <w:p w:rsidR="00C66993" w:rsidRPr="00201A3F" w:rsidRDefault="00C66993" w:rsidP="00B803D5">
            <w:pPr>
              <w:jc w:val="both"/>
              <w:rPr>
                <w:rFonts w:eastAsia="Calibri"/>
                <w:sz w:val="20"/>
              </w:rPr>
            </w:pPr>
          </w:p>
        </w:tc>
        <w:tc>
          <w:tcPr>
            <w:tcW w:w="2330" w:type="pct"/>
          </w:tcPr>
          <w:p w:rsidR="00C66993" w:rsidRPr="00201A3F" w:rsidRDefault="00C66993" w:rsidP="00B803D5">
            <w:pPr>
              <w:jc w:val="both"/>
              <w:rPr>
                <w:rFonts w:eastAsia="Calibri"/>
                <w:sz w:val="20"/>
              </w:rPr>
            </w:pPr>
            <w:r w:rsidRPr="00201A3F">
              <w:rPr>
                <w:rFonts w:eastAsia="Calibri"/>
                <w:sz w:val="20"/>
              </w:rPr>
              <w:t>Judicial review of surrender order dismissed.</w:t>
            </w:r>
          </w:p>
          <w:p w:rsidR="00C66993" w:rsidRPr="00201A3F" w:rsidRDefault="00C66993" w:rsidP="00B803D5">
            <w:pPr>
              <w:jc w:val="both"/>
              <w:rPr>
                <w:rFonts w:eastAsia="Calibri"/>
                <w:sz w:val="20"/>
              </w:rPr>
            </w:pPr>
          </w:p>
        </w:tc>
      </w:tr>
      <w:tr w:rsidR="00C66993" w:rsidRPr="00201A3F" w:rsidTr="00B803D5">
        <w:tc>
          <w:tcPr>
            <w:tcW w:w="2427" w:type="pct"/>
          </w:tcPr>
          <w:p w:rsidR="00C66993" w:rsidRPr="00201A3F" w:rsidRDefault="00C66993" w:rsidP="00B803D5">
            <w:pPr>
              <w:jc w:val="both"/>
              <w:rPr>
                <w:rFonts w:eastAsia="Calibri"/>
                <w:sz w:val="20"/>
              </w:rPr>
            </w:pPr>
            <w:r w:rsidRPr="00201A3F">
              <w:rPr>
                <w:rFonts w:eastAsia="Calibri"/>
                <w:sz w:val="20"/>
              </w:rPr>
              <w:t>June 27, 2012</w:t>
            </w:r>
          </w:p>
          <w:p w:rsidR="00C66993" w:rsidRPr="00201A3F" w:rsidRDefault="00C66993" w:rsidP="00B803D5">
            <w:pPr>
              <w:jc w:val="both"/>
              <w:rPr>
                <w:rFonts w:eastAsia="Calibri"/>
                <w:sz w:val="20"/>
              </w:rPr>
            </w:pPr>
            <w:r w:rsidRPr="00201A3F">
              <w:rPr>
                <w:rFonts w:eastAsia="Calibri"/>
                <w:sz w:val="20"/>
              </w:rPr>
              <w:t xml:space="preserve">Court of Appeal for British Columbia </w:t>
            </w:r>
          </w:p>
          <w:p w:rsidR="00C66993" w:rsidRPr="00201A3F" w:rsidRDefault="00C66993" w:rsidP="00B803D5">
            <w:pPr>
              <w:jc w:val="both"/>
              <w:rPr>
                <w:rFonts w:eastAsia="Calibri"/>
                <w:sz w:val="20"/>
              </w:rPr>
            </w:pPr>
            <w:r w:rsidRPr="00201A3F">
              <w:rPr>
                <w:rFonts w:eastAsia="Calibri"/>
                <w:sz w:val="20"/>
              </w:rPr>
              <w:t>(Vancouver)</w:t>
            </w:r>
          </w:p>
          <w:p w:rsidR="00C66993" w:rsidRPr="00201A3F" w:rsidRDefault="00C66993" w:rsidP="00B803D5">
            <w:pPr>
              <w:jc w:val="both"/>
              <w:rPr>
                <w:rFonts w:eastAsia="Calibri"/>
                <w:sz w:val="20"/>
              </w:rPr>
            </w:pPr>
            <w:r w:rsidRPr="00201A3F">
              <w:rPr>
                <w:rFonts w:eastAsia="Calibri"/>
                <w:sz w:val="20"/>
              </w:rPr>
              <w:t>(Newbury, Low and Groberman JJ.A.)</w:t>
            </w:r>
          </w:p>
          <w:p w:rsidR="00C66993" w:rsidRPr="00201A3F" w:rsidRDefault="00C66993" w:rsidP="00B803D5">
            <w:pPr>
              <w:jc w:val="both"/>
              <w:rPr>
                <w:rFonts w:eastAsia="Calibri"/>
                <w:sz w:val="20"/>
              </w:rPr>
            </w:pPr>
            <w:r w:rsidRPr="00201A3F">
              <w:rPr>
                <w:rFonts w:eastAsia="Calibri"/>
                <w:sz w:val="20"/>
              </w:rPr>
              <w:t>2012 BCCA 287</w:t>
            </w:r>
          </w:p>
          <w:p w:rsidR="00C66993" w:rsidRPr="00201A3F" w:rsidRDefault="00C66993" w:rsidP="00B803D5">
            <w:pPr>
              <w:jc w:val="both"/>
              <w:rPr>
                <w:rFonts w:eastAsia="Calibri"/>
                <w:sz w:val="20"/>
              </w:rPr>
            </w:pPr>
          </w:p>
        </w:tc>
        <w:tc>
          <w:tcPr>
            <w:tcW w:w="243" w:type="pct"/>
          </w:tcPr>
          <w:p w:rsidR="00C66993" w:rsidRPr="00201A3F" w:rsidRDefault="00C66993" w:rsidP="00B803D5">
            <w:pPr>
              <w:jc w:val="both"/>
              <w:rPr>
                <w:rFonts w:eastAsia="Calibri"/>
                <w:sz w:val="20"/>
              </w:rPr>
            </w:pPr>
          </w:p>
        </w:tc>
        <w:tc>
          <w:tcPr>
            <w:tcW w:w="2330" w:type="pct"/>
          </w:tcPr>
          <w:p w:rsidR="00C66993" w:rsidRPr="00201A3F" w:rsidRDefault="00C66993" w:rsidP="00B803D5">
            <w:pPr>
              <w:jc w:val="both"/>
              <w:rPr>
                <w:rFonts w:eastAsia="Calibri"/>
                <w:sz w:val="20"/>
              </w:rPr>
            </w:pPr>
            <w:r w:rsidRPr="00201A3F">
              <w:rPr>
                <w:rFonts w:eastAsia="Calibri"/>
                <w:sz w:val="20"/>
              </w:rPr>
              <w:t>Reconsideration denied.</w:t>
            </w:r>
          </w:p>
          <w:p w:rsidR="00C66993" w:rsidRPr="00201A3F" w:rsidRDefault="00C66993" w:rsidP="00B803D5">
            <w:pPr>
              <w:jc w:val="both"/>
              <w:rPr>
                <w:rFonts w:eastAsia="Calibri"/>
                <w:sz w:val="20"/>
              </w:rPr>
            </w:pPr>
          </w:p>
        </w:tc>
      </w:tr>
      <w:tr w:rsidR="00C66993" w:rsidRPr="00201A3F" w:rsidTr="00B803D5">
        <w:tc>
          <w:tcPr>
            <w:tcW w:w="2427" w:type="pct"/>
          </w:tcPr>
          <w:p w:rsidR="00C66993" w:rsidRPr="00201A3F" w:rsidRDefault="00C66993" w:rsidP="00B803D5">
            <w:pPr>
              <w:jc w:val="both"/>
              <w:rPr>
                <w:rFonts w:eastAsia="Calibri"/>
                <w:sz w:val="20"/>
              </w:rPr>
            </w:pPr>
            <w:r w:rsidRPr="00201A3F">
              <w:rPr>
                <w:rFonts w:eastAsia="Calibri"/>
                <w:sz w:val="20"/>
              </w:rPr>
              <w:t>July 30, 2012</w:t>
            </w:r>
          </w:p>
          <w:p w:rsidR="00C66993" w:rsidRPr="00201A3F" w:rsidRDefault="00C66993" w:rsidP="00B803D5">
            <w:pPr>
              <w:jc w:val="both"/>
              <w:rPr>
                <w:rFonts w:eastAsia="Calibri"/>
                <w:sz w:val="20"/>
              </w:rPr>
            </w:pPr>
            <w:r w:rsidRPr="00201A3F">
              <w:rPr>
                <w:rFonts w:eastAsia="Calibri"/>
                <w:sz w:val="20"/>
              </w:rPr>
              <w:t>Supreme Court of Canada</w:t>
            </w:r>
          </w:p>
        </w:tc>
        <w:tc>
          <w:tcPr>
            <w:tcW w:w="243" w:type="pct"/>
          </w:tcPr>
          <w:p w:rsidR="00C66993" w:rsidRPr="00201A3F" w:rsidRDefault="00C66993" w:rsidP="00B803D5">
            <w:pPr>
              <w:jc w:val="both"/>
              <w:rPr>
                <w:rFonts w:eastAsia="Calibri"/>
                <w:sz w:val="20"/>
              </w:rPr>
            </w:pPr>
          </w:p>
        </w:tc>
        <w:tc>
          <w:tcPr>
            <w:tcW w:w="2330" w:type="pct"/>
          </w:tcPr>
          <w:p w:rsidR="00C66993" w:rsidRPr="00201A3F" w:rsidRDefault="00C66993" w:rsidP="00B803D5">
            <w:pPr>
              <w:jc w:val="both"/>
              <w:rPr>
                <w:rFonts w:eastAsia="Calibri"/>
                <w:sz w:val="20"/>
              </w:rPr>
            </w:pPr>
            <w:r w:rsidRPr="00201A3F">
              <w:rPr>
                <w:rFonts w:eastAsia="Calibri"/>
                <w:sz w:val="20"/>
              </w:rPr>
              <w:t>Application for leave to appeal and multiple ancillary motions filed.</w:t>
            </w: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56"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C66993" w:rsidRPr="00DC2D1F" w:rsidTr="00B803D5">
        <w:tc>
          <w:tcPr>
            <w:tcW w:w="5000" w:type="pct"/>
            <w:gridSpan w:val="3"/>
          </w:tcPr>
          <w:p w:rsidR="00C66993" w:rsidRPr="00201A3F" w:rsidRDefault="00C66993" w:rsidP="00B803D5">
            <w:pPr>
              <w:jc w:val="both"/>
              <w:rPr>
                <w:rFonts w:eastAsia="Calibri"/>
                <w:sz w:val="20"/>
                <w:lang w:val="fr-FR"/>
              </w:rPr>
            </w:pPr>
            <w:r w:rsidRPr="00201A3F">
              <w:rPr>
                <w:rFonts w:eastAsia="Calibri"/>
                <w:sz w:val="20"/>
                <w:lang w:val="fr-FR"/>
              </w:rPr>
              <w:t>Extradition — Accusé, seul et avec un coaccusé, a volé des identités dont il s’est servi pour obtenir de l’argent comptant, du crédit et des biens aux É.</w:t>
            </w:r>
            <w:r w:rsidRPr="00201A3F">
              <w:rPr>
                <w:rFonts w:eastAsia="Calibri"/>
                <w:sz w:val="20"/>
                <w:lang w:val="fr-FR"/>
              </w:rPr>
              <w:noBreakHyphen/>
              <w:t>U. — Les É.</w:t>
            </w:r>
            <w:r w:rsidRPr="00201A3F">
              <w:rPr>
                <w:rFonts w:eastAsia="Calibri"/>
                <w:sz w:val="20"/>
                <w:lang w:val="fr-FR"/>
              </w:rPr>
              <w:noBreakHyphen/>
              <w:t>U. ont présenté une demande de remise de l’accusé pour 68 chefs de fraude bancaire et autres ainsi que de fausses déclarations dans des demandes de prêts — Le ministre de la Justice du Canada a autorisé le procureur général à demander l’incarcération de l’accusé en raison de la fraude et du vol d’identité — Prise d’un arrêté introductif d’instance qui faisait référence aux infractions canadiennes qui correspondent aux infractions des É.</w:t>
            </w:r>
            <w:r w:rsidRPr="00201A3F">
              <w:rPr>
                <w:rFonts w:eastAsia="Calibri"/>
                <w:sz w:val="20"/>
                <w:lang w:val="fr-FR"/>
              </w:rPr>
              <w:noBreakHyphen/>
              <w:t>U. pour lesquelles les autorités américaines souhaitaient poursuivre l’accusé — Ministre a signé l’ordonnance de remise ultérieurement — L’ordonnance de remise était</w:t>
            </w:r>
            <w:r w:rsidRPr="00201A3F">
              <w:rPr>
                <w:rFonts w:eastAsia="Calibri"/>
                <w:sz w:val="20"/>
                <w:lang w:val="fr-FR"/>
              </w:rPr>
              <w:noBreakHyphen/>
              <w:t xml:space="preserve">elle raisonnable ? — </w:t>
            </w:r>
            <w:r w:rsidRPr="00201A3F">
              <w:rPr>
                <w:rFonts w:eastAsia="Calibri"/>
                <w:i/>
                <w:sz w:val="20"/>
                <w:lang w:val="fr-FR"/>
              </w:rPr>
              <w:t>Loi sur l’extradition</w:t>
            </w:r>
            <w:r w:rsidRPr="00201A3F">
              <w:rPr>
                <w:rFonts w:eastAsia="Calibri"/>
                <w:sz w:val="20"/>
                <w:lang w:val="fr-FR"/>
              </w:rPr>
              <w:t>, L.C. 1999, ch. 18.</w:t>
            </w:r>
          </w:p>
          <w:p w:rsidR="00C66993" w:rsidRPr="00201A3F" w:rsidRDefault="00C66993" w:rsidP="00B803D5">
            <w:pPr>
              <w:jc w:val="both"/>
              <w:rPr>
                <w:rFonts w:eastAsia="Calibri"/>
                <w:sz w:val="20"/>
                <w:lang w:val="fr-FR"/>
              </w:rPr>
            </w:pPr>
          </w:p>
          <w:p w:rsidR="00C66993" w:rsidRPr="00201A3F" w:rsidRDefault="00C66993" w:rsidP="00B803D5">
            <w:pPr>
              <w:jc w:val="both"/>
              <w:rPr>
                <w:rFonts w:eastAsia="Calibri"/>
                <w:sz w:val="20"/>
                <w:lang w:val="fr-FR"/>
              </w:rPr>
            </w:pPr>
            <w:r w:rsidRPr="00201A3F">
              <w:rPr>
                <w:rFonts w:eastAsia="Calibri"/>
                <w:sz w:val="20"/>
                <w:lang w:val="fr-FR"/>
              </w:rPr>
              <w:t>Selon les É.</w:t>
            </w:r>
            <w:r w:rsidRPr="00201A3F">
              <w:rPr>
                <w:rFonts w:eastAsia="Calibri"/>
                <w:sz w:val="20"/>
                <w:lang w:val="fr-FR"/>
              </w:rPr>
              <w:noBreakHyphen/>
              <w:t>U., M. Buencamino, seul et avec des coaccusés, a volé des identités, dont il s’est servies pour obtenir de l’argent comptant, du crédit et des biens.  Les É.</w:t>
            </w:r>
            <w:r w:rsidRPr="00201A3F">
              <w:rPr>
                <w:rFonts w:eastAsia="Calibri"/>
                <w:sz w:val="20"/>
                <w:lang w:val="fr-FR"/>
              </w:rPr>
              <w:noBreakHyphen/>
              <w:t>U. ont demandé la remise de l’accusé pour 68 chefs de fraude bancaire et autres ainsi que de fausses déclarations dans des demandes de prêts.  Le ministre de la Justice du Canada a autorisé l’émission d’un mandat d’arrestation et pris un arrêté introductif d’instance en vue de l’incarcération de M. Buencamino relativement à des infractions de fraude et de vol d’identité.  Un juge d’extradition a ensuite ordonné l’incarcération de M. Buencamino en attendant son extradition, ordonnance dont ce dernier n’a pas fait appel.  Ultérieurement, le ministre a ordonné la remise de M. Buencamino qui a demandé le contrôle judiciaire de cette décision en faisant valoir que le ministre avait commis une erreur en rédigeant l’arrêté introductif d’instance puisqu’il n’y a dressé la liste que des infractions canadiennes de fraude et de vol d’identité même si les É.</w:t>
            </w:r>
            <w:r w:rsidRPr="00201A3F">
              <w:rPr>
                <w:rFonts w:eastAsia="Calibri"/>
                <w:sz w:val="20"/>
                <w:lang w:val="fr-FR"/>
              </w:rPr>
              <w:noBreakHyphen/>
              <w:t xml:space="preserve">U. sollicitaient son extradition pour un grand nombre d’infractions graves.  L’ordonnance de remise dressait pour sa part la liste des infractions américaines.  La Cour d’appel a jugé que l’arrêté introductif d’instance faisait correctement référence aux infractions canadiennes qui correspondaient aux infractions américaines.  Elle a aussi conclu que le ministre n’est pas tenu d’établir une adéquation entre les infractions qui figurent dans l’ordonnance de remise et celles dont il est fait mention dans l’arrêté introductif d’instance.  M. Buencamino a ensuite présenté une demande de réouverture du </w:t>
            </w:r>
            <w:r w:rsidRPr="00201A3F">
              <w:rPr>
                <w:rFonts w:eastAsia="Calibri"/>
                <w:sz w:val="20"/>
                <w:lang w:val="fr-FR"/>
              </w:rPr>
              <w:lastRenderedPageBreak/>
              <w:t>contrôle faisant valoir qu’il avait révoqué les directives données à son avocat et qu’il s’attendait en conséquence à un ajournement de l’audience.  La Cour d’appel a rejeté la demande; elle était convaincue que l’avocat qui avait plaidé avait bel et bien à ce moment</w:t>
            </w:r>
            <w:r w:rsidRPr="00201A3F">
              <w:rPr>
                <w:rFonts w:eastAsia="Calibri"/>
                <w:sz w:val="20"/>
                <w:lang w:val="fr-FR"/>
              </w:rPr>
              <w:noBreakHyphen/>
              <w:t>là un mandat clair de M. Buencamino.</w:t>
            </w:r>
          </w:p>
          <w:p w:rsidR="00C66993" w:rsidRPr="00201A3F" w:rsidRDefault="00C66993" w:rsidP="00B803D5">
            <w:pPr>
              <w:jc w:val="both"/>
              <w:rPr>
                <w:rFonts w:eastAsia="Calibri"/>
                <w:sz w:val="20"/>
                <w:lang w:val="fr-FR"/>
              </w:rPr>
            </w:pPr>
          </w:p>
        </w:tc>
      </w:tr>
      <w:tr w:rsidR="00C66993" w:rsidRPr="00201A3F" w:rsidTr="00B803D5">
        <w:tc>
          <w:tcPr>
            <w:tcW w:w="2427" w:type="pct"/>
          </w:tcPr>
          <w:p w:rsidR="00C66993" w:rsidRPr="00314EC0" w:rsidRDefault="00C66993" w:rsidP="00B803D5">
            <w:pPr>
              <w:jc w:val="both"/>
              <w:rPr>
                <w:rFonts w:eastAsia="Calibri"/>
                <w:sz w:val="20"/>
                <w:lang w:val="fr-CA"/>
              </w:rPr>
            </w:pPr>
            <w:r w:rsidRPr="00314EC0">
              <w:rPr>
                <w:rFonts w:eastAsia="Calibri"/>
                <w:sz w:val="20"/>
                <w:lang w:val="fr-CA"/>
              </w:rPr>
              <w:lastRenderedPageBreak/>
              <w:t>13 septembre 2011</w:t>
            </w:r>
          </w:p>
          <w:p w:rsidR="00C66993" w:rsidRPr="00314EC0" w:rsidRDefault="00C66993" w:rsidP="00B803D5">
            <w:pPr>
              <w:jc w:val="both"/>
              <w:rPr>
                <w:rFonts w:eastAsia="Calibri"/>
                <w:sz w:val="20"/>
                <w:lang w:val="fr-CA"/>
              </w:rPr>
            </w:pPr>
            <w:r w:rsidRPr="00314EC0">
              <w:rPr>
                <w:rFonts w:eastAsia="Calibri"/>
                <w:sz w:val="20"/>
                <w:lang w:val="fr-CA"/>
              </w:rPr>
              <w:t>Ministre de la Justice du Canada</w:t>
            </w:r>
          </w:p>
          <w:p w:rsidR="00C66993" w:rsidRPr="00314EC0" w:rsidRDefault="00C66993" w:rsidP="00B803D5">
            <w:pPr>
              <w:jc w:val="both"/>
              <w:rPr>
                <w:rFonts w:eastAsia="Calibri"/>
                <w:sz w:val="20"/>
                <w:lang w:val="fr-CA"/>
              </w:rPr>
            </w:pPr>
          </w:p>
        </w:tc>
        <w:tc>
          <w:tcPr>
            <w:tcW w:w="243" w:type="pct"/>
          </w:tcPr>
          <w:p w:rsidR="00C66993" w:rsidRPr="00314EC0" w:rsidRDefault="00C66993" w:rsidP="00B803D5">
            <w:pPr>
              <w:jc w:val="both"/>
              <w:rPr>
                <w:rFonts w:eastAsia="Calibri"/>
                <w:sz w:val="20"/>
                <w:lang w:val="fr-CA"/>
              </w:rPr>
            </w:pPr>
          </w:p>
        </w:tc>
        <w:tc>
          <w:tcPr>
            <w:tcW w:w="2330" w:type="pct"/>
          </w:tcPr>
          <w:p w:rsidR="00C66993" w:rsidRPr="00314EC0" w:rsidRDefault="00C66993" w:rsidP="00B803D5">
            <w:pPr>
              <w:jc w:val="both"/>
              <w:rPr>
                <w:rFonts w:eastAsia="Calibri"/>
                <w:sz w:val="20"/>
                <w:lang w:val="fr-CA"/>
              </w:rPr>
            </w:pPr>
            <w:r w:rsidRPr="00314EC0">
              <w:rPr>
                <w:rFonts w:eastAsia="Calibri"/>
                <w:sz w:val="20"/>
                <w:lang w:val="fr-CA"/>
              </w:rPr>
              <w:t>Ordonnance de remise prononcée</w:t>
            </w:r>
          </w:p>
          <w:p w:rsidR="00C66993" w:rsidRPr="00314EC0" w:rsidRDefault="00C66993" w:rsidP="00B803D5">
            <w:pPr>
              <w:jc w:val="both"/>
              <w:rPr>
                <w:rFonts w:eastAsia="Calibri"/>
                <w:sz w:val="20"/>
                <w:lang w:val="fr-CA"/>
              </w:rPr>
            </w:pPr>
          </w:p>
        </w:tc>
      </w:tr>
      <w:tr w:rsidR="00C66993" w:rsidRPr="00DC2D1F" w:rsidTr="00B803D5">
        <w:tc>
          <w:tcPr>
            <w:tcW w:w="2427" w:type="pct"/>
          </w:tcPr>
          <w:p w:rsidR="00C66993" w:rsidRPr="00314EC0" w:rsidRDefault="00C66993" w:rsidP="00B803D5">
            <w:pPr>
              <w:jc w:val="both"/>
              <w:rPr>
                <w:rFonts w:eastAsia="Calibri"/>
                <w:sz w:val="20"/>
                <w:lang w:val="fr-CA"/>
              </w:rPr>
            </w:pPr>
            <w:r w:rsidRPr="00314EC0">
              <w:rPr>
                <w:rFonts w:eastAsia="Calibri"/>
                <w:sz w:val="20"/>
                <w:lang w:val="fr-CA"/>
              </w:rPr>
              <w:t>10 mai 2012</w:t>
            </w:r>
          </w:p>
          <w:p w:rsidR="00C66993" w:rsidRPr="00314EC0" w:rsidRDefault="00C66993" w:rsidP="00B803D5">
            <w:pPr>
              <w:jc w:val="both"/>
              <w:rPr>
                <w:rFonts w:eastAsia="Calibri"/>
                <w:sz w:val="20"/>
                <w:lang w:val="fr-CA"/>
              </w:rPr>
            </w:pPr>
            <w:r w:rsidRPr="00314EC0">
              <w:rPr>
                <w:rFonts w:eastAsia="Calibri"/>
                <w:sz w:val="20"/>
                <w:lang w:val="fr-CA"/>
              </w:rPr>
              <w:t>Cour d’appel de la Colombie</w:t>
            </w:r>
            <w:r w:rsidRPr="00314EC0">
              <w:rPr>
                <w:rFonts w:eastAsia="Calibri"/>
                <w:sz w:val="20"/>
                <w:lang w:val="fr-CA"/>
              </w:rPr>
              <w:noBreakHyphen/>
              <w:t xml:space="preserve">Britannique </w:t>
            </w:r>
          </w:p>
          <w:p w:rsidR="00C66993" w:rsidRPr="00314EC0" w:rsidRDefault="00C66993" w:rsidP="00B803D5">
            <w:pPr>
              <w:jc w:val="both"/>
              <w:rPr>
                <w:rFonts w:eastAsia="Calibri"/>
                <w:sz w:val="20"/>
                <w:lang w:val="fr-CA"/>
              </w:rPr>
            </w:pPr>
            <w:r w:rsidRPr="00314EC0">
              <w:rPr>
                <w:rFonts w:eastAsia="Calibri"/>
                <w:sz w:val="20"/>
                <w:lang w:val="fr-CA"/>
              </w:rPr>
              <w:t>(Vancouver)</w:t>
            </w:r>
          </w:p>
          <w:p w:rsidR="00C66993" w:rsidRPr="00314EC0" w:rsidRDefault="00C66993" w:rsidP="00B803D5">
            <w:pPr>
              <w:jc w:val="both"/>
              <w:rPr>
                <w:rFonts w:eastAsia="Calibri"/>
                <w:sz w:val="20"/>
                <w:lang w:val="fr-CA"/>
              </w:rPr>
            </w:pPr>
            <w:r w:rsidRPr="00314EC0">
              <w:rPr>
                <w:rFonts w:eastAsia="Calibri"/>
                <w:sz w:val="20"/>
                <w:lang w:val="fr-CA"/>
              </w:rPr>
              <w:t>(Juges Newbury, Low et Groberman)</w:t>
            </w:r>
          </w:p>
          <w:p w:rsidR="00C66993" w:rsidRPr="00314EC0" w:rsidRDefault="00C66993" w:rsidP="00B803D5">
            <w:pPr>
              <w:jc w:val="both"/>
              <w:rPr>
                <w:rFonts w:eastAsia="Calibri"/>
                <w:sz w:val="20"/>
                <w:lang w:val="fr-CA"/>
              </w:rPr>
            </w:pPr>
            <w:r w:rsidRPr="00314EC0">
              <w:rPr>
                <w:rFonts w:eastAsia="Calibri"/>
                <w:sz w:val="20"/>
                <w:lang w:val="fr-CA"/>
              </w:rPr>
              <w:t>2012 BCCA 212</w:t>
            </w:r>
          </w:p>
          <w:p w:rsidR="00C66993" w:rsidRPr="00314EC0" w:rsidRDefault="00C66993" w:rsidP="00B803D5">
            <w:pPr>
              <w:jc w:val="both"/>
              <w:rPr>
                <w:rFonts w:eastAsia="Calibri"/>
                <w:sz w:val="20"/>
                <w:lang w:val="fr-CA"/>
              </w:rPr>
            </w:pPr>
          </w:p>
        </w:tc>
        <w:tc>
          <w:tcPr>
            <w:tcW w:w="243" w:type="pct"/>
          </w:tcPr>
          <w:p w:rsidR="00C66993" w:rsidRPr="00314EC0" w:rsidRDefault="00C66993" w:rsidP="00B803D5">
            <w:pPr>
              <w:jc w:val="both"/>
              <w:rPr>
                <w:rFonts w:eastAsia="Calibri"/>
                <w:sz w:val="20"/>
                <w:lang w:val="fr-CA"/>
              </w:rPr>
            </w:pPr>
          </w:p>
        </w:tc>
        <w:tc>
          <w:tcPr>
            <w:tcW w:w="2330" w:type="pct"/>
          </w:tcPr>
          <w:p w:rsidR="00C66993" w:rsidRPr="00314EC0" w:rsidRDefault="00C66993" w:rsidP="00B803D5">
            <w:pPr>
              <w:jc w:val="both"/>
              <w:rPr>
                <w:rFonts w:eastAsia="Calibri"/>
                <w:sz w:val="20"/>
                <w:lang w:val="fr-CA"/>
              </w:rPr>
            </w:pPr>
            <w:r w:rsidRPr="00314EC0">
              <w:rPr>
                <w:rFonts w:eastAsia="Calibri"/>
                <w:sz w:val="20"/>
                <w:lang w:val="fr-CA"/>
              </w:rPr>
              <w:t>Contrôle judiciaire de l’ordonnance de remise rejeté</w:t>
            </w:r>
          </w:p>
          <w:p w:rsidR="00C66993" w:rsidRPr="00314EC0" w:rsidRDefault="00C66993" w:rsidP="00B803D5">
            <w:pPr>
              <w:jc w:val="both"/>
              <w:rPr>
                <w:rFonts w:eastAsia="Calibri"/>
                <w:sz w:val="20"/>
                <w:lang w:val="fr-CA"/>
              </w:rPr>
            </w:pPr>
          </w:p>
        </w:tc>
      </w:tr>
      <w:tr w:rsidR="00C66993" w:rsidRPr="00201A3F" w:rsidTr="00B803D5">
        <w:tc>
          <w:tcPr>
            <w:tcW w:w="2427" w:type="pct"/>
          </w:tcPr>
          <w:p w:rsidR="00C66993" w:rsidRPr="00314EC0" w:rsidRDefault="00C66993" w:rsidP="00B803D5">
            <w:pPr>
              <w:jc w:val="both"/>
              <w:rPr>
                <w:rFonts w:eastAsia="Calibri"/>
                <w:sz w:val="20"/>
                <w:lang w:val="fr-CA"/>
              </w:rPr>
            </w:pPr>
            <w:r w:rsidRPr="00314EC0">
              <w:rPr>
                <w:rFonts w:eastAsia="Calibri"/>
                <w:sz w:val="20"/>
                <w:lang w:val="fr-CA"/>
              </w:rPr>
              <w:t>27 juin 2012</w:t>
            </w:r>
          </w:p>
          <w:p w:rsidR="00C66993" w:rsidRPr="00314EC0" w:rsidRDefault="00C66993" w:rsidP="00B803D5">
            <w:pPr>
              <w:jc w:val="both"/>
              <w:rPr>
                <w:rFonts w:eastAsia="Calibri"/>
                <w:sz w:val="20"/>
                <w:lang w:val="fr-CA"/>
              </w:rPr>
            </w:pPr>
            <w:r w:rsidRPr="00314EC0">
              <w:rPr>
                <w:rFonts w:eastAsia="Calibri"/>
                <w:sz w:val="20"/>
                <w:lang w:val="fr-CA"/>
              </w:rPr>
              <w:t>Cour d’appel de la Colombie</w:t>
            </w:r>
            <w:r w:rsidRPr="00314EC0">
              <w:rPr>
                <w:rFonts w:eastAsia="Calibri"/>
                <w:sz w:val="20"/>
                <w:lang w:val="fr-CA"/>
              </w:rPr>
              <w:noBreakHyphen/>
              <w:t xml:space="preserve">Britannique </w:t>
            </w:r>
          </w:p>
          <w:p w:rsidR="00C66993" w:rsidRPr="00314EC0" w:rsidRDefault="00C66993" w:rsidP="00B803D5">
            <w:pPr>
              <w:jc w:val="both"/>
              <w:rPr>
                <w:rFonts w:eastAsia="Calibri"/>
                <w:sz w:val="20"/>
                <w:lang w:val="fr-CA"/>
              </w:rPr>
            </w:pPr>
            <w:r w:rsidRPr="00314EC0">
              <w:rPr>
                <w:rFonts w:eastAsia="Calibri"/>
                <w:sz w:val="20"/>
                <w:lang w:val="fr-CA"/>
              </w:rPr>
              <w:t>(Vancouver)</w:t>
            </w:r>
          </w:p>
          <w:p w:rsidR="00C66993" w:rsidRPr="00314EC0" w:rsidRDefault="00C66993" w:rsidP="00B803D5">
            <w:pPr>
              <w:jc w:val="both"/>
              <w:rPr>
                <w:rFonts w:eastAsia="Calibri"/>
                <w:sz w:val="20"/>
                <w:lang w:val="fr-CA"/>
              </w:rPr>
            </w:pPr>
            <w:r w:rsidRPr="00314EC0">
              <w:rPr>
                <w:rFonts w:eastAsia="Calibri"/>
                <w:sz w:val="20"/>
                <w:lang w:val="fr-CA"/>
              </w:rPr>
              <w:t>(Juges Newbury, Low et Groberman)</w:t>
            </w:r>
          </w:p>
          <w:p w:rsidR="00C66993" w:rsidRPr="00314EC0" w:rsidRDefault="00C66993" w:rsidP="00B803D5">
            <w:pPr>
              <w:jc w:val="both"/>
              <w:rPr>
                <w:rFonts w:eastAsia="Calibri"/>
                <w:sz w:val="20"/>
                <w:lang w:val="fr-CA"/>
              </w:rPr>
            </w:pPr>
            <w:r w:rsidRPr="00314EC0">
              <w:rPr>
                <w:rFonts w:eastAsia="Calibri"/>
                <w:sz w:val="20"/>
                <w:lang w:val="fr-CA"/>
              </w:rPr>
              <w:t>2012 BCCA 287</w:t>
            </w:r>
          </w:p>
          <w:p w:rsidR="00C66993" w:rsidRPr="00314EC0" w:rsidRDefault="00C66993" w:rsidP="00B803D5">
            <w:pPr>
              <w:jc w:val="both"/>
              <w:rPr>
                <w:rFonts w:eastAsia="Calibri"/>
                <w:sz w:val="20"/>
                <w:lang w:val="fr-CA"/>
              </w:rPr>
            </w:pPr>
          </w:p>
        </w:tc>
        <w:tc>
          <w:tcPr>
            <w:tcW w:w="243" w:type="pct"/>
          </w:tcPr>
          <w:p w:rsidR="00C66993" w:rsidRPr="00314EC0" w:rsidRDefault="00C66993" w:rsidP="00B803D5">
            <w:pPr>
              <w:jc w:val="both"/>
              <w:rPr>
                <w:rFonts w:eastAsia="Calibri"/>
                <w:sz w:val="20"/>
                <w:lang w:val="fr-CA"/>
              </w:rPr>
            </w:pPr>
          </w:p>
        </w:tc>
        <w:tc>
          <w:tcPr>
            <w:tcW w:w="2330" w:type="pct"/>
          </w:tcPr>
          <w:p w:rsidR="00C66993" w:rsidRPr="00314EC0" w:rsidRDefault="00C66993" w:rsidP="00B803D5">
            <w:pPr>
              <w:jc w:val="both"/>
              <w:rPr>
                <w:rFonts w:eastAsia="Calibri"/>
                <w:sz w:val="20"/>
                <w:lang w:val="fr-CA"/>
              </w:rPr>
            </w:pPr>
            <w:r w:rsidRPr="00314EC0">
              <w:rPr>
                <w:rFonts w:eastAsia="Calibri"/>
                <w:sz w:val="20"/>
                <w:lang w:val="fr-CA"/>
              </w:rPr>
              <w:t>Réexamen refusé</w:t>
            </w:r>
          </w:p>
          <w:p w:rsidR="00C66993" w:rsidRPr="00314EC0" w:rsidRDefault="00C66993" w:rsidP="00B803D5">
            <w:pPr>
              <w:jc w:val="both"/>
              <w:rPr>
                <w:rFonts w:eastAsia="Calibri"/>
                <w:sz w:val="20"/>
                <w:lang w:val="fr-CA"/>
              </w:rPr>
            </w:pPr>
          </w:p>
        </w:tc>
      </w:tr>
      <w:tr w:rsidR="00C66993" w:rsidRPr="00DC2D1F" w:rsidTr="00B803D5">
        <w:tc>
          <w:tcPr>
            <w:tcW w:w="2427" w:type="pct"/>
          </w:tcPr>
          <w:p w:rsidR="00C66993" w:rsidRPr="00201A3F" w:rsidRDefault="00C66993" w:rsidP="00B803D5">
            <w:pPr>
              <w:jc w:val="both"/>
              <w:rPr>
                <w:rFonts w:eastAsia="Calibri"/>
                <w:sz w:val="20"/>
                <w:lang w:val="fr-FR"/>
              </w:rPr>
            </w:pPr>
            <w:r w:rsidRPr="00201A3F">
              <w:rPr>
                <w:rFonts w:eastAsia="Calibri"/>
                <w:sz w:val="20"/>
                <w:lang w:val="fr-FR"/>
              </w:rPr>
              <w:t>30 juillet 2012</w:t>
            </w:r>
          </w:p>
          <w:p w:rsidR="00C66993" w:rsidRPr="00201A3F" w:rsidRDefault="00C66993" w:rsidP="00B803D5">
            <w:pPr>
              <w:jc w:val="both"/>
              <w:rPr>
                <w:rFonts w:eastAsia="Calibri"/>
                <w:sz w:val="20"/>
                <w:lang w:val="fr-FR"/>
              </w:rPr>
            </w:pPr>
            <w:r w:rsidRPr="00201A3F">
              <w:rPr>
                <w:rFonts w:eastAsia="Calibri"/>
                <w:sz w:val="20"/>
                <w:lang w:val="fr-FR"/>
              </w:rPr>
              <w:t>Cour suprême du Canada</w:t>
            </w:r>
          </w:p>
        </w:tc>
        <w:tc>
          <w:tcPr>
            <w:tcW w:w="243" w:type="pct"/>
          </w:tcPr>
          <w:p w:rsidR="00C66993" w:rsidRPr="00201A3F" w:rsidRDefault="00C66993" w:rsidP="00B803D5">
            <w:pPr>
              <w:jc w:val="both"/>
              <w:rPr>
                <w:rFonts w:eastAsia="Calibri"/>
                <w:sz w:val="20"/>
                <w:lang w:val="fr-FR"/>
              </w:rPr>
            </w:pPr>
          </w:p>
        </w:tc>
        <w:tc>
          <w:tcPr>
            <w:tcW w:w="2330" w:type="pct"/>
          </w:tcPr>
          <w:p w:rsidR="00C66993" w:rsidRPr="00201A3F" w:rsidRDefault="00C66993" w:rsidP="00B803D5">
            <w:pPr>
              <w:jc w:val="both"/>
              <w:rPr>
                <w:rFonts w:eastAsia="Calibri"/>
                <w:sz w:val="20"/>
                <w:lang w:val="fr-FR"/>
              </w:rPr>
            </w:pPr>
            <w:r w:rsidRPr="00201A3F">
              <w:rPr>
                <w:rFonts w:eastAsia="Calibri"/>
                <w:sz w:val="20"/>
                <w:lang w:val="fr-FR"/>
              </w:rPr>
              <w:t>Demande d’autorisation d’appel et nombreuses requêtes accessoires déposées</w:t>
            </w:r>
          </w:p>
        </w:tc>
      </w:tr>
    </w:tbl>
    <w:p w:rsidR="00A740D1" w:rsidRPr="00C66993" w:rsidRDefault="00A740D1" w:rsidP="00A740D1">
      <w:pPr>
        <w:rPr>
          <w:sz w:val="20"/>
          <w:szCs w:val="20"/>
          <w:lang w:val="fr-CA"/>
        </w:rPr>
      </w:pPr>
    </w:p>
    <w:p w:rsidR="00A740D1" w:rsidRDefault="00BF3B03" w:rsidP="00A740D1">
      <w:pPr>
        <w:rPr>
          <w:sz w:val="20"/>
          <w:szCs w:val="20"/>
        </w:rPr>
      </w:pPr>
      <w:r w:rsidRPr="00BF3B03">
        <w:rPr>
          <w:sz w:val="20"/>
          <w:szCs w:val="20"/>
          <w:lang w:val="fr-CA"/>
        </w:rPr>
        <w:pict>
          <v:rect id="_x0000_i1057"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6290" w:rsidRPr="003C7D2B" w:rsidTr="00C46290">
        <w:trPr>
          <w:cantSplit/>
        </w:trPr>
        <w:tc>
          <w:tcPr>
            <w:tcW w:w="1458" w:type="dxa"/>
          </w:tcPr>
          <w:p w:rsidR="00C46290" w:rsidRPr="003C7D2B" w:rsidRDefault="00C46290" w:rsidP="00C46290">
            <w:pPr>
              <w:rPr>
                <w:sz w:val="20"/>
                <w:szCs w:val="20"/>
              </w:rPr>
            </w:pPr>
            <w:r w:rsidRPr="003C7D2B">
              <w:rPr>
                <w:rStyle w:val="SCCFileNumberChar"/>
                <w:sz w:val="20"/>
                <w:szCs w:val="20"/>
              </w:rPr>
              <w:t>34896</w:t>
            </w:r>
          </w:p>
          <w:p w:rsidR="00C46290" w:rsidRPr="003C7D2B" w:rsidRDefault="00C46290" w:rsidP="00C46290">
            <w:pPr>
              <w:rPr>
                <w:b/>
                <w:sz w:val="20"/>
                <w:szCs w:val="20"/>
                <w:lang w:val="fr-CA"/>
              </w:rPr>
            </w:pPr>
          </w:p>
        </w:tc>
        <w:tc>
          <w:tcPr>
            <w:tcW w:w="8118" w:type="dxa"/>
          </w:tcPr>
          <w:p w:rsidR="00C46290" w:rsidRPr="003C7D2B" w:rsidRDefault="00C46290" w:rsidP="00C46290">
            <w:pPr>
              <w:rPr>
                <w:sz w:val="20"/>
                <w:szCs w:val="20"/>
              </w:rPr>
            </w:pPr>
            <w:r w:rsidRPr="00C46290">
              <w:rPr>
                <w:rStyle w:val="SCCLsocChar"/>
                <w:sz w:val="20"/>
                <w:szCs w:val="20"/>
                <w:lang w:val="en-CA"/>
              </w:rPr>
              <w:t>Norman Bourdeau v. L.H. Gray &amp; Son Limited</w:t>
            </w:r>
            <w:r w:rsidRPr="003C7D2B">
              <w:rPr>
                <w:sz w:val="20"/>
                <w:szCs w:val="20"/>
              </w:rPr>
              <w:t xml:space="preserve"> (Ont.) (Civil) (By Leave)</w:t>
            </w:r>
          </w:p>
          <w:p w:rsidR="00C46290" w:rsidRPr="003C7D2B" w:rsidRDefault="00C46290" w:rsidP="00C46290">
            <w:pPr>
              <w:rPr>
                <w:sz w:val="20"/>
                <w:szCs w:val="20"/>
              </w:rPr>
            </w:pPr>
          </w:p>
        </w:tc>
      </w:tr>
      <w:tr w:rsidR="00C46290" w:rsidRPr="003C7D2B" w:rsidTr="00C46290">
        <w:trPr>
          <w:cantSplit/>
        </w:trPr>
        <w:tc>
          <w:tcPr>
            <w:tcW w:w="1458" w:type="dxa"/>
          </w:tcPr>
          <w:p w:rsidR="00C46290" w:rsidRPr="003C7D2B" w:rsidRDefault="00C46290" w:rsidP="00C46290">
            <w:pPr>
              <w:rPr>
                <w:sz w:val="20"/>
                <w:szCs w:val="20"/>
              </w:rPr>
            </w:pPr>
            <w:r w:rsidRPr="003C7D2B">
              <w:rPr>
                <w:sz w:val="20"/>
                <w:szCs w:val="20"/>
              </w:rPr>
              <w:t>Coram :</w:t>
            </w:r>
          </w:p>
        </w:tc>
        <w:tc>
          <w:tcPr>
            <w:tcW w:w="8118" w:type="dxa"/>
          </w:tcPr>
          <w:p w:rsidR="00C46290" w:rsidRPr="003C7D2B" w:rsidRDefault="00C46290" w:rsidP="00C46290">
            <w:pPr>
              <w:rPr>
                <w:sz w:val="20"/>
                <w:szCs w:val="20"/>
              </w:rPr>
            </w:pPr>
            <w:r w:rsidRPr="00C46290">
              <w:rPr>
                <w:rStyle w:val="SCCCoramChar"/>
                <w:sz w:val="20"/>
                <w:szCs w:val="20"/>
                <w:lang w:val="en-CA"/>
              </w:rPr>
              <w:t>McLachlin C.J. and Rothstein and Moldaver JJ.</w:t>
            </w:r>
          </w:p>
          <w:p w:rsidR="00C46290" w:rsidRPr="003C7D2B" w:rsidRDefault="00C46290" w:rsidP="00C46290">
            <w:pPr>
              <w:rPr>
                <w:sz w:val="20"/>
                <w:szCs w:val="20"/>
                <w:u w:val="single"/>
              </w:rPr>
            </w:pPr>
          </w:p>
        </w:tc>
      </w:tr>
      <w:tr w:rsidR="00C46290" w:rsidRPr="00DC2D1F" w:rsidTr="00C46290">
        <w:trPr>
          <w:cantSplit/>
        </w:trPr>
        <w:tc>
          <w:tcPr>
            <w:tcW w:w="9576" w:type="dxa"/>
            <w:gridSpan w:val="2"/>
          </w:tcPr>
          <w:p w:rsidR="00C46290" w:rsidRPr="003C7D2B" w:rsidRDefault="00C46290" w:rsidP="00C46290">
            <w:pPr>
              <w:pStyle w:val="SCCShortJudgment"/>
              <w:rPr>
                <w:szCs w:val="20"/>
              </w:rPr>
            </w:pPr>
            <w:r w:rsidRPr="003C7D2B">
              <w:rPr>
                <w:szCs w:val="20"/>
              </w:rPr>
              <w:t>The application for leave to appeal from the judgment of the Court of Appeal for Ontario, Number C54138, 2012 ONCA 337, dated April 30, 2012, is dismissed with costs.</w:t>
            </w:r>
          </w:p>
          <w:p w:rsidR="00C46290" w:rsidRPr="003C7D2B" w:rsidRDefault="00C46290" w:rsidP="00C46290">
            <w:pPr>
              <w:pStyle w:val="SCCShortJudgment"/>
              <w:ind w:firstLine="0"/>
              <w:rPr>
                <w:szCs w:val="20"/>
              </w:rPr>
            </w:pPr>
          </w:p>
          <w:p w:rsidR="00C46290" w:rsidRPr="003C7D2B" w:rsidRDefault="00C46290" w:rsidP="00C46290">
            <w:pPr>
              <w:pStyle w:val="SCCShortJudgment"/>
              <w:rPr>
                <w:szCs w:val="20"/>
                <w:lang w:val="fr-CA"/>
              </w:rPr>
            </w:pPr>
            <w:r w:rsidRPr="003C7D2B">
              <w:rPr>
                <w:szCs w:val="20"/>
                <w:lang w:val="fr-CA"/>
              </w:rPr>
              <w:t>La demande d’autorisation d’appel de l’arrêt de la Cour d’appel de l’Ontario, numéro C54138, 2012 ONCA 337, daté du 30 avril 2012, est rejetée avec dépens.</w:t>
            </w:r>
          </w:p>
        </w:tc>
      </w:tr>
    </w:tbl>
    <w:p w:rsidR="00A740D1" w:rsidRPr="00C46290"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C66993" w:rsidRPr="00201A3F" w:rsidTr="00B803D5">
        <w:tc>
          <w:tcPr>
            <w:tcW w:w="5000" w:type="pct"/>
            <w:gridSpan w:val="3"/>
          </w:tcPr>
          <w:p w:rsidR="00C66993" w:rsidRPr="00201A3F" w:rsidRDefault="00C66993" w:rsidP="00B803D5">
            <w:pPr>
              <w:jc w:val="both"/>
              <w:rPr>
                <w:rFonts w:eastAsia="Calibri"/>
                <w:sz w:val="20"/>
              </w:rPr>
            </w:pPr>
            <w:r w:rsidRPr="00201A3F">
              <w:rPr>
                <w:rFonts w:eastAsia="Calibri"/>
                <w:sz w:val="20"/>
              </w:rPr>
              <w:t xml:space="preserve">Civil Procedure — Contempt of court — Whether there should be a finding in contempt when the context of the Court Order clearly demonstrates a purpose not clearly defined or vague in the Order — Whether there should be a finding of contempt when, prior to the contempt hearing, the order is set aside and the alleged contemnor is in full compliance — Whether Rule 30.10 of the </w:t>
            </w:r>
            <w:r w:rsidRPr="00201A3F">
              <w:rPr>
                <w:rFonts w:eastAsia="Calibri"/>
                <w:i/>
                <w:sz w:val="20"/>
              </w:rPr>
              <w:t>Rules of Civil Procedure</w:t>
            </w:r>
            <w:r w:rsidRPr="00201A3F">
              <w:rPr>
                <w:rFonts w:eastAsia="Calibri"/>
                <w:sz w:val="20"/>
              </w:rPr>
              <w:t xml:space="preserve"> can deprive the non-party of copies of material in his or her possession, control or power, but is not the owner — Whether there should be a finding of contempt when the plain reading of an order does not strictly prohibit an action in the order?</w:t>
            </w:r>
          </w:p>
        </w:tc>
      </w:tr>
      <w:tr w:rsidR="00C66993" w:rsidRPr="00201A3F" w:rsidTr="00B803D5">
        <w:tc>
          <w:tcPr>
            <w:tcW w:w="5000" w:type="pct"/>
            <w:gridSpan w:val="3"/>
          </w:tcPr>
          <w:p w:rsidR="00C66993" w:rsidRPr="00201A3F" w:rsidRDefault="00C66993" w:rsidP="00B803D5">
            <w:pPr>
              <w:jc w:val="both"/>
              <w:rPr>
                <w:rFonts w:eastAsia="Calibri"/>
                <w:sz w:val="20"/>
              </w:rPr>
            </w:pPr>
          </w:p>
        </w:tc>
      </w:tr>
      <w:tr w:rsidR="00C66993" w:rsidRPr="00201A3F" w:rsidTr="00B803D5">
        <w:tc>
          <w:tcPr>
            <w:tcW w:w="5000" w:type="pct"/>
            <w:gridSpan w:val="3"/>
          </w:tcPr>
          <w:p w:rsidR="00C66993" w:rsidRPr="00201A3F" w:rsidRDefault="00C66993" w:rsidP="00B803D5">
            <w:pPr>
              <w:jc w:val="both"/>
              <w:rPr>
                <w:rFonts w:eastAsia="Calibri"/>
                <w:sz w:val="20"/>
              </w:rPr>
            </w:pPr>
            <w:r w:rsidRPr="00201A3F">
              <w:rPr>
                <w:rFonts w:eastAsia="Calibri"/>
                <w:sz w:val="20"/>
              </w:rPr>
              <w:t xml:space="preserve">In the midst of litigation between L.H. Gray &amp; Son Limited (“Gray”) and Norman Bourdeau, Gray moved for an order declaring Mr. Bourdeau to be in contempt of court for breaching an order of Corkery J.  It provided, in part, that “Norm Bourdeau shall produce any and all other evidence or documents in his possession with respect to business, computer and electronic records of L.H. Gray &amp; Son Limited and transfer this material to the said supervising solicitor”. Although he made attempts to comply with the order and issued assurances that he had complied with the order, he retained copies of at least some of the material.  By the time the contempt motion was heard, Mr. Bourdeau </w:t>
            </w:r>
            <w:r w:rsidRPr="00201A3F">
              <w:rPr>
                <w:rFonts w:eastAsia="Calibri"/>
                <w:sz w:val="20"/>
              </w:rPr>
              <w:lastRenderedPageBreak/>
              <w:t>had complied with the order, but Gray still wished to pursue the motion on the basis that he had been in contempt of the order.</w:t>
            </w:r>
          </w:p>
          <w:p w:rsidR="00C66993" w:rsidRPr="00201A3F" w:rsidRDefault="00C66993" w:rsidP="00B803D5">
            <w:pPr>
              <w:jc w:val="both"/>
              <w:rPr>
                <w:rFonts w:eastAsia="Calibri"/>
                <w:sz w:val="20"/>
              </w:rPr>
            </w:pPr>
          </w:p>
          <w:p w:rsidR="00C66993" w:rsidRPr="00201A3F" w:rsidRDefault="00C66993" w:rsidP="00B803D5">
            <w:pPr>
              <w:jc w:val="both"/>
              <w:rPr>
                <w:rFonts w:eastAsia="Calibri"/>
                <w:sz w:val="20"/>
              </w:rPr>
            </w:pPr>
            <w:r w:rsidRPr="00201A3F">
              <w:rPr>
                <w:rFonts w:eastAsia="Calibri"/>
                <w:sz w:val="20"/>
              </w:rPr>
              <w:t>Lauwers J. found that Mr. Bourdeau was in contempt of the order and that he had not purged his contempt.  When the matter was brought back, Mr. Bourdeau was fined $5,000, with 60 days to pay, failing which a sentence of 10 days incarceration would be imposed.  The financial penalty could be further mitigated if Mr. Bourdeau appeared to purge his contempt.  The order was stayed pending appeal of the underlying finding of contempt. The appeal was dismissed.</w:t>
            </w:r>
          </w:p>
          <w:p w:rsidR="00C66993" w:rsidRPr="00201A3F" w:rsidRDefault="00C66993" w:rsidP="00B803D5">
            <w:pPr>
              <w:jc w:val="both"/>
              <w:rPr>
                <w:rFonts w:eastAsia="Calibri"/>
                <w:sz w:val="20"/>
              </w:rPr>
            </w:pPr>
          </w:p>
        </w:tc>
      </w:tr>
      <w:tr w:rsidR="00C66993" w:rsidRPr="00201A3F" w:rsidTr="00B803D5">
        <w:tc>
          <w:tcPr>
            <w:tcW w:w="2427" w:type="pct"/>
          </w:tcPr>
          <w:p w:rsidR="00C66993" w:rsidRPr="00201A3F" w:rsidRDefault="00C66993" w:rsidP="00B803D5">
            <w:pPr>
              <w:jc w:val="both"/>
              <w:rPr>
                <w:rFonts w:eastAsia="Calibri"/>
                <w:sz w:val="20"/>
              </w:rPr>
            </w:pPr>
            <w:r w:rsidRPr="00201A3F">
              <w:rPr>
                <w:rFonts w:eastAsia="Calibri"/>
                <w:sz w:val="20"/>
              </w:rPr>
              <w:lastRenderedPageBreak/>
              <w:t>July 28, 2011</w:t>
            </w:r>
          </w:p>
          <w:p w:rsidR="00C66993" w:rsidRPr="00201A3F" w:rsidRDefault="00C66993" w:rsidP="00B803D5">
            <w:pPr>
              <w:jc w:val="both"/>
              <w:rPr>
                <w:rFonts w:eastAsia="Calibri"/>
                <w:sz w:val="20"/>
              </w:rPr>
            </w:pPr>
            <w:r w:rsidRPr="00201A3F">
              <w:rPr>
                <w:rFonts w:eastAsia="Calibri"/>
                <w:sz w:val="20"/>
              </w:rPr>
              <w:t>Ontario Superior Court of Justice</w:t>
            </w:r>
          </w:p>
          <w:p w:rsidR="00C66993" w:rsidRPr="00201A3F" w:rsidRDefault="00C66993" w:rsidP="00B803D5">
            <w:pPr>
              <w:jc w:val="both"/>
              <w:rPr>
                <w:rFonts w:eastAsia="Calibri"/>
                <w:sz w:val="20"/>
              </w:rPr>
            </w:pPr>
            <w:r w:rsidRPr="00201A3F">
              <w:rPr>
                <w:rFonts w:eastAsia="Calibri"/>
                <w:sz w:val="20"/>
              </w:rPr>
              <w:t>(Lauwers J.)</w:t>
            </w:r>
          </w:p>
          <w:p w:rsidR="00C66993" w:rsidRPr="00201A3F" w:rsidRDefault="00C66993" w:rsidP="00B803D5">
            <w:pPr>
              <w:jc w:val="both"/>
              <w:rPr>
                <w:rFonts w:eastAsia="Calibri"/>
                <w:sz w:val="20"/>
              </w:rPr>
            </w:pPr>
            <w:r w:rsidRPr="00201A3F">
              <w:rPr>
                <w:rFonts w:eastAsia="Calibri"/>
                <w:sz w:val="20"/>
              </w:rPr>
              <w:t>2011 ONSC 3650</w:t>
            </w:r>
          </w:p>
          <w:p w:rsidR="00C66993" w:rsidRPr="00201A3F" w:rsidRDefault="00C66993" w:rsidP="00B803D5">
            <w:pPr>
              <w:jc w:val="both"/>
              <w:rPr>
                <w:rFonts w:eastAsia="Calibri"/>
                <w:sz w:val="20"/>
              </w:rPr>
            </w:pPr>
          </w:p>
        </w:tc>
        <w:tc>
          <w:tcPr>
            <w:tcW w:w="243" w:type="pct"/>
          </w:tcPr>
          <w:p w:rsidR="00C66993" w:rsidRPr="00201A3F" w:rsidRDefault="00C66993" w:rsidP="00B803D5">
            <w:pPr>
              <w:jc w:val="both"/>
              <w:rPr>
                <w:rFonts w:eastAsia="Calibri"/>
                <w:sz w:val="20"/>
              </w:rPr>
            </w:pPr>
          </w:p>
        </w:tc>
        <w:tc>
          <w:tcPr>
            <w:tcW w:w="2330" w:type="pct"/>
          </w:tcPr>
          <w:p w:rsidR="00C66993" w:rsidRPr="00201A3F" w:rsidRDefault="00C66993" w:rsidP="00B803D5">
            <w:pPr>
              <w:jc w:val="both"/>
              <w:rPr>
                <w:rFonts w:eastAsia="Calibri"/>
                <w:sz w:val="20"/>
              </w:rPr>
            </w:pPr>
            <w:r w:rsidRPr="00201A3F">
              <w:rPr>
                <w:rFonts w:eastAsia="Calibri"/>
                <w:sz w:val="20"/>
              </w:rPr>
              <w:t>Applicant found to be in contempt of a court order</w:t>
            </w:r>
          </w:p>
          <w:p w:rsidR="00C66993" w:rsidRPr="00201A3F" w:rsidRDefault="00C66993" w:rsidP="00B803D5">
            <w:pPr>
              <w:jc w:val="both"/>
              <w:rPr>
                <w:rFonts w:eastAsia="Calibri"/>
                <w:sz w:val="20"/>
              </w:rPr>
            </w:pPr>
          </w:p>
        </w:tc>
      </w:tr>
      <w:tr w:rsidR="00C66993" w:rsidRPr="00201A3F" w:rsidTr="00B803D5">
        <w:tc>
          <w:tcPr>
            <w:tcW w:w="2427" w:type="pct"/>
          </w:tcPr>
          <w:p w:rsidR="00C66993" w:rsidRPr="00201A3F" w:rsidRDefault="00C66993" w:rsidP="00B803D5">
            <w:pPr>
              <w:jc w:val="both"/>
              <w:rPr>
                <w:rFonts w:eastAsia="Calibri"/>
                <w:sz w:val="20"/>
              </w:rPr>
            </w:pPr>
            <w:r w:rsidRPr="00201A3F">
              <w:rPr>
                <w:rFonts w:eastAsia="Calibri"/>
                <w:sz w:val="20"/>
              </w:rPr>
              <w:t>April 16, 2012</w:t>
            </w:r>
          </w:p>
          <w:p w:rsidR="00C66993" w:rsidRPr="00201A3F" w:rsidRDefault="00C66993" w:rsidP="00B803D5">
            <w:pPr>
              <w:jc w:val="both"/>
              <w:rPr>
                <w:rFonts w:eastAsia="Calibri"/>
                <w:sz w:val="20"/>
              </w:rPr>
            </w:pPr>
            <w:r w:rsidRPr="00201A3F">
              <w:rPr>
                <w:rFonts w:eastAsia="Calibri"/>
                <w:sz w:val="20"/>
              </w:rPr>
              <w:t>Ontario Superior Court of Justice</w:t>
            </w:r>
          </w:p>
          <w:p w:rsidR="00C66993" w:rsidRPr="00201A3F" w:rsidRDefault="00C66993" w:rsidP="00B803D5">
            <w:pPr>
              <w:jc w:val="both"/>
              <w:rPr>
                <w:rFonts w:eastAsia="Calibri"/>
                <w:sz w:val="20"/>
              </w:rPr>
            </w:pPr>
            <w:r w:rsidRPr="00201A3F">
              <w:rPr>
                <w:rFonts w:eastAsia="Calibri"/>
                <w:sz w:val="20"/>
              </w:rPr>
              <w:t>(Lauwers J.)</w:t>
            </w:r>
          </w:p>
          <w:p w:rsidR="00C66993" w:rsidRPr="00201A3F" w:rsidRDefault="00C66993" w:rsidP="00B803D5">
            <w:pPr>
              <w:jc w:val="both"/>
              <w:rPr>
                <w:rFonts w:eastAsia="Calibri"/>
                <w:sz w:val="20"/>
              </w:rPr>
            </w:pPr>
            <w:r w:rsidRPr="00201A3F">
              <w:rPr>
                <w:rFonts w:eastAsia="Calibri"/>
                <w:sz w:val="20"/>
              </w:rPr>
              <w:t>202 ONSC 2240</w:t>
            </w:r>
          </w:p>
          <w:p w:rsidR="00C66993" w:rsidRPr="00201A3F" w:rsidRDefault="00C66993" w:rsidP="00B803D5">
            <w:pPr>
              <w:jc w:val="both"/>
              <w:rPr>
                <w:rFonts w:eastAsia="Calibri"/>
                <w:sz w:val="20"/>
              </w:rPr>
            </w:pPr>
          </w:p>
        </w:tc>
        <w:tc>
          <w:tcPr>
            <w:tcW w:w="243" w:type="pct"/>
          </w:tcPr>
          <w:p w:rsidR="00C66993" w:rsidRPr="00201A3F" w:rsidRDefault="00C66993" w:rsidP="00B803D5">
            <w:pPr>
              <w:jc w:val="both"/>
              <w:rPr>
                <w:rFonts w:eastAsia="Calibri"/>
                <w:sz w:val="20"/>
              </w:rPr>
            </w:pPr>
          </w:p>
        </w:tc>
        <w:tc>
          <w:tcPr>
            <w:tcW w:w="2330" w:type="pct"/>
          </w:tcPr>
          <w:p w:rsidR="00C66993" w:rsidRPr="00201A3F" w:rsidRDefault="00C66993" w:rsidP="00B803D5">
            <w:pPr>
              <w:jc w:val="both"/>
              <w:rPr>
                <w:rFonts w:eastAsia="Calibri"/>
                <w:sz w:val="20"/>
              </w:rPr>
            </w:pPr>
            <w:r w:rsidRPr="00201A3F">
              <w:rPr>
                <w:rFonts w:eastAsia="Calibri"/>
                <w:sz w:val="20"/>
              </w:rPr>
              <w:t>Applicant fined $5,000, which could be mitigated if the Applicant appeared before the court to purge his contempt; costs assessed on a full indemnity basis</w:t>
            </w:r>
          </w:p>
          <w:p w:rsidR="00C66993" w:rsidRPr="00201A3F" w:rsidRDefault="00C66993" w:rsidP="00B803D5">
            <w:pPr>
              <w:jc w:val="both"/>
              <w:rPr>
                <w:rFonts w:eastAsia="Calibri"/>
                <w:sz w:val="20"/>
              </w:rPr>
            </w:pPr>
          </w:p>
        </w:tc>
      </w:tr>
      <w:tr w:rsidR="00C66993" w:rsidRPr="00201A3F" w:rsidTr="00B803D5">
        <w:tc>
          <w:tcPr>
            <w:tcW w:w="2427" w:type="pct"/>
          </w:tcPr>
          <w:p w:rsidR="00C66993" w:rsidRPr="00201A3F" w:rsidRDefault="00C66993" w:rsidP="00B803D5">
            <w:pPr>
              <w:jc w:val="both"/>
              <w:rPr>
                <w:rFonts w:eastAsia="Calibri"/>
                <w:sz w:val="20"/>
              </w:rPr>
            </w:pPr>
            <w:r w:rsidRPr="00201A3F">
              <w:rPr>
                <w:rFonts w:eastAsia="Calibri"/>
                <w:sz w:val="20"/>
              </w:rPr>
              <w:t>April 30, 2012</w:t>
            </w:r>
          </w:p>
          <w:p w:rsidR="00C66993" w:rsidRPr="00201A3F" w:rsidRDefault="00C66993" w:rsidP="00B803D5">
            <w:pPr>
              <w:jc w:val="both"/>
              <w:rPr>
                <w:rFonts w:eastAsia="Calibri"/>
                <w:sz w:val="20"/>
              </w:rPr>
            </w:pPr>
            <w:r w:rsidRPr="00201A3F">
              <w:rPr>
                <w:rFonts w:eastAsia="Calibri"/>
                <w:sz w:val="20"/>
              </w:rPr>
              <w:t>Court of Appeal for Ontario</w:t>
            </w:r>
          </w:p>
          <w:p w:rsidR="00C66993" w:rsidRPr="00201A3F" w:rsidRDefault="00C66993" w:rsidP="00B803D5">
            <w:pPr>
              <w:jc w:val="both"/>
              <w:rPr>
                <w:rFonts w:eastAsia="Calibri"/>
                <w:sz w:val="20"/>
              </w:rPr>
            </w:pPr>
            <w:r w:rsidRPr="00201A3F">
              <w:rPr>
                <w:rFonts w:eastAsia="Calibri"/>
                <w:sz w:val="20"/>
              </w:rPr>
              <w:t>(Simmons, Armstrong, and Pepall JJ.A.)</w:t>
            </w:r>
          </w:p>
          <w:p w:rsidR="00C66993" w:rsidRPr="00201A3F" w:rsidRDefault="00C66993" w:rsidP="00B803D5">
            <w:pPr>
              <w:jc w:val="both"/>
              <w:rPr>
                <w:rFonts w:eastAsia="Calibri"/>
                <w:sz w:val="20"/>
              </w:rPr>
            </w:pPr>
            <w:r w:rsidRPr="00201A3F">
              <w:rPr>
                <w:rFonts w:eastAsia="Calibri"/>
                <w:sz w:val="20"/>
              </w:rPr>
              <w:t>2012 ONCA 337</w:t>
            </w:r>
          </w:p>
          <w:p w:rsidR="00C66993" w:rsidRPr="00201A3F" w:rsidRDefault="00C66993" w:rsidP="00B803D5">
            <w:pPr>
              <w:jc w:val="both"/>
              <w:rPr>
                <w:rFonts w:eastAsia="Calibri"/>
                <w:sz w:val="20"/>
              </w:rPr>
            </w:pPr>
          </w:p>
        </w:tc>
        <w:tc>
          <w:tcPr>
            <w:tcW w:w="243" w:type="pct"/>
          </w:tcPr>
          <w:p w:rsidR="00C66993" w:rsidRPr="00201A3F" w:rsidRDefault="00C66993" w:rsidP="00B803D5">
            <w:pPr>
              <w:jc w:val="both"/>
              <w:rPr>
                <w:rFonts w:eastAsia="Calibri"/>
                <w:sz w:val="20"/>
              </w:rPr>
            </w:pPr>
          </w:p>
        </w:tc>
        <w:tc>
          <w:tcPr>
            <w:tcW w:w="2330" w:type="pct"/>
          </w:tcPr>
          <w:p w:rsidR="00C66993" w:rsidRPr="00201A3F" w:rsidRDefault="00C66993" w:rsidP="00B803D5">
            <w:pPr>
              <w:jc w:val="both"/>
              <w:rPr>
                <w:rFonts w:eastAsia="Calibri"/>
                <w:sz w:val="20"/>
              </w:rPr>
            </w:pPr>
            <w:r w:rsidRPr="00201A3F">
              <w:rPr>
                <w:rFonts w:eastAsia="Calibri"/>
                <w:sz w:val="20"/>
              </w:rPr>
              <w:t>Appeal dismissed</w:t>
            </w:r>
          </w:p>
        </w:tc>
      </w:tr>
      <w:tr w:rsidR="00C66993" w:rsidRPr="00201A3F" w:rsidTr="00B803D5">
        <w:tc>
          <w:tcPr>
            <w:tcW w:w="2427" w:type="pct"/>
          </w:tcPr>
          <w:p w:rsidR="00C66993" w:rsidRPr="00201A3F" w:rsidRDefault="00C66993" w:rsidP="00B803D5">
            <w:pPr>
              <w:jc w:val="both"/>
              <w:rPr>
                <w:rFonts w:eastAsia="Calibri"/>
                <w:sz w:val="20"/>
              </w:rPr>
            </w:pPr>
            <w:r w:rsidRPr="00201A3F">
              <w:rPr>
                <w:rFonts w:eastAsia="Calibri"/>
                <w:sz w:val="20"/>
              </w:rPr>
              <w:t>June 29, 2012</w:t>
            </w:r>
          </w:p>
          <w:p w:rsidR="00C66993" w:rsidRPr="00201A3F" w:rsidRDefault="00C66993" w:rsidP="00B803D5">
            <w:pPr>
              <w:jc w:val="both"/>
              <w:rPr>
                <w:rFonts w:eastAsia="Calibri"/>
                <w:sz w:val="20"/>
              </w:rPr>
            </w:pPr>
            <w:r w:rsidRPr="00201A3F">
              <w:rPr>
                <w:rFonts w:eastAsia="Calibri"/>
                <w:sz w:val="20"/>
              </w:rPr>
              <w:t>Supreme Court of Canada</w:t>
            </w:r>
          </w:p>
        </w:tc>
        <w:tc>
          <w:tcPr>
            <w:tcW w:w="243" w:type="pct"/>
          </w:tcPr>
          <w:p w:rsidR="00C66993" w:rsidRPr="00201A3F" w:rsidRDefault="00C66993" w:rsidP="00B803D5">
            <w:pPr>
              <w:jc w:val="both"/>
              <w:rPr>
                <w:rFonts w:eastAsia="Calibri"/>
                <w:sz w:val="20"/>
              </w:rPr>
            </w:pPr>
          </w:p>
        </w:tc>
        <w:tc>
          <w:tcPr>
            <w:tcW w:w="2330" w:type="pct"/>
          </w:tcPr>
          <w:p w:rsidR="00C66993" w:rsidRPr="00201A3F" w:rsidRDefault="00C66993" w:rsidP="00B803D5">
            <w:pPr>
              <w:jc w:val="both"/>
              <w:rPr>
                <w:rFonts w:eastAsia="Calibri"/>
                <w:sz w:val="20"/>
              </w:rPr>
            </w:pPr>
            <w:r w:rsidRPr="00201A3F">
              <w:rPr>
                <w:rFonts w:eastAsia="Calibri"/>
                <w:sz w:val="20"/>
              </w:rPr>
              <w:t>Application for leave to appeal filed</w:t>
            </w: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58"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C66993" w:rsidRPr="00DC2D1F" w:rsidTr="00B803D5">
        <w:tc>
          <w:tcPr>
            <w:tcW w:w="5000" w:type="pct"/>
            <w:gridSpan w:val="3"/>
          </w:tcPr>
          <w:p w:rsidR="00C66993" w:rsidRPr="00201A3F" w:rsidRDefault="00C66993" w:rsidP="00B803D5">
            <w:pPr>
              <w:jc w:val="both"/>
              <w:rPr>
                <w:rFonts w:eastAsia="Calibri"/>
                <w:sz w:val="20"/>
                <w:lang w:val="fr-CA"/>
              </w:rPr>
            </w:pPr>
            <w:r w:rsidRPr="00201A3F">
              <w:rPr>
                <w:rFonts w:eastAsia="Calibri"/>
                <w:sz w:val="20"/>
                <w:lang w:val="fr-CA"/>
              </w:rPr>
              <w:t>Procédure civile — Outrage au tribunal — Devrait-il y avoir une condamnation pour outrage au tribunal lorsque que le contexte de l'ordonnance de la Cour démontre clairement une fin mal définie ou vague? — Devrait-il y avoir une condamnation pour outrage au tribunal lorsque, avant l'audience pour outrage, l'ordonnance est annulée et que l'auteur présumé de l'outrage s’y est entièrement conformé? — La règle 30.10 des</w:t>
            </w:r>
            <w:r w:rsidRPr="00201A3F">
              <w:rPr>
                <w:rFonts w:eastAsia="Calibri"/>
                <w:i/>
                <w:sz w:val="20"/>
                <w:lang w:val="fr-CA"/>
              </w:rPr>
              <w:t xml:space="preserve"> Règles de procédure civile</w:t>
            </w:r>
            <w:r w:rsidRPr="00201A3F">
              <w:rPr>
                <w:rFonts w:eastAsia="Calibri"/>
                <w:sz w:val="20"/>
                <w:lang w:val="fr-CA"/>
              </w:rPr>
              <w:t xml:space="preserve"> peut-elle avoir pour effet de priver le tiers de copies de documents en sa possession, sous son contrôle ou sous sa garde mais dont il n'est pas le propriétaire — Devrait-il y avoir une condamnation pour outrage au tribunal lorsque le sens ordinaire d'une ordonnance n'interdit pas strictement un acte qui y est mentionné?</w:t>
            </w:r>
          </w:p>
        </w:tc>
      </w:tr>
      <w:tr w:rsidR="00C66993" w:rsidRPr="00DC2D1F" w:rsidTr="00B803D5">
        <w:tc>
          <w:tcPr>
            <w:tcW w:w="5000" w:type="pct"/>
            <w:gridSpan w:val="3"/>
          </w:tcPr>
          <w:p w:rsidR="00C66993" w:rsidRPr="00201A3F" w:rsidRDefault="00C66993" w:rsidP="00B803D5">
            <w:pPr>
              <w:jc w:val="both"/>
              <w:rPr>
                <w:rFonts w:eastAsia="Calibri"/>
                <w:sz w:val="20"/>
                <w:lang w:val="fr-CA"/>
              </w:rPr>
            </w:pPr>
          </w:p>
        </w:tc>
      </w:tr>
      <w:tr w:rsidR="00C66993" w:rsidRPr="00201A3F" w:rsidTr="00B803D5">
        <w:tc>
          <w:tcPr>
            <w:tcW w:w="5000" w:type="pct"/>
            <w:gridSpan w:val="3"/>
          </w:tcPr>
          <w:p w:rsidR="00C66993" w:rsidRPr="00201A3F" w:rsidRDefault="00C66993" w:rsidP="00B803D5">
            <w:pPr>
              <w:jc w:val="both"/>
              <w:rPr>
                <w:rFonts w:eastAsia="Calibri"/>
                <w:sz w:val="20"/>
                <w:lang w:val="fr-CA"/>
              </w:rPr>
            </w:pPr>
            <w:r w:rsidRPr="00201A3F">
              <w:rPr>
                <w:rFonts w:eastAsia="Calibri"/>
                <w:sz w:val="20"/>
                <w:lang w:val="fr-CA"/>
              </w:rPr>
              <w:t>Au cours d'un litige opposant L.H. Gray &amp; Son Limited (« Gray ») et Norman Bourdeau, Gray a demandé par motion que M. Bourdeau soit déclaré coupable d'outrage au tribunal pour avoir violé une ordonnance rendue par le juge Corkery.  Cette ordonnance enjoignait notamment à [</w:t>
            </w:r>
            <w:r w:rsidRPr="00201A3F">
              <w:rPr>
                <w:rFonts w:eastAsia="Calibri"/>
                <w:smallCaps/>
                <w:sz w:val="20"/>
                <w:lang w:val="fr-CA"/>
              </w:rPr>
              <w:t>traduction</w:t>
            </w:r>
            <w:r w:rsidRPr="00201A3F">
              <w:rPr>
                <w:rFonts w:eastAsia="Calibri"/>
                <w:sz w:val="20"/>
                <w:lang w:val="fr-CA"/>
              </w:rPr>
              <w:t>] « Norm Bourdeau de produire tout autre preuve ou document en sa possession relativement aux documents commerciaux, informatiques et électroniques de L.H. Gray &amp; Son Limited et de remettre ces documents à l’avocat surveillant ».  Même s'il a fait des tentatives pour se conformer à l'ordonnance et a donné des assurances comme quoi il s'y était conformé, il a conservé des copies de certains documents. Lorsque la motion en outrage a été entendue, M. Bourdeau s'était conformé à l'ordonnance, mais Gray voulait quand-même que la motion suive son cours, alléguant que M. Bourdeau avait commis un outrage relativement à l'ordonnance.</w:t>
            </w:r>
          </w:p>
          <w:p w:rsidR="00C66993" w:rsidRPr="00201A3F" w:rsidRDefault="00C66993" w:rsidP="00B803D5">
            <w:pPr>
              <w:jc w:val="both"/>
              <w:rPr>
                <w:rFonts w:eastAsia="Calibri"/>
                <w:sz w:val="20"/>
                <w:lang w:val="fr-CA"/>
              </w:rPr>
            </w:pPr>
          </w:p>
          <w:p w:rsidR="00C66993" w:rsidRPr="00201A3F" w:rsidRDefault="00C66993" w:rsidP="00B803D5">
            <w:pPr>
              <w:jc w:val="both"/>
              <w:rPr>
                <w:rFonts w:eastAsia="Calibri"/>
                <w:sz w:val="20"/>
                <w:lang w:val="fr-CA"/>
              </w:rPr>
            </w:pPr>
            <w:r w:rsidRPr="00201A3F">
              <w:rPr>
                <w:rFonts w:eastAsia="Calibri"/>
                <w:sz w:val="20"/>
                <w:lang w:val="fr-CA"/>
              </w:rPr>
              <w:t xml:space="preserve">Le juge Lauwers a conclu que M. Bourdeau avait commis un outrage relativement à l'ordonnance et qu'il ne l'avait pas réparé. Au terme de l'audience, M. Bourdeau s'est vu imposer une amende de 5 000 $ payable dans un délai de 60 jours à défaut de quoi une peine de détention de dix jours allait être imposée. L'amende pouvait être réduite si </w:t>
            </w:r>
            <w:r w:rsidRPr="00201A3F">
              <w:rPr>
                <w:rFonts w:eastAsia="Calibri"/>
                <w:sz w:val="20"/>
                <w:lang w:val="fr-CA"/>
              </w:rPr>
              <w:lastRenderedPageBreak/>
              <w:t>M. Bourdeau comparaissait pour réparer son outrage.  L'ordonnance a été suspendue en attendant l'appel de la condamnation sous-jacente pour outrage au tribunal.  L'appel a été rejeté.</w:t>
            </w:r>
          </w:p>
          <w:p w:rsidR="00C66993" w:rsidRPr="00201A3F" w:rsidRDefault="00C66993" w:rsidP="00B803D5">
            <w:pPr>
              <w:jc w:val="both"/>
              <w:rPr>
                <w:rFonts w:eastAsia="Calibri"/>
                <w:sz w:val="20"/>
                <w:lang w:val="fr-CA"/>
              </w:rPr>
            </w:pPr>
          </w:p>
        </w:tc>
      </w:tr>
      <w:tr w:rsidR="00C66993" w:rsidRPr="00DC2D1F" w:rsidTr="00B803D5">
        <w:tc>
          <w:tcPr>
            <w:tcW w:w="2427" w:type="pct"/>
          </w:tcPr>
          <w:p w:rsidR="00C66993" w:rsidRPr="00201A3F" w:rsidRDefault="00C66993" w:rsidP="00B803D5">
            <w:pPr>
              <w:jc w:val="both"/>
              <w:rPr>
                <w:rFonts w:eastAsia="Calibri"/>
                <w:sz w:val="20"/>
                <w:lang w:val="fr-CA"/>
              </w:rPr>
            </w:pPr>
            <w:r w:rsidRPr="00201A3F">
              <w:rPr>
                <w:rFonts w:eastAsia="Calibri"/>
                <w:sz w:val="20"/>
                <w:lang w:val="fr-CA"/>
              </w:rPr>
              <w:lastRenderedPageBreak/>
              <w:t>28 juillet 2011</w:t>
            </w:r>
          </w:p>
          <w:p w:rsidR="00C66993" w:rsidRPr="00201A3F" w:rsidRDefault="00C66993" w:rsidP="00B803D5">
            <w:pPr>
              <w:jc w:val="both"/>
              <w:rPr>
                <w:rFonts w:eastAsia="Calibri"/>
                <w:sz w:val="20"/>
                <w:lang w:val="fr-CA"/>
              </w:rPr>
            </w:pPr>
            <w:r w:rsidRPr="00201A3F">
              <w:rPr>
                <w:rFonts w:eastAsia="Calibri"/>
                <w:sz w:val="20"/>
                <w:lang w:val="fr-CA"/>
              </w:rPr>
              <w:t>Cour supérieure de justice de l'Ontario</w:t>
            </w:r>
          </w:p>
          <w:p w:rsidR="00C66993" w:rsidRPr="00201A3F" w:rsidRDefault="00C66993" w:rsidP="00B803D5">
            <w:pPr>
              <w:jc w:val="both"/>
              <w:rPr>
                <w:rFonts w:eastAsia="Calibri"/>
                <w:sz w:val="20"/>
                <w:lang w:val="fr-CA"/>
              </w:rPr>
            </w:pPr>
            <w:r w:rsidRPr="00201A3F">
              <w:rPr>
                <w:rFonts w:eastAsia="Calibri"/>
                <w:sz w:val="20"/>
                <w:lang w:val="fr-CA"/>
              </w:rPr>
              <w:t>(Juge Lauwers)</w:t>
            </w:r>
          </w:p>
          <w:p w:rsidR="00C66993" w:rsidRPr="00201A3F" w:rsidRDefault="00C66993" w:rsidP="00B803D5">
            <w:pPr>
              <w:jc w:val="both"/>
              <w:rPr>
                <w:rFonts w:eastAsia="Calibri"/>
                <w:sz w:val="20"/>
                <w:lang w:val="fr-CA"/>
              </w:rPr>
            </w:pPr>
            <w:r w:rsidRPr="00201A3F">
              <w:rPr>
                <w:rFonts w:eastAsia="Calibri"/>
                <w:sz w:val="20"/>
                <w:lang w:val="fr-CA"/>
              </w:rPr>
              <w:t>2011 ONSC 3650</w:t>
            </w:r>
          </w:p>
          <w:p w:rsidR="00C66993" w:rsidRPr="00201A3F" w:rsidRDefault="00C66993" w:rsidP="00B803D5">
            <w:pPr>
              <w:jc w:val="both"/>
              <w:rPr>
                <w:rFonts w:eastAsia="Calibri"/>
                <w:sz w:val="20"/>
                <w:lang w:val="fr-CA"/>
              </w:rPr>
            </w:pPr>
          </w:p>
        </w:tc>
        <w:tc>
          <w:tcPr>
            <w:tcW w:w="243" w:type="pct"/>
          </w:tcPr>
          <w:p w:rsidR="00C66993" w:rsidRPr="00201A3F" w:rsidRDefault="00C66993" w:rsidP="00B803D5">
            <w:pPr>
              <w:jc w:val="both"/>
              <w:rPr>
                <w:rFonts w:eastAsia="Calibri"/>
                <w:sz w:val="20"/>
                <w:lang w:val="fr-CA"/>
              </w:rPr>
            </w:pPr>
          </w:p>
        </w:tc>
        <w:tc>
          <w:tcPr>
            <w:tcW w:w="2330" w:type="pct"/>
          </w:tcPr>
          <w:p w:rsidR="00C66993" w:rsidRPr="00201A3F" w:rsidRDefault="00C66993" w:rsidP="00B803D5">
            <w:pPr>
              <w:jc w:val="both"/>
              <w:rPr>
                <w:rFonts w:eastAsia="Calibri"/>
                <w:sz w:val="20"/>
                <w:lang w:val="fr-CA"/>
              </w:rPr>
            </w:pPr>
            <w:r w:rsidRPr="00201A3F">
              <w:rPr>
                <w:rFonts w:eastAsia="Calibri"/>
                <w:sz w:val="20"/>
                <w:lang w:val="fr-CA"/>
              </w:rPr>
              <w:t>Demandeur condamné pour outrage au tribunal</w:t>
            </w:r>
          </w:p>
          <w:p w:rsidR="00C66993" w:rsidRPr="00201A3F" w:rsidRDefault="00C66993" w:rsidP="00B803D5">
            <w:pPr>
              <w:jc w:val="both"/>
              <w:rPr>
                <w:rFonts w:eastAsia="Calibri"/>
                <w:sz w:val="20"/>
                <w:lang w:val="fr-CA"/>
              </w:rPr>
            </w:pPr>
          </w:p>
        </w:tc>
      </w:tr>
      <w:tr w:rsidR="00C66993" w:rsidRPr="00DC2D1F" w:rsidTr="00B803D5">
        <w:tc>
          <w:tcPr>
            <w:tcW w:w="2427" w:type="pct"/>
          </w:tcPr>
          <w:p w:rsidR="00C66993" w:rsidRPr="00201A3F" w:rsidRDefault="00C66993" w:rsidP="00B803D5">
            <w:pPr>
              <w:jc w:val="both"/>
              <w:rPr>
                <w:rFonts w:eastAsia="Calibri"/>
                <w:sz w:val="20"/>
                <w:lang w:val="fr-CA"/>
              </w:rPr>
            </w:pPr>
            <w:r w:rsidRPr="00201A3F">
              <w:rPr>
                <w:rFonts w:eastAsia="Calibri"/>
                <w:sz w:val="20"/>
                <w:lang w:val="fr-CA"/>
              </w:rPr>
              <w:t>16 avril 2012</w:t>
            </w:r>
          </w:p>
          <w:p w:rsidR="00C66993" w:rsidRPr="00201A3F" w:rsidRDefault="00C66993" w:rsidP="00B803D5">
            <w:pPr>
              <w:jc w:val="both"/>
              <w:rPr>
                <w:rFonts w:eastAsia="Calibri"/>
                <w:sz w:val="20"/>
                <w:lang w:val="fr-CA"/>
              </w:rPr>
            </w:pPr>
            <w:r w:rsidRPr="00201A3F">
              <w:rPr>
                <w:rFonts w:eastAsia="Calibri"/>
                <w:sz w:val="20"/>
                <w:lang w:val="fr-CA"/>
              </w:rPr>
              <w:t>Cour supérieure de justice de l'Ontario</w:t>
            </w:r>
          </w:p>
          <w:p w:rsidR="00C66993" w:rsidRPr="00201A3F" w:rsidRDefault="00C66993" w:rsidP="00B803D5">
            <w:pPr>
              <w:jc w:val="both"/>
              <w:rPr>
                <w:rFonts w:eastAsia="Calibri"/>
                <w:sz w:val="20"/>
                <w:lang w:val="fr-CA"/>
              </w:rPr>
            </w:pPr>
            <w:r w:rsidRPr="00201A3F">
              <w:rPr>
                <w:rFonts w:eastAsia="Calibri"/>
                <w:sz w:val="20"/>
                <w:lang w:val="fr-CA"/>
              </w:rPr>
              <w:t>(Juge Lauwers)</w:t>
            </w:r>
          </w:p>
          <w:p w:rsidR="00C66993" w:rsidRPr="00201A3F" w:rsidRDefault="00C66993" w:rsidP="00B803D5">
            <w:pPr>
              <w:jc w:val="both"/>
              <w:rPr>
                <w:rFonts w:eastAsia="Calibri"/>
                <w:sz w:val="20"/>
                <w:lang w:val="fr-CA"/>
              </w:rPr>
            </w:pPr>
            <w:r w:rsidRPr="00201A3F">
              <w:rPr>
                <w:rFonts w:eastAsia="Calibri"/>
                <w:sz w:val="20"/>
                <w:lang w:val="fr-CA"/>
              </w:rPr>
              <w:t>202 ONSC 2240</w:t>
            </w:r>
          </w:p>
          <w:p w:rsidR="00C66993" w:rsidRPr="00201A3F" w:rsidRDefault="00C66993" w:rsidP="00B803D5">
            <w:pPr>
              <w:jc w:val="both"/>
              <w:rPr>
                <w:rFonts w:eastAsia="Calibri"/>
                <w:sz w:val="20"/>
                <w:lang w:val="fr-CA"/>
              </w:rPr>
            </w:pPr>
          </w:p>
        </w:tc>
        <w:tc>
          <w:tcPr>
            <w:tcW w:w="243" w:type="pct"/>
          </w:tcPr>
          <w:p w:rsidR="00C66993" w:rsidRPr="00201A3F" w:rsidRDefault="00C66993" w:rsidP="00B803D5">
            <w:pPr>
              <w:jc w:val="both"/>
              <w:rPr>
                <w:rFonts w:eastAsia="Calibri"/>
                <w:sz w:val="20"/>
                <w:lang w:val="fr-CA"/>
              </w:rPr>
            </w:pPr>
          </w:p>
        </w:tc>
        <w:tc>
          <w:tcPr>
            <w:tcW w:w="2330" w:type="pct"/>
          </w:tcPr>
          <w:p w:rsidR="00C66993" w:rsidRPr="00201A3F" w:rsidRDefault="00C66993" w:rsidP="00B803D5">
            <w:pPr>
              <w:jc w:val="both"/>
              <w:rPr>
                <w:rFonts w:eastAsia="Calibri"/>
                <w:sz w:val="20"/>
                <w:lang w:val="fr-CA"/>
              </w:rPr>
            </w:pPr>
            <w:r w:rsidRPr="00201A3F">
              <w:rPr>
                <w:rFonts w:eastAsia="Calibri"/>
                <w:sz w:val="20"/>
                <w:lang w:val="fr-CA"/>
              </w:rPr>
              <w:t>Le demandeur se voit imposer une amende de 5 000 $ qui peut être réduite si le demandeur comparaît devant le tribunal pour réparer son outrage; dépens liquidés sur la base d'une indemnisation totale</w:t>
            </w:r>
          </w:p>
          <w:p w:rsidR="00C66993" w:rsidRPr="00201A3F" w:rsidRDefault="00C66993" w:rsidP="00B803D5">
            <w:pPr>
              <w:jc w:val="both"/>
              <w:rPr>
                <w:rFonts w:eastAsia="Calibri"/>
                <w:sz w:val="20"/>
                <w:lang w:val="fr-CA"/>
              </w:rPr>
            </w:pPr>
          </w:p>
        </w:tc>
      </w:tr>
      <w:tr w:rsidR="00C66993" w:rsidRPr="00201A3F" w:rsidTr="00B803D5">
        <w:tc>
          <w:tcPr>
            <w:tcW w:w="2427" w:type="pct"/>
          </w:tcPr>
          <w:p w:rsidR="00C66993" w:rsidRPr="00201A3F" w:rsidRDefault="00C66993" w:rsidP="00B803D5">
            <w:pPr>
              <w:jc w:val="both"/>
              <w:rPr>
                <w:rFonts w:eastAsia="Calibri"/>
                <w:sz w:val="20"/>
                <w:lang w:val="fr-CA"/>
              </w:rPr>
            </w:pPr>
            <w:r w:rsidRPr="00201A3F">
              <w:rPr>
                <w:rFonts w:eastAsia="Calibri"/>
                <w:sz w:val="20"/>
                <w:lang w:val="fr-CA"/>
              </w:rPr>
              <w:t>30 avril 2012</w:t>
            </w:r>
          </w:p>
          <w:p w:rsidR="00C66993" w:rsidRPr="00201A3F" w:rsidRDefault="00C66993" w:rsidP="00B803D5">
            <w:pPr>
              <w:jc w:val="both"/>
              <w:rPr>
                <w:rFonts w:eastAsia="Calibri"/>
                <w:sz w:val="20"/>
                <w:lang w:val="fr-CA"/>
              </w:rPr>
            </w:pPr>
            <w:r w:rsidRPr="00201A3F">
              <w:rPr>
                <w:rFonts w:eastAsia="Calibri"/>
                <w:sz w:val="20"/>
                <w:lang w:val="fr-CA"/>
              </w:rPr>
              <w:t xml:space="preserve">Cour d'appel de l'Ontario </w:t>
            </w:r>
          </w:p>
          <w:p w:rsidR="00C66993" w:rsidRPr="00201A3F" w:rsidRDefault="00C66993" w:rsidP="00B803D5">
            <w:pPr>
              <w:jc w:val="both"/>
              <w:rPr>
                <w:rFonts w:eastAsia="Calibri"/>
                <w:sz w:val="20"/>
                <w:lang w:val="fr-CA"/>
              </w:rPr>
            </w:pPr>
            <w:r w:rsidRPr="00201A3F">
              <w:rPr>
                <w:rFonts w:eastAsia="Calibri"/>
                <w:sz w:val="20"/>
                <w:lang w:val="fr-CA"/>
              </w:rPr>
              <w:t>(Juges Simmons, Armstrong et Pepall)</w:t>
            </w:r>
          </w:p>
          <w:p w:rsidR="00C66993" w:rsidRPr="00201A3F" w:rsidRDefault="00C66993" w:rsidP="00B803D5">
            <w:pPr>
              <w:jc w:val="both"/>
              <w:rPr>
                <w:rFonts w:eastAsia="Calibri"/>
                <w:sz w:val="20"/>
                <w:lang w:val="fr-CA"/>
              </w:rPr>
            </w:pPr>
            <w:r w:rsidRPr="00201A3F">
              <w:rPr>
                <w:rFonts w:eastAsia="Calibri"/>
                <w:sz w:val="20"/>
                <w:lang w:val="fr-CA"/>
              </w:rPr>
              <w:t>2012 ONCA 337</w:t>
            </w:r>
          </w:p>
          <w:p w:rsidR="00C66993" w:rsidRPr="00201A3F" w:rsidRDefault="00C66993" w:rsidP="00B803D5">
            <w:pPr>
              <w:jc w:val="both"/>
              <w:rPr>
                <w:rFonts w:eastAsia="Calibri"/>
                <w:sz w:val="20"/>
                <w:lang w:val="fr-CA"/>
              </w:rPr>
            </w:pPr>
          </w:p>
        </w:tc>
        <w:tc>
          <w:tcPr>
            <w:tcW w:w="243" w:type="pct"/>
          </w:tcPr>
          <w:p w:rsidR="00C66993" w:rsidRPr="00201A3F" w:rsidRDefault="00C66993" w:rsidP="00B803D5">
            <w:pPr>
              <w:jc w:val="both"/>
              <w:rPr>
                <w:rFonts w:eastAsia="Calibri"/>
                <w:sz w:val="20"/>
                <w:lang w:val="fr-CA"/>
              </w:rPr>
            </w:pPr>
          </w:p>
        </w:tc>
        <w:tc>
          <w:tcPr>
            <w:tcW w:w="2330" w:type="pct"/>
          </w:tcPr>
          <w:p w:rsidR="00C66993" w:rsidRPr="00201A3F" w:rsidRDefault="00C66993" w:rsidP="00B803D5">
            <w:pPr>
              <w:jc w:val="both"/>
              <w:rPr>
                <w:rFonts w:eastAsia="Calibri"/>
                <w:sz w:val="20"/>
                <w:lang w:val="fr-CA"/>
              </w:rPr>
            </w:pPr>
            <w:r w:rsidRPr="00201A3F">
              <w:rPr>
                <w:rFonts w:eastAsia="Calibri"/>
                <w:sz w:val="20"/>
                <w:lang w:val="fr-CA"/>
              </w:rPr>
              <w:t>Appel rejeté</w:t>
            </w:r>
          </w:p>
        </w:tc>
      </w:tr>
      <w:tr w:rsidR="00C66993" w:rsidRPr="00201A3F" w:rsidTr="00B803D5">
        <w:tc>
          <w:tcPr>
            <w:tcW w:w="2427" w:type="pct"/>
          </w:tcPr>
          <w:p w:rsidR="00C66993" w:rsidRPr="00201A3F" w:rsidRDefault="00C66993" w:rsidP="00B803D5">
            <w:pPr>
              <w:jc w:val="both"/>
              <w:rPr>
                <w:rFonts w:eastAsia="Calibri"/>
                <w:sz w:val="20"/>
                <w:lang w:val="fr-CA"/>
              </w:rPr>
            </w:pPr>
            <w:r w:rsidRPr="00201A3F">
              <w:rPr>
                <w:rFonts w:eastAsia="Calibri"/>
                <w:sz w:val="20"/>
                <w:lang w:val="fr-CA"/>
              </w:rPr>
              <w:t>29 juin 2012</w:t>
            </w:r>
          </w:p>
          <w:p w:rsidR="00C66993" w:rsidRPr="00201A3F" w:rsidRDefault="00C66993" w:rsidP="00B803D5">
            <w:pPr>
              <w:jc w:val="both"/>
              <w:rPr>
                <w:rFonts w:eastAsia="Calibri"/>
                <w:sz w:val="20"/>
                <w:lang w:val="fr-CA"/>
              </w:rPr>
            </w:pPr>
            <w:r w:rsidRPr="00201A3F">
              <w:rPr>
                <w:rFonts w:eastAsia="Calibri"/>
                <w:sz w:val="20"/>
                <w:lang w:val="fr-CA"/>
              </w:rPr>
              <w:t>Cour suprême du Canada</w:t>
            </w:r>
          </w:p>
        </w:tc>
        <w:tc>
          <w:tcPr>
            <w:tcW w:w="243" w:type="pct"/>
          </w:tcPr>
          <w:p w:rsidR="00C66993" w:rsidRPr="00201A3F" w:rsidRDefault="00C66993" w:rsidP="00B803D5">
            <w:pPr>
              <w:jc w:val="both"/>
              <w:rPr>
                <w:rFonts w:eastAsia="Calibri"/>
                <w:sz w:val="20"/>
                <w:lang w:val="fr-CA"/>
              </w:rPr>
            </w:pPr>
          </w:p>
        </w:tc>
        <w:tc>
          <w:tcPr>
            <w:tcW w:w="2330" w:type="pct"/>
          </w:tcPr>
          <w:p w:rsidR="00C66993" w:rsidRPr="00201A3F" w:rsidRDefault="00C66993" w:rsidP="00B803D5">
            <w:pPr>
              <w:jc w:val="both"/>
              <w:rPr>
                <w:rFonts w:eastAsia="Calibri"/>
                <w:sz w:val="20"/>
                <w:lang w:val="fr-CA"/>
              </w:rPr>
            </w:pPr>
            <w:r w:rsidRPr="00201A3F">
              <w:rPr>
                <w:rFonts w:eastAsia="Calibri"/>
                <w:sz w:val="20"/>
                <w:lang w:val="fr-CA"/>
              </w:rPr>
              <w:t>Demande d'autorisation d'appel, déposée</w:t>
            </w: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59"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65D14" w:rsidRPr="00982FF3" w:rsidTr="00565D14">
        <w:trPr>
          <w:cantSplit/>
        </w:trPr>
        <w:tc>
          <w:tcPr>
            <w:tcW w:w="1458" w:type="dxa"/>
          </w:tcPr>
          <w:p w:rsidR="00565D14" w:rsidRPr="00982FF3" w:rsidRDefault="00565D14" w:rsidP="00565D14">
            <w:pPr>
              <w:rPr>
                <w:sz w:val="20"/>
                <w:szCs w:val="20"/>
              </w:rPr>
            </w:pPr>
            <w:r w:rsidRPr="00982FF3">
              <w:rPr>
                <w:rStyle w:val="SCCFileNumberChar"/>
                <w:sz w:val="20"/>
                <w:szCs w:val="20"/>
              </w:rPr>
              <w:t>34897</w:t>
            </w:r>
          </w:p>
          <w:p w:rsidR="00565D14" w:rsidRPr="00982FF3" w:rsidRDefault="00565D14" w:rsidP="00565D14">
            <w:pPr>
              <w:rPr>
                <w:b/>
                <w:sz w:val="20"/>
                <w:szCs w:val="20"/>
                <w:lang w:val="fr-CA"/>
              </w:rPr>
            </w:pPr>
          </w:p>
        </w:tc>
        <w:tc>
          <w:tcPr>
            <w:tcW w:w="8118" w:type="dxa"/>
          </w:tcPr>
          <w:p w:rsidR="00565D14" w:rsidRPr="00982FF3" w:rsidRDefault="00565D14" w:rsidP="00565D14">
            <w:pPr>
              <w:rPr>
                <w:sz w:val="20"/>
                <w:szCs w:val="20"/>
              </w:rPr>
            </w:pPr>
            <w:r w:rsidRPr="00565D14">
              <w:rPr>
                <w:rStyle w:val="SCCLsocChar"/>
                <w:sz w:val="20"/>
                <w:szCs w:val="20"/>
                <w:lang w:val="en-CA"/>
              </w:rPr>
              <w:t>Hoang Anh Pham v. Her Majesty the Queen</w:t>
            </w:r>
            <w:r w:rsidRPr="00982FF3">
              <w:rPr>
                <w:sz w:val="20"/>
                <w:szCs w:val="20"/>
              </w:rPr>
              <w:t xml:space="preserve"> (Alta.) (Criminal) (By Leave)</w:t>
            </w:r>
          </w:p>
          <w:p w:rsidR="00565D14" w:rsidRPr="00982FF3" w:rsidRDefault="00565D14" w:rsidP="00565D14">
            <w:pPr>
              <w:rPr>
                <w:sz w:val="20"/>
                <w:szCs w:val="20"/>
              </w:rPr>
            </w:pPr>
          </w:p>
        </w:tc>
      </w:tr>
      <w:tr w:rsidR="00565D14" w:rsidRPr="00982FF3" w:rsidTr="00565D14">
        <w:trPr>
          <w:cantSplit/>
        </w:trPr>
        <w:tc>
          <w:tcPr>
            <w:tcW w:w="1458" w:type="dxa"/>
          </w:tcPr>
          <w:p w:rsidR="00565D14" w:rsidRPr="00982FF3" w:rsidRDefault="00565D14" w:rsidP="00565D14">
            <w:pPr>
              <w:rPr>
                <w:sz w:val="20"/>
                <w:szCs w:val="20"/>
              </w:rPr>
            </w:pPr>
            <w:r w:rsidRPr="00982FF3">
              <w:rPr>
                <w:sz w:val="20"/>
                <w:szCs w:val="20"/>
              </w:rPr>
              <w:t>Coram :</w:t>
            </w:r>
          </w:p>
        </w:tc>
        <w:tc>
          <w:tcPr>
            <w:tcW w:w="8118" w:type="dxa"/>
          </w:tcPr>
          <w:p w:rsidR="00565D14" w:rsidRPr="00982FF3" w:rsidRDefault="00565D14" w:rsidP="00565D14">
            <w:pPr>
              <w:rPr>
                <w:sz w:val="20"/>
                <w:szCs w:val="20"/>
              </w:rPr>
            </w:pPr>
            <w:r w:rsidRPr="00565D14">
              <w:rPr>
                <w:rStyle w:val="SCCCoramChar"/>
                <w:sz w:val="20"/>
                <w:szCs w:val="20"/>
                <w:lang w:val="en-CA"/>
              </w:rPr>
              <w:t>McLachlin C.J. and Rothstein and Moldaver JJ.</w:t>
            </w:r>
          </w:p>
          <w:p w:rsidR="00565D14" w:rsidRPr="00982FF3" w:rsidRDefault="00565D14" w:rsidP="00565D14">
            <w:pPr>
              <w:rPr>
                <w:sz w:val="20"/>
                <w:szCs w:val="20"/>
                <w:u w:val="single"/>
              </w:rPr>
            </w:pPr>
          </w:p>
        </w:tc>
      </w:tr>
      <w:tr w:rsidR="00565D14" w:rsidRPr="00DC2D1F" w:rsidTr="00565D14">
        <w:trPr>
          <w:cantSplit/>
        </w:trPr>
        <w:tc>
          <w:tcPr>
            <w:tcW w:w="9576" w:type="dxa"/>
            <w:gridSpan w:val="2"/>
          </w:tcPr>
          <w:p w:rsidR="00565D14" w:rsidRPr="00982FF3" w:rsidRDefault="00565D14" w:rsidP="00565D14">
            <w:pPr>
              <w:pStyle w:val="SCCShortJudgment"/>
              <w:rPr>
                <w:szCs w:val="20"/>
              </w:rPr>
            </w:pPr>
            <w:r w:rsidRPr="00982FF3">
              <w:rPr>
                <w:szCs w:val="20"/>
              </w:rPr>
              <w:t xml:space="preserve">The application for leave to appeal from the judgment of the Court of Appeal of Alberta (Calgary), Number 1101-0206-A, </w:t>
            </w:r>
            <w:proofErr w:type="gramStart"/>
            <w:r w:rsidRPr="00982FF3">
              <w:rPr>
                <w:szCs w:val="20"/>
              </w:rPr>
              <w:t>2012</w:t>
            </w:r>
            <w:proofErr w:type="gramEnd"/>
            <w:r w:rsidRPr="00982FF3">
              <w:rPr>
                <w:szCs w:val="20"/>
              </w:rPr>
              <w:t xml:space="preserve"> ABCA 203, dated June 28, 2012, is granted without costs. The date of the hearing of the appeal is to be expedited.  The schedule for serving and filing material will be set by the Registrar.</w:t>
            </w:r>
          </w:p>
          <w:p w:rsidR="00565D14" w:rsidRPr="00D41C9D" w:rsidRDefault="00565D14" w:rsidP="00565D14">
            <w:pPr>
              <w:pStyle w:val="SCCShortJudgment"/>
              <w:rPr>
                <w:szCs w:val="20"/>
              </w:rPr>
            </w:pPr>
          </w:p>
          <w:p w:rsidR="00565D14" w:rsidRPr="00982FF3" w:rsidRDefault="00565D14" w:rsidP="00565D14">
            <w:pPr>
              <w:pStyle w:val="SCCShortJudgment"/>
              <w:rPr>
                <w:szCs w:val="20"/>
                <w:lang w:val="fr-CA"/>
              </w:rPr>
            </w:pPr>
            <w:r w:rsidRPr="00982FF3">
              <w:rPr>
                <w:szCs w:val="20"/>
                <w:lang w:val="fr-CA"/>
              </w:rPr>
              <w:t>La demande d’autorisation d’appel de l’arrêt de la Cour d'appel de l’Alberta (Calgary), numéro 1101-0206-A, 2012 ABCA 203, daté du 28 juin 2012, est accueillie sans dépens. La date de l’audience sera accélérée.  L’échéancier pour le dépôt et la signification des documents sera fixé par le Registraire.</w:t>
            </w:r>
          </w:p>
        </w:tc>
      </w:tr>
    </w:tbl>
    <w:p w:rsidR="00565D14" w:rsidRPr="00565D14" w:rsidRDefault="00565D14" w:rsidP="00A740D1">
      <w:pPr>
        <w:rPr>
          <w:sz w:val="20"/>
          <w:szCs w:val="20"/>
          <w:lang w:val="fr-CA"/>
        </w:rPr>
      </w:pPr>
    </w:p>
    <w:p w:rsidR="00565D14" w:rsidRPr="001B157C" w:rsidRDefault="00565D14" w:rsidP="00565D14">
      <w:pPr>
        <w:rPr>
          <w:sz w:val="20"/>
          <w:szCs w:val="20"/>
          <w:u w:val="single"/>
        </w:rPr>
      </w:pPr>
      <w:r w:rsidRPr="001B157C">
        <w:rPr>
          <w:sz w:val="20"/>
          <w:szCs w:val="20"/>
          <w:u w:val="single"/>
        </w:rPr>
        <w:t>CASE SUMMARY</w:t>
      </w:r>
    </w:p>
    <w:p w:rsidR="00565D14" w:rsidRDefault="00565D14" w:rsidP="00565D14">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72FDB" w:rsidRPr="002412E8" w:rsidTr="00BA37D8">
        <w:tc>
          <w:tcPr>
            <w:tcW w:w="5000" w:type="pct"/>
            <w:gridSpan w:val="3"/>
          </w:tcPr>
          <w:p w:rsidR="00D72FDB" w:rsidRPr="002412E8" w:rsidRDefault="00D72FDB" w:rsidP="00D72FDB">
            <w:pPr>
              <w:jc w:val="both"/>
              <w:rPr>
                <w:sz w:val="20"/>
                <w:szCs w:val="20"/>
              </w:rPr>
            </w:pPr>
            <w:r w:rsidRPr="002412E8">
              <w:rPr>
                <w:sz w:val="20"/>
                <w:szCs w:val="20"/>
              </w:rPr>
              <w:t xml:space="preserve">Criminal law — Sentencing — Considerations — </w:t>
            </w:r>
            <w:r w:rsidRPr="002412E8">
              <w:rPr>
                <w:i/>
                <w:sz w:val="20"/>
                <w:szCs w:val="20"/>
              </w:rPr>
              <w:t>Immigration and Refugee Protection Act</w:t>
            </w:r>
            <w:r w:rsidRPr="002412E8">
              <w:rPr>
                <w:sz w:val="20"/>
                <w:szCs w:val="20"/>
              </w:rPr>
              <w:t xml:space="preserve">, S.C. 2001, c. 27, s. 64 — When and to what extent can a sentencing or appellate court consider the “unintended” or “collateral” consequences of a sentence — Whether the applicant’s sentence should have been varied in order to preserve his right to appeal a removal order. </w:t>
            </w:r>
          </w:p>
        </w:tc>
      </w:tr>
      <w:tr w:rsidR="00D72FDB" w:rsidRPr="002412E8" w:rsidTr="00BA37D8">
        <w:tc>
          <w:tcPr>
            <w:tcW w:w="5000" w:type="pct"/>
            <w:gridSpan w:val="3"/>
          </w:tcPr>
          <w:p w:rsidR="00D72FDB" w:rsidRPr="002412E8" w:rsidRDefault="00D72FDB" w:rsidP="00BA37D8">
            <w:pPr>
              <w:rPr>
                <w:sz w:val="20"/>
                <w:szCs w:val="20"/>
              </w:rPr>
            </w:pPr>
          </w:p>
        </w:tc>
      </w:tr>
      <w:tr w:rsidR="00D72FDB" w:rsidRPr="002412E8" w:rsidTr="00BA37D8">
        <w:tc>
          <w:tcPr>
            <w:tcW w:w="5000" w:type="pct"/>
            <w:gridSpan w:val="3"/>
          </w:tcPr>
          <w:p w:rsidR="00D72FDB" w:rsidRPr="002412E8" w:rsidRDefault="00D72FDB" w:rsidP="00D72FDB">
            <w:pPr>
              <w:jc w:val="both"/>
              <w:rPr>
                <w:sz w:val="20"/>
                <w:szCs w:val="20"/>
              </w:rPr>
            </w:pPr>
            <w:r w:rsidRPr="002412E8">
              <w:rPr>
                <w:sz w:val="20"/>
                <w:szCs w:val="20"/>
              </w:rPr>
              <w:t xml:space="preserve">Under s. 64 of the </w:t>
            </w:r>
            <w:r w:rsidRPr="002412E8">
              <w:rPr>
                <w:i/>
                <w:sz w:val="20"/>
                <w:szCs w:val="20"/>
              </w:rPr>
              <w:t xml:space="preserve">Immigration and Refugee Protection Act </w:t>
            </w:r>
            <w:r w:rsidRPr="002412E8">
              <w:rPr>
                <w:sz w:val="20"/>
                <w:szCs w:val="20"/>
              </w:rPr>
              <w:t>(“</w:t>
            </w:r>
            <w:r w:rsidRPr="002412E8">
              <w:rPr>
                <w:i/>
                <w:sz w:val="20"/>
                <w:szCs w:val="20"/>
              </w:rPr>
              <w:t>IRPA</w:t>
            </w:r>
            <w:r w:rsidRPr="002412E8">
              <w:rPr>
                <w:sz w:val="20"/>
                <w:szCs w:val="20"/>
              </w:rPr>
              <w:t>”), a non</w:t>
            </w:r>
            <w:r w:rsidRPr="002412E8">
              <w:rPr>
                <w:sz w:val="20"/>
                <w:szCs w:val="20"/>
              </w:rPr>
              <w:noBreakHyphen/>
              <w:t xml:space="preserve">citizen loses his right to appeal a removal order if he has been, among other things, convicted of a crime for which he has been sentenced to a term of imprisonment of at least two years.  The applicant is a Vietnamese citizen who came to Canada under the sponsorship of his father.  He was convicted of producing and possessing marihuana for the purposes of trafficking.  Pursuant to a joint submission on sentence, he was sentenced to 2 years’ imprisonment.  Despite the joint submission, the applicant appealed, arguing that the consequences of the sentence with respect to the </w:t>
            </w:r>
            <w:r w:rsidRPr="002412E8">
              <w:rPr>
                <w:i/>
                <w:sz w:val="20"/>
                <w:szCs w:val="20"/>
              </w:rPr>
              <w:t xml:space="preserve">IRPA </w:t>
            </w:r>
            <w:r w:rsidRPr="002412E8">
              <w:rPr>
                <w:sz w:val="20"/>
                <w:szCs w:val="20"/>
              </w:rPr>
              <w:t xml:space="preserve">ought to have triggered a reduced sentence.  The Crown consented to the reduction. The majority of the Court of Appeal dismissed the appeal.  In its </w:t>
            </w:r>
            <w:r w:rsidRPr="002412E8">
              <w:rPr>
                <w:sz w:val="20"/>
                <w:szCs w:val="20"/>
              </w:rPr>
              <w:lastRenderedPageBreak/>
              <w:t xml:space="preserve">view, the particular circumstances of this case, and in particular, the applicant’s prior convictions, did not warrant varying the sentence or undermining the provisions of the </w:t>
            </w:r>
            <w:r w:rsidRPr="002412E8">
              <w:rPr>
                <w:i/>
                <w:sz w:val="20"/>
                <w:szCs w:val="20"/>
              </w:rPr>
              <w:t>IRPA</w:t>
            </w:r>
            <w:r w:rsidRPr="002412E8">
              <w:rPr>
                <w:sz w:val="20"/>
                <w:szCs w:val="20"/>
              </w:rPr>
              <w:t>.  Martin J.A. would have allowed the appeal solely on the basis of the Crown’s consent which, in his view, was given on the assumption that the sentencing judge would have agreed to the reduction had counsel been aware of the collateral consequence flowing from a two</w:t>
            </w:r>
            <w:r w:rsidRPr="002412E8">
              <w:rPr>
                <w:sz w:val="20"/>
                <w:szCs w:val="20"/>
              </w:rPr>
              <w:noBreakHyphen/>
              <w:t>year sentence.  He cautioned, however, that this relief is not automatic and that had it not been for the Crown’s concession based on fairness, the applicant would not have qualified for such relief.</w:t>
            </w:r>
          </w:p>
          <w:p w:rsidR="00D72FDB" w:rsidRPr="002412E8" w:rsidRDefault="00D72FDB" w:rsidP="00BA37D8">
            <w:pPr>
              <w:rPr>
                <w:sz w:val="20"/>
                <w:szCs w:val="20"/>
              </w:rPr>
            </w:pPr>
          </w:p>
        </w:tc>
      </w:tr>
      <w:tr w:rsidR="00D72FDB" w:rsidRPr="002412E8" w:rsidTr="00BA37D8">
        <w:tc>
          <w:tcPr>
            <w:tcW w:w="2427" w:type="pct"/>
          </w:tcPr>
          <w:p w:rsidR="00D72FDB" w:rsidRPr="002412E8" w:rsidRDefault="00D72FDB" w:rsidP="00BA37D8">
            <w:pPr>
              <w:rPr>
                <w:sz w:val="20"/>
                <w:szCs w:val="20"/>
              </w:rPr>
            </w:pPr>
            <w:r w:rsidRPr="002412E8">
              <w:rPr>
                <w:sz w:val="20"/>
                <w:szCs w:val="20"/>
              </w:rPr>
              <w:lastRenderedPageBreak/>
              <w:t>March 8, 2011</w:t>
            </w:r>
          </w:p>
          <w:p w:rsidR="00D72FDB" w:rsidRPr="002412E8" w:rsidRDefault="00D72FDB" w:rsidP="00BA37D8">
            <w:pPr>
              <w:rPr>
                <w:sz w:val="20"/>
                <w:szCs w:val="20"/>
              </w:rPr>
            </w:pPr>
            <w:r w:rsidRPr="002412E8">
              <w:rPr>
                <w:sz w:val="20"/>
                <w:szCs w:val="20"/>
              </w:rPr>
              <w:t>Provincial Court of Alberta</w:t>
            </w:r>
          </w:p>
          <w:p w:rsidR="00D72FDB" w:rsidRPr="002412E8" w:rsidRDefault="00D72FDB" w:rsidP="00BA37D8">
            <w:pPr>
              <w:rPr>
                <w:sz w:val="20"/>
                <w:szCs w:val="20"/>
              </w:rPr>
            </w:pPr>
            <w:r w:rsidRPr="002412E8">
              <w:rPr>
                <w:sz w:val="20"/>
                <w:szCs w:val="20"/>
              </w:rPr>
              <w:t>(Barley J.)</w:t>
            </w:r>
          </w:p>
          <w:p w:rsidR="00D72FDB" w:rsidRPr="002412E8" w:rsidRDefault="00D72FDB" w:rsidP="00BA37D8">
            <w:pPr>
              <w:rPr>
                <w:sz w:val="20"/>
                <w:szCs w:val="20"/>
              </w:rPr>
            </w:pPr>
          </w:p>
        </w:tc>
        <w:tc>
          <w:tcPr>
            <w:tcW w:w="243" w:type="pct"/>
          </w:tcPr>
          <w:p w:rsidR="00D72FDB" w:rsidRPr="002412E8" w:rsidRDefault="00D72FDB" w:rsidP="00BA37D8">
            <w:pPr>
              <w:rPr>
                <w:sz w:val="20"/>
                <w:szCs w:val="20"/>
              </w:rPr>
            </w:pPr>
          </w:p>
        </w:tc>
        <w:tc>
          <w:tcPr>
            <w:tcW w:w="2330" w:type="pct"/>
          </w:tcPr>
          <w:p w:rsidR="00D72FDB" w:rsidRPr="002412E8" w:rsidRDefault="00D72FDB" w:rsidP="00D72FDB">
            <w:pPr>
              <w:jc w:val="both"/>
              <w:rPr>
                <w:sz w:val="20"/>
                <w:szCs w:val="20"/>
              </w:rPr>
            </w:pPr>
            <w:r w:rsidRPr="002412E8">
              <w:rPr>
                <w:sz w:val="20"/>
                <w:szCs w:val="20"/>
              </w:rPr>
              <w:t>Applicant convicted of production and possession of marihuana for purposes of trafficking</w:t>
            </w:r>
          </w:p>
          <w:p w:rsidR="00D72FDB" w:rsidRPr="002412E8" w:rsidRDefault="00D72FDB" w:rsidP="00BA37D8">
            <w:pPr>
              <w:rPr>
                <w:sz w:val="20"/>
                <w:szCs w:val="20"/>
              </w:rPr>
            </w:pPr>
          </w:p>
        </w:tc>
      </w:tr>
      <w:tr w:rsidR="00D72FDB" w:rsidRPr="002412E8" w:rsidTr="00BA37D8">
        <w:tc>
          <w:tcPr>
            <w:tcW w:w="2427" w:type="pct"/>
          </w:tcPr>
          <w:p w:rsidR="00D72FDB" w:rsidRPr="002412E8" w:rsidRDefault="00D72FDB" w:rsidP="00BA37D8">
            <w:pPr>
              <w:rPr>
                <w:sz w:val="20"/>
                <w:szCs w:val="20"/>
              </w:rPr>
            </w:pPr>
            <w:r w:rsidRPr="002412E8">
              <w:rPr>
                <w:sz w:val="20"/>
                <w:szCs w:val="20"/>
              </w:rPr>
              <w:t>March 8, 2011</w:t>
            </w:r>
          </w:p>
          <w:p w:rsidR="00D72FDB" w:rsidRPr="002412E8" w:rsidRDefault="00D72FDB" w:rsidP="00BA37D8">
            <w:pPr>
              <w:rPr>
                <w:sz w:val="20"/>
                <w:szCs w:val="20"/>
              </w:rPr>
            </w:pPr>
            <w:r w:rsidRPr="002412E8">
              <w:rPr>
                <w:sz w:val="20"/>
                <w:szCs w:val="20"/>
              </w:rPr>
              <w:t>Provincial Court of Alberta</w:t>
            </w:r>
          </w:p>
          <w:p w:rsidR="00D72FDB" w:rsidRPr="002412E8" w:rsidRDefault="00D72FDB" w:rsidP="00BA37D8">
            <w:pPr>
              <w:rPr>
                <w:sz w:val="20"/>
                <w:szCs w:val="20"/>
              </w:rPr>
            </w:pPr>
            <w:r w:rsidRPr="002412E8">
              <w:rPr>
                <w:sz w:val="20"/>
                <w:szCs w:val="20"/>
              </w:rPr>
              <w:t>(Barley J.)</w:t>
            </w:r>
          </w:p>
          <w:p w:rsidR="00D72FDB" w:rsidRPr="002412E8" w:rsidRDefault="00D72FDB" w:rsidP="00BA37D8">
            <w:pPr>
              <w:rPr>
                <w:sz w:val="20"/>
                <w:szCs w:val="20"/>
              </w:rPr>
            </w:pPr>
          </w:p>
        </w:tc>
        <w:tc>
          <w:tcPr>
            <w:tcW w:w="243" w:type="pct"/>
          </w:tcPr>
          <w:p w:rsidR="00D72FDB" w:rsidRPr="002412E8" w:rsidRDefault="00D72FDB" w:rsidP="00BA37D8">
            <w:pPr>
              <w:rPr>
                <w:sz w:val="20"/>
                <w:szCs w:val="20"/>
              </w:rPr>
            </w:pPr>
          </w:p>
        </w:tc>
        <w:tc>
          <w:tcPr>
            <w:tcW w:w="2330" w:type="pct"/>
          </w:tcPr>
          <w:p w:rsidR="00D72FDB" w:rsidRPr="002412E8" w:rsidRDefault="00D72FDB" w:rsidP="00BA37D8">
            <w:pPr>
              <w:rPr>
                <w:sz w:val="20"/>
                <w:szCs w:val="20"/>
              </w:rPr>
            </w:pPr>
            <w:r w:rsidRPr="002412E8">
              <w:rPr>
                <w:sz w:val="20"/>
                <w:szCs w:val="20"/>
              </w:rPr>
              <w:t>Applicant sentenced to 24 months’ incarceration</w:t>
            </w:r>
          </w:p>
          <w:p w:rsidR="00D72FDB" w:rsidRPr="002412E8" w:rsidRDefault="00D72FDB" w:rsidP="00BA37D8">
            <w:pPr>
              <w:rPr>
                <w:sz w:val="20"/>
                <w:szCs w:val="20"/>
              </w:rPr>
            </w:pPr>
          </w:p>
        </w:tc>
      </w:tr>
      <w:tr w:rsidR="00D72FDB" w:rsidRPr="002412E8" w:rsidTr="00BA37D8">
        <w:tc>
          <w:tcPr>
            <w:tcW w:w="2427" w:type="pct"/>
          </w:tcPr>
          <w:p w:rsidR="00D72FDB" w:rsidRPr="002412E8" w:rsidRDefault="00D72FDB" w:rsidP="00BA37D8">
            <w:pPr>
              <w:rPr>
                <w:sz w:val="20"/>
                <w:szCs w:val="20"/>
              </w:rPr>
            </w:pPr>
            <w:r w:rsidRPr="002412E8">
              <w:rPr>
                <w:sz w:val="20"/>
                <w:szCs w:val="20"/>
              </w:rPr>
              <w:t>June 28, 2012</w:t>
            </w:r>
          </w:p>
          <w:p w:rsidR="00D72FDB" w:rsidRPr="002412E8" w:rsidRDefault="00D72FDB" w:rsidP="00BA37D8">
            <w:pPr>
              <w:rPr>
                <w:sz w:val="20"/>
                <w:szCs w:val="20"/>
              </w:rPr>
            </w:pPr>
            <w:r w:rsidRPr="002412E8">
              <w:rPr>
                <w:sz w:val="20"/>
                <w:szCs w:val="20"/>
              </w:rPr>
              <w:t>Court of Appeal of Alberta (Calgary)</w:t>
            </w:r>
          </w:p>
          <w:p w:rsidR="00D72FDB" w:rsidRPr="002412E8" w:rsidRDefault="00D72FDB" w:rsidP="00BA37D8">
            <w:pPr>
              <w:rPr>
                <w:sz w:val="20"/>
                <w:szCs w:val="20"/>
              </w:rPr>
            </w:pPr>
            <w:r w:rsidRPr="002412E8">
              <w:rPr>
                <w:sz w:val="20"/>
                <w:szCs w:val="20"/>
              </w:rPr>
              <w:t>(Martin [dissenting], Watson and McDonald JJ.A.)</w:t>
            </w:r>
          </w:p>
          <w:p w:rsidR="00D72FDB" w:rsidRPr="002412E8" w:rsidRDefault="00D72FDB" w:rsidP="00BA37D8">
            <w:pPr>
              <w:rPr>
                <w:sz w:val="20"/>
                <w:szCs w:val="20"/>
              </w:rPr>
            </w:pPr>
            <w:r w:rsidRPr="002412E8">
              <w:rPr>
                <w:sz w:val="20"/>
                <w:szCs w:val="20"/>
              </w:rPr>
              <w:t>2012 ABCA 203</w:t>
            </w:r>
          </w:p>
          <w:p w:rsidR="00D72FDB" w:rsidRPr="002412E8" w:rsidRDefault="00D72FDB" w:rsidP="00BA37D8">
            <w:pPr>
              <w:rPr>
                <w:sz w:val="20"/>
                <w:szCs w:val="20"/>
              </w:rPr>
            </w:pPr>
          </w:p>
        </w:tc>
        <w:tc>
          <w:tcPr>
            <w:tcW w:w="243" w:type="pct"/>
          </w:tcPr>
          <w:p w:rsidR="00D72FDB" w:rsidRPr="002412E8" w:rsidRDefault="00D72FDB" w:rsidP="00BA37D8">
            <w:pPr>
              <w:rPr>
                <w:sz w:val="20"/>
                <w:szCs w:val="20"/>
              </w:rPr>
            </w:pPr>
          </w:p>
        </w:tc>
        <w:tc>
          <w:tcPr>
            <w:tcW w:w="2330" w:type="pct"/>
          </w:tcPr>
          <w:p w:rsidR="00D72FDB" w:rsidRPr="002412E8" w:rsidRDefault="00D72FDB" w:rsidP="00BA37D8">
            <w:pPr>
              <w:rPr>
                <w:sz w:val="20"/>
                <w:szCs w:val="20"/>
              </w:rPr>
            </w:pPr>
            <w:r w:rsidRPr="002412E8">
              <w:rPr>
                <w:sz w:val="20"/>
                <w:szCs w:val="20"/>
              </w:rPr>
              <w:t>Appeal dismissed</w:t>
            </w:r>
          </w:p>
          <w:p w:rsidR="00D72FDB" w:rsidRPr="002412E8" w:rsidRDefault="00D72FDB" w:rsidP="00BA37D8">
            <w:pPr>
              <w:rPr>
                <w:sz w:val="20"/>
                <w:szCs w:val="20"/>
              </w:rPr>
            </w:pPr>
          </w:p>
        </w:tc>
      </w:tr>
      <w:tr w:rsidR="00D72FDB" w:rsidRPr="002412E8" w:rsidTr="00BA37D8">
        <w:tc>
          <w:tcPr>
            <w:tcW w:w="2427" w:type="pct"/>
          </w:tcPr>
          <w:p w:rsidR="00D72FDB" w:rsidRPr="002412E8" w:rsidRDefault="00D72FDB" w:rsidP="00BA37D8">
            <w:pPr>
              <w:rPr>
                <w:sz w:val="20"/>
                <w:szCs w:val="20"/>
              </w:rPr>
            </w:pPr>
            <w:r w:rsidRPr="002412E8">
              <w:rPr>
                <w:sz w:val="20"/>
                <w:szCs w:val="20"/>
              </w:rPr>
              <w:t>August 21, 2012</w:t>
            </w:r>
          </w:p>
          <w:p w:rsidR="00D72FDB" w:rsidRPr="002412E8" w:rsidRDefault="00D72FDB" w:rsidP="00BA37D8">
            <w:pPr>
              <w:rPr>
                <w:sz w:val="20"/>
                <w:szCs w:val="20"/>
              </w:rPr>
            </w:pPr>
            <w:r w:rsidRPr="002412E8">
              <w:rPr>
                <w:sz w:val="20"/>
                <w:szCs w:val="20"/>
              </w:rPr>
              <w:t>Supreme Court of Canada</w:t>
            </w:r>
          </w:p>
        </w:tc>
        <w:tc>
          <w:tcPr>
            <w:tcW w:w="243" w:type="pct"/>
          </w:tcPr>
          <w:p w:rsidR="00D72FDB" w:rsidRPr="002412E8" w:rsidRDefault="00D72FDB" w:rsidP="00BA37D8">
            <w:pPr>
              <w:rPr>
                <w:sz w:val="20"/>
                <w:szCs w:val="20"/>
              </w:rPr>
            </w:pPr>
          </w:p>
        </w:tc>
        <w:tc>
          <w:tcPr>
            <w:tcW w:w="2330" w:type="pct"/>
          </w:tcPr>
          <w:p w:rsidR="00D72FDB" w:rsidRPr="002412E8" w:rsidRDefault="00D72FDB" w:rsidP="00BA37D8">
            <w:pPr>
              <w:rPr>
                <w:sz w:val="20"/>
                <w:szCs w:val="20"/>
              </w:rPr>
            </w:pPr>
            <w:r w:rsidRPr="002412E8">
              <w:rPr>
                <w:sz w:val="20"/>
                <w:szCs w:val="20"/>
              </w:rPr>
              <w:t>Application for leave to appeal filed</w:t>
            </w:r>
          </w:p>
          <w:p w:rsidR="00D72FDB" w:rsidRPr="002412E8" w:rsidRDefault="00D72FDB" w:rsidP="00BA37D8">
            <w:pPr>
              <w:rPr>
                <w:sz w:val="20"/>
                <w:szCs w:val="20"/>
              </w:rPr>
            </w:pPr>
          </w:p>
        </w:tc>
      </w:tr>
    </w:tbl>
    <w:p w:rsidR="00565D14" w:rsidRDefault="00565D14" w:rsidP="00565D14">
      <w:pPr>
        <w:rPr>
          <w:sz w:val="20"/>
          <w:szCs w:val="20"/>
        </w:rPr>
      </w:pPr>
    </w:p>
    <w:p w:rsidR="00565D14" w:rsidRPr="00C50A5C" w:rsidRDefault="00BF3B03" w:rsidP="00565D14">
      <w:pPr>
        <w:rPr>
          <w:sz w:val="20"/>
          <w:szCs w:val="20"/>
        </w:rPr>
      </w:pPr>
      <w:r w:rsidRPr="00BF3B03">
        <w:rPr>
          <w:sz w:val="20"/>
          <w:szCs w:val="20"/>
          <w:lang w:val="fr-CA"/>
        </w:rPr>
        <w:pict>
          <v:rect id="_x0000_i1060" style="width:2in;height:1pt" o:hrpct="0" o:hralign="center" o:hrstd="t" o:hrnoshade="t" o:hr="t" fillcolor="black [3213]" stroked="f"/>
        </w:pict>
      </w:r>
    </w:p>
    <w:p w:rsidR="00565D14" w:rsidRDefault="00565D14" w:rsidP="00565D14">
      <w:pPr>
        <w:rPr>
          <w:sz w:val="20"/>
          <w:szCs w:val="20"/>
        </w:rPr>
      </w:pPr>
    </w:p>
    <w:p w:rsidR="00565D14" w:rsidRPr="001B157C" w:rsidRDefault="00565D14" w:rsidP="00565D14">
      <w:pPr>
        <w:rPr>
          <w:sz w:val="20"/>
          <w:szCs w:val="20"/>
          <w:u w:val="single"/>
          <w:lang w:val="fr-CA"/>
        </w:rPr>
      </w:pPr>
      <w:r w:rsidRPr="001B157C">
        <w:rPr>
          <w:sz w:val="20"/>
          <w:szCs w:val="20"/>
          <w:u w:val="single"/>
          <w:lang w:val="fr-CA"/>
        </w:rPr>
        <w:t>RÉSUMÉ DE L’AFFAIRE</w:t>
      </w:r>
    </w:p>
    <w:p w:rsidR="00565D14" w:rsidRDefault="00565D14"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D72FDB" w:rsidRPr="00DC2D1F" w:rsidTr="00D72FDB">
        <w:tc>
          <w:tcPr>
            <w:tcW w:w="5000" w:type="pct"/>
            <w:gridSpan w:val="3"/>
          </w:tcPr>
          <w:p w:rsidR="00D72FDB" w:rsidRPr="00C450B0" w:rsidRDefault="00D72FDB" w:rsidP="00D72FDB">
            <w:pPr>
              <w:jc w:val="both"/>
              <w:rPr>
                <w:sz w:val="20"/>
                <w:szCs w:val="20"/>
                <w:lang w:val="fr-CA"/>
              </w:rPr>
            </w:pPr>
            <w:r w:rsidRPr="00C450B0">
              <w:rPr>
                <w:sz w:val="20"/>
                <w:szCs w:val="20"/>
                <w:lang w:val="fr-CA"/>
              </w:rPr>
              <w:t>Droit criminel — Détermination de la peine — Considérations —</w:t>
            </w:r>
            <w:r w:rsidRPr="00C450B0">
              <w:rPr>
                <w:i/>
                <w:sz w:val="20"/>
                <w:szCs w:val="20"/>
                <w:lang w:val="fr-CA"/>
              </w:rPr>
              <w:t xml:space="preserve"> Loi sur l'immigration et la protection des réfugiés</w:t>
            </w:r>
            <w:r w:rsidRPr="00C450B0">
              <w:rPr>
                <w:sz w:val="20"/>
                <w:szCs w:val="20"/>
                <w:lang w:val="fr-CA"/>
              </w:rPr>
              <w:t>, L.C. 2001, ch. 27, art. 64 — Quand et dans quelle mesure le tribunal qui détermine la peine ou le tribunal d'appel peut</w:t>
            </w:r>
            <w:r w:rsidRPr="00C450B0">
              <w:rPr>
                <w:sz w:val="20"/>
                <w:szCs w:val="20"/>
                <w:lang w:val="fr-CA"/>
              </w:rPr>
              <w:noBreakHyphen/>
              <w:t>il prendre en compte les conséquences « non voulues » ou « accessoires » d'une peine? — La peine du demandeur aurait</w:t>
            </w:r>
            <w:r w:rsidRPr="00C450B0">
              <w:rPr>
                <w:sz w:val="20"/>
                <w:szCs w:val="20"/>
                <w:lang w:val="fr-CA"/>
              </w:rPr>
              <w:noBreakHyphen/>
              <w:t xml:space="preserve">elle dû être modifiée afin de maintenir son droit d'appel d'une mesure de renvoi? </w:t>
            </w:r>
          </w:p>
        </w:tc>
      </w:tr>
      <w:tr w:rsidR="00D72FDB" w:rsidRPr="00DC2D1F" w:rsidTr="00D72FDB">
        <w:tc>
          <w:tcPr>
            <w:tcW w:w="5000" w:type="pct"/>
            <w:gridSpan w:val="3"/>
          </w:tcPr>
          <w:p w:rsidR="00D72FDB" w:rsidRPr="00C450B0" w:rsidRDefault="00D72FDB" w:rsidP="00BA37D8">
            <w:pPr>
              <w:rPr>
                <w:sz w:val="20"/>
                <w:szCs w:val="20"/>
                <w:lang w:val="fr-CA"/>
              </w:rPr>
            </w:pPr>
          </w:p>
        </w:tc>
      </w:tr>
      <w:tr w:rsidR="00D72FDB" w:rsidRPr="00DC2D1F" w:rsidTr="00D72FDB">
        <w:tc>
          <w:tcPr>
            <w:tcW w:w="5000" w:type="pct"/>
            <w:gridSpan w:val="3"/>
          </w:tcPr>
          <w:p w:rsidR="00D72FDB" w:rsidRPr="00C450B0" w:rsidRDefault="00D72FDB" w:rsidP="00D72FDB">
            <w:pPr>
              <w:jc w:val="both"/>
              <w:rPr>
                <w:sz w:val="20"/>
                <w:szCs w:val="20"/>
                <w:lang w:val="fr-CA"/>
              </w:rPr>
            </w:pPr>
            <w:r w:rsidRPr="00C450B0">
              <w:rPr>
                <w:sz w:val="20"/>
                <w:szCs w:val="20"/>
                <w:lang w:val="fr-CA"/>
              </w:rPr>
              <w:t xml:space="preserve">En vertu de l'art. 64 de la </w:t>
            </w:r>
            <w:r w:rsidRPr="00C450B0">
              <w:rPr>
                <w:i/>
                <w:sz w:val="20"/>
                <w:szCs w:val="20"/>
                <w:lang w:val="fr-CA"/>
              </w:rPr>
              <w:t>Loi sur l'immigration et la protection des réfugiés</w:t>
            </w:r>
            <w:r w:rsidRPr="00C450B0">
              <w:rPr>
                <w:sz w:val="20"/>
                <w:szCs w:val="20"/>
                <w:lang w:val="fr-CA"/>
              </w:rPr>
              <w:t xml:space="preserve"> (« </w:t>
            </w:r>
            <w:r w:rsidRPr="00C450B0">
              <w:rPr>
                <w:i/>
                <w:sz w:val="20"/>
                <w:szCs w:val="20"/>
                <w:lang w:val="fr-CA"/>
              </w:rPr>
              <w:t>LIPR </w:t>
            </w:r>
            <w:r w:rsidRPr="00C450B0">
              <w:rPr>
                <w:sz w:val="20"/>
                <w:szCs w:val="20"/>
                <w:lang w:val="fr-CA"/>
              </w:rPr>
              <w:t>»), un non</w:t>
            </w:r>
            <w:r w:rsidRPr="00C450B0">
              <w:rPr>
                <w:sz w:val="20"/>
                <w:szCs w:val="20"/>
                <w:lang w:val="fr-CA"/>
              </w:rPr>
              <w:noBreakHyphen/>
              <w:t xml:space="preserve">citoyen perd son droit d'appel d'une mesure de renvoi s'il a été, entre autres, déclaré coupable d'un crime pour lequel il a été condamné à une peine d'emprisonnement d'au moins deux ans.  Le demandeur, un citoyen vietnamien, est arrivé au Canada sous le parrainage de son père.  Il a été déclaré coupable de production et de possession de marijuana aux fins d’en faire le trafic.  À la suite d’observations conjointes au sujet de la peine, il a été condamné à une peine d'emprisonnement de deux ans.  Malgré les observations conjointes, le demandeur a interjeté appel, plaidant que les conséquences de la peine aux termes de la </w:t>
            </w:r>
            <w:r w:rsidRPr="00C450B0">
              <w:rPr>
                <w:i/>
                <w:sz w:val="20"/>
                <w:szCs w:val="20"/>
                <w:lang w:val="fr-CA"/>
              </w:rPr>
              <w:t>LIPR</w:t>
            </w:r>
            <w:r w:rsidRPr="00C450B0">
              <w:rPr>
                <w:sz w:val="20"/>
                <w:szCs w:val="20"/>
                <w:lang w:val="fr-CA"/>
              </w:rPr>
              <w:t xml:space="preserve"> auraient dû donner lieu à une peine réduite.  Le ministère public a consenti à la réduction.  Les juges majoritaires de la Cour d'appel ont rejeté l'appel.  À leur avis, les faits en l'espèce, notamment les condamnations antérieures du demandeur, ne justifiaient pas une modification de la peine ou le sapement des dispositions de la </w:t>
            </w:r>
            <w:r w:rsidRPr="00C450B0">
              <w:rPr>
                <w:i/>
                <w:sz w:val="20"/>
                <w:szCs w:val="20"/>
                <w:lang w:val="fr-CA"/>
              </w:rPr>
              <w:t>LIPR</w:t>
            </w:r>
            <w:r w:rsidRPr="00C450B0">
              <w:rPr>
                <w:sz w:val="20"/>
                <w:szCs w:val="20"/>
                <w:lang w:val="fr-CA"/>
              </w:rPr>
              <w:t>.  Le juge Martin aurait accueilli l'appel sur le seul fondement du consentement du ministère public qui, à son avis, a été donné en présumant que le juge qui a déterminé la peine aurait accepté la réduction si les avocats avaient été conscients de la conséquence accessoire d'une peine de deux ans.  Toutefois, il a précisé que ce redressement n'était pas automatique et que n'eût été de la concession du ministère public sur le fondement de l'équité, le demandeur n’aurait pas eu droit à ce redressement.</w:t>
            </w:r>
          </w:p>
          <w:p w:rsidR="00D72FDB" w:rsidRPr="00C450B0" w:rsidRDefault="00D72FDB" w:rsidP="00BA37D8">
            <w:pPr>
              <w:rPr>
                <w:sz w:val="20"/>
                <w:szCs w:val="20"/>
                <w:lang w:val="fr-CA"/>
              </w:rPr>
            </w:pPr>
          </w:p>
        </w:tc>
      </w:tr>
      <w:tr w:rsidR="00D72FDB" w:rsidRPr="00DC2D1F" w:rsidTr="00D72FDB">
        <w:trPr>
          <w:cantSplit/>
        </w:trPr>
        <w:tc>
          <w:tcPr>
            <w:tcW w:w="2427" w:type="pct"/>
          </w:tcPr>
          <w:p w:rsidR="00D72FDB" w:rsidRPr="00C450B0" w:rsidRDefault="00D72FDB" w:rsidP="00BA37D8">
            <w:pPr>
              <w:rPr>
                <w:sz w:val="20"/>
                <w:szCs w:val="20"/>
                <w:lang w:val="fr-CA"/>
              </w:rPr>
            </w:pPr>
            <w:r w:rsidRPr="00C450B0">
              <w:rPr>
                <w:sz w:val="20"/>
                <w:szCs w:val="20"/>
                <w:lang w:val="fr-CA"/>
              </w:rPr>
              <w:lastRenderedPageBreak/>
              <w:t>8 mars 2011</w:t>
            </w:r>
          </w:p>
          <w:p w:rsidR="00D72FDB" w:rsidRPr="00C450B0" w:rsidRDefault="00D72FDB" w:rsidP="00BA37D8">
            <w:pPr>
              <w:rPr>
                <w:sz w:val="20"/>
                <w:szCs w:val="20"/>
                <w:lang w:val="fr-CA"/>
              </w:rPr>
            </w:pPr>
            <w:r w:rsidRPr="00C450B0">
              <w:rPr>
                <w:sz w:val="20"/>
                <w:szCs w:val="20"/>
                <w:lang w:val="fr-CA"/>
              </w:rPr>
              <w:t>Cour provinciale de l’Alberta</w:t>
            </w:r>
          </w:p>
          <w:p w:rsidR="00D72FDB" w:rsidRPr="00C450B0" w:rsidRDefault="00D72FDB" w:rsidP="00BA37D8">
            <w:pPr>
              <w:rPr>
                <w:sz w:val="20"/>
                <w:szCs w:val="20"/>
                <w:lang w:val="fr-CA"/>
              </w:rPr>
            </w:pPr>
            <w:r w:rsidRPr="00C450B0">
              <w:rPr>
                <w:sz w:val="20"/>
                <w:szCs w:val="20"/>
                <w:lang w:val="fr-CA"/>
              </w:rPr>
              <w:t>(Juge Barley)</w:t>
            </w:r>
          </w:p>
          <w:p w:rsidR="00D72FDB" w:rsidRPr="00C450B0" w:rsidRDefault="00D72FDB" w:rsidP="00BA37D8">
            <w:pPr>
              <w:rPr>
                <w:sz w:val="20"/>
                <w:szCs w:val="20"/>
                <w:lang w:val="fr-CA"/>
              </w:rPr>
            </w:pPr>
          </w:p>
        </w:tc>
        <w:tc>
          <w:tcPr>
            <w:tcW w:w="243" w:type="pct"/>
          </w:tcPr>
          <w:p w:rsidR="00D72FDB" w:rsidRPr="00C450B0" w:rsidRDefault="00D72FDB" w:rsidP="00BA37D8">
            <w:pPr>
              <w:rPr>
                <w:sz w:val="20"/>
                <w:szCs w:val="20"/>
                <w:lang w:val="fr-CA"/>
              </w:rPr>
            </w:pPr>
          </w:p>
        </w:tc>
        <w:tc>
          <w:tcPr>
            <w:tcW w:w="2330" w:type="pct"/>
          </w:tcPr>
          <w:p w:rsidR="00D72FDB" w:rsidRPr="00C450B0" w:rsidRDefault="00D72FDB" w:rsidP="00D72FDB">
            <w:pPr>
              <w:jc w:val="both"/>
              <w:rPr>
                <w:sz w:val="20"/>
                <w:szCs w:val="20"/>
                <w:lang w:val="fr-CA"/>
              </w:rPr>
            </w:pPr>
            <w:r w:rsidRPr="00C450B0">
              <w:rPr>
                <w:sz w:val="20"/>
                <w:szCs w:val="20"/>
                <w:lang w:val="fr-CA"/>
              </w:rPr>
              <w:t>Demandeur déclaré coupable de production et de possession de marijuana aux fins d'en faire le trafic</w:t>
            </w:r>
          </w:p>
          <w:p w:rsidR="00D72FDB" w:rsidRPr="00C450B0" w:rsidRDefault="00D72FDB" w:rsidP="00BA37D8">
            <w:pPr>
              <w:rPr>
                <w:sz w:val="20"/>
                <w:szCs w:val="20"/>
                <w:lang w:val="fr-CA"/>
              </w:rPr>
            </w:pPr>
          </w:p>
        </w:tc>
      </w:tr>
      <w:tr w:rsidR="00D72FDB" w:rsidRPr="00DC2D1F" w:rsidTr="00D72FDB">
        <w:trPr>
          <w:cantSplit/>
        </w:trPr>
        <w:tc>
          <w:tcPr>
            <w:tcW w:w="2427" w:type="pct"/>
          </w:tcPr>
          <w:p w:rsidR="00D72FDB" w:rsidRPr="00C450B0" w:rsidRDefault="00D72FDB" w:rsidP="00BA37D8">
            <w:pPr>
              <w:rPr>
                <w:sz w:val="20"/>
                <w:szCs w:val="20"/>
                <w:lang w:val="fr-CA"/>
              </w:rPr>
            </w:pPr>
            <w:r w:rsidRPr="00C450B0">
              <w:rPr>
                <w:sz w:val="20"/>
                <w:szCs w:val="20"/>
                <w:lang w:val="fr-CA"/>
              </w:rPr>
              <w:t>8 mars 2011</w:t>
            </w:r>
          </w:p>
          <w:p w:rsidR="00D72FDB" w:rsidRPr="00C450B0" w:rsidRDefault="00D72FDB" w:rsidP="00BA37D8">
            <w:pPr>
              <w:rPr>
                <w:sz w:val="20"/>
                <w:szCs w:val="20"/>
                <w:lang w:val="fr-CA"/>
              </w:rPr>
            </w:pPr>
            <w:r w:rsidRPr="00C450B0">
              <w:rPr>
                <w:sz w:val="20"/>
                <w:szCs w:val="20"/>
                <w:lang w:val="fr-CA"/>
              </w:rPr>
              <w:t xml:space="preserve">Cour provinciale de l'Alberta </w:t>
            </w:r>
          </w:p>
          <w:p w:rsidR="00D72FDB" w:rsidRPr="00C450B0" w:rsidRDefault="00D72FDB" w:rsidP="00BA37D8">
            <w:pPr>
              <w:rPr>
                <w:sz w:val="20"/>
                <w:szCs w:val="20"/>
                <w:lang w:val="fr-CA"/>
              </w:rPr>
            </w:pPr>
            <w:r w:rsidRPr="00C450B0">
              <w:rPr>
                <w:sz w:val="20"/>
                <w:szCs w:val="20"/>
                <w:lang w:val="fr-CA"/>
              </w:rPr>
              <w:t>(Juge Barley)</w:t>
            </w:r>
          </w:p>
          <w:p w:rsidR="00D72FDB" w:rsidRPr="00C450B0" w:rsidRDefault="00D72FDB" w:rsidP="00BA37D8">
            <w:pPr>
              <w:rPr>
                <w:sz w:val="20"/>
                <w:szCs w:val="20"/>
                <w:lang w:val="fr-CA"/>
              </w:rPr>
            </w:pPr>
          </w:p>
        </w:tc>
        <w:tc>
          <w:tcPr>
            <w:tcW w:w="243" w:type="pct"/>
          </w:tcPr>
          <w:p w:rsidR="00D72FDB" w:rsidRPr="00C450B0" w:rsidRDefault="00D72FDB" w:rsidP="00BA37D8">
            <w:pPr>
              <w:rPr>
                <w:sz w:val="20"/>
                <w:szCs w:val="20"/>
                <w:lang w:val="fr-CA"/>
              </w:rPr>
            </w:pPr>
          </w:p>
        </w:tc>
        <w:tc>
          <w:tcPr>
            <w:tcW w:w="2330" w:type="pct"/>
          </w:tcPr>
          <w:p w:rsidR="00D72FDB" w:rsidRPr="00C450B0" w:rsidRDefault="00D72FDB" w:rsidP="00D72FDB">
            <w:pPr>
              <w:jc w:val="both"/>
              <w:rPr>
                <w:sz w:val="20"/>
                <w:szCs w:val="20"/>
                <w:lang w:val="fr-CA"/>
              </w:rPr>
            </w:pPr>
            <w:r w:rsidRPr="00C450B0">
              <w:rPr>
                <w:sz w:val="20"/>
                <w:szCs w:val="20"/>
                <w:lang w:val="fr-CA"/>
              </w:rPr>
              <w:t>Demandeur condamné à une peine d'emprisonnement de 24 mois</w:t>
            </w:r>
          </w:p>
          <w:p w:rsidR="00D72FDB" w:rsidRPr="00C450B0" w:rsidRDefault="00D72FDB" w:rsidP="00BA37D8">
            <w:pPr>
              <w:rPr>
                <w:sz w:val="20"/>
                <w:szCs w:val="20"/>
                <w:lang w:val="fr-CA"/>
              </w:rPr>
            </w:pPr>
          </w:p>
        </w:tc>
      </w:tr>
      <w:tr w:rsidR="00D72FDB" w:rsidRPr="00C450B0" w:rsidTr="00D72FDB">
        <w:trPr>
          <w:cantSplit/>
        </w:trPr>
        <w:tc>
          <w:tcPr>
            <w:tcW w:w="2427" w:type="pct"/>
          </w:tcPr>
          <w:p w:rsidR="00D72FDB" w:rsidRPr="00C450B0" w:rsidRDefault="00D72FDB" w:rsidP="00BA37D8">
            <w:pPr>
              <w:rPr>
                <w:sz w:val="20"/>
                <w:szCs w:val="20"/>
                <w:lang w:val="fr-CA"/>
              </w:rPr>
            </w:pPr>
            <w:r w:rsidRPr="00C450B0">
              <w:rPr>
                <w:sz w:val="20"/>
                <w:szCs w:val="20"/>
                <w:lang w:val="fr-CA"/>
              </w:rPr>
              <w:t>28 juin 2012</w:t>
            </w:r>
          </w:p>
          <w:p w:rsidR="00D72FDB" w:rsidRPr="00C450B0" w:rsidRDefault="00D72FDB" w:rsidP="00BA37D8">
            <w:pPr>
              <w:rPr>
                <w:sz w:val="20"/>
                <w:szCs w:val="20"/>
                <w:lang w:val="fr-CA"/>
              </w:rPr>
            </w:pPr>
            <w:r w:rsidRPr="00C450B0">
              <w:rPr>
                <w:sz w:val="20"/>
                <w:szCs w:val="20"/>
                <w:lang w:val="fr-CA"/>
              </w:rPr>
              <w:t>Cour d'appel de l'Alberta (Calgary)</w:t>
            </w:r>
          </w:p>
          <w:p w:rsidR="00D72FDB" w:rsidRPr="00C450B0" w:rsidRDefault="00D72FDB" w:rsidP="00BA37D8">
            <w:pPr>
              <w:rPr>
                <w:sz w:val="20"/>
                <w:szCs w:val="20"/>
                <w:lang w:val="fr-CA"/>
              </w:rPr>
            </w:pPr>
            <w:r w:rsidRPr="00C450B0">
              <w:rPr>
                <w:sz w:val="20"/>
                <w:szCs w:val="20"/>
                <w:lang w:val="fr-CA"/>
              </w:rPr>
              <w:t>(Juges Martin [dissident], Watson et McDonald)</w:t>
            </w:r>
          </w:p>
          <w:p w:rsidR="00D72FDB" w:rsidRPr="00C450B0" w:rsidRDefault="00D72FDB" w:rsidP="00BA37D8">
            <w:pPr>
              <w:rPr>
                <w:sz w:val="20"/>
                <w:szCs w:val="20"/>
                <w:lang w:val="fr-CA"/>
              </w:rPr>
            </w:pPr>
            <w:r w:rsidRPr="00C450B0">
              <w:rPr>
                <w:sz w:val="20"/>
                <w:szCs w:val="20"/>
                <w:lang w:val="fr-CA"/>
              </w:rPr>
              <w:t>2012 ABCA 203</w:t>
            </w:r>
          </w:p>
          <w:p w:rsidR="00D72FDB" w:rsidRPr="00C450B0" w:rsidRDefault="00D72FDB" w:rsidP="00BA37D8">
            <w:pPr>
              <w:rPr>
                <w:sz w:val="20"/>
                <w:szCs w:val="20"/>
                <w:lang w:val="fr-CA"/>
              </w:rPr>
            </w:pPr>
          </w:p>
        </w:tc>
        <w:tc>
          <w:tcPr>
            <w:tcW w:w="243" w:type="pct"/>
          </w:tcPr>
          <w:p w:rsidR="00D72FDB" w:rsidRPr="00C450B0" w:rsidRDefault="00D72FDB" w:rsidP="00BA37D8">
            <w:pPr>
              <w:rPr>
                <w:sz w:val="20"/>
                <w:szCs w:val="20"/>
                <w:lang w:val="fr-CA"/>
              </w:rPr>
            </w:pPr>
          </w:p>
        </w:tc>
        <w:tc>
          <w:tcPr>
            <w:tcW w:w="2330" w:type="pct"/>
          </w:tcPr>
          <w:p w:rsidR="00D72FDB" w:rsidRPr="00C450B0" w:rsidRDefault="00D72FDB" w:rsidP="00BA37D8">
            <w:pPr>
              <w:rPr>
                <w:sz w:val="20"/>
                <w:szCs w:val="20"/>
                <w:lang w:val="fr-CA"/>
              </w:rPr>
            </w:pPr>
            <w:r w:rsidRPr="00C450B0">
              <w:rPr>
                <w:sz w:val="20"/>
                <w:szCs w:val="20"/>
                <w:lang w:val="fr-CA"/>
              </w:rPr>
              <w:t>Appel rejeté</w:t>
            </w:r>
          </w:p>
          <w:p w:rsidR="00D72FDB" w:rsidRPr="00C450B0" w:rsidRDefault="00D72FDB" w:rsidP="00BA37D8">
            <w:pPr>
              <w:rPr>
                <w:sz w:val="20"/>
                <w:szCs w:val="20"/>
                <w:lang w:val="fr-CA"/>
              </w:rPr>
            </w:pPr>
          </w:p>
        </w:tc>
      </w:tr>
      <w:tr w:rsidR="00D72FDB" w:rsidRPr="00C450B0" w:rsidTr="00D72FDB">
        <w:trPr>
          <w:cantSplit/>
        </w:trPr>
        <w:tc>
          <w:tcPr>
            <w:tcW w:w="2427" w:type="pct"/>
          </w:tcPr>
          <w:p w:rsidR="00D72FDB" w:rsidRPr="00C450B0" w:rsidRDefault="00D72FDB" w:rsidP="00BA37D8">
            <w:pPr>
              <w:rPr>
                <w:sz w:val="20"/>
                <w:szCs w:val="20"/>
                <w:lang w:val="fr-CA"/>
              </w:rPr>
            </w:pPr>
            <w:r w:rsidRPr="00C450B0">
              <w:rPr>
                <w:sz w:val="20"/>
                <w:szCs w:val="20"/>
                <w:lang w:val="fr-CA"/>
              </w:rPr>
              <w:t>21 août 2012</w:t>
            </w:r>
          </w:p>
          <w:p w:rsidR="00D72FDB" w:rsidRPr="00C450B0" w:rsidRDefault="00D72FDB" w:rsidP="00BA37D8">
            <w:pPr>
              <w:rPr>
                <w:sz w:val="20"/>
                <w:szCs w:val="20"/>
                <w:lang w:val="fr-CA"/>
              </w:rPr>
            </w:pPr>
            <w:r w:rsidRPr="00C450B0">
              <w:rPr>
                <w:sz w:val="20"/>
                <w:szCs w:val="20"/>
                <w:lang w:val="fr-CA"/>
              </w:rPr>
              <w:t>Cour suprême du Canada</w:t>
            </w:r>
          </w:p>
        </w:tc>
        <w:tc>
          <w:tcPr>
            <w:tcW w:w="243" w:type="pct"/>
          </w:tcPr>
          <w:p w:rsidR="00D72FDB" w:rsidRPr="00C450B0" w:rsidRDefault="00D72FDB" w:rsidP="00BA37D8">
            <w:pPr>
              <w:rPr>
                <w:sz w:val="20"/>
                <w:szCs w:val="20"/>
                <w:lang w:val="fr-CA"/>
              </w:rPr>
            </w:pPr>
          </w:p>
        </w:tc>
        <w:tc>
          <w:tcPr>
            <w:tcW w:w="2330" w:type="pct"/>
          </w:tcPr>
          <w:p w:rsidR="00D72FDB" w:rsidRPr="00C450B0" w:rsidRDefault="00D72FDB" w:rsidP="00BA37D8">
            <w:pPr>
              <w:rPr>
                <w:sz w:val="20"/>
                <w:szCs w:val="20"/>
                <w:lang w:val="fr-CA"/>
              </w:rPr>
            </w:pPr>
            <w:r w:rsidRPr="00C450B0">
              <w:rPr>
                <w:sz w:val="20"/>
                <w:szCs w:val="20"/>
                <w:lang w:val="fr-CA"/>
              </w:rPr>
              <w:t>Demande d'autorisation d'appel, déposée</w:t>
            </w:r>
          </w:p>
          <w:p w:rsidR="00D72FDB" w:rsidRPr="00C450B0" w:rsidRDefault="00D72FDB" w:rsidP="00BA37D8">
            <w:pPr>
              <w:rPr>
                <w:sz w:val="20"/>
                <w:szCs w:val="20"/>
                <w:lang w:val="fr-CA"/>
              </w:rPr>
            </w:pPr>
          </w:p>
        </w:tc>
      </w:tr>
    </w:tbl>
    <w:p w:rsidR="00565D14" w:rsidRDefault="00565D14" w:rsidP="00A740D1">
      <w:pPr>
        <w:rPr>
          <w:sz w:val="20"/>
          <w:szCs w:val="20"/>
        </w:rPr>
      </w:pPr>
    </w:p>
    <w:p w:rsidR="00565D14" w:rsidRDefault="00BF3B03" w:rsidP="00A740D1">
      <w:pPr>
        <w:rPr>
          <w:sz w:val="20"/>
          <w:szCs w:val="20"/>
        </w:rPr>
      </w:pPr>
      <w:r w:rsidRPr="00BF3B03">
        <w:rPr>
          <w:sz w:val="20"/>
          <w:szCs w:val="20"/>
          <w:lang w:val="fr-CA"/>
        </w:rPr>
        <w:pict>
          <v:rect id="_x0000_i1061" style="width:2in;height:1pt" o:hrpct="0" o:hralign="center" o:hrstd="t" o:hrnoshade="t" o:hr="t" fillcolor="black [3213]" stroked="f"/>
        </w:pict>
      </w:r>
    </w:p>
    <w:p w:rsidR="00565D14" w:rsidRDefault="00565D14"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72FDB" w:rsidRPr="00D72FDB" w:rsidTr="00BA37D8">
        <w:trPr>
          <w:cantSplit/>
        </w:trPr>
        <w:tc>
          <w:tcPr>
            <w:tcW w:w="1458" w:type="dxa"/>
          </w:tcPr>
          <w:p w:rsidR="00D72FDB" w:rsidRPr="00D72FDB" w:rsidRDefault="00D72FDB" w:rsidP="00BA37D8">
            <w:pPr>
              <w:rPr>
                <w:sz w:val="20"/>
                <w:szCs w:val="20"/>
              </w:rPr>
            </w:pPr>
            <w:r w:rsidRPr="00D72FDB">
              <w:rPr>
                <w:rStyle w:val="SCCFileNumberChar"/>
                <w:sz w:val="20"/>
                <w:szCs w:val="20"/>
              </w:rPr>
              <w:t>34900</w:t>
            </w:r>
          </w:p>
          <w:p w:rsidR="00D72FDB" w:rsidRPr="00D72FDB" w:rsidRDefault="00D72FDB" w:rsidP="00BA37D8">
            <w:pPr>
              <w:rPr>
                <w:b/>
                <w:sz w:val="20"/>
                <w:szCs w:val="20"/>
                <w:lang w:val="fr-CA"/>
              </w:rPr>
            </w:pPr>
          </w:p>
        </w:tc>
        <w:tc>
          <w:tcPr>
            <w:tcW w:w="8118" w:type="dxa"/>
          </w:tcPr>
          <w:p w:rsidR="00D72FDB" w:rsidRPr="00D72FDB" w:rsidRDefault="00D72FDB" w:rsidP="00BA37D8">
            <w:pPr>
              <w:rPr>
                <w:sz w:val="20"/>
                <w:szCs w:val="20"/>
              </w:rPr>
            </w:pPr>
            <w:r w:rsidRPr="00D72FDB">
              <w:rPr>
                <w:rStyle w:val="SCCLsocChar"/>
                <w:sz w:val="20"/>
                <w:szCs w:val="20"/>
              </w:rPr>
              <w:t>Thelma Angela Vassel aka Linda Lee v. Paul Dagenais</w:t>
            </w:r>
            <w:r w:rsidRPr="00D72FDB">
              <w:rPr>
                <w:sz w:val="20"/>
                <w:szCs w:val="20"/>
                <w:lang w:val="fr-CA"/>
              </w:rPr>
              <w:t xml:space="preserve"> (Ont.) </w:t>
            </w:r>
            <w:r w:rsidRPr="00D72FDB">
              <w:rPr>
                <w:sz w:val="20"/>
                <w:szCs w:val="20"/>
              </w:rPr>
              <w:t>(Civil) (By Leave)</w:t>
            </w:r>
          </w:p>
          <w:p w:rsidR="00D72FDB" w:rsidRPr="00D72FDB" w:rsidRDefault="00D72FDB" w:rsidP="00BA37D8">
            <w:pPr>
              <w:rPr>
                <w:sz w:val="20"/>
                <w:szCs w:val="20"/>
              </w:rPr>
            </w:pPr>
          </w:p>
        </w:tc>
      </w:tr>
      <w:tr w:rsidR="00D72FDB" w:rsidRPr="00D72FDB" w:rsidTr="00BA37D8">
        <w:trPr>
          <w:cantSplit/>
        </w:trPr>
        <w:tc>
          <w:tcPr>
            <w:tcW w:w="1458" w:type="dxa"/>
          </w:tcPr>
          <w:p w:rsidR="00D72FDB" w:rsidRPr="00D72FDB" w:rsidRDefault="00D72FDB" w:rsidP="00BA37D8">
            <w:pPr>
              <w:rPr>
                <w:sz w:val="20"/>
                <w:szCs w:val="20"/>
              </w:rPr>
            </w:pPr>
            <w:r w:rsidRPr="00D72FDB">
              <w:rPr>
                <w:sz w:val="20"/>
                <w:szCs w:val="20"/>
              </w:rPr>
              <w:t>Coram :</w:t>
            </w:r>
          </w:p>
        </w:tc>
        <w:tc>
          <w:tcPr>
            <w:tcW w:w="8118" w:type="dxa"/>
          </w:tcPr>
          <w:p w:rsidR="00D72FDB" w:rsidRPr="00D72FDB" w:rsidRDefault="00D72FDB" w:rsidP="00BA37D8">
            <w:pPr>
              <w:rPr>
                <w:sz w:val="20"/>
                <w:szCs w:val="20"/>
              </w:rPr>
            </w:pPr>
            <w:r w:rsidRPr="00D72FDB">
              <w:rPr>
                <w:rStyle w:val="SCCCoramChar"/>
                <w:sz w:val="20"/>
                <w:szCs w:val="20"/>
                <w:lang w:val="en-CA"/>
              </w:rPr>
              <w:t>McLachlin C.J. and Rothstein and Moldaver JJ.</w:t>
            </w:r>
          </w:p>
          <w:p w:rsidR="00D72FDB" w:rsidRPr="00D72FDB" w:rsidRDefault="00D72FDB" w:rsidP="00BA37D8">
            <w:pPr>
              <w:rPr>
                <w:sz w:val="20"/>
                <w:szCs w:val="20"/>
                <w:u w:val="single"/>
              </w:rPr>
            </w:pPr>
          </w:p>
        </w:tc>
      </w:tr>
      <w:tr w:rsidR="00D72FDB" w:rsidRPr="00DC2D1F" w:rsidTr="00BA37D8">
        <w:trPr>
          <w:cantSplit/>
        </w:trPr>
        <w:tc>
          <w:tcPr>
            <w:tcW w:w="9576" w:type="dxa"/>
            <w:gridSpan w:val="2"/>
          </w:tcPr>
          <w:p w:rsidR="00D72FDB" w:rsidRPr="00D72FDB" w:rsidRDefault="00D72FDB" w:rsidP="00BA37D8">
            <w:pPr>
              <w:pStyle w:val="SCCShortJudgment"/>
              <w:rPr>
                <w:szCs w:val="20"/>
              </w:rPr>
            </w:pPr>
            <w:r w:rsidRPr="00D72FDB">
              <w:rPr>
                <w:szCs w:val="20"/>
              </w:rPr>
              <w:t>The application for leave to appeal from the judgment of the Court of Appeal for Ontario, Number C54401, 2012 ONCA 424, dated June 13, 2012, is dismissed with costs.</w:t>
            </w:r>
          </w:p>
          <w:p w:rsidR="00D72FDB" w:rsidRPr="00D72FDB" w:rsidRDefault="00D72FDB" w:rsidP="00BA37D8">
            <w:pPr>
              <w:pStyle w:val="SCCShortJudgment"/>
              <w:ind w:firstLine="0"/>
              <w:rPr>
                <w:szCs w:val="20"/>
              </w:rPr>
            </w:pPr>
          </w:p>
          <w:p w:rsidR="00D72FDB" w:rsidRPr="00D72FDB" w:rsidRDefault="00D72FDB" w:rsidP="00BA37D8">
            <w:pPr>
              <w:pStyle w:val="SCCShortJudgment"/>
              <w:rPr>
                <w:szCs w:val="20"/>
                <w:lang w:val="fr-CA"/>
              </w:rPr>
            </w:pPr>
            <w:r w:rsidRPr="00D72FDB">
              <w:rPr>
                <w:szCs w:val="20"/>
                <w:lang w:val="fr-CA"/>
              </w:rPr>
              <w:t>La demande d’autorisation d’appel de l’arrêt de la Cour d’appel de l’Ontario, numéro C54401, 2012 ONCA 424, daté du 13 juin 2012, est rejetée avec dépens.</w:t>
            </w:r>
          </w:p>
        </w:tc>
      </w:tr>
    </w:tbl>
    <w:p w:rsidR="00A740D1" w:rsidRPr="00D72FDB"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803D5" w:rsidRPr="00201A3F" w:rsidTr="00B803D5">
        <w:tc>
          <w:tcPr>
            <w:tcW w:w="5000" w:type="pct"/>
            <w:gridSpan w:val="3"/>
          </w:tcPr>
          <w:p w:rsidR="00B803D5" w:rsidRPr="00201A3F" w:rsidRDefault="00B803D5" w:rsidP="00B803D5">
            <w:pPr>
              <w:jc w:val="both"/>
              <w:rPr>
                <w:rFonts w:eastAsia="Calibri"/>
                <w:sz w:val="20"/>
              </w:rPr>
            </w:pPr>
            <w:r w:rsidRPr="00201A3F">
              <w:rPr>
                <w:rFonts w:eastAsia="Calibri"/>
                <w:sz w:val="20"/>
              </w:rPr>
              <w:t>Evidence — Whether the trial judge erred in evaluating the credibility, reliability and sufficiency of the evidence — Whether the Court of Appeal erred in endorsing the findings of the trial judge — Whether gender and race played a decisive role in the erroneous judgment.</w:t>
            </w:r>
          </w:p>
        </w:tc>
      </w:tr>
      <w:tr w:rsidR="00B803D5" w:rsidRPr="00201A3F" w:rsidTr="00B803D5">
        <w:tc>
          <w:tcPr>
            <w:tcW w:w="5000" w:type="pct"/>
            <w:gridSpan w:val="3"/>
          </w:tcPr>
          <w:p w:rsidR="00B803D5" w:rsidRPr="00201A3F" w:rsidRDefault="00B803D5" w:rsidP="00B803D5">
            <w:pPr>
              <w:jc w:val="both"/>
              <w:rPr>
                <w:rFonts w:eastAsia="Calibri"/>
                <w:sz w:val="20"/>
              </w:rPr>
            </w:pPr>
          </w:p>
          <w:p w:rsidR="00B803D5" w:rsidRPr="00201A3F" w:rsidRDefault="00B803D5" w:rsidP="00B803D5">
            <w:pPr>
              <w:jc w:val="both"/>
              <w:rPr>
                <w:rFonts w:eastAsia="Calibri"/>
                <w:sz w:val="20"/>
              </w:rPr>
            </w:pPr>
            <w:r w:rsidRPr="00201A3F">
              <w:rPr>
                <w:rFonts w:eastAsia="Calibri"/>
                <w:sz w:val="20"/>
              </w:rPr>
              <w:t>The respondent, Mr. Dagenais was a 61 year old retiree and life-long bachelor.  During the period of July 2009 to January 2010, he withdrew a total of $132,845 in cash from three bank accounts.  According to Mr. Dagenais, he had loaned the money to the applicant, Ms. Vassel, an exotic dancer who worked at a strip club frequented by Mr. Dagenais.  There was no promissory note or other written acknowledgement of any loans by Mr. Dagenais to Ms. Vassel.  Ms. Vassel denied that Mr. Dagenais lent her any money.  She acknowledged receiving money from Mr. Dagenais on a fee for service basis, both at the club and outside the club, but claimed that the total amounts received where nowhere near $130,000.  Ms. Vassel estimated receiving a few thousand dollars, perhaps $5,000 over the years she knew Mr. Dagenais, for dances in the private VIP area of the club and a further amount totalling approximately $5,000 for dates outside the club.  In January 2010, Mr. Dagenais asked Ms. Vassel to sign a statement prepared on the back of an envelope, acknowledging that she owed him $151,000.  According to Mr. Dagenais, she signed the statement three separate times, but each time crossed out her signature.  Mr. Dagenais commenced an action to recover the amounts that he claimed that he lent to Ms. Vassel.  At trial, $125,245 was awarded to Mr. Dagenais.  Ms. Vassel’s appeal was dismissed.</w:t>
            </w:r>
          </w:p>
          <w:p w:rsidR="00B803D5" w:rsidRPr="00201A3F" w:rsidRDefault="00B803D5" w:rsidP="00B803D5">
            <w:pPr>
              <w:jc w:val="both"/>
              <w:rPr>
                <w:rFonts w:eastAsia="Calibri"/>
                <w:sz w:val="20"/>
              </w:rPr>
            </w:pPr>
          </w:p>
        </w:tc>
      </w:tr>
      <w:tr w:rsidR="00B803D5" w:rsidRPr="00201A3F" w:rsidTr="00D72FDB">
        <w:trPr>
          <w:cantSplit/>
        </w:trPr>
        <w:tc>
          <w:tcPr>
            <w:tcW w:w="2427" w:type="pct"/>
          </w:tcPr>
          <w:p w:rsidR="00B803D5" w:rsidRPr="00201A3F" w:rsidRDefault="00B803D5" w:rsidP="00B803D5">
            <w:pPr>
              <w:jc w:val="both"/>
              <w:rPr>
                <w:rFonts w:eastAsia="Calibri"/>
                <w:sz w:val="20"/>
              </w:rPr>
            </w:pPr>
            <w:r w:rsidRPr="00201A3F">
              <w:rPr>
                <w:rFonts w:eastAsia="Calibri"/>
                <w:sz w:val="20"/>
              </w:rPr>
              <w:lastRenderedPageBreak/>
              <w:t>August 30, 2011</w:t>
            </w:r>
          </w:p>
          <w:p w:rsidR="00B803D5" w:rsidRPr="00201A3F" w:rsidRDefault="00B803D5" w:rsidP="00B803D5">
            <w:pPr>
              <w:jc w:val="both"/>
              <w:rPr>
                <w:rFonts w:eastAsia="Calibri"/>
                <w:sz w:val="20"/>
              </w:rPr>
            </w:pPr>
            <w:r w:rsidRPr="00201A3F">
              <w:rPr>
                <w:rFonts w:eastAsia="Calibri"/>
                <w:sz w:val="20"/>
              </w:rPr>
              <w:t>Ontario Superior Court of Justice</w:t>
            </w:r>
          </w:p>
          <w:p w:rsidR="00B803D5" w:rsidRPr="00201A3F" w:rsidRDefault="00B803D5" w:rsidP="00B803D5">
            <w:pPr>
              <w:jc w:val="both"/>
              <w:rPr>
                <w:rFonts w:eastAsia="Calibri"/>
                <w:sz w:val="20"/>
              </w:rPr>
            </w:pPr>
            <w:r w:rsidRPr="00201A3F">
              <w:rPr>
                <w:rFonts w:eastAsia="Calibri"/>
                <w:sz w:val="20"/>
              </w:rPr>
              <w:t>(Lococo J.)</w:t>
            </w:r>
          </w:p>
          <w:p w:rsidR="00B803D5" w:rsidRPr="00201A3F" w:rsidRDefault="00B803D5" w:rsidP="00B803D5">
            <w:pPr>
              <w:jc w:val="both"/>
              <w:rPr>
                <w:rFonts w:eastAsia="Calibri"/>
                <w:sz w:val="20"/>
              </w:rPr>
            </w:pPr>
          </w:p>
        </w:tc>
        <w:tc>
          <w:tcPr>
            <w:tcW w:w="243" w:type="pct"/>
          </w:tcPr>
          <w:p w:rsidR="00B803D5" w:rsidRPr="00201A3F" w:rsidRDefault="00B803D5" w:rsidP="00B803D5">
            <w:pPr>
              <w:jc w:val="both"/>
              <w:rPr>
                <w:rFonts w:eastAsia="Calibri"/>
                <w:sz w:val="20"/>
              </w:rPr>
            </w:pPr>
          </w:p>
        </w:tc>
        <w:tc>
          <w:tcPr>
            <w:tcW w:w="2330" w:type="pct"/>
          </w:tcPr>
          <w:p w:rsidR="00B803D5" w:rsidRPr="00201A3F" w:rsidRDefault="00B803D5" w:rsidP="00B803D5">
            <w:pPr>
              <w:jc w:val="both"/>
              <w:rPr>
                <w:rFonts w:eastAsia="Calibri"/>
                <w:sz w:val="20"/>
              </w:rPr>
            </w:pPr>
            <w:r w:rsidRPr="00201A3F">
              <w:rPr>
                <w:rFonts w:eastAsia="Calibri"/>
                <w:sz w:val="20"/>
              </w:rPr>
              <w:t>Action for repayment of loan granted</w:t>
            </w:r>
          </w:p>
          <w:p w:rsidR="00B803D5" w:rsidRPr="00201A3F" w:rsidRDefault="00B803D5" w:rsidP="00B803D5">
            <w:pPr>
              <w:jc w:val="both"/>
              <w:rPr>
                <w:rFonts w:eastAsia="Calibri"/>
                <w:sz w:val="20"/>
              </w:rPr>
            </w:pPr>
          </w:p>
        </w:tc>
      </w:tr>
      <w:tr w:rsidR="00B803D5" w:rsidRPr="00201A3F" w:rsidTr="00D72FDB">
        <w:trPr>
          <w:cantSplit/>
        </w:trPr>
        <w:tc>
          <w:tcPr>
            <w:tcW w:w="2427" w:type="pct"/>
          </w:tcPr>
          <w:p w:rsidR="00B803D5" w:rsidRPr="00201A3F" w:rsidRDefault="00B803D5" w:rsidP="00B803D5">
            <w:pPr>
              <w:jc w:val="both"/>
              <w:rPr>
                <w:rFonts w:eastAsia="Calibri"/>
                <w:sz w:val="20"/>
              </w:rPr>
            </w:pPr>
            <w:r w:rsidRPr="00201A3F">
              <w:rPr>
                <w:rFonts w:eastAsia="Calibri"/>
                <w:sz w:val="20"/>
              </w:rPr>
              <w:t>June 20, 2012</w:t>
            </w:r>
          </w:p>
          <w:p w:rsidR="00B803D5" w:rsidRPr="00201A3F" w:rsidRDefault="00B803D5" w:rsidP="00B803D5">
            <w:pPr>
              <w:jc w:val="both"/>
              <w:rPr>
                <w:rFonts w:eastAsia="Calibri"/>
                <w:sz w:val="20"/>
              </w:rPr>
            </w:pPr>
            <w:r w:rsidRPr="00201A3F">
              <w:rPr>
                <w:rFonts w:eastAsia="Calibri"/>
                <w:sz w:val="20"/>
              </w:rPr>
              <w:t>Court of Appeal for Ontario</w:t>
            </w:r>
          </w:p>
          <w:p w:rsidR="00B803D5" w:rsidRPr="00201A3F" w:rsidRDefault="00B803D5" w:rsidP="00B803D5">
            <w:pPr>
              <w:jc w:val="both"/>
              <w:rPr>
                <w:rFonts w:eastAsia="Calibri"/>
                <w:sz w:val="20"/>
              </w:rPr>
            </w:pPr>
            <w:r w:rsidRPr="00201A3F">
              <w:rPr>
                <w:rFonts w:eastAsia="Calibri"/>
                <w:sz w:val="20"/>
              </w:rPr>
              <w:t>(Doherty, Juriansz and Ducharme JJ.A.)</w:t>
            </w:r>
          </w:p>
          <w:p w:rsidR="00B803D5" w:rsidRPr="00201A3F" w:rsidRDefault="00B803D5" w:rsidP="00B803D5">
            <w:pPr>
              <w:jc w:val="both"/>
              <w:rPr>
                <w:rFonts w:eastAsia="Calibri"/>
                <w:sz w:val="20"/>
              </w:rPr>
            </w:pPr>
            <w:r w:rsidRPr="00201A3F">
              <w:rPr>
                <w:rFonts w:eastAsia="Calibri"/>
                <w:sz w:val="20"/>
              </w:rPr>
              <w:t>2012 ONCA 424; C54401</w:t>
            </w:r>
          </w:p>
          <w:p w:rsidR="00B803D5" w:rsidRPr="00201A3F" w:rsidRDefault="00B803D5" w:rsidP="00B803D5">
            <w:pPr>
              <w:jc w:val="both"/>
              <w:rPr>
                <w:rFonts w:eastAsia="Calibri"/>
                <w:sz w:val="20"/>
              </w:rPr>
            </w:pPr>
          </w:p>
        </w:tc>
        <w:tc>
          <w:tcPr>
            <w:tcW w:w="243" w:type="pct"/>
          </w:tcPr>
          <w:p w:rsidR="00B803D5" w:rsidRPr="00201A3F" w:rsidRDefault="00B803D5" w:rsidP="00B803D5">
            <w:pPr>
              <w:jc w:val="both"/>
              <w:rPr>
                <w:rFonts w:eastAsia="Calibri"/>
                <w:sz w:val="20"/>
              </w:rPr>
            </w:pPr>
          </w:p>
        </w:tc>
        <w:tc>
          <w:tcPr>
            <w:tcW w:w="2330" w:type="pct"/>
          </w:tcPr>
          <w:p w:rsidR="00B803D5" w:rsidRPr="00201A3F" w:rsidRDefault="00B803D5" w:rsidP="00B803D5">
            <w:pPr>
              <w:jc w:val="both"/>
              <w:rPr>
                <w:rFonts w:eastAsia="Calibri"/>
                <w:sz w:val="20"/>
              </w:rPr>
            </w:pPr>
            <w:r w:rsidRPr="00201A3F">
              <w:rPr>
                <w:rFonts w:eastAsia="Calibri"/>
                <w:sz w:val="20"/>
              </w:rPr>
              <w:t>Appeal dismissed</w:t>
            </w:r>
          </w:p>
          <w:p w:rsidR="00B803D5" w:rsidRPr="00201A3F" w:rsidRDefault="00B803D5" w:rsidP="00B803D5">
            <w:pPr>
              <w:jc w:val="both"/>
              <w:rPr>
                <w:rFonts w:eastAsia="Calibri"/>
                <w:sz w:val="20"/>
              </w:rPr>
            </w:pPr>
          </w:p>
        </w:tc>
      </w:tr>
      <w:tr w:rsidR="00B803D5" w:rsidRPr="00201A3F" w:rsidTr="00D72FDB">
        <w:trPr>
          <w:cantSplit/>
        </w:trPr>
        <w:tc>
          <w:tcPr>
            <w:tcW w:w="2427" w:type="pct"/>
          </w:tcPr>
          <w:p w:rsidR="00B803D5" w:rsidRPr="00201A3F" w:rsidRDefault="00B803D5" w:rsidP="00B803D5">
            <w:pPr>
              <w:jc w:val="both"/>
              <w:rPr>
                <w:rFonts w:eastAsia="Calibri"/>
                <w:sz w:val="20"/>
              </w:rPr>
            </w:pPr>
            <w:r w:rsidRPr="00201A3F">
              <w:rPr>
                <w:rFonts w:eastAsia="Calibri"/>
                <w:sz w:val="20"/>
              </w:rPr>
              <w:t>July 11, 2012</w:t>
            </w:r>
          </w:p>
          <w:p w:rsidR="00B803D5" w:rsidRPr="00201A3F" w:rsidRDefault="00B803D5" w:rsidP="00B803D5">
            <w:pPr>
              <w:jc w:val="both"/>
              <w:rPr>
                <w:rFonts w:eastAsia="Calibri"/>
                <w:sz w:val="20"/>
              </w:rPr>
            </w:pPr>
            <w:r w:rsidRPr="00201A3F">
              <w:rPr>
                <w:rFonts w:eastAsia="Calibri"/>
                <w:sz w:val="20"/>
              </w:rPr>
              <w:t>Supreme Court of Canada</w:t>
            </w:r>
          </w:p>
        </w:tc>
        <w:tc>
          <w:tcPr>
            <w:tcW w:w="243" w:type="pct"/>
          </w:tcPr>
          <w:p w:rsidR="00B803D5" w:rsidRPr="00201A3F" w:rsidRDefault="00B803D5" w:rsidP="00B803D5">
            <w:pPr>
              <w:jc w:val="both"/>
              <w:rPr>
                <w:rFonts w:eastAsia="Calibri"/>
                <w:sz w:val="20"/>
              </w:rPr>
            </w:pPr>
          </w:p>
        </w:tc>
        <w:tc>
          <w:tcPr>
            <w:tcW w:w="2330" w:type="pct"/>
          </w:tcPr>
          <w:p w:rsidR="00B803D5" w:rsidRPr="00201A3F" w:rsidRDefault="00B803D5" w:rsidP="00B803D5">
            <w:pPr>
              <w:jc w:val="both"/>
              <w:rPr>
                <w:rFonts w:eastAsia="Calibri"/>
                <w:sz w:val="20"/>
              </w:rPr>
            </w:pPr>
            <w:r w:rsidRPr="00201A3F">
              <w:rPr>
                <w:rFonts w:eastAsia="Calibri"/>
                <w:sz w:val="20"/>
              </w:rPr>
              <w:t>Application for leave to appeal filed</w:t>
            </w:r>
          </w:p>
          <w:p w:rsidR="00B803D5" w:rsidRPr="00201A3F" w:rsidRDefault="00B803D5" w:rsidP="00B803D5">
            <w:pPr>
              <w:jc w:val="both"/>
              <w:rPr>
                <w:rFonts w:eastAsia="Calibri"/>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62"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B803D5" w:rsidRPr="00DC2D1F" w:rsidTr="00B803D5">
        <w:tc>
          <w:tcPr>
            <w:tcW w:w="5000" w:type="pct"/>
            <w:gridSpan w:val="3"/>
          </w:tcPr>
          <w:p w:rsidR="00B803D5" w:rsidRPr="00201A3F" w:rsidRDefault="00B803D5" w:rsidP="00B803D5">
            <w:pPr>
              <w:jc w:val="both"/>
              <w:rPr>
                <w:rFonts w:eastAsia="Calibri"/>
                <w:sz w:val="20"/>
                <w:lang w:val="fr-CA"/>
              </w:rPr>
            </w:pPr>
            <w:r w:rsidRPr="00201A3F">
              <w:rPr>
                <w:rFonts w:eastAsia="Calibri"/>
                <w:sz w:val="20"/>
                <w:lang w:val="fr-CA"/>
              </w:rPr>
              <w:t>Preuve — Le juge de première instance s'est</w:t>
            </w:r>
            <w:r w:rsidRPr="00201A3F">
              <w:rPr>
                <w:rFonts w:eastAsia="Calibri"/>
                <w:sz w:val="20"/>
                <w:lang w:val="fr-CA"/>
              </w:rPr>
              <w:noBreakHyphen/>
              <w:t>il trompé dans son évaluation de la crédibilité, de la fiabilité et de la suffisance de la preuve? — La Cour d’appel a</w:t>
            </w:r>
            <w:r w:rsidRPr="00201A3F">
              <w:rPr>
                <w:rFonts w:eastAsia="Calibri"/>
                <w:sz w:val="20"/>
                <w:lang w:val="fr-CA"/>
              </w:rPr>
              <w:noBreakHyphen/>
              <w:t>t</w:t>
            </w:r>
            <w:r w:rsidRPr="00201A3F">
              <w:rPr>
                <w:rFonts w:eastAsia="Calibri"/>
                <w:sz w:val="20"/>
                <w:lang w:val="fr-CA"/>
              </w:rPr>
              <w:noBreakHyphen/>
              <w:t>elle eu tort de confirmer les conclusions du juge de première instance? — Le sexe et la race ont</w:t>
            </w:r>
            <w:r w:rsidRPr="00201A3F">
              <w:rPr>
                <w:rFonts w:eastAsia="Calibri"/>
                <w:sz w:val="20"/>
                <w:lang w:val="fr-CA"/>
              </w:rPr>
              <w:noBreakHyphen/>
              <w:t>ils joué un rôle décisif dans le jugement erroné?</w:t>
            </w:r>
          </w:p>
        </w:tc>
      </w:tr>
      <w:tr w:rsidR="00B803D5" w:rsidRPr="00DC2D1F" w:rsidTr="00B803D5">
        <w:tc>
          <w:tcPr>
            <w:tcW w:w="5000" w:type="pct"/>
            <w:gridSpan w:val="3"/>
          </w:tcPr>
          <w:p w:rsidR="00B803D5" w:rsidRPr="00201A3F" w:rsidRDefault="00B803D5" w:rsidP="00B803D5">
            <w:pPr>
              <w:jc w:val="both"/>
              <w:rPr>
                <w:rFonts w:eastAsia="Calibri"/>
                <w:sz w:val="20"/>
                <w:lang w:val="fr-CA"/>
              </w:rPr>
            </w:pPr>
          </w:p>
        </w:tc>
      </w:tr>
      <w:tr w:rsidR="00B803D5" w:rsidRPr="00201A3F" w:rsidTr="00B803D5">
        <w:tc>
          <w:tcPr>
            <w:tcW w:w="5000" w:type="pct"/>
            <w:gridSpan w:val="3"/>
          </w:tcPr>
          <w:p w:rsidR="00B803D5" w:rsidRPr="00201A3F" w:rsidRDefault="00B803D5" w:rsidP="00B803D5">
            <w:pPr>
              <w:jc w:val="both"/>
              <w:rPr>
                <w:rFonts w:eastAsia="Calibri"/>
                <w:sz w:val="20"/>
                <w:lang w:val="fr-CA"/>
              </w:rPr>
            </w:pPr>
            <w:r w:rsidRPr="00201A3F">
              <w:rPr>
                <w:rFonts w:eastAsia="Calibri"/>
                <w:sz w:val="20"/>
                <w:lang w:val="fr-CA"/>
              </w:rPr>
              <w:t>L’intimé, M. Dagenais était un retraité âgé de 61 ans qui avait été célibataire toute sa vie.  De juillet 2009 à janvier 2010, il a retiré au total la somme de 132 845 $ en argent comptant de trois comptes bancaires.  Selon M. Dagenais, il avait prêté l'argent à la demanderesse, Mme Vassel, une danseuse exotique qui travaillait dans un club de danseuses nues fréquenté par M. Dagenais. Il n’y avait aucun billet à ordre ou autre reconnaissance écrite de prêt de M. Dagenais à Mme Vassel.  Madame Vassel a nié que M. Dagenais lui avait prêté de l'argent.  Elle a reconnu avoir reçu de l'argent de M. Dagenais à titre de rémunération pour services rendus, au club et à l'extérieur du club, mais selon elle, le total des montants reçus était bien loin de la somme de 130 000 $.  D’après l'estimation de Mme Vassel, elle aurait reçu quelques milliers de dollars, peut</w:t>
            </w:r>
            <w:r w:rsidRPr="00201A3F">
              <w:rPr>
                <w:rFonts w:eastAsia="Calibri"/>
                <w:sz w:val="20"/>
                <w:lang w:val="fr-CA"/>
              </w:rPr>
              <w:noBreakHyphen/>
              <w:t>être 5000 $ au cours des années où elle connaissait M. Dagenais, pour des danses dans la partie « VIP » privée du club et un autre montant d'environ 5000 $ pour des sorties à l'extérieur du club.  En janvier 2010, M. Dagenais a demandé à Mme Vassel de signer une déclaration rédigée à l'endos d'une enveloppe reconnaissant qu’elle lui devait la somme de 151 000 $.  Selon M. Dagenais, elle aurait signé la déclaration à trois reprises, mais aurait rayé sa signature à chaque fois.  Monsieur Dagenais a intenté une action pour recouvrer les montants qu'il prétend avoir prêtés à Mme Vassel.  Au procès, la somme de 125 245 $ a été accordée à M. Dagenais. L'appel de Mme Vassel a été rejeté.</w:t>
            </w:r>
          </w:p>
          <w:p w:rsidR="00B803D5" w:rsidRPr="00201A3F" w:rsidRDefault="00B803D5" w:rsidP="00B803D5">
            <w:pPr>
              <w:jc w:val="both"/>
              <w:rPr>
                <w:rFonts w:eastAsia="Calibri"/>
                <w:sz w:val="20"/>
                <w:lang w:val="fr-CA"/>
              </w:rPr>
            </w:pPr>
          </w:p>
        </w:tc>
      </w:tr>
      <w:tr w:rsidR="00B803D5" w:rsidRPr="00DC2D1F" w:rsidTr="00B803D5">
        <w:tc>
          <w:tcPr>
            <w:tcW w:w="2427" w:type="pct"/>
          </w:tcPr>
          <w:p w:rsidR="00B803D5" w:rsidRPr="00201A3F" w:rsidRDefault="00B803D5" w:rsidP="00B803D5">
            <w:pPr>
              <w:jc w:val="both"/>
              <w:rPr>
                <w:rFonts w:eastAsia="Calibri"/>
                <w:sz w:val="20"/>
                <w:lang w:val="fr-CA"/>
              </w:rPr>
            </w:pPr>
            <w:r w:rsidRPr="00201A3F">
              <w:rPr>
                <w:rFonts w:eastAsia="Calibri"/>
                <w:sz w:val="20"/>
                <w:lang w:val="fr-CA"/>
              </w:rPr>
              <w:t>30 août 2011</w:t>
            </w:r>
          </w:p>
          <w:p w:rsidR="00B803D5" w:rsidRPr="00201A3F" w:rsidRDefault="00B803D5" w:rsidP="00B803D5">
            <w:pPr>
              <w:jc w:val="both"/>
              <w:rPr>
                <w:rFonts w:eastAsia="Calibri"/>
                <w:sz w:val="20"/>
                <w:lang w:val="fr-CA"/>
              </w:rPr>
            </w:pPr>
            <w:r w:rsidRPr="00201A3F">
              <w:rPr>
                <w:rFonts w:eastAsia="Calibri"/>
                <w:sz w:val="20"/>
                <w:lang w:val="fr-CA"/>
              </w:rPr>
              <w:t xml:space="preserve">Cour supérieure de justice de l'Ontario </w:t>
            </w:r>
          </w:p>
          <w:p w:rsidR="00B803D5" w:rsidRPr="00201A3F" w:rsidRDefault="00B803D5" w:rsidP="00B803D5">
            <w:pPr>
              <w:jc w:val="both"/>
              <w:rPr>
                <w:rFonts w:eastAsia="Calibri"/>
                <w:sz w:val="20"/>
                <w:lang w:val="fr-CA"/>
              </w:rPr>
            </w:pPr>
            <w:r w:rsidRPr="00201A3F">
              <w:rPr>
                <w:rFonts w:eastAsia="Calibri"/>
                <w:sz w:val="20"/>
                <w:lang w:val="fr-CA"/>
              </w:rPr>
              <w:t>(Juge Lococo)</w:t>
            </w:r>
          </w:p>
          <w:p w:rsidR="00B803D5" w:rsidRPr="00201A3F" w:rsidRDefault="00B803D5" w:rsidP="00B803D5">
            <w:pPr>
              <w:jc w:val="both"/>
              <w:rPr>
                <w:rFonts w:eastAsia="Calibri"/>
                <w:sz w:val="20"/>
                <w:lang w:val="fr-CA"/>
              </w:rPr>
            </w:pPr>
          </w:p>
        </w:tc>
        <w:tc>
          <w:tcPr>
            <w:tcW w:w="243" w:type="pct"/>
          </w:tcPr>
          <w:p w:rsidR="00B803D5" w:rsidRPr="00201A3F" w:rsidRDefault="00B803D5" w:rsidP="00B803D5">
            <w:pPr>
              <w:jc w:val="both"/>
              <w:rPr>
                <w:rFonts w:eastAsia="Calibri"/>
                <w:sz w:val="20"/>
                <w:lang w:val="fr-CA"/>
              </w:rPr>
            </w:pPr>
          </w:p>
        </w:tc>
        <w:tc>
          <w:tcPr>
            <w:tcW w:w="2330" w:type="pct"/>
          </w:tcPr>
          <w:p w:rsidR="00B803D5" w:rsidRPr="00201A3F" w:rsidRDefault="00B803D5" w:rsidP="00B803D5">
            <w:pPr>
              <w:jc w:val="both"/>
              <w:rPr>
                <w:rFonts w:eastAsia="Calibri"/>
                <w:sz w:val="20"/>
                <w:lang w:val="fr-CA"/>
              </w:rPr>
            </w:pPr>
            <w:r w:rsidRPr="00201A3F">
              <w:rPr>
                <w:rFonts w:eastAsia="Calibri"/>
                <w:sz w:val="20"/>
                <w:lang w:val="fr-CA"/>
              </w:rPr>
              <w:t>Action en remboursement de prêt, accueillie</w:t>
            </w:r>
          </w:p>
          <w:p w:rsidR="00B803D5" w:rsidRPr="00201A3F" w:rsidRDefault="00B803D5" w:rsidP="00B803D5">
            <w:pPr>
              <w:jc w:val="both"/>
              <w:rPr>
                <w:rFonts w:eastAsia="Calibri"/>
                <w:sz w:val="20"/>
                <w:lang w:val="fr-CA"/>
              </w:rPr>
            </w:pPr>
          </w:p>
        </w:tc>
      </w:tr>
      <w:tr w:rsidR="00B803D5" w:rsidRPr="00201A3F" w:rsidTr="00B803D5">
        <w:tc>
          <w:tcPr>
            <w:tcW w:w="2427" w:type="pct"/>
          </w:tcPr>
          <w:p w:rsidR="00B803D5" w:rsidRPr="00201A3F" w:rsidRDefault="00B803D5" w:rsidP="00B803D5">
            <w:pPr>
              <w:jc w:val="both"/>
              <w:rPr>
                <w:rFonts w:eastAsia="Calibri"/>
                <w:sz w:val="20"/>
                <w:lang w:val="fr-CA"/>
              </w:rPr>
            </w:pPr>
            <w:r w:rsidRPr="00201A3F">
              <w:rPr>
                <w:rFonts w:eastAsia="Calibri"/>
                <w:sz w:val="20"/>
                <w:lang w:val="fr-CA"/>
              </w:rPr>
              <w:t>20 juin 2012</w:t>
            </w:r>
          </w:p>
          <w:p w:rsidR="00B803D5" w:rsidRPr="00201A3F" w:rsidRDefault="00B803D5" w:rsidP="00B803D5">
            <w:pPr>
              <w:jc w:val="both"/>
              <w:rPr>
                <w:rFonts w:eastAsia="Calibri"/>
                <w:sz w:val="20"/>
                <w:lang w:val="fr-CA"/>
              </w:rPr>
            </w:pPr>
            <w:r w:rsidRPr="00201A3F">
              <w:rPr>
                <w:rFonts w:eastAsia="Calibri"/>
                <w:sz w:val="20"/>
                <w:lang w:val="fr-CA"/>
              </w:rPr>
              <w:t>Cour d'appel de l'Ontario</w:t>
            </w:r>
          </w:p>
          <w:p w:rsidR="00B803D5" w:rsidRPr="00201A3F" w:rsidRDefault="00B803D5" w:rsidP="00B803D5">
            <w:pPr>
              <w:jc w:val="both"/>
              <w:rPr>
                <w:rFonts w:eastAsia="Calibri"/>
                <w:sz w:val="20"/>
                <w:lang w:val="fr-CA"/>
              </w:rPr>
            </w:pPr>
            <w:r w:rsidRPr="00201A3F">
              <w:rPr>
                <w:rFonts w:eastAsia="Calibri"/>
                <w:sz w:val="20"/>
                <w:lang w:val="fr-CA"/>
              </w:rPr>
              <w:t>(Juges Doherty, Juriansz et Ducharme)</w:t>
            </w:r>
          </w:p>
          <w:p w:rsidR="00B803D5" w:rsidRPr="00201A3F" w:rsidRDefault="00B803D5" w:rsidP="00B803D5">
            <w:pPr>
              <w:jc w:val="both"/>
              <w:rPr>
                <w:rFonts w:eastAsia="Calibri"/>
                <w:sz w:val="20"/>
                <w:lang w:val="fr-CA"/>
              </w:rPr>
            </w:pPr>
            <w:r w:rsidRPr="00201A3F">
              <w:rPr>
                <w:rFonts w:eastAsia="Calibri"/>
                <w:sz w:val="20"/>
                <w:lang w:val="fr-CA"/>
              </w:rPr>
              <w:t>2012 ONCA 424; C54401</w:t>
            </w:r>
          </w:p>
          <w:p w:rsidR="00B803D5" w:rsidRPr="00201A3F" w:rsidRDefault="00B803D5" w:rsidP="00B803D5">
            <w:pPr>
              <w:jc w:val="both"/>
              <w:rPr>
                <w:rFonts w:eastAsia="Calibri"/>
                <w:sz w:val="20"/>
                <w:lang w:val="fr-CA"/>
              </w:rPr>
            </w:pPr>
          </w:p>
        </w:tc>
        <w:tc>
          <w:tcPr>
            <w:tcW w:w="243" w:type="pct"/>
          </w:tcPr>
          <w:p w:rsidR="00B803D5" w:rsidRPr="00201A3F" w:rsidRDefault="00B803D5" w:rsidP="00B803D5">
            <w:pPr>
              <w:jc w:val="both"/>
              <w:rPr>
                <w:rFonts w:eastAsia="Calibri"/>
                <w:sz w:val="20"/>
                <w:lang w:val="fr-CA"/>
              </w:rPr>
            </w:pPr>
          </w:p>
        </w:tc>
        <w:tc>
          <w:tcPr>
            <w:tcW w:w="2330" w:type="pct"/>
          </w:tcPr>
          <w:p w:rsidR="00B803D5" w:rsidRPr="00201A3F" w:rsidRDefault="00B803D5" w:rsidP="00B803D5">
            <w:pPr>
              <w:jc w:val="both"/>
              <w:rPr>
                <w:rFonts w:eastAsia="Calibri"/>
                <w:sz w:val="20"/>
                <w:lang w:val="fr-CA"/>
              </w:rPr>
            </w:pPr>
            <w:r w:rsidRPr="00201A3F">
              <w:rPr>
                <w:rFonts w:eastAsia="Calibri"/>
                <w:sz w:val="20"/>
                <w:lang w:val="fr-CA"/>
              </w:rPr>
              <w:t>Appel rejeté</w:t>
            </w:r>
          </w:p>
          <w:p w:rsidR="00B803D5" w:rsidRPr="00201A3F" w:rsidRDefault="00B803D5" w:rsidP="00B803D5">
            <w:pPr>
              <w:jc w:val="both"/>
              <w:rPr>
                <w:rFonts w:eastAsia="Calibri"/>
                <w:sz w:val="20"/>
                <w:lang w:val="fr-CA"/>
              </w:rPr>
            </w:pPr>
          </w:p>
        </w:tc>
      </w:tr>
      <w:tr w:rsidR="00B803D5" w:rsidRPr="00201A3F" w:rsidTr="00B803D5">
        <w:tc>
          <w:tcPr>
            <w:tcW w:w="2427" w:type="pct"/>
          </w:tcPr>
          <w:p w:rsidR="00B803D5" w:rsidRPr="00201A3F" w:rsidRDefault="00B803D5" w:rsidP="00B803D5">
            <w:pPr>
              <w:jc w:val="both"/>
              <w:rPr>
                <w:rFonts w:eastAsia="Calibri"/>
                <w:sz w:val="20"/>
                <w:lang w:val="fr-CA"/>
              </w:rPr>
            </w:pPr>
            <w:r w:rsidRPr="00201A3F">
              <w:rPr>
                <w:rFonts w:eastAsia="Calibri"/>
                <w:sz w:val="20"/>
                <w:lang w:val="fr-CA"/>
              </w:rPr>
              <w:t>11 juillet 2012</w:t>
            </w:r>
          </w:p>
          <w:p w:rsidR="00B803D5" w:rsidRPr="00201A3F" w:rsidRDefault="00B803D5" w:rsidP="00B803D5">
            <w:pPr>
              <w:jc w:val="both"/>
              <w:rPr>
                <w:rFonts w:eastAsia="Calibri"/>
                <w:sz w:val="20"/>
                <w:lang w:val="fr-CA"/>
              </w:rPr>
            </w:pPr>
            <w:r w:rsidRPr="00201A3F">
              <w:rPr>
                <w:rFonts w:eastAsia="Calibri"/>
                <w:sz w:val="20"/>
                <w:lang w:val="fr-CA"/>
              </w:rPr>
              <w:t>Cour suprême du Canada</w:t>
            </w:r>
          </w:p>
        </w:tc>
        <w:tc>
          <w:tcPr>
            <w:tcW w:w="243" w:type="pct"/>
          </w:tcPr>
          <w:p w:rsidR="00B803D5" w:rsidRPr="00201A3F" w:rsidRDefault="00B803D5" w:rsidP="00B803D5">
            <w:pPr>
              <w:jc w:val="both"/>
              <w:rPr>
                <w:rFonts w:eastAsia="Calibri"/>
                <w:sz w:val="20"/>
                <w:lang w:val="fr-CA"/>
              </w:rPr>
            </w:pPr>
          </w:p>
        </w:tc>
        <w:tc>
          <w:tcPr>
            <w:tcW w:w="2330" w:type="pct"/>
          </w:tcPr>
          <w:p w:rsidR="00B803D5" w:rsidRPr="00201A3F" w:rsidRDefault="00B803D5" w:rsidP="00B803D5">
            <w:pPr>
              <w:jc w:val="both"/>
              <w:rPr>
                <w:rFonts w:eastAsia="Calibri"/>
                <w:sz w:val="20"/>
                <w:lang w:val="fr-CA"/>
              </w:rPr>
            </w:pPr>
            <w:r w:rsidRPr="00201A3F">
              <w:rPr>
                <w:rFonts w:eastAsia="Calibri"/>
                <w:sz w:val="20"/>
                <w:lang w:val="fr-CA"/>
              </w:rPr>
              <w:t>Demande d'autorisation d'appel, déposée</w:t>
            </w:r>
          </w:p>
          <w:p w:rsidR="00B803D5" w:rsidRPr="00201A3F" w:rsidRDefault="00B803D5" w:rsidP="00B803D5">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63" style="width:2in;height:1pt" o:hrpct="0" o:hralign="center" o:hrstd="t" o:hrnoshade="t" o:hr="t" fillcolor="black [3213]" stroked="f"/>
        </w:pict>
      </w:r>
    </w:p>
    <w:p w:rsidR="00A740D1" w:rsidRDefault="00A740D1" w:rsidP="00A740D1">
      <w:pPr>
        <w:rPr>
          <w:sz w:val="20"/>
          <w:szCs w:val="20"/>
        </w:rPr>
      </w:pPr>
    </w:p>
    <w:p w:rsidR="00D72FDB" w:rsidRDefault="00D72FDB">
      <w:pPr>
        <w:rPr>
          <w:sz w:val="20"/>
          <w:szCs w:val="20"/>
        </w:rPr>
      </w:pPr>
      <w:r>
        <w:rPr>
          <w:sz w:val="20"/>
          <w:szCs w:val="20"/>
        </w:rPr>
        <w:br w:type="page"/>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D65563" w:rsidRPr="00D65563" w:rsidTr="00BA37D8">
        <w:trPr>
          <w:cantSplit/>
        </w:trPr>
        <w:tc>
          <w:tcPr>
            <w:tcW w:w="1458" w:type="dxa"/>
          </w:tcPr>
          <w:p w:rsidR="00D65563" w:rsidRPr="00D65563" w:rsidRDefault="00D65563" w:rsidP="00BA37D8">
            <w:pPr>
              <w:rPr>
                <w:sz w:val="20"/>
                <w:szCs w:val="20"/>
              </w:rPr>
            </w:pPr>
            <w:r w:rsidRPr="00D65563">
              <w:rPr>
                <w:rStyle w:val="SCCFileNumberChar"/>
                <w:sz w:val="20"/>
                <w:szCs w:val="20"/>
              </w:rPr>
              <w:lastRenderedPageBreak/>
              <w:t>34902</w:t>
            </w:r>
          </w:p>
          <w:p w:rsidR="00D65563" w:rsidRPr="00D65563" w:rsidRDefault="00D65563" w:rsidP="00BA37D8">
            <w:pPr>
              <w:rPr>
                <w:b/>
                <w:sz w:val="20"/>
                <w:szCs w:val="20"/>
                <w:lang w:val="fr-CA"/>
              </w:rPr>
            </w:pPr>
          </w:p>
        </w:tc>
        <w:tc>
          <w:tcPr>
            <w:tcW w:w="8118" w:type="dxa"/>
          </w:tcPr>
          <w:p w:rsidR="00D65563" w:rsidRPr="00D65563" w:rsidRDefault="00D65563" w:rsidP="00BA37D8">
            <w:pPr>
              <w:rPr>
                <w:sz w:val="20"/>
                <w:szCs w:val="20"/>
              </w:rPr>
            </w:pPr>
            <w:r w:rsidRPr="00D65563">
              <w:rPr>
                <w:rStyle w:val="SCCLsocChar"/>
                <w:sz w:val="20"/>
                <w:szCs w:val="20"/>
                <w:lang w:val="en-CA"/>
              </w:rPr>
              <w:t>David Black v. Her Majesty the Queen</w:t>
            </w:r>
            <w:r w:rsidRPr="00D65563">
              <w:rPr>
                <w:sz w:val="20"/>
                <w:szCs w:val="20"/>
              </w:rPr>
              <w:t xml:space="preserve"> (N.B.) (Criminal) (By Leave)</w:t>
            </w:r>
          </w:p>
          <w:p w:rsidR="00D65563" w:rsidRPr="00D65563" w:rsidRDefault="00D65563" w:rsidP="00BA37D8">
            <w:pPr>
              <w:rPr>
                <w:sz w:val="20"/>
                <w:szCs w:val="20"/>
              </w:rPr>
            </w:pPr>
          </w:p>
        </w:tc>
      </w:tr>
      <w:tr w:rsidR="00D65563" w:rsidRPr="00D65563" w:rsidTr="00BA37D8">
        <w:trPr>
          <w:cantSplit/>
        </w:trPr>
        <w:tc>
          <w:tcPr>
            <w:tcW w:w="1458" w:type="dxa"/>
          </w:tcPr>
          <w:p w:rsidR="00D65563" w:rsidRPr="00D65563" w:rsidRDefault="00D65563" w:rsidP="00BA37D8">
            <w:pPr>
              <w:rPr>
                <w:sz w:val="20"/>
                <w:szCs w:val="20"/>
              </w:rPr>
            </w:pPr>
            <w:r w:rsidRPr="00D65563">
              <w:rPr>
                <w:sz w:val="20"/>
                <w:szCs w:val="20"/>
              </w:rPr>
              <w:t>Coram :</w:t>
            </w:r>
          </w:p>
        </w:tc>
        <w:tc>
          <w:tcPr>
            <w:tcW w:w="8118" w:type="dxa"/>
          </w:tcPr>
          <w:p w:rsidR="00D65563" w:rsidRPr="00D65563" w:rsidRDefault="00D65563" w:rsidP="00BA37D8">
            <w:pPr>
              <w:rPr>
                <w:sz w:val="20"/>
                <w:szCs w:val="20"/>
              </w:rPr>
            </w:pPr>
            <w:r w:rsidRPr="00D65563">
              <w:rPr>
                <w:rStyle w:val="SCCCoramChar"/>
                <w:sz w:val="20"/>
                <w:szCs w:val="20"/>
                <w:lang w:val="en-CA"/>
              </w:rPr>
              <w:t>McLachlin C.J. and Rothstein and Moldaver JJ.</w:t>
            </w:r>
          </w:p>
          <w:p w:rsidR="00D65563" w:rsidRPr="00D65563" w:rsidRDefault="00D65563" w:rsidP="00BA37D8">
            <w:pPr>
              <w:rPr>
                <w:sz w:val="20"/>
                <w:szCs w:val="20"/>
                <w:u w:val="single"/>
              </w:rPr>
            </w:pPr>
          </w:p>
        </w:tc>
      </w:tr>
      <w:tr w:rsidR="00D65563" w:rsidRPr="00DC2D1F" w:rsidTr="00BA37D8">
        <w:trPr>
          <w:cantSplit/>
        </w:trPr>
        <w:tc>
          <w:tcPr>
            <w:tcW w:w="9576" w:type="dxa"/>
            <w:gridSpan w:val="2"/>
          </w:tcPr>
          <w:p w:rsidR="00D65563" w:rsidRPr="00D65563" w:rsidRDefault="00D65563" w:rsidP="00BA37D8">
            <w:pPr>
              <w:pStyle w:val="SCCShortJudgment"/>
              <w:rPr>
                <w:szCs w:val="20"/>
              </w:rPr>
            </w:pPr>
            <w:r w:rsidRPr="00D65563">
              <w:rPr>
                <w:szCs w:val="20"/>
              </w:rPr>
              <w:t>The application for leave to appeal from the judgment of the Court of Appeal of New Brunswick, Number 14-11-CA, dated February 27, 2012, is dismissed without costs.</w:t>
            </w:r>
          </w:p>
          <w:p w:rsidR="00D65563" w:rsidRPr="00D65563" w:rsidRDefault="00D65563" w:rsidP="00BA37D8">
            <w:pPr>
              <w:pStyle w:val="SCCShortJudgment"/>
              <w:ind w:firstLine="0"/>
              <w:rPr>
                <w:szCs w:val="20"/>
              </w:rPr>
            </w:pPr>
          </w:p>
          <w:p w:rsidR="00D65563" w:rsidRPr="00D65563" w:rsidRDefault="00D65563" w:rsidP="00BA37D8">
            <w:pPr>
              <w:pStyle w:val="SCCShortJudgment"/>
              <w:rPr>
                <w:szCs w:val="20"/>
                <w:lang w:val="fr-CA"/>
              </w:rPr>
            </w:pPr>
            <w:r w:rsidRPr="00D65563">
              <w:rPr>
                <w:szCs w:val="20"/>
                <w:lang w:val="fr-CA"/>
              </w:rPr>
              <w:t>La demande d’autorisation d’appel de l’arrêt de la Cour d’appel du Nouveau-Brunswick, numéro 14-11-CA, daté du 27 février 2012, est rejetée sans dépens.</w:t>
            </w:r>
          </w:p>
        </w:tc>
      </w:tr>
    </w:tbl>
    <w:p w:rsidR="00A740D1" w:rsidRPr="00D65563"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554"/>
        <w:gridCol w:w="516"/>
        <w:gridCol w:w="4457"/>
      </w:tblGrid>
      <w:tr w:rsidR="008111C9" w:rsidRPr="00201A3F" w:rsidTr="005B1F40">
        <w:tc>
          <w:tcPr>
            <w:tcW w:w="5000" w:type="pct"/>
            <w:gridSpan w:val="3"/>
          </w:tcPr>
          <w:p w:rsidR="008111C9" w:rsidRPr="00201A3F" w:rsidRDefault="008111C9" w:rsidP="005B1F40">
            <w:pPr>
              <w:jc w:val="both"/>
              <w:rPr>
                <w:rFonts w:eastAsia="Calibri"/>
                <w:sz w:val="20"/>
              </w:rPr>
            </w:pPr>
            <w:r w:rsidRPr="00201A3F">
              <w:rPr>
                <w:rFonts w:eastAsia="Calibri"/>
                <w:sz w:val="20"/>
              </w:rPr>
              <w:t xml:space="preserve">Courts — Jurisdiction — Judicial Review — Whether application for judicial review of a special search warrant and restraint order should have been struck for not following a civil procedure — Whether special search warrant and restraint order were issued without complying with the mandatory provisions of the </w:t>
            </w:r>
            <w:r w:rsidRPr="00201A3F">
              <w:rPr>
                <w:rFonts w:eastAsia="Calibri"/>
                <w:i/>
                <w:sz w:val="20"/>
              </w:rPr>
              <w:t>Criminal Code</w:t>
            </w:r>
            <w:r w:rsidRPr="00201A3F">
              <w:rPr>
                <w:rFonts w:eastAsia="Calibri"/>
                <w:sz w:val="20"/>
              </w:rPr>
              <w:t>, R.S.C. 1985, c. C</w:t>
            </w:r>
            <w:r w:rsidRPr="00201A3F">
              <w:rPr>
                <w:rFonts w:eastAsia="Calibri"/>
                <w:sz w:val="20"/>
              </w:rPr>
              <w:noBreakHyphen/>
              <w:t>46 — Whether Crown counsel failed to act in good faith and unlawfully held applicant’s property — Whether Court of Appeal dismissed appeal without a fair hearing — Whether Crown counsel has failed to provide transcript of hearing.</w:t>
            </w:r>
          </w:p>
        </w:tc>
      </w:tr>
      <w:tr w:rsidR="008111C9" w:rsidRPr="00201A3F" w:rsidTr="005B1F40">
        <w:tc>
          <w:tcPr>
            <w:tcW w:w="5000" w:type="pct"/>
            <w:gridSpan w:val="3"/>
          </w:tcPr>
          <w:p w:rsidR="008111C9" w:rsidRPr="00201A3F" w:rsidRDefault="008111C9" w:rsidP="005B1F40">
            <w:pPr>
              <w:jc w:val="both"/>
              <w:rPr>
                <w:rFonts w:eastAsia="Calibri"/>
                <w:sz w:val="20"/>
              </w:rPr>
            </w:pPr>
          </w:p>
        </w:tc>
      </w:tr>
      <w:tr w:rsidR="008111C9" w:rsidRPr="00201A3F" w:rsidTr="005B1F40">
        <w:tc>
          <w:tcPr>
            <w:tcW w:w="5000" w:type="pct"/>
            <w:gridSpan w:val="3"/>
          </w:tcPr>
          <w:p w:rsidR="008111C9" w:rsidRPr="00201A3F" w:rsidRDefault="008111C9" w:rsidP="005B1F40">
            <w:pPr>
              <w:jc w:val="both"/>
              <w:rPr>
                <w:rFonts w:eastAsia="Calibri"/>
                <w:sz w:val="20"/>
              </w:rPr>
            </w:pPr>
            <w:r w:rsidRPr="00201A3F">
              <w:rPr>
                <w:rFonts w:eastAsia="Calibri"/>
                <w:sz w:val="20"/>
              </w:rPr>
              <w:t>The applicant’s property was seized and held pursuant to a special search warrant and a restraint order. After he was convicted of offences, the property was held to be proceeds of crime and ordered forfeited.  The applicant applied to have aspects of the criminal proceeding judicially reviewed through a civil proceeding.  He argued in part that the special search warrant and restraint order were never reviewed judicially and that all of the seized property was purchased years before the offences for which he was convicted therefore it could not have been proceeds of those crimes.</w:t>
            </w:r>
          </w:p>
          <w:p w:rsidR="008111C9" w:rsidRPr="00201A3F" w:rsidRDefault="008111C9" w:rsidP="005B1F40">
            <w:pPr>
              <w:jc w:val="both"/>
              <w:rPr>
                <w:rFonts w:eastAsia="Calibri"/>
                <w:sz w:val="20"/>
              </w:rPr>
            </w:pPr>
          </w:p>
        </w:tc>
      </w:tr>
      <w:tr w:rsidR="008111C9" w:rsidRPr="00201A3F" w:rsidTr="005B1F40">
        <w:tblPrEx>
          <w:tblCellMar>
            <w:bottom w:w="0" w:type="dxa"/>
          </w:tblCellMar>
        </w:tblPrEx>
        <w:tc>
          <w:tcPr>
            <w:tcW w:w="2390" w:type="pct"/>
          </w:tcPr>
          <w:p w:rsidR="008111C9" w:rsidRPr="00201A3F" w:rsidRDefault="008111C9" w:rsidP="005B1F40">
            <w:pPr>
              <w:jc w:val="both"/>
              <w:rPr>
                <w:rFonts w:eastAsia="Calibri"/>
                <w:sz w:val="20"/>
              </w:rPr>
            </w:pPr>
            <w:r w:rsidRPr="00201A3F">
              <w:rPr>
                <w:rFonts w:eastAsia="Calibri"/>
                <w:sz w:val="20"/>
              </w:rPr>
              <w:t>January 7, 2011</w:t>
            </w:r>
          </w:p>
          <w:p w:rsidR="008111C9" w:rsidRPr="00201A3F" w:rsidRDefault="008111C9" w:rsidP="005B1F40">
            <w:pPr>
              <w:jc w:val="both"/>
              <w:rPr>
                <w:rFonts w:eastAsia="Calibri"/>
                <w:sz w:val="20"/>
              </w:rPr>
            </w:pPr>
            <w:r w:rsidRPr="00201A3F">
              <w:rPr>
                <w:rFonts w:eastAsia="Calibri"/>
                <w:sz w:val="20"/>
              </w:rPr>
              <w:t xml:space="preserve">Court of Queen’s Bench </w:t>
            </w:r>
          </w:p>
          <w:p w:rsidR="008111C9" w:rsidRPr="00201A3F" w:rsidRDefault="008111C9" w:rsidP="005B1F40">
            <w:pPr>
              <w:jc w:val="both"/>
              <w:rPr>
                <w:rFonts w:eastAsia="Calibri"/>
                <w:sz w:val="20"/>
              </w:rPr>
            </w:pPr>
            <w:r w:rsidRPr="00201A3F">
              <w:rPr>
                <w:rFonts w:eastAsia="Calibri"/>
                <w:sz w:val="20"/>
              </w:rPr>
              <w:t>(Smith C.J.)</w:t>
            </w:r>
          </w:p>
          <w:p w:rsidR="008111C9" w:rsidRPr="00201A3F" w:rsidRDefault="008111C9" w:rsidP="005B1F40">
            <w:pPr>
              <w:jc w:val="both"/>
              <w:rPr>
                <w:rFonts w:eastAsia="Calibri"/>
                <w:sz w:val="20"/>
              </w:rPr>
            </w:pPr>
          </w:p>
        </w:tc>
        <w:tc>
          <w:tcPr>
            <w:tcW w:w="271" w:type="pct"/>
          </w:tcPr>
          <w:p w:rsidR="008111C9" w:rsidRPr="00201A3F" w:rsidRDefault="008111C9" w:rsidP="005B1F40">
            <w:pPr>
              <w:jc w:val="both"/>
              <w:rPr>
                <w:rFonts w:eastAsia="Calibri"/>
                <w:sz w:val="20"/>
              </w:rPr>
            </w:pPr>
          </w:p>
        </w:tc>
        <w:tc>
          <w:tcPr>
            <w:tcW w:w="2339" w:type="pct"/>
          </w:tcPr>
          <w:p w:rsidR="008111C9" w:rsidRPr="00201A3F" w:rsidRDefault="008111C9" w:rsidP="005B1F40">
            <w:pPr>
              <w:jc w:val="both"/>
              <w:rPr>
                <w:rFonts w:eastAsia="Calibri"/>
                <w:sz w:val="20"/>
              </w:rPr>
            </w:pPr>
            <w:r w:rsidRPr="00201A3F">
              <w:rPr>
                <w:rFonts w:eastAsia="Calibri"/>
                <w:sz w:val="20"/>
              </w:rPr>
              <w:t>Application dismissed</w:t>
            </w:r>
          </w:p>
          <w:p w:rsidR="008111C9" w:rsidRPr="00201A3F" w:rsidRDefault="008111C9" w:rsidP="005B1F40">
            <w:pPr>
              <w:jc w:val="both"/>
              <w:rPr>
                <w:rFonts w:eastAsia="Calibri"/>
                <w:sz w:val="20"/>
              </w:rPr>
            </w:pPr>
          </w:p>
        </w:tc>
      </w:tr>
      <w:tr w:rsidR="008111C9" w:rsidRPr="00201A3F" w:rsidTr="005B1F40">
        <w:tblPrEx>
          <w:tblCellMar>
            <w:bottom w:w="0" w:type="dxa"/>
          </w:tblCellMar>
        </w:tblPrEx>
        <w:tc>
          <w:tcPr>
            <w:tcW w:w="2390" w:type="pct"/>
          </w:tcPr>
          <w:p w:rsidR="008111C9" w:rsidRPr="00201A3F" w:rsidRDefault="008111C9" w:rsidP="005B1F40">
            <w:pPr>
              <w:jc w:val="both"/>
              <w:rPr>
                <w:rFonts w:eastAsia="Calibri"/>
                <w:sz w:val="20"/>
              </w:rPr>
            </w:pPr>
            <w:r w:rsidRPr="00201A3F">
              <w:rPr>
                <w:rFonts w:eastAsia="Calibri"/>
                <w:sz w:val="20"/>
              </w:rPr>
              <w:t>December 6, 2011</w:t>
            </w:r>
          </w:p>
          <w:p w:rsidR="008111C9" w:rsidRPr="00201A3F" w:rsidRDefault="008111C9" w:rsidP="005B1F40">
            <w:pPr>
              <w:jc w:val="both"/>
              <w:rPr>
                <w:rFonts w:eastAsia="Calibri"/>
                <w:sz w:val="20"/>
              </w:rPr>
            </w:pPr>
            <w:r w:rsidRPr="00201A3F">
              <w:rPr>
                <w:rFonts w:eastAsia="Calibri"/>
                <w:sz w:val="20"/>
              </w:rPr>
              <w:t>Court of Appeal of New Brunswick</w:t>
            </w:r>
          </w:p>
          <w:p w:rsidR="008111C9" w:rsidRPr="00201A3F" w:rsidRDefault="008111C9" w:rsidP="005B1F40">
            <w:pPr>
              <w:jc w:val="both"/>
              <w:rPr>
                <w:rFonts w:eastAsia="Calibri"/>
                <w:sz w:val="20"/>
              </w:rPr>
            </w:pPr>
            <w:r w:rsidRPr="00201A3F">
              <w:rPr>
                <w:rFonts w:eastAsia="Calibri"/>
                <w:sz w:val="20"/>
              </w:rPr>
              <w:t>(Richard J.A.)</w:t>
            </w:r>
          </w:p>
          <w:p w:rsidR="008111C9" w:rsidRPr="00201A3F" w:rsidRDefault="008111C9" w:rsidP="005B1F40">
            <w:pPr>
              <w:jc w:val="both"/>
              <w:rPr>
                <w:rFonts w:eastAsia="Calibri"/>
                <w:sz w:val="20"/>
              </w:rPr>
            </w:pPr>
            <w:r w:rsidRPr="00201A3F">
              <w:rPr>
                <w:rFonts w:eastAsia="Calibri"/>
                <w:sz w:val="20"/>
              </w:rPr>
              <w:t>2011 N.B.J. no 442</w:t>
            </w:r>
          </w:p>
          <w:p w:rsidR="008111C9" w:rsidRPr="00201A3F" w:rsidRDefault="008111C9" w:rsidP="005B1F40">
            <w:pPr>
              <w:jc w:val="both"/>
              <w:rPr>
                <w:rFonts w:eastAsia="Calibri"/>
                <w:sz w:val="20"/>
              </w:rPr>
            </w:pPr>
          </w:p>
        </w:tc>
        <w:tc>
          <w:tcPr>
            <w:tcW w:w="271" w:type="pct"/>
          </w:tcPr>
          <w:p w:rsidR="008111C9" w:rsidRPr="00201A3F" w:rsidRDefault="008111C9" w:rsidP="005B1F40">
            <w:pPr>
              <w:jc w:val="both"/>
              <w:rPr>
                <w:rFonts w:eastAsia="Calibri"/>
                <w:sz w:val="20"/>
              </w:rPr>
            </w:pPr>
          </w:p>
        </w:tc>
        <w:tc>
          <w:tcPr>
            <w:tcW w:w="2339" w:type="pct"/>
          </w:tcPr>
          <w:p w:rsidR="008111C9" w:rsidRPr="00201A3F" w:rsidRDefault="008111C9" w:rsidP="005B1F40">
            <w:pPr>
              <w:jc w:val="both"/>
              <w:rPr>
                <w:rFonts w:eastAsia="Calibri"/>
                <w:sz w:val="20"/>
              </w:rPr>
            </w:pPr>
            <w:r w:rsidRPr="00201A3F">
              <w:rPr>
                <w:rFonts w:eastAsia="Calibri"/>
                <w:sz w:val="20"/>
              </w:rPr>
              <w:t>Order that appeal shall be perfected by February 24, 2012 or dismissed for delay</w:t>
            </w:r>
          </w:p>
          <w:p w:rsidR="008111C9" w:rsidRPr="00201A3F" w:rsidRDefault="008111C9" w:rsidP="005B1F40">
            <w:pPr>
              <w:jc w:val="both"/>
              <w:rPr>
                <w:rFonts w:eastAsia="Calibri"/>
                <w:sz w:val="20"/>
              </w:rPr>
            </w:pPr>
          </w:p>
        </w:tc>
      </w:tr>
      <w:tr w:rsidR="008111C9" w:rsidRPr="00201A3F" w:rsidTr="005B1F40">
        <w:tblPrEx>
          <w:tblCellMar>
            <w:bottom w:w="0" w:type="dxa"/>
          </w:tblCellMar>
        </w:tblPrEx>
        <w:tc>
          <w:tcPr>
            <w:tcW w:w="2390" w:type="pct"/>
          </w:tcPr>
          <w:p w:rsidR="008111C9" w:rsidRPr="00201A3F" w:rsidRDefault="008111C9" w:rsidP="005B1F40">
            <w:pPr>
              <w:jc w:val="both"/>
              <w:rPr>
                <w:rFonts w:eastAsia="Calibri"/>
                <w:sz w:val="20"/>
              </w:rPr>
            </w:pPr>
            <w:r w:rsidRPr="00201A3F">
              <w:rPr>
                <w:rFonts w:eastAsia="Calibri"/>
                <w:sz w:val="20"/>
              </w:rPr>
              <w:t>February 27, 2012</w:t>
            </w:r>
          </w:p>
          <w:p w:rsidR="008111C9" w:rsidRPr="00201A3F" w:rsidRDefault="008111C9" w:rsidP="005B1F40">
            <w:pPr>
              <w:jc w:val="both"/>
              <w:rPr>
                <w:rFonts w:eastAsia="Calibri"/>
                <w:sz w:val="20"/>
              </w:rPr>
            </w:pPr>
            <w:r w:rsidRPr="00201A3F">
              <w:rPr>
                <w:rFonts w:eastAsia="Calibri"/>
                <w:sz w:val="20"/>
              </w:rPr>
              <w:t>Court of Appeal of New Brunswick</w:t>
            </w:r>
          </w:p>
          <w:p w:rsidR="008111C9" w:rsidRPr="00201A3F" w:rsidRDefault="008111C9" w:rsidP="005B1F40">
            <w:pPr>
              <w:jc w:val="both"/>
              <w:rPr>
                <w:rFonts w:eastAsia="Calibri"/>
                <w:sz w:val="20"/>
              </w:rPr>
            </w:pPr>
            <w:r w:rsidRPr="00201A3F">
              <w:rPr>
                <w:rFonts w:eastAsia="Calibri"/>
                <w:sz w:val="20"/>
              </w:rPr>
              <w:t>(Registrar)</w:t>
            </w:r>
          </w:p>
          <w:p w:rsidR="008111C9" w:rsidRPr="00201A3F" w:rsidRDefault="008111C9" w:rsidP="005B1F40">
            <w:pPr>
              <w:jc w:val="both"/>
              <w:rPr>
                <w:rFonts w:eastAsia="Calibri"/>
                <w:sz w:val="20"/>
              </w:rPr>
            </w:pPr>
          </w:p>
        </w:tc>
        <w:tc>
          <w:tcPr>
            <w:tcW w:w="271" w:type="pct"/>
          </w:tcPr>
          <w:p w:rsidR="008111C9" w:rsidRPr="00201A3F" w:rsidRDefault="008111C9" w:rsidP="005B1F40">
            <w:pPr>
              <w:jc w:val="both"/>
              <w:rPr>
                <w:rFonts w:eastAsia="Calibri"/>
                <w:sz w:val="20"/>
              </w:rPr>
            </w:pPr>
          </w:p>
        </w:tc>
        <w:tc>
          <w:tcPr>
            <w:tcW w:w="2339" w:type="pct"/>
          </w:tcPr>
          <w:p w:rsidR="008111C9" w:rsidRPr="00201A3F" w:rsidRDefault="008111C9" w:rsidP="005B1F40">
            <w:pPr>
              <w:jc w:val="both"/>
              <w:rPr>
                <w:rFonts w:eastAsia="Calibri"/>
                <w:sz w:val="20"/>
              </w:rPr>
            </w:pPr>
            <w:r w:rsidRPr="00201A3F">
              <w:rPr>
                <w:rFonts w:eastAsia="Calibri"/>
                <w:sz w:val="20"/>
              </w:rPr>
              <w:t>Appeal dismissed for delay</w:t>
            </w:r>
          </w:p>
          <w:p w:rsidR="008111C9" w:rsidRPr="00201A3F" w:rsidRDefault="008111C9" w:rsidP="005B1F40">
            <w:pPr>
              <w:jc w:val="both"/>
              <w:rPr>
                <w:rFonts w:eastAsia="Calibri"/>
                <w:sz w:val="20"/>
              </w:rPr>
            </w:pPr>
          </w:p>
        </w:tc>
      </w:tr>
      <w:tr w:rsidR="008111C9" w:rsidRPr="00201A3F" w:rsidTr="005B1F40">
        <w:tblPrEx>
          <w:tblCellMar>
            <w:bottom w:w="0" w:type="dxa"/>
          </w:tblCellMar>
        </w:tblPrEx>
        <w:tc>
          <w:tcPr>
            <w:tcW w:w="2390" w:type="pct"/>
          </w:tcPr>
          <w:p w:rsidR="008111C9" w:rsidRPr="00201A3F" w:rsidRDefault="008111C9" w:rsidP="005B1F40">
            <w:pPr>
              <w:jc w:val="both"/>
              <w:rPr>
                <w:rFonts w:eastAsia="Calibri"/>
                <w:sz w:val="20"/>
              </w:rPr>
            </w:pPr>
            <w:r w:rsidRPr="00201A3F">
              <w:rPr>
                <w:rFonts w:eastAsia="Calibri"/>
                <w:sz w:val="20"/>
              </w:rPr>
              <w:t>July 13, 2012</w:t>
            </w:r>
          </w:p>
          <w:p w:rsidR="008111C9" w:rsidRPr="00201A3F" w:rsidRDefault="008111C9" w:rsidP="008111C9">
            <w:pPr>
              <w:jc w:val="both"/>
              <w:rPr>
                <w:rFonts w:eastAsia="Calibri"/>
                <w:sz w:val="20"/>
              </w:rPr>
            </w:pPr>
            <w:r w:rsidRPr="00201A3F">
              <w:rPr>
                <w:rFonts w:eastAsia="Calibri"/>
                <w:sz w:val="20"/>
              </w:rPr>
              <w:t>Supreme Court of Canada</w:t>
            </w:r>
          </w:p>
        </w:tc>
        <w:tc>
          <w:tcPr>
            <w:tcW w:w="271" w:type="pct"/>
          </w:tcPr>
          <w:p w:rsidR="008111C9" w:rsidRPr="00201A3F" w:rsidRDefault="008111C9" w:rsidP="005B1F40">
            <w:pPr>
              <w:jc w:val="both"/>
              <w:rPr>
                <w:rFonts w:eastAsia="Calibri"/>
                <w:sz w:val="20"/>
              </w:rPr>
            </w:pPr>
          </w:p>
        </w:tc>
        <w:tc>
          <w:tcPr>
            <w:tcW w:w="2339" w:type="pct"/>
          </w:tcPr>
          <w:p w:rsidR="008111C9" w:rsidRPr="00201A3F" w:rsidRDefault="008111C9" w:rsidP="005B1F40">
            <w:pPr>
              <w:jc w:val="both"/>
              <w:rPr>
                <w:rFonts w:eastAsia="Calibri"/>
                <w:sz w:val="20"/>
              </w:rPr>
            </w:pPr>
            <w:r w:rsidRPr="00201A3F">
              <w:rPr>
                <w:rFonts w:eastAsia="Calibri"/>
                <w:sz w:val="20"/>
              </w:rPr>
              <w:t>Application for leave to appeal filed</w:t>
            </w:r>
          </w:p>
          <w:p w:rsidR="008111C9" w:rsidRPr="00201A3F" w:rsidRDefault="008111C9" w:rsidP="005B1F40">
            <w:pPr>
              <w:jc w:val="both"/>
              <w:rPr>
                <w:rFonts w:eastAsia="Calibri"/>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64"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554"/>
        <w:gridCol w:w="514"/>
        <w:gridCol w:w="4459"/>
      </w:tblGrid>
      <w:tr w:rsidR="008111C9" w:rsidRPr="00DC2D1F" w:rsidTr="005B1F40">
        <w:tc>
          <w:tcPr>
            <w:tcW w:w="5000" w:type="pct"/>
            <w:gridSpan w:val="3"/>
          </w:tcPr>
          <w:p w:rsidR="008111C9" w:rsidRPr="00201A3F" w:rsidRDefault="008111C9" w:rsidP="005B1F40">
            <w:pPr>
              <w:jc w:val="both"/>
              <w:rPr>
                <w:rFonts w:eastAsia="Calibri"/>
                <w:sz w:val="20"/>
                <w:lang w:val="fr-CA"/>
              </w:rPr>
            </w:pPr>
            <w:r w:rsidRPr="00201A3F">
              <w:rPr>
                <w:rFonts w:eastAsia="Calibri"/>
                <w:sz w:val="20"/>
                <w:lang w:val="fr-CA"/>
              </w:rPr>
              <w:t>Tribunaux — Compétence — Contrôle judiciaire — La demande de contrôle judiciaire d'un mandat spécial de saisie et d'une ordonnance de blocage aurait</w:t>
            </w:r>
            <w:r w:rsidRPr="00201A3F">
              <w:rPr>
                <w:rFonts w:eastAsia="Calibri"/>
                <w:sz w:val="20"/>
                <w:lang w:val="fr-CA"/>
              </w:rPr>
              <w:noBreakHyphen/>
              <w:t>elle dû être radiée pour non</w:t>
            </w:r>
            <w:r w:rsidRPr="00201A3F">
              <w:rPr>
                <w:rFonts w:eastAsia="Calibri"/>
                <w:sz w:val="20"/>
                <w:lang w:val="fr-CA"/>
              </w:rPr>
              <w:noBreakHyphen/>
              <w:t>respect d'une procédure civile? — Le mandat spécial de saisie et l'ordonnance de blocage ont</w:t>
            </w:r>
            <w:r w:rsidRPr="00201A3F">
              <w:rPr>
                <w:rFonts w:eastAsia="Calibri"/>
                <w:sz w:val="20"/>
                <w:lang w:val="fr-CA"/>
              </w:rPr>
              <w:noBreakHyphen/>
              <w:t>ils été délivrés contrairement aux dispositions obligatoires du</w:t>
            </w:r>
            <w:r w:rsidRPr="00201A3F">
              <w:rPr>
                <w:rFonts w:eastAsia="Calibri"/>
                <w:i/>
                <w:sz w:val="20"/>
                <w:lang w:val="fr-CA"/>
              </w:rPr>
              <w:t xml:space="preserve"> Code criminel</w:t>
            </w:r>
            <w:r w:rsidRPr="00201A3F">
              <w:rPr>
                <w:rFonts w:eastAsia="Calibri"/>
                <w:sz w:val="20"/>
                <w:lang w:val="fr-CA"/>
              </w:rPr>
              <w:t>, L.R.C. 1985, ch. C</w:t>
            </w:r>
            <w:r w:rsidRPr="00201A3F">
              <w:rPr>
                <w:rFonts w:eastAsia="Calibri"/>
                <w:sz w:val="20"/>
                <w:lang w:val="fr-CA"/>
              </w:rPr>
              <w:noBreakHyphen/>
              <w:t>46? — L'avocat de la Couronne a</w:t>
            </w:r>
            <w:r w:rsidRPr="00201A3F">
              <w:rPr>
                <w:rFonts w:eastAsia="Calibri"/>
                <w:sz w:val="20"/>
                <w:lang w:val="fr-CA"/>
              </w:rPr>
              <w:noBreakHyphen/>
              <w:t>t</w:t>
            </w:r>
            <w:r w:rsidRPr="00201A3F">
              <w:rPr>
                <w:rFonts w:eastAsia="Calibri"/>
                <w:sz w:val="20"/>
                <w:lang w:val="fr-CA"/>
              </w:rPr>
              <w:noBreakHyphen/>
              <w:t>il omis d'agir de bonne foi et a</w:t>
            </w:r>
            <w:r w:rsidRPr="00201A3F">
              <w:rPr>
                <w:rFonts w:eastAsia="Calibri"/>
                <w:sz w:val="20"/>
                <w:lang w:val="fr-CA"/>
              </w:rPr>
              <w:noBreakHyphen/>
              <w:t>t</w:t>
            </w:r>
            <w:r w:rsidRPr="00201A3F">
              <w:rPr>
                <w:rFonts w:eastAsia="Calibri"/>
                <w:sz w:val="20"/>
                <w:lang w:val="fr-CA"/>
              </w:rPr>
              <w:noBreakHyphen/>
              <w:t>il illégalement détenu les biens du demandeur? — La Cour d'appel a</w:t>
            </w:r>
            <w:r w:rsidRPr="00201A3F">
              <w:rPr>
                <w:rFonts w:eastAsia="Calibri"/>
                <w:sz w:val="20"/>
                <w:lang w:val="fr-CA"/>
              </w:rPr>
              <w:noBreakHyphen/>
              <w:t>t</w:t>
            </w:r>
            <w:r w:rsidRPr="00201A3F">
              <w:rPr>
                <w:rFonts w:eastAsia="Calibri"/>
                <w:sz w:val="20"/>
                <w:lang w:val="fr-CA"/>
              </w:rPr>
              <w:noBreakHyphen/>
              <w:t xml:space="preserve">elle rejeté l'appel sans instance équitable? — L'avocat de la </w:t>
            </w:r>
            <w:r w:rsidRPr="00201A3F">
              <w:rPr>
                <w:rFonts w:eastAsia="Calibri"/>
                <w:sz w:val="20"/>
                <w:lang w:val="fr-CA"/>
              </w:rPr>
              <w:lastRenderedPageBreak/>
              <w:t>Couronne a</w:t>
            </w:r>
            <w:r w:rsidRPr="00201A3F">
              <w:rPr>
                <w:rFonts w:eastAsia="Calibri"/>
                <w:sz w:val="20"/>
                <w:lang w:val="fr-CA"/>
              </w:rPr>
              <w:noBreakHyphen/>
              <w:t>t</w:t>
            </w:r>
            <w:r w:rsidRPr="00201A3F">
              <w:rPr>
                <w:rFonts w:eastAsia="Calibri"/>
                <w:sz w:val="20"/>
                <w:lang w:val="fr-CA"/>
              </w:rPr>
              <w:noBreakHyphen/>
              <w:t>il omis de fournir une transcription de l'audience?</w:t>
            </w:r>
          </w:p>
        </w:tc>
      </w:tr>
      <w:tr w:rsidR="008111C9" w:rsidRPr="00DC2D1F" w:rsidTr="005B1F40">
        <w:tc>
          <w:tcPr>
            <w:tcW w:w="5000" w:type="pct"/>
            <w:gridSpan w:val="3"/>
          </w:tcPr>
          <w:p w:rsidR="008111C9" w:rsidRPr="00201A3F" w:rsidRDefault="008111C9" w:rsidP="005B1F40">
            <w:pPr>
              <w:jc w:val="both"/>
              <w:rPr>
                <w:rFonts w:eastAsia="Calibri"/>
                <w:sz w:val="20"/>
                <w:lang w:val="fr-CA"/>
              </w:rPr>
            </w:pPr>
          </w:p>
        </w:tc>
      </w:tr>
      <w:tr w:rsidR="008111C9" w:rsidRPr="00DC2D1F" w:rsidTr="005B1F40">
        <w:tc>
          <w:tcPr>
            <w:tcW w:w="5000" w:type="pct"/>
            <w:gridSpan w:val="3"/>
          </w:tcPr>
          <w:p w:rsidR="008111C9" w:rsidRPr="00201A3F" w:rsidRDefault="008111C9" w:rsidP="005B1F40">
            <w:pPr>
              <w:jc w:val="both"/>
              <w:rPr>
                <w:rFonts w:eastAsia="Calibri"/>
                <w:sz w:val="20"/>
                <w:lang w:val="fr-CA"/>
              </w:rPr>
            </w:pPr>
            <w:r w:rsidRPr="00201A3F">
              <w:rPr>
                <w:rFonts w:eastAsia="Calibri"/>
                <w:sz w:val="20"/>
                <w:lang w:val="fr-CA"/>
              </w:rPr>
              <w:t xml:space="preserve">Les biens du demandeur ont été saisis et détenus conformément à un mandat spécial de saisie et une ordonnance de blocage.  Après avoir déclaré le demandeur coupable d'infractions, le tribunal a statué que ses biens étaient des produits de la criminalité et a ordonné leur confiscation.  Le demandeur a demandé le contrôle judiciaire de certains aspects de la procédure criminelle par la voie d’une instance civile.  Il a notamment plaidé que le mandat spécial de saisie et l’ordonnance de blocage n’avaient jamais été l’objet d’un contrôle judiciaire et que tous les biens saisis avaient été achetés avant la perpétration des infractions dont il a été déclaré coupable, si bien qu’il ne pouvait s’agir des produits tirés de la criminalité en cause.   </w:t>
            </w:r>
          </w:p>
          <w:p w:rsidR="008111C9" w:rsidRPr="00201A3F" w:rsidRDefault="008111C9" w:rsidP="005B1F40">
            <w:pPr>
              <w:jc w:val="both"/>
              <w:rPr>
                <w:rFonts w:eastAsia="Calibri"/>
                <w:sz w:val="20"/>
                <w:lang w:val="fr-CA"/>
              </w:rPr>
            </w:pPr>
          </w:p>
        </w:tc>
      </w:tr>
      <w:tr w:rsidR="008111C9" w:rsidRPr="00201A3F" w:rsidTr="005B1F40">
        <w:tblPrEx>
          <w:tblCellMar>
            <w:bottom w:w="0" w:type="dxa"/>
          </w:tblCellMar>
        </w:tblPrEx>
        <w:tc>
          <w:tcPr>
            <w:tcW w:w="2390" w:type="pct"/>
          </w:tcPr>
          <w:p w:rsidR="008111C9" w:rsidRPr="00201A3F" w:rsidRDefault="008111C9" w:rsidP="005B1F40">
            <w:pPr>
              <w:jc w:val="both"/>
              <w:rPr>
                <w:rFonts w:eastAsia="Calibri"/>
                <w:sz w:val="20"/>
                <w:lang w:val="fr-CA"/>
              </w:rPr>
            </w:pPr>
            <w:r w:rsidRPr="00201A3F">
              <w:rPr>
                <w:rFonts w:eastAsia="Calibri"/>
                <w:sz w:val="20"/>
                <w:lang w:val="fr-CA"/>
              </w:rPr>
              <w:t>7 janvier 2011</w:t>
            </w:r>
          </w:p>
          <w:p w:rsidR="008111C9" w:rsidRPr="00201A3F" w:rsidRDefault="008111C9" w:rsidP="005B1F40">
            <w:pPr>
              <w:jc w:val="both"/>
              <w:rPr>
                <w:rFonts w:eastAsia="Calibri"/>
                <w:sz w:val="20"/>
                <w:lang w:val="fr-CA"/>
              </w:rPr>
            </w:pPr>
            <w:r w:rsidRPr="00201A3F">
              <w:rPr>
                <w:rFonts w:eastAsia="Calibri"/>
                <w:sz w:val="20"/>
                <w:lang w:val="fr-CA"/>
              </w:rPr>
              <w:t>Cour du Banc de la Reine</w:t>
            </w:r>
          </w:p>
          <w:p w:rsidR="008111C9" w:rsidRPr="00201A3F" w:rsidRDefault="008111C9" w:rsidP="005B1F40">
            <w:pPr>
              <w:jc w:val="both"/>
              <w:rPr>
                <w:rFonts w:eastAsia="Calibri"/>
                <w:sz w:val="20"/>
                <w:lang w:val="fr-CA"/>
              </w:rPr>
            </w:pPr>
            <w:r w:rsidRPr="00201A3F">
              <w:rPr>
                <w:rFonts w:eastAsia="Calibri"/>
                <w:sz w:val="20"/>
                <w:lang w:val="fr-CA"/>
              </w:rPr>
              <w:t>(Juge en chef Smith)</w:t>
            </w:r>
          </w:p>
          <w:p w:rsidR="008111C9" w:rsidRPr="00201A3F" w:rsidRDefault="008111C9" w:rsidP="005B1F40">
            <w:pPr>
              <w:jc w:val="both"/>
              <w:rPr>
                <w:rFonts w:eastAsia="Calibri"/>
                <w:sz w:val="20"/>
                <w:lang w:val="fr-CA"/>
              </w:rPr>
            </w:pPr>
            <w:r w:rsidRPr="00201A3F">
              <w:rPr>
                <w:rFonts w:eastAsia="Calibri"/>
                <w:sz w:val="20"/>
                <w:lang w:val="fr-CA"/>
              </w:rPr>
              <w:t xml:space="preserve"> </w:t>
            </w:r>
          </w:p>
        </w:tc>
        <w:tc>
          <w:tcPr>
            <w:tcW w:w="270" w:type="pct"/>
          </w:tcPr>
          <w:p w:rsidR="008111C9" w:rsidRPr="00201A3F" w:rsidRDefault="008111C9" w:rsidP="005B1F40">
            <w:pPr>
              <w:jc w:val="both"/>
              <w:rPr>
                <w:rFonts w:eastAsia="Calibri"/>
                <w:sz w:val="20"/>
                <w:lang w:val="fr-CA"/>
              </w:rPr>
            </w:pPr>
          </w:p>
        </w:tc>
        <w:tc>
          <w:tcPr>
            <w:tcW w:w="2340" w:type="pct"/>
          </w:tcPr>
          <w:p w:rsidR="008111C9" w:rsidRPr="00201A3F" w:rsidRDefault="008111C9" w:rsidP="005B1F40">
            <w:pPr>
              <w:jc w:val="both"/>
              <w:rPr>
                <w:rFonts w:eastAsia="Calibri"/>
                <w:sz w:val="20"/>
                <w:lang w:val="fr-CA"/>
              </w:rPr>
            </w:pPr>
            <w:r w:rsidRPr="00201A3F">
              <w:rPr>
                <w:rFonts w:eastAsia="Calibri"/>
                <w:sz w:val="20"/>
                <w:lang w:val="fr-CA"/>
              </w:rPr>
              <w:t>Demande rejetée</w:t>
            </w:r>
          </w:p>
          <w:p w:rsidR="008111C9" w:rsidRPr="00201A3F" w:rsidRDefault="008111C9" w:rsidP="005B1F40">
            <w:pPr>
              <w:jc w:val="both"/>
              <w:rPr>
                <w:rFonts w:eastAsia="Calibri"/>
                <w:sz w:val="20"/>
                <w:lang w:val="fr-CA"/>
              </w:rPr>
            </w:pPr>
          </w:p>
        </w:tc>
      </w:tr>
      <w:tr w:rsidR="008111C9" w:rsidRPr="00DC2D1F" w:rsidTr="005B1F40">
        <w:tblPrEx>
          <w:tblCellMar>
            <w:bottom w:w="0" w:type="dxa"/>
          </w:tblCellMar>
        </w:tblPrEx>
        <w:tc>
          <w:tcPr>
            <w:tcW w:w="2390" w:type="pct"/>
          </w:tcPr>
          <w:p w:rsidR="008111C9" w:rsidRPr="00201A3F" w:rsidRDefault="008111C9" w:rsidP="005B1F40">
            <w:pPr>
              <w:jc w:val="both"/>
              <w:rPr>
                <w:rFonts w:eastAsia="Calibri"/>
                <w:sz w:val="20"/>
                <w:lang w:val="fr-CA"/>
              </w:rPr>
            </w:pPr>
            <w:r w:rsidRPr="00201A3F">
              <w:rPr>
                <w:rFonts w:eastAsia="Calibri"/>
                <w:sz w:val="20"/>
                <w:lang w:val="fr-CA"/>
              </w:rPr>
              <w:t>6 décembre 2011</w:t>
            </w:r>
          </w:p>
          <w:p w:rsidR="008111C9" w:rsidRPr="00201A3F" w:rsidRDefault="008111C9" w:rsidP="005B1F40">
            <w:pPr>
              <w:jc w:val="both"/>
              <w:rPr>
                <w:rFonts w:eastAsia="Calibri"/>
                <w:sz w:val="20"/>
                <w:lang w:val="fr-CA"/>
              </w:rPr>
            </w:pPr>
            <w:r w:rsidRPr="00201A3F">
              <w:rPr>
                <w:rFonts w:eastAsia="Calibri"/>
                <w:sz w:val="20"/>
                <w:lang w:val="fr-CA"/>
              </w:rPr>
              <w:t>Cour d’appel du Nouveau</w:t>
            </w:r>
            <w:r w:rsidRPr="00201A3F">
              <w:rPr>
                <w:rFonts w:eastAsia="Calibri"/>
                <w:sz w:val="20"/>
                <w:lang w:val="fr-CA"/>
              </w:rPr>
              <w:noBreakHyphen/>
              <w:t>Brunswick</w:t>
            </w:r>
          </w:p>
          <w:p w:rsidR="008111C9" w:rsidRPr="00201A3F" w:rsidRDefault="008111C9" w:rsidP="005B1F40">
            <w:pPr>
              <w:jc w:val="both"/>
              <w:rPr>
                <w:rFonts w:eastAsia="Calibri"/>
                <w:sz w:val="20"/>
              </w:rPr>
            </w:pPr>
            <w:r w:rsidRPr="00201A3F">
              <w:rPr>
                <w:rFonts w:eastAsia="Calibri"/>
                <w:sz w:val="20"/>
              </w:rPr>
              <w:t>(Juge Richard)</w:t>
            </w:r>
          </w:p>
          <w:p w:rsidR="008111C9" w:rsidRPr="00201A3F" w:rsidRDefault="008111C9" w:rsidP="005B1F40">
            <w:pPr>
              <w:jc w:val="both"/>
              <w:rPr>
                <w:rFonts w:eastAsia="Calibri"/>
                <w:sz w:val="20"/>
              </w:rPr>
            </w:pPr>
            <w:r w:rsidRPr="00201A3F">
              <w:rPr>
                <w:rFonts w:eastAsia="Calibri"/>
                <w:sz w:val="20"/>
              </w:rPr>
              <w:t>2011 N.B.J. no 442</w:t>
            </w:r>
          </w:p>
          <w:p w:rsidR="008111C9" w:rsidRPr="00201A3F" w:rsidRDefault="008111C9" w:rsidP="005B1F40">
            <w:pPr>
              <w:jc w:val="both"/>
              <w:rPr>
                <w:rFonts w:eastAsia="Calibri"/>
                <w:sz w:val="20"/>
              </w:rPr>
            </w:pPr>
          </w:p>
        </w:tc>
        <w:tc>
          <w:tcPr>
            <w:tcW w:w="270" w:type="pct"/>
          </w:tcPr>
          <w:p w:rsidR="008111C9" w:rsidRPr="00201A3F" w:rsidRDefault="008111C9" w:rsidP="005B1F40">
            <w:pPr>
              <w:jc w:val="both"/>
              <w:rPr>
                <w:rFonts w:eastAsia="Calibri"/>
                <w:sz w:val="20"/>
              </w:rPr>
            </w:pPr>
          </w:p>
        </w:tc>
        <w:tc>
          <w:tcPr>
            <w:tcW w:w="2340" w:type="pct"/>
          </w:tcPr>
          <w:p w:rsidR="008111C9" w:rsidRPr="00201A3F" w:rsidRDefault="008111C9" w:rsidP="005B1F40">
            <w:pPr>
              <w:jc w:val="both"/>
              <w:rPr>
                <w:rFonts w:eastAsia="Calibri"/>
                <w:sz w:val="20"/>
                <w:lang w:val="fr-CA"/>
              </w:rPr>
            </w:pPr>
            <w:r w:rsidRPr="00201A3F">
              <w:rPr>
                <w:rFonts w:eastAsia="Calibri"/>
                <w:sz w:val="20"/>
                <w:lang w:val="fr-CA"/>
              </w:rPr>
              <w:t>Ordonnance portant que l’appel devait être mis en état au plus tard le 24 février 2012 ou rejeté pour cause de retard</w:t>
            </w:r>
          </w:p>
          <w:p w:rsidR="008111C9" w:rsidRPr="00201A3F" w:rsidRDefault="008111C9" w:rsidP="005B1F40">
            <w:pPr>
              <w:jc w:val="both"/>
              <w:rPr>
                <w:rFonts w:eastAsia="Calibri"/>
                <w:sz w:val="20"/>
                <w:lang w:val="fr-CA"/>
              </w:rPr>
            </w:pPr>
          </w:p>
        </w:tc>
      </w:tr>
      <w:tr w:rsidR="008111C9" w:rsidRPr="00DC2D1F" w:rsidTr="005B1F40">
        <w:tblPrEx>
          <w:tblCellMar>
            <w:bottom w:w="0" w:type="dxa"/>
          </w:tblCellMar>
        </w:tblPrEx>
        <w:tc>
          <w:tcPr>
            <w:tcW w:w="2390" w:type="pct"/>
          </w:tcPr>
          <w:p w:rsidR="008111C9" w:rsidRPr="00201A3F" w:rsidRDefault="008111C9" w:rsidP="005B1F40">
            <w:pPr>
              <w:jc w:val="both"/>
              <w:rPr>
                <w:rFonts w:eastAsia="Calibri"/>
                <w:sz w:val="20"/>
                <w:lang w:val="fr-CA"/>
              </w:rPr>
            </w:pPr>
            <w:r w:rsidRPr="00201A3F">
              <w:rPr>
                <w:rFonts w:eastAsia="Calibri"/>
                <w:sz w:val="20"/>
                <w:lang w:val="fr-CA"/>
              </w:rPr>
              <w:t>27 février 2012</w:t>
            </w:r>
          </w:p>
          <w:p w:rsidR="008111C9" w:rsidRPr="00201A3F" w:rsidRDefault="008111C9" w:rsidP="005B1F40">
            <w:pPr>
              <w:jc w:val="both"/>
              <w:rPr>
                <w:rFonts w:eastAsia="Calibri"/>
                <w:sz w:val="20"/>
                <w:lang w:val="fr-CA"/>
              </w:rPr>
            </w:pPr>
            <w:r w:rsidRPr="00201A3F">
              <w:rPr>
                <w:rFonts w:eastAsia="Calibri"/>
                <w:sz w:val="20"/>
                <w:lang w:val="fr-CA"/>
              </w:rPr>
              <w:t>Cour d’appel du Nouveau</w:t>
            </w:r>
            <w:r w:rsidRPr="00201A3F">
              <w:rPr>
                <w:rFonts w:eastAsia="Calibri"/>
                <w:sz w:val="20"/>
                <w:lang w:val="fr-CA"/>
              </w:rPr>
              <w:noBreakHyphen/>
              <w:t>Brunswick</w:t>
            </w:r>
          </w:p>
          <w:p w:rsidR="008111C9" w:rsidRPr="00201A3F" w:rsidRDefault="008111C9" w:rsidP="005B1F40">
            <w:pPr>
              <w:jc w:val="both"/>
              <w:rPr>
                <w:rFonts w:eastAsia="Calibri"/>
                <w:sz w:val="20"/>
                <w:lang w:val="fr-CA"/>
              </w:rPr>
            </w:pPr>
            <w:r w:rsidRPr="00201A3F">
              <w:rPr>
                <w:rFonts w:eastAsia="Calibri"/>
                <w:sz w:val="20"/>
                <w:lang w:val="fr-CA"/>
              </w:rPr>
              <w:t>(Greffier)</w:t>
            </w:r>
          </w:p>
          <w:p w:rsidR="008111C9" w:rsidRPr="00201A3F" w:rsidRDefault="008111C9" w:rsidP="005B1F40">
            <w:pPr>
              <w:jc w:val="both"/>
              <w:rPr>
                <w:rFonts w:eastAsia="Calibri"/>
                <w:sz w:val="20"/>
                <w:lang w:val="fr-CA"/>
              </w:rPr>
            </w:pPr>
          </w:p>
        </w:tc>
        <w:tc>
          <w:tcPr>
            <w:tcW w:w="270" w:type="pct"/>
          </w:tcPr>
          <w:p w:rsidR="008111C9" w:rsidRPr="00201A3F" w:rsidRDefault="008111C9" w:rsidP="005B1F40">
            <w:pPr>
              <w:jc w:val="both"/>
              <w:rPr>
                <w:rFonts w:eastAsia="Calibri"/>
                <w:sz w:val="20"/>
                <w:lang w:val="fr-CA"/>
              </w:rPr>
            </w:pPr>
          </w:p>
        </w:tc>
        <w:tc>
          <w:tcPr>
            <w:tcW w:w="2340" w:type="pct"/>
          </w:tcPr>
          <w:p w:rsidR="008111C9" w:rsidRPr="00201A3F" w:rsidRDefault="008111C9" w:rsidP="005B1F40">
            <w:pPr>
              <w:jc w:val="both"/>
              <w:rPr>
                <w:rFonts w:eastAsia="Calibri"/>
                <w:sz w:val="20"/>
                <w:lang w:val="fr-CA"/>
              </w:rPr>
            </w:pPr>
            <w:r w:rsidRPr="00201A3F">
              <w:rPr>
                <w:rFonts w:eastAsia="Calibri"/>
                <w:sz w:val="20"/>
                <w:lang w:val="fr-CA"/>
              </w:rPr>
              <w:t>Appel rejeté pour cause de retard</w:t>
            </w:r>
          </w:p>
          <w:p w:rsidR="008111C9" w:rsidRPr="00201A3F" w:rsidRDefault="008111C9" w:rsidP="005B1F40">
            <w:pPr>
              <w:jc w:val="both"/>
              <w:rPr>
                <w:rFonts w:eastAsia="Calibri"/>
                <w:sz w:val="20"/>
                <w:lang w:val="fr-CA"/>
              </w:rPr>
            </w:pPr>
          </w:p>
        </w:tc>
      </w:tr>
      <w:tr w:rsidR="008111C9" w:rsidRPr="00201A3F" w:rsidTr="005B1F40">
        <w:tblPrEx>
          <w:tblCellMar>
            <w:bottom w:w="0" w:type="dxa"/>
          </w:tblCellMar>
        </w:tblPrEx>
        <w:tc>
          <w:tcPr>
            <w:tcW w:w="2390" w:type="pct"/>
          </w:tcPr>
          <w:p w:rsidR="008111C9" w:rsidRPr="00201A3F" w:rsidRDefault="008111C9" w:rsidP="005B1F40">
            <w:pPr>
              <w:jc w:val="both"/>
              <w:rPr>
                <w:rFonts w:eastAsia="Calibri"/>
                <w:sz w:val="20"/>
                <w:lang w:val="fr-CA"/>
              </w:rPr>
            </w:pPr>
            <w:r w:rsidRPr="00201A3F">
              <w:rPr>
                <w:rFonts w:eastAsia="Calibri"/>
                <w:sz w:val="20"/>
                <w:lang w:val="fr-CA"/>
              </w:rPr>
              <w:t>13 juillet 2012</w:t>
            </w:r>
          </w:p>
          <w:p w:rsidR="008111C9" w:rsidRPr="00201A3F" w:rsidRDefault="008111C9" w:rsidP="005B1F40">
            <w:pPr>
              <w:jc w:val="both"/>
              <w:rPr>
                <w:rFonts w:eastAsia="Calibri"/>
                <w:sz w:val="20"/>
                <w:lang w:val="fr-CA"/>
              </w:rPr>
            </w:pPr>
            <w:r w:rsidRPr="00201A3F">
              <w:rPr>
                <w:rFonts w:eastAsia="Calibri"/>
                <w:sz w:val="20"/>
                <w:lang w:val="fr-CA"/>
              </w:rPr>
              <w:t>Cour suprême du Canada</w:t>
            </w:r>
          </w:p>
        </w:tc>
        <w:tc>
          <w:tcPr>
            <w:tcW w:w="270" w:type="pct"/>
          </w:tcPr>
          <w:p w:rsidR="008111C9" w:rsidRPr="00201A3F" w:rsidRDefault="008111C9" w:rsidP="005B1F40">
            <w:pPr>
              <w:jc w:val="both"/>
              <w:rPr>
                <w:rFonts w:eastAsia="Calibri"/>
                <w:sz w:val="20"/>
                <w:lang w:val="fr-CA"/>
              </w:rPr>
            </w:pPr>
          </w:p>
        </w:tc>
        <w:tc>
          <w:tcPr>
            <w:tcW w:w="2340" w:type="pct"/>
          </w:tcPr>
          <w:p w:rsidR="008111C9" w:rsidRPr="00201A3F" w:rsidRDefault="008111C9" w:rsidP="005B1F40">
            <w:pPr>
              <w:jc w:val="both"/>
              <w:rPr>
                <w:rFonts w:eastAsia="Calibri"/>
                <w:sz w:val="20"/>
                <w:lang w:val="fr-CA"/>
              </w:rPr>
            </w:pPr>
            <w:r w:rsidRPr="00201A3F">
              <w:rPr>
                <w:rFonts w:eastAsia="Calibri"/>
                <w:sz w:val="20"/>
                <w:lang w:val="fr-CA"/>
              </w:rPr>
              <w:t>Demande d’autorisation d’appel, déposée</w:t>
            </w:r>
          </w:p>
          <w:p w:rsidR="008111C9" w:rsidRPr="00201A3F" w:rsidRDefault="008111C9" w:rsidP="005B1F40">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65"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37D8" w:rsidRPr="00B9404B" w:rsidTr="00BA37D8">
        <w:trPr>
          <w:cantSplit/>
        </w:trPr>
        <w:tc>
          <w:tcPr>
            <w:tcW w:w="1458" w:type="dxa"/>
          </w:tcPr>
          <w:p w:rsidR="00BA37D8" w:rsidRPr="00B9404B" w:rsidRDefault="00BA37D8" w:rsidP="00BA37D8">
            <w:pPr>
              <w:rPr>
                <w:sz w:val="20"/>
                <w:szCs w:val="20"/>
              </w:rPr>
            </w:pPr>
            <w:r w:rsidRPr="00B9404B">
              <w:rPr>
                <w:rStyle w:val="SCCFileNumberChar"/>
                <w:sz w:val="20"/>
                <w:szCs w:val="20"/>
              </w:rPr>
              <w:t>34904</w:t>
            </w:r>
          </w:p>
          <w:p w:rsidR="00BA37D8" w:rsidRPr="00B9404B" w:rsidRDefault="00BA37D8" w:rsidP="00BA37D8">
            <w:pPr>
              <w:rPr>
                <w:b/>
                <w:sz w:val="20"/>
                <w:szCs w:val="20"/>
                <w:lang w:val="fr-CA"/>
              </w:rPr>
            </w:pPr>
          </w:p>
        </w:tc>
        <w:tc>
          <w:tcPr>
            <w:tcW w:w="8118" w:type="dxa"/>
          </w:tcPr>
          <w:p w:rsidR="00BA37D8" w:rsidRPr="00B9404B" w:rsidRDefault="00BA37D8" w:rsidP="00BA37D8">
            <w:pPr>
              <w:jc w:val="both"/>
              <w:rPr>
                <w:sz w:val="20"/>
                <w:szCs w:val="20"/>
              </w:rPr>
            </w:pPr>
            <w:r w:rsidRPr="00BA37D8">
              <w:rPr>
                <w:rStyle w:val="SCCLsocChar"/>
                <w:sz w:val="20"/>
                <w:szCs w:val="20"/>
                <w:lang w:val="en-CA"/>
              </w:rPr>
              <w:t>Mary Ann Bender v. Her Majesty the Queen AND BETWEEN Michael Custance v. Her Majesty the Queen</w:t>
            </w:r>
            <w:r w:rsidRPr="00B9404B">
              <w:rPr>
                <w:sz w:val="20"/>
                <w:szCs w:val="20"/>
              </w:rPr>
              <w:t xml:space="preserve"> (B.C.) (Civil) (By Leave)</w:t>
            </w:r>
          </w:p>
          <w:p w:rsidR="00BA37D8" w:rsidRPr="00B9404B" w:rsidRDefault="00BA37D8" w:rsidP="00BA37D8">
            <w:pPr>
              <w:rPr>
                <w:sz w:val="20"/>
                <w:szCs w:val="20"/>
              </w:rPr>
            </w:pPr>
          </w:p>
        </w:tc>
      </w:tr>
      <w:tr w:rsidR="00BA37D8" w:rsidRPr="00B9404B" w:rsidTr="00BA37D8">
        <w:trPr>
          <w:cantSplit/>
        </w:trPr>
        <w:tc>
          <w:tcPr>
            <w:tcW w:w="1458" w:type="dxa"/>
          </w:tcPr>
          <w:p w:rsidR="00BA37D8" w:rsidRPr="00B9404B" w:rsidRDefault="00BA37D8" w:rsidP="00BA37D8">
            <w:pPr>
              <w:rPr>
                <w:sz w:val="20"/>
                <w:szCs w:val="20"/>
              </w:rPr>
            </w:pPr>
            <w:r w:rsidRPr="00B9404B">
              <w:rPr>
                <w:sz w:val="20"/>
                <w:szCs w:val="20"/>
              </w:rPr>
              <w:t>Coram :</w:t>
            </w:r>
          </w:p>
        </w:tc>
        <w:tc>
          <w:tcPr>
            <w:tcW w:w="8118" w:type="dxa"/>
          </w:tcPr>
          <w:p w:rsidR="00BA37D8" w:rsidRPr="00B9404B" w:rsidRDefault="00BA37D8" w:rsidP="00BA37D8">
            <w:pPr>
              <w:rPr>
                <w:sz w:val="20"/>
                <w:szCs w:val="20"/>
              </w:rPr>
            </w:pPr>
            <w:r w:rsidRPr="00BA37D8">
              <w:rPr>
                <w:rStyle w:val="SCCCoramChar"/>
                <w:sz w:val="20"/>
                <w:szCs w:val="20"/>
                <w:lang w:val="en-CA"/>
              </w:rPr>
              <w:t>McLachlin C.J. and Rothstein and Moldaver JJ.</w:t>
            </w:r>
          </w:p>
          <w:p w:rsidR="00BA37D8" w:rsidRPr="00B9404B" w:rsidRDefault="00BA37D8" w:rsidP="00BA37D8">
            <w:pPr>
              <w:rPr>
                <w:sz w:val="20"/>
                <w:szCs w:val="20"/>
                <w:u w:val="single"/>
              </w:rPr>
            </w:pPr>
          </w:p>
        </w:tc>
      </w:tr>
      <w:tr w:rsidR="00BA37D8" w:rsidRPr="00DC2D1F" w:rsidTr="00BA37D8">
        <w:trPr>
          <w:cantSplit/>
        </w:trPr>
        <w:tc>
          <w:tcPr>
            <w:tcW w:w="9576" w:type="dxa"/>
            <w:gridSpan w:val="2"/>
          </w:tcPr>
          <w:p w:rsidR="00BA37D8" w:rsidRPr="00B9404B" w:rsidRDefault="00BA37D8" w:rsidP="00BA37D8">
            <w:pPr>
              <w:pStyle w:val="SCCShortJudgment"/>
              <w:rPr>
                <w:szCs w:val="20"/>
              </w:rPr>
            </w:pPr>
            <w:r w:rsidRPr="00B9404B">
              <w:rPr>
                <w:szCs w:val="20"/>
              </w:rPr>
              <w:t>The motion for an extension of time to serve and file the application for leave to appeal is granted.  The application for leave to appeal from the judgment of the Court of Appeal for British Columbia (Vancouver), Numbers CA039104 and CA039105, 2012 BCCA 93, dated March 1, 2012, is dismissed without costs.</w:t>
            </w:r>
          </w:p>
          <w:p w:rsidR="00BA37D8" w:rsidRPr="00B9404B" w:rsidRDefault="00BA37D8" w:rsidP="00BA37D8">
            <w:pPr>
              <w:pStyle w:val="SCCShortJudgment"/>
              <w:ind w:firstLine="0"/>
              <w:rPr>
                <w:szCs w:val="20"/>
              </w:rPr>
            </w:pPr>
          </w:p>
          <w:p w:rsidR="00BA37D8" w:rsidRPr="00B9404B" w:rsidRDefault="00BA37D8" w:rsidP="00BA37D8">
            <w:pPr>
              <w:pStyle w:val="SCCShortJudgment"/>
              <w:rPr>
                <w:szCs w:val="20"/>
                <w:lang w:val="fr-CA"/>
              </w:rPr>
            </w:pPr>
            <w:r w:rsidRPr="00B9404B">
              <w:rPr>
                <w:szCs w:val="20"/>
                <w:lang w:val="fr-CA"/>
              </w:rPr>
              <w:t>La requête en prorogation du délai de signification et de dépôt de la demande d’autorisation d’appel est accueillie.  La demande d’autorisation d’appel de l’arrêt de la Cour d’appel de la Colombie-Britannique (Vancouver), numéros CA039104 et CA39105, 2012 BCCA 93, daté du 1er  mars 2012, est rejetée sans dépens.</w:t>
            </w:r>
          </w:p>
        </w:tc>
      </w:tr>
    </w:tbl>
    <w:p w:rsidR="00A740D1" w:rsidRPr="00BA37D8"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111C9" w:rsidRPr="00201A3F" w:rsidTr="005B1F40">
        <w:tc>
          <w:tcPr>
            <w:tcW w:w="5000" w:type="pct"/>
            <w:gridSpan w:val="3"/>
          </w:tcPr>
          <w:p w:rsidR="008111C9" w:rsidRPr="00201A3F" w:rsidRDefault="008111C9" w:rsidP="005B1F40">
            <w:pPr>
              <w:jc w:val="both"/>
              <w:rPr>
                <w:rFonts w:eastAsia="Calibri"/>
                <w:sz w:val="20"/>
              </w:rPr>
            </w:pPr>
            <w:r w:rsidRPr="00201A3F">
              <w:rPr>
                <w:rFonts w:eastAsia="Calibri"/>
                <w:i/>
                <w:sz w:val="20"/>
              </w:rPr>
              <w:t>Charter</w:t>
            </w:r>
            <w:r w:rsidRPr="00201A3F">
              <w:rPr>
                <w:rFonts w:eastAsia="Calibri"/>
                <w:sz w:val="20"/>
              </w:rPr>
              <w:t xml:space="preserve"> — Appeals — Leave to appeal — Whether the Court of Appeal for British Columbia erred in denying the applicants’ application for leave to appeal their summary convictions </w:t>
            </w:r>
            <w:r w:rsidRPr="00201A3F">
              <w:rPr>
                <w:rFonts w:eastAsia="Calibri"/>
                <w:smallCaps/>
                <w:sz w:val="20"/>
              </w:rPr>
              <w:t xml:space="preserve">— </w:t>
            </w:r>
            <w:r w:rsidRPr="00201A3F">
              <w:rPr>
                <w:rFonts w:eastAsia="Calibri"/>
                <w:sz w:val="20"/>
              </w:rPr>
              <w:t xml:space="preserve">Right to life, liberty and security of the person — Right to a fair trial — Whether the Applicants’ rights under sections 7 and 11(d) of the </w:t>
            </w:r>
            <w:r w:rsidRPr="00201A3F">
              <w:rPr>
                <w:rFonts w:eastAsia="Calibri"/>
                <w:i/>
                <w:sz w:val="20"/>
              </w:rPr>
              <w:t>Charter</w:t>
            </w:r>
            <w:r w:rsidRPr="00201A3F">
              <w:rPr>
                <w:rFonts w:eastAsia="Calibri"/>
                <w:sz w:val="20"/>
              </w:rPr>
              <w:t xml:space="preserve"> were infringed </w:t>
            </w:r>
            <w:r w:rsidRPr="00201A3F">
              <w:rPr>
                <w:rFonts w:eastAsia="Calibri"/>
                <w:smallCaps/>
                <w:sz w:val="20"/>
              </w:rPr>
              <w:t xml:space="preserve">— </w:t>
            </w:r>
            <w:r w:rsidRPr="00201A3F">
              <w:rPr>
                <w:rFonts w:eastAsia="Calibri"/>
                <w:sz w:val="20"/>
              </w:rPr>
              <w:t xml:space="preserve">Whether the Respondent acted in good faith during the audit and legal proceeding — Whether the Respondent made proper disclosure — Whether there is evidence of an abuse of process on the part of the Respondent — Whether the Respondent abused its powers of audit and prosecution — Whether the Respondent interfered with the Applicants’ right of appeal — </w:t>
            </w:r>
            <w:r w:rsidRPr="00201A3F">
              <w:rPr>
                <w:rFonts w:eastAsia="Calibri"/>
                <w:i/>
                <w:sz w:val="20"/>
              </w:rPr>
              <w:t>Charter of Rights and Freedoms</w:t>
            </w:r>
            <w:r w:rsidRPr="00201A3F">
              <w:rPr>
                <w:rFonts w:eastAsia="Calibri"/>
                <w:sz w:val="20"/>
              </w:rPr>
              <w:t>, ss. 7 and 11(</w:t>
            </w:r>
            <w:r w:rsidRPr="00201A3F">
              <w:rPr>
                <w:rFonts w:eastAsia="Calibri"/>
                <w:i/>
                <w:sz w:val="20"/>
              </w:rPr>
              <w:t>d</w:t>
            </w:r>
            <w:r w:rsidRPr="00201A3F">
              <w:rPr>
                <w:rFonts w:eastAsia="Calibri"/>
                <w:sz w:val="20"/>
              </w:rPr>
              <w:t>)</w:t>
            </w:r>
          </w:p>
          <w:p w:rsidR="008111C9" w:rsidRPr="00201A3F" w:rsidRDefault="008111C9" w:rsidP="005B1F40">
            <w:pPr>
              <w:jc w:val="both"/>
              <w:rPr>
                <w:rFonts w:eastAsia="Calibri"/>
                <w:sz w:val="20"/>
              </w:rPr>
            </w:pPr>
          </w:p>
          <w:p w:rsidR="008111C9" w:rsidRPr="00201A3F" w:rsidRDefault="008111C9" w:rsidP="005B1F40">
            <w:pPr>
              <w:jc w:val="both"/>
              <w:rPr>
                <w:rFonts w:eastAsia="Calibri"/>
                <w:sz w:val="20"/>
              </w:rPr>
            </w:pPr>
            <w:r w:rsidRPr="00201A3F">
              <w:rPr>
                <w:rFonts w:eastAsia="Calibri"/>
                <w:sz w:val="20"/>
              </w:rPr>
              <w:lastRenderedPageBreak/>
              <w:t xml:space="preserve">The applicant Custance was convicted of three counts of making false statements in goods and services tax (GST) returns and four counts of fraud under the </w:t>
            </w:r>
            <w:r w:rsidRPr="00201A3F">
              <w:rPr>
                <w:rFonts w:eastAsia="Calibri"/>
                <w:i/>
                <w:sz w:val="20"/>
              </w:rPr>
              <w:t>Excise Tax Act</w:t>
            </w:r>
            <w:r w:rsidRPr="00201A3F">
              <w:rPr>
                <w:rFonts w:eastAsia="Calibri"/>
                <w:sz w:val="20"/>
              </w:rPr>
              <w:t xml:space="preserve">.  The applicant Bender was convicted of one count of making false statements in GST returns and one count of fraud.  On appeal, a summary conviction appeal judge dismissed an appeal from those convictions.  Leave to appeal was sought before the Court of Appeal from British Columbia. Leave was denied. </w:t>
            </w:r>
          </w:p>
        </w:tc>
      </w:tr>
      <w:tr w:rsidR="008111C9" w:rsidRPr="00201A3F" w:rsidTr="005B1F40">
        <w:tc>
          <w:tcPr>
            <w:tcW w:w="5000" w:type="pct"/>
            <w:gridSpan w:val="3"/>
          </w:tcPr>
          <w:p w:rsidR="008111C9" w:rsidRPr="00201A3F" w:rsidRDefault="008111C9" w:rsidP="005B1F40">
            <w:pPr>
              <w:jc w:val="both"/>
              <w:rPr>
                <w:rFonts w:eastAsia="Calibri"/>
                <w:sz w:val="20"/>
              </w:rPr>
            </w:pPr>
          </w:p>
        </w:tc>
      </w:tr>
      <w:tr w:rsidR="008111C9" w:rsidRPr="00201A3F" w:rsidTr="005B1F40">
        <w:tc>
          <w:tcPr>
            <w:tcW w:w="2427" w:type="pct"/>
          </w:tcPr>
          <w:p w:rsidR="008111C9" w:rsidRPr="00201A3F" w:rsidRDefault="008111C9" w:rsidP="005B1F40">
            <w:pPr>
              <w:jc w:val="both"/>
              <w:rPr>
                <w:rFonts w:eastAsia="Calibri"/>
                <w:sz w:val="20"/>
              </w:rPr>
            </w:pPr>
            <w:r w:rsidRPr="00201A3F">
              <w:rPr>
                <w:rFonts w:eastAsia="Calibri"/>
                <w:sz w:val="20"/>
              </w:rPr>
              <w:t>April 3, 2009</w:t>
            </w:r>
          </w:p>
          <w:p w:rsidR="008111C9" w:rsidRPr="00201A3F" w:rsidRDefault="008111C9" w:rsidP="005B1F40">
            <w:pPr>
              <w:jc w:val="both"/>
              <w:rPr>
                <w:rFonts w:eastAsia="Calibri"/>
                <w:sz w:val="20"/>
              </w:rPr>
            </w:pPr>
            <w:r w:rsidRPr="00201A3F">
              <w:rPr>
                <w:rFonts w:eastAsia="Calibri"/>
                <w:sz w:val="20"/>
              </w:rPr>
              <w:t>Provincial Court of British Columbia</w:t>
            </w:r>
          </w:p>
          <w:p w:rsidR="008111C9" w:rsidRPr="00201A3F" w:rsidRDefault="008111C9" w:rsidP="005B1F40">
            <w:pPr>
              <w:jc w:val="both"/>
              <w:rPr>
                <w:rFonts w:eastAsia="Calibri"/>
                <w:sz w:val="20"/>
              </w:rPr>
            </w:pPr>
            <w:r w:rsidRPr="00201A3F">
              <w:rPr>
                <w:rFonts w:eastAsia="Calibri"/>
                <w:sz w:val="20"/>
              </w:rPr>
              <w:t>(Harrison J.)</w:t>
            </w:r>
          </w:p>
          <w:p w:rsidR="008111C9" w:rsidRPr="00201A3F" w:rsidRDefault="008111C9" w:rsidP="005B1F40">
            <w:pPr>
              <w:jc w:val="both"/>
              <w:rPr>
                <w:rFonts w:eastAsia="Calibri"/>
                <w:sz w:val="20"/>
              </w:rPr>
            </w:pPr>
          </w:p>
        </w:tc>
        <w:tc>
          <w:tcPr>
            <w:tcW w:w="243" w:type="pct"/>
          </w:tcPr>
          <w:p w:rsidR="008111C9" w:rsidRPr="00201A3F" w:rsidRDefault="008111C9" w:rsidP="005B1F40">
            <w:pPr>
              <w:jc w:val="both"/>
              <w:rPr>
                <w:rFonts w:eastAsia="Calibri"/>
                <w:sz w:val="20"/>
              </w:rPr>
            </w:pPr>
          </w:p>
        </w:tc>
        <w:tc>
          <w:tcPr>
            <w:tcW w:w="2330" w:type="pct"/>
          </w:tcPr>
          <w:p w:rsidR="008111C9" w:rsidRPr="00201A3F" w:rsidRDefault="008111C9" w:rsidP="005B1F40">
            <w:pPr>
              <w:jc w:val="both"/>
              <w:rPr>
                <w:rFonts w:eastAsia="Calibri"/>
                <w:sz w:val="20"/>
              </w:rPr>
            </w:pPr>
            <w:r w:rsidRPr="00201A3F">
              <w:rPr>
                <w:rFonts w:eastAsia="Calibri"/>
                <w:sz w:val="20"/>
              </w:rPr>
              <w:t xml:space="preserve">Applicants convicted of making false statements in GST returns and fraud </w:t>
            </w:r>
          </w:p>
        </w:tc>
      </w:tr>
      <w:tr w:rsidR="008111C9" w:rsidRPr="00201A3F" w:rsidTr="005B1F40">
        <w:tc>
          <w:tcPr>
            <w:tcW w:w="2427" w:type="pct"/>
          </w:tcPr>
          <w:p w:rsidR="008111C9" w:rsidRPr="00201A3F" w:rsidRDefault="008111C9" w:rsidP="005B1F40">
            <w:pPr>
              <w:jc w:val="both"/>
              <w:rPr>
                <w:rFonts w:eastAsia="Calibri"/>
                <w:sz w:val="20"/>
              </w:rPr>
            </w:pPr>
            <w:r w:rsidRPr="00201A3F">
              <w:rPr>
                <w:rFonts w:eastAsia="Calibri"/>
                <w:sz w:val="20"/>
              </w:rPr>
              <w:t>April 26, 2011</w:t>
            </w:r>
          </w:p>
          <w:p w:rsidR="008111C9" w:rsidRPr="00201A3F" w:rsidRDefault="008111C9" w:rsidP="005B1F40">
            <w:pPr>
              <w:jc w:val="both"/>
              <w:rPr>
                <w:rFonts w:eastAsia="Calibri"/>
                <w:sz w:val="20"/>
              </w:rPr>
            </w:pPr>
            <w:r w:rsidRPr="00201A3F">
              <w:rPr>
                <w:rFonts w:eastAsia="Calibri"/>
                <w:sz w:val="20"/>
              </w:rPr>
              <w:t>Supreme Court of British Columbia</w:t>
            </w:r>
          </w:p>
          <w:p w:rsidR="008111C9" w:rsidRPr="00201A3F" w:rsidRDefault="008111C9" w:rsidP="005B1F40">
            <w:pPr>
              <w:jc w:val="both"/>
              <w:rPr>
                <w:rFonts w:eastAsia="Calibri"/>
                <w:sz w:val="20"/>
              </w:rPr>
            </w:pPr>
            <w:r w:rsidRPr="00201A3F">
              <w:rPr>
                <w:rFonts w:eastAsia="Calibri"/>
                <w:sz w:val="20"/>
              </w:rPr>
              <w:t xml:space="preserve">(Burnyeat J.) </w:t>
            </w:r>
          </w:p>
          <w:p w:rsidR="008111C9" w:rsidRPr="00201A3F" w:rsidRDefault="008111C9" w:rsidP="005B1F40">
            <w:pPr>
              <w:jc w:val="both"/>
              <w:rPr>
                <w:rFonts w:eastAsia="Calibri"/>
                <w:sz w:val="20"/>
              </w:rPr>
            </w:pPr>
            <w:r w:rsidRPr="00201A3F">
              <w:rPr>
                <w:rFonts w:eastAsia="Calibri"/>
                <w:sz w:val="20"/>
              </w:rPr>
              <w:t>2011 BCSC 519</w:t>
            </w:r>
          </w:p>
          <w:p w:rsidR="008111C9" w:rsidRPr="00201A3F" w:rsidRDefault="008111C9" w:rsidP="005B1F40">
            <w:pPr>
              <w:jc w:val="both"/>
              <w:rPr>
                <w:rFonts w:eastAsia="Calibri"/>
                <w:sz w:val="20"/>
              </w:rPr>
            </w:pPr>
          </w:p>
        </w:tc>
        <w:tc>
          <w:tcPr>
            <w:tcW w:w="243" w:type="pct"/>
          </w:tcPr>
          <w:p w:rsidR="008111C9" w:rsidRPr="00201A3F" w:rsidRDefault="008111C9" w:rsidP="005B1F40">
            <w:pPr>
              <w:jc w:val="both"/>
              <w:rPr>
                <w:rFonts w:eastAsia="Calibri"/>
                <w:sz w:val="20"/>
              </w:rPr>
            </w:pPr>
          </w:p>
        </w:tc>
        <w:tc>
          <w:tcPr>
            <w:tcW w:w="2330" w:type="pct"/>
          </w:tcPr>
          <w:p w:rsidR="008111C9" w:rsidRPr="00201A3F" w:rsidRDefault="008111C9" w:rsidP="005B1F40">
            <w:pPr>
              <w:jc w:val="both"/>
              <w:rPr>
                <w:rFonts w:eastAsia="Calibri"/>
                <w:sz w:val="20"/>
              </w:rPr>
            </w:pPr>
            <w:r w:rsidRPr="00201A3F">
              <w:rPr>
                <w:rFonts w:eastAsia="Calibri"/>
                <w:sz w:val="20"/>
              </w:rPr>
              <w:t>Appeal of summary conviction dismissed</w:t>
            </w:r>
          </w:p>
        </w:tc>
      </w:tr>
      <w:tr w:rsidR="008111C9" w:rsidRPr="00201A3F" w:rsidTr="005B1F40">
        <w:tc>
          <w:tcPr>
            <w:tcW w:w="2427" w:type="pct"/>
          </w:tcPr>
          <w:p w:rsidR="008111C9" w:rsidRPr="00201A3F" w:rsidRDefault="008111C9" w:rsidP="005B1F40">
            <w:pPr>
              <w:jc w:val="both"/>
              <w:rPr>
                <w:rFonts w:eastAsia="Calibri"/>
                <w:sz w:val="20"/>
              </w:rPr>
            </w:pPr>
            <w:r w:rsidRPr="00201A3F">
              <w:rPr>
                <w:rFonts w:eastAsia="Calibri"/>
                <w:sz w:val="20"/>
              </w:rPr>
              <w:t>March 1, 2012</w:t>
            </w:r>
          </w:p>
          <w:p w:rsidR="008111C9" w:rsidRPr="00201A3F" w:rsidRDefault="008111C9" w:rsidP="005B1F40">
            <w:pPr>
              <w:jc w:val="both"/>
              <w:rPr>
                <w:rFonts w:eastAsia="Calibri"/>
                <w:sz w:val="20"/>
              </w:rPr>
            </w:pPr>
            <w:r w:rsidRPr="00201A3F">
              <w:rPr>
                <w:rFonts w:eastAsia="Calibri"/>
                <w:sz w:val="20"/>
              </w:rPr>
              <w:t xml:space="preserve">Court of Appeal for British Columbia </w:t>
            </w:r>
          </w:p>
          <w:p w:rsidR="008111C9" w:rsidRPr="00201A3F" w:rsidRDefault="008111C9" w:rsidP="005B1F40">
            <w:pPr>
              <w:jc w:val="both"/>
              <w:rPr>
                <w:rFonts w:eastAsia="Calibri"/>
                <w:sz w:val="20"/>
              </w:rPr>
            </w:pPr>
            <w:r w:rsidRPr="00201A3F">
              <w:rPr>
                <w:rFonts w:eastAsia="Calibri"/>
                <w:sz w:val="20"/>
              </w:rPr>
              <w:t>(Vancouver)</w:t>
            </w:r>
          </w:p>
          <w:p w:rsidR="008111C9" w:rsidRPr="00201A3F" w:rsidRDefault="008111C9" w:rsidP="005B1F40">
            <w:pPr>
              <w:jc w:val="both"/>
              <w:rPr>
                <w:rFonts w:eastAsia="Calibri"/>
                <w:sz w:val="20"/>
              </w:rPr>
            </w:pPr>
            <w:r w:rsidRPr="00201A3F">
              <w:rPr>
                <w:rFonts w:eastAsia="Calibri"/>
                <w:sz w:val="20"/>
              </w:rPr>
              <w:t>(Hinkson J.A.)</w:t>
            </w:r>
          </w:p>
          <w:p w:rsidR="008111C9" w:rsidRPr="00201A3F" w:rsidRDefault="008111C9" w:rsidP="005B1F40">
            <w:pPr>
              <w:jc w:val="both"/>
              <w:rPr>
                <w:rFonts w:eastAsia="Calibri"/>
                <w:sz w:val="20"/>
              </w:rPr>
            </w:pPr>
            <w:r w:rsidRPr="00201A3F">
              <w:rPr>
                <w:rFonts w:eastAsia="Calibri"/>
                <w:sz w:val="20"/>
              </w:rPr>
              <w:t>2012 BCCA 93</w:t>
            </w:r>
          </w:p>
          <w:p w:rsidR="008111C9" w:rsidRPr="00201A3F" w:rsidRDefault="008111C9" w:rsidP="005B1F40">
            <w:pPr>
              <w:jc w:val="both"/>
              <w:rPr>
                <w:rFonts w:eastAsia="Calibri"/>
                <w:sz w:val="20"/>
              </w:rPr>
            </w:pPr>
          </w:p>
        </w:tc>
        <w:tc>
          <w:tcPr>
            <w:tcW w:w="243" w:type="pct"/>
          </w:tcPr>
          <w:p w:rsidR="008111C9" w:rsidRPr="00201A3F" w:rsidRDefault="008111C9" w:rsidP="005B1F40">
            <w:pPr>
              <w:jc w:val="both"/>
              <w:rPr>
                <w:rFonts w:eastAsia="Calibri"/>
                <w:sz w:val="20"/>
              </w:rPr>
            </w:pPr>
          </w:p>
        </w:tc>
        <w:tc>
          <w:tcPr>
            <w:tcW w:w="2330" w:type="pct"/>
          </w:tcPr>
          <w:p w:rsidR="008111C9" w:rsidRPr="00201A3F" w:rsidRDefault="008111C9" w:rsidP="005B1F40">
            <w:pPr>
              <w:jc w:val="both"/>
              <w:rPr>
                <w:rFonts w:eastAsia="Calibri"/>
                <w:sz w:val="20"/>
              </w:rPr>
            </w:pPr>
            <w:r w:rsidRPr="00201A3F">
              <w:rPr>
                <w:rFonts w:eastAsia="Calibri"/>
                <w:sz w:val="20"/>
              </w:rPr>
              <w:t>Application for leave to appeal dismissed</w:t>
            </w:r>
          </w:p>
          <w:p w:rsidR="008111C9" w:rsidRPr="00201A3F" w:rsidRDefault="008111C9" w:rsidP="005B1F40">
            <w:pPr>
              <w:jc w:val="both"/>
              <w:rPr>
                <w:rFonts w:eastAsia="Calibri"/>
                <w:sz w:val="20"/>
              </w:rPr>
            </w:pPr>
          </w:p>
        </w:tc>
      </w:tr>
      <w:tr w:rsidR="008111C9" w:rsidRPr="00201A3F" w:rsidTr="005B1F40">
        <w:tc>
          <w:tcPr>
            <w:tcW w:w="2427" w:type="pct"/>
          </w:tcPr>
          <w:p w:rsidR="008111C9" w:rsidRPr="00201A3F" w:rsidRDefault="008111C9" w:rsidP="005B1F40">
            <w:pPr>
              <w:jc w:val="both"/>
              <w:rPr>
                <w:rFonts w:eastAsia="Calibri"/>
                <w:sz w:val="20"/>
              </w:rPr>
            </w:pPr>
            <w:r w:rsidRPr="00201A3F">
              <w:rPr>
                <w:rFonts w:eastAsia="Calibri"/>
                <w:sz w:val="20"/>
              </w:rPr>
              <w:t>May 3, 2012</w:t>
            </w:r>
          </w:p>
          <w:p w:rsidR="008111C9" w:rsidRPr="00201A3F" w:rsidRDefault="008111C9" w:rsidP="005B1F40">
            <w:pPr>
              <w:jc w:val="both"/>
              <w:rPr>
                <w:rFonts w:eastAsia="Calibri"/>
                <w:sz w:val="20"/>
              </w:rPr>
            </w:pPr>
            <w:r w:rsidRPr="00201A3F">
              <w:rPr>
                <w:rFonts w:eastAsia="Calibri"/>
                <w:sz w:val="20"/>
              </w:rPr>
              <w:t>Supreme Court of Canada</w:t>
            </w:r>
          </w:p>
          <w:p w:rsidR="008111C9" w:rsidRPr="00201A3F" w:rsidRDefault="008111C9" w:rsidP="005B1F40">
            <w:pPr>
              <w:jc w:val="both"/>
              <w:rPr>
                <w:rFonts w:eastAsia="Calibri"/>
                <w:sz w:val="20"/>
              </w:rPr>
            </w:pPr>
          </w:p>
        </w:tc>
        <w:tc>
          <w:tcPr>
            <w:tcW w:w="243" w:type="pct"/>
          </w:tcPr>
          <w:p w:rsidR="008111C9" w:rsidRPr="00201A3F" w:rsidRDefault="008111C9" w:rsidP="005B1F40">
            <w:pPr>
              <w:jc w:val="both"/>
              <w:rPr>
                <w:rFonts w:eastAsia="Calibri"/>
                <w:sz w:val="20"/>
              </w:rPr>
            </w:pPr>
          </w:p>
        </w:tc>
        <w:tc>
          <w:tcPr>
            <w:tcW w:w="2330" w:type="pct"/>
          </w:tcPr>
          <w:p w:rsidR="008111C9" w:rsidRPr="00201A3F" w:rsidRDefault="008111C9" w:rsidP="005B1F40">
            <w:pPr>
              <w:jc w:val="both"/>
              <w:rPr>
                <w:rFonts w:eastAsia="Calibri"/>
                <w:sz w:val="20"/>
              </w:rPr>
            </w:pPr>
            <w:r w:rsidRPr="00201A3F">
              <w:rPr>
                <w:rFonts w:eastAsia="Calibri"/>
                <w:sz w:val="20"/>
              </w:rPr>
              <w:t>Application for leave to appeal filed</w:t>
            </w:r>
          </w:p>
        </w:tc>
      </w:tr>
      <w:tr w:rsidR="008111C9" w:rsidRPr="00201A3F" w:rsidTr="005B1F40">
        <w:tc>
          <w:tcPr>
            <w:tcW w:w="2427" w:type="pct"/>
          </w:tcPr>
          <w:p w:rsidR="008111C9" w:rsidRPr="00201A3F" w:rsidRDefault="008111C9" w:rsidP="005B1F40">
            <w:pPr>
              <w:jc w:val="both"/>
              <w:rPr>
                <w:rFonts w:eastAsia="Calibri"/>
                <w:sz w:val="20"/>
              </w:rPr>
            </w:pPr>
            <w:r w:rsidRPr="00201A3F">
              <w:rPr>
                <w:rFonts w:eastAsia="Calibri"/>
                <w:sz w:val="20"/>
              </w:rPr>
              <w:t>July 26, 2012</w:t>
            </w:r>
          </w:p>
          <w:p w:rsidR="008111C9" w:rsidRPr="00201A3F" w:rsidRDefault="008111C9" w:rsidP="005B1F40">
            <w:pPr>
              <w:jc w:val="both"/>
              <w:rPr>
                <w:rFonts w:eastAsia="Calibri"/>
                <w:sz w:val="20"/>
              </w:rPr>
            </w:pPr>
            <w:r w:rsidRPr="00201A3F">
              <w:rPr>
                <w:rFonts w:eastAsia="Calibri"/>
                <w:sz w:val="20"/>
              </w:rPr>
              <w:t>Supreme Court of Canada</w:t>
            </w:r>
          </w:p>
        </w:tc>
        <w:tc>
          <w:tcPr>
            <w:tcW w:w="243" w:type="pct"/>
          </w:tcPr>
          <w:p w:rsidR="008111C9" w:rsidRPr="00201A3F" w:rsidRDefault="008111C9" w:rsidP="005B1F40">
            <w:pPr>
              <w:jc w:val="both"/>
              <w:rPr>
                <w:rFonts w:eastAsia="Calibri"/>
                <w:sz w:val="20"/>
              </w:rPr>
            </w:pPr>
          </w:p>
        </w:tc>
        <w:tc>
          <w:tcPr>
            <w:tcW w:w="2330" w:type="pct"/>
          </w:tcPr>
          <w:p w:rsidR="008111C9" w:rsidRPr="00201A3F" w:rsidRDefault="008111C9" w:rsidP="005B1F40">
            <w:pPr>
              <w:jc w:val="both"/>
              <w:rPr>
                <w:rFonts w:eastAsia="Calibri"/>
                <w:sz w:val="20"/>
              </w:rPr>
            </w:pPr>
            <w:r w:rsidRPr="00201A3F">
              <w:rPr>
                <w:rFonts w:eastAsia="Calibri"/>
                <w:sz w:val="20"/>
              </w:rPr>
              <w:t>Motion for an extension of time to file and serve the application for leave to appeal filed</w:t>
            </w: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66"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5"/>
        <w:gridCol w:w="278"/>
        <w:gridCol w:w="4624"/>
      </w:tblGrid>
      <w:tr w:rsidR="008111C9" w:rsidRPr="00201A3F" w:rsidTr="005B1F40">
        <w:tc>
          <w:tcPr>
            <w:tcW w:w="5000" w:type="pct"/>
            <w:gridSpan w:val="3"/>
          </w:tcPr>
          <w:p w:rsidR="008111C9" w:rsidRPr="00201A3F" w:rsidRDefault="008111C9" w:rsidP="005B1F40">
            <w:pPr>
              <w:jc w:val="both"/>
              <w:rPr>
                <w:rFonts w:eastAsia="Calibri"/>
                <w:sz w:val="20"/>
                <w:lang w:val="fr-CA"/>
              </w:rPr>
            </w:pPr>
            <w:r w:rsidRPr="00201A3F">
              <w:rPr>
                <w:rFonts w:eastAsia="Calibri"/>
                <w:i/>
                <w:sz w:val="20"/>
                <w:lang w:val="fr-CA"/>
              </w:rPr>
              <w:t>Charte</w:t>
            </w:r>
            <w:r w:rsidRPr="00201A3F">
              <w:rPr>
                <w:rFonts w:eastAsia="Calibri"/>
                <w:sz w:val="20"/>
                <w:lang w:val="fr-CA"/>
              </w:rPr>
              <w:t xml:space="preserve"> — Appels — Autorisation d'appel — La Cour d'appel de la Colombie</w:t>
            </w:r>
            <w:r w:rsidRPr="00201A3F">
              <w:rPr>
                <w:rFonts w:eastAsia="Calibri"/>
                <w:sz w:val="20"/>
                <w:lang w:val="fr-CA"/>
              </w:rPr>
              <w:noBreakHyphen/>
              <w:t>Britannique a</w:t>
            </w:r>
            <w:r w:rsidRPr="00201A3F">
              <w:rPr>
                <w:rFonts w:eastAsia="Calibri"/>
                <w:sz w:val="20"/>
                <w:lang w:val="fr-CA"/>
              </w:rPr>
              <w:noBreakHyphen/>
              <w:t>t</w:t>
            </w:r>
            <w:r w:rsidRPr="00201A3F">
              <w:rPr>
                <w:rFonts w:eastAsia="Calibri"/>
                <w:sz w:val="20"/>
                <w:lang w:val="fr-CA"/>
              </w:rPr>
              <w:noBreakHyphen/>
              <w:t xml:space="preserve">elle eu tort de rejeter la demande d'autorisation d'appel des demandeurs de leur déclaration de culpabilité par procédure sommaire? </w:t>
            </w:r>
            <w:r w:rsidRPr="00201A3F">
              <w:rPr>
                <w:rFonts w:eastAsia="Calibri"/>
                <w:i/>
                <w:sz w:val="20"/>
                <w:lang w:val="fr-CA"/>
              </w:rPr>
              <w:t>—</w:t>
            </w:r>
            <w:r w:rsidRPr="00201A3F">
              <w:rPr>
                <w:rFonts w:eastAsia="Calibri"/>
                <w:sz w:val="20"/>
                <w:lang w:val="fr-CA"/>
              </w:rPr>
              <w:t xml:space="preserve"> Droit à la vie, à la liberté et à la sécurité de la personne — Droit à un procès équitable — Y a</w:t>
            </w:r>
            <w:r w:rsidRPr="00201A3F">
              <w:rPr>
                <w:rFonts w:eastAsia="Calibri"/>
                <w:sz w:val="20"/>
                <w:lang w:val="fr-CA"/>
              </w:rPr>
              <w:noBreakHyphen/>
              <w:t>t</w:t>
            </w:r>
            <w:r w:rsidRPr="00201A3F">
              <w:rPr>
                <w:rFonts w:eastAsia="Calibri"/>
                <w:sz w:val="20"/>
                <w:lang w:val="fr-CA"/>
              </w:rPr>
              <w:noBreakHyphen/>
              <w:t xml:space="preserve">il eu atteinte aux droits des demandeurs garantis par </w:t>
            </w:r>
            <w:proofErr w:type="gramStart"/>
            <w:r w:rsidRPr="00201A3F">
              <w:rPr>
                <w:rFonts w:eastAsia="Calibri"/>
                <w:sz w:val="20"/>
                <w:lang w:val="fr-CA"/>
              </w:rPr>
              <w:t>les art</w:t>
            </w:r>
            <w:proofErr w:type="gramEnd"/>
            <w:r w:rsidRPr="00201A3F">
              <w:rPr>
                <w:rFonts w:eastAsia="Calibri"/>
                <w:sz w:val="20"/>
                <w:lang w:val="fr-CA"/>
              </w:rPr>
              <w:t>. 7 et 11</w:t>
            </w:r>
            <w:r w:rsidRPr="00201A3F">
              <w:rPr>
                <w:rFonts w:eastAsia="Calibri"/>
                <w:i/>
                <w:sz w:val="20"/>
                <w:lang w:val="fr-CA"/>
              </w:rPr>
              <w:t>d</w:t>
            </w:r>
            <w:r w:rsidRPr="00201A3F">
              <w:rPr>
                <w:rFonts w:eastAsia="Calibri"/>
                <w:sz w:val="20"/>
                <w:lang w:val="fr-CA"/>
              </w:rPr>
              <w:t xml:space="preserve">) de la </w:t>
            </w:r>
            <w:r w:rsidRPr="00201A3F">
              <w:rPr>
                <w:rFonts w:eastAsia="Calibri"/>
                <w:i/>
                <w:sz w:val="20"/>
                <w:lang w:val="fr-CA"/>
              </w:rPr>
              <w:t>Charte</w:t>
            </w:r>
            <w:r w:rsidRPr="00201A3F">
              <w:rPr>
                <w:rFonts w:eastAsia="Calibri"/>
                <w:sz w:val="20"/>
                <w:lang w:val="fr-CA"/>
              </w:rPr>
              <w:t xml:space="preserve">? </w:t>
            </w:r>
            <w:r w:rsidRPr="00201A3F">
              <w:rPr>
                <w:rFonts w:eastAsia="Calibri"/>
                <w:i/>
                <w:sz w:val="20"/>
                <w:lang w:val="fr-CA"/>
              </w:rPr>
              <w:t>—</w:t>
            </w:r>
            <w:r w:rsidRPr="00201A3F">
              <w:rPr>
                <w:rFonts w:eastAsia="Calibri"/>
                <w:sz w:val="20"/>
                <w:lang w:val="fr-CA"/>
              </w:rPr>
              <w:t xml:space="preserve"> L'intimée a</w:t>
            </w:r>
            <w:r w:rsidRPr="00201A3F">
              <w:rPr>
                <w:rFonts w:eastAsia="Calibri"/>
                <w:sz w:val="20"/>
                <w:lang w:val="fr-CA"/>
              </w:rPr>
              <w:noBreakHyphen/>
              <w:t>t</w:t>
            </w:r>
            <w:r w:rsidRPr="00201A3F">
              <w:rPr>
                <w:rFonts w:eastAsia="Calibri"/>
                <w:sz w:val="20"/>
                <w:lang w:val="fr-CA"/>
              </w:rPr>
              <w:noBreakHyphen/>
              <w:t>elle agi de bonne foi pendant les vérifications et l'instance judiciaire? — L'intimée a</w:t>
            </w:r>
            <w:r w:rsidRPr="00201A3F">
              <w:rPr>
                <w:rFonts w:eastAsia="Calibri"/>
                <w:sz w:val="20"/>
                <w:lang w:val="fr-CA"/>
              </w:rPr>
              <w:noBreakHyphen/>
              <w:t>t</w:t>
            </w:r>
            <w:r w:rsidRPr="00201A3F">
              <w:rPr>
                <w:rFonts w:eastAsia="Calibri"/>
                <w:sz w:val="20"/>
                <w:lang w:val="fr-CA"/>
              </w:rPr>
              <w:noBreakHyphen/>
              <w:t>elle fait une divulgation adéquate? — Y a</w:t>
            </w:r>
            <w:r w:rsidRPr="00201A3F">
              <w:rPr>
                <w:rFonts w:eastAsia="Calibri"/>
                <w:sz w:val="20"/>
                <w:lang w:val="fr-CA"/>
              </w:rPr>
              <w:noBreakHyphen/>
              <w:t>t</w:t>
            </w:r>
            <w:r w:rsidRPr="00201A3F">
              <w:rPr>
                <w:rFonts w:eastAsia="Calibri"/>
                <w:sz w:val="20"/>
                <w:lang w:val="fr-CA"/>
              </w:rPr>
              <w:noBreakHyphen/>
              <w:t>il une preuve d'abus de procédure de la part de l'intimée? — L'intimée a</w:t>
            </w:r>
            <w:r w:rsidRPr="00201A3F">
              <w:rPr>
                <w:rFonts w:eastAsia="Calibri"/>
                <w:sz w:val="20"/>
                <w:lang w:val="fr-CA"/>
              </w:rPr>
              <w:noBreakHyphen/>
              <w:t>t</w:t>
            </w:r>
            <w:r w:rsidRPr="00201A3F">
              <w:rPr>
                <w:rFonts w:eastAsia="Calibri"/>
                <w:sz w:val="20"/>
                <w:lang w:val="fr-CA"/>
              </w:rPr>
              <w:noBreakHyphen/>
              <w:t>elle abusé de ses pouvoirs de vérification et de poursuite? — L'intimé a</w:t>
            </w:r>
            <w:r w:rsidRPr="00201A3F">
              <w:rPr>
                <w:rFonts w:eastAsia="Calibri"/>
                <w:sz w:val="20"/>
                <w:lang w:val="fr-CA"/>
              </w:rPr>
              <w:noBreakHyphen/>
              <w:t>t</w:t>
            </w:r>
            <w:r w:rsidRPr="00201A3F">
              <w:rPr>
                <w:rFonts w:eastAsia="Calibri"/>
                <w:sz w:val="20"/>
                <w:lang w:val="fr-CA"/>
              </w:rPr>
              <w:noBreakHyphen/>
              <w:t>elle fait obstacle au droit d'appel des demandeurs? —</w:t>
            </w:r>
            <w:r w:rsidRPr="00201A3F">
              <w:rPr>
                <w:rFonts w:eastAsia="Calibri"/>
                <w:i/>
                <w:sz w:val="20"/>
                <w:lang w:val="fr-CA"/>
              </w:rPr>
              <w:t xml:space="preserve"> Charte des droits et libertés</w:t>
            </w:r>
            <w:r w:rsidRPr="00201A3F">
              <w:rPr>
                <w:rFonts w:eastAsia="Calibri"/>
                <w:sz w:val="20"/>
                <w:lang w:val="fr-CA"/>
              </w:rPr>
              <w:t>, art. 7 et 11</w:t>
            </w:r>
            <w:r w:rsidRPr="00201A3F">
              <w:rPr>
                <w:rFonts w:eastAsia="Calibri"/>
                <w:i/>
                <w:sz w:val="20"/>
                <w:lang w:val="fr-CA"/>
              </w:rPr>
              <w:t>d</w:t>
            </w:r>
            <w:r w:rsidRPr="00201A3F">
              <w:rPr>
                <w:rFonts w:eastAsia="Calibri"/>
                <w:sz w:val="20"/>
                <w:lang w:val="fr-CA"/>
              </w:rPr>
              <w:t>)</w:t>
            </w:r>
          </w:p>
          <w:p w:rsidR="008111C9" w:rsidRPr="00201A3F" w:rsidRDefault="008111C9" w:rsidP="005B1F40">
            <w:pPr>
              <w:jc w:val="both"/>
              <w:rPr>
                <w:rFonts w:eastAsia="Calibri"/>
                <w:sz w:val="20"/>
                <w:lang w:val="fr-CA"/>
              </w:rPr>
            </w:pPr>
          </w:p>
          <w:p w:rsidR="008111C9" w:rsidRPr="00201A3F" w:rsidRDefault="008111C9" w:rsidP="005B1F40">
            <w:pPr>
              <w:jc w:val="both"/>
              <w:rPr>
                <w:rFonts w:eastAsia="Calibri"/>
                <w:sz w:val="20"/>
                <w:lang w:val="fr-CA"/>
              </w:rPr>
            </w:pPr>
            <w:r w:rsidRPr="00201A3F">
              <w:rPr>
                <w:rFonts w:eastAsia="Calibri"/>
                <w:sz w:val="20"/>
                <w:lang w:val="fr-CA"/>
              </w:rPr>
              <w:t>Le demandeur, M. Custance a été déclaré coupable sous trois chefs de fausses déclarations de taxe sur les produits et services (TPS) et quatre chefs de fraude en vertu de la</w:t>
            </w:r>
            <w:r w:rsidRPr="00201A3F">
              <w:rPr>
                <w:rFonts w:eastAsia="Calibri"/>
                <w:i/>
                <w:sz w:val="20"/>
                <w:lang w:val="fr-CA"/>
              </w:rPr>
              <w:t xml:space="preserve"> Loi sur la taxe d'accise</w:t>
            </w:r>
            <w:r w:rsidRPr="00201A3F">
              <w:rPr>
                <w:rFonts w:eastAsia="Calibri"/>
                <w:sz w:val="20"/>
                <w:lang w:val="fr-CA"/>
              </w:rPr>
              <w:t xml:space="preserve">.  La demanderesse, Mme Bender a été déclarée coupable sous un chef de fausses déclarations de TPS et un chef de fraude.  Un juge d'appel en matière de poursuites sommaires a rejeté un appel de ces déclarations de culpabilité.  Une demande d'autorisation d'appel a été faite à la Cour d'appel de la Colombie Britannique.  L'autorisation a été refusée. </w:t>
            </w:r>
          </w:p>
        </w:tc>
      </w:tr>
      <w:tr w:rsidR="008111C9" w:rsidRPr="00201A3F" w:rsidTr="005B1F40">
        <w:tc>
          <w:tcPr>
            <w:tcW w:w="5000" w:type="pct"/>
            <w:gridSpan w:val="3"/>
          </w:tcPr>
          <w:p w:rsidR="008111C9" w:rsidRPr="00201A3F" w:rsidRDefault="008111C9" w:rsidP="005B1F40">
            <w:pPr>
              <w:jc w:val="both"/>
              <w:rPr>
                <w:rFonts w:eastAsia="Calibri"/>
                <w:sz w:val="20"/>
                <w:lang w:val="fr-CA"/>
              </w:rPr>
            </w:pPr>
          </w:p>
        </w:tc>
      </w:tr>
      <w:tr w:rsidR="008111C9" w:rsidRPr="00DC2D1F" w:rsidTr="005B1F40">
        <w:tc>
          <w:tcPr>
            <w:tcW w:w="2427" w:type="pct"/>
          </w:tcPr>
          <w:p w:rsidR="008111C9" w:rsidRPr="00201A3F" w:rsidRDefault="008111C9" w:rsidP="005B1F40">
            <w:pPr>
              <w:jc w:val="both"/>
              <w:rPr>
                <w:rFonts w:eastAsia="Calibri"/>
                <w:sz w:val="20"/>
                <w:lang w:val="fr-CA"/>
              </w:rPr>
            </w:pPr>
            <w:r w:rsidRPr="00201A3F">
              <w:rPr>
                <w:rFonts w:eastAsia="Calibri"/>
                <w:sz w:val="20"/>
                <w:lang w:val="fr-CA"/>
              </w:rPr>
              <w:t>3 avril 2009</w:t>
            </w:r>
          </w:p>
          <w:p w:rsidR="008111C9" w:rsidRPr="00201A3F" w:rsidRDefault="008111C9" w:rsidP="005B1F40">
            <w:pPr>
              <w:jc w:val="both"/>
              <w:rPr>
                <w:rFonts w:eastAsia="Calibri"/>
                <w:sz w:val="20"/>
                <w:lang w:val="fr-CA"/>
              </w:rPr>
            </w:pPr>
            <w:r w:rsidRPr="00201A3F">
              <w:rPr>
                <w:rFonts w:eastAsia="Calibri"/>
                <w:sz w:val="20"/>
                <w:lang w:val="fr-CA"/>
              </w:rPr>
              <w:t>Cour provinciale de la Colombie</w:t>
            </w:r>
            <w:r w:rsidRPr="00201A3F">
              <w:rPr>
                <w:rFonts w:eastAsia="Calibri"/>
                <w:sz w:val="20"/>
                <w:lang w:val="fr-CA"/>
              </w:rPr>
              <w:noBreakHyphen/>
              <w:t xml:space="preserve">Britannique </w:t>
            </w:r>
          </w:p>
          <w:p w:rsidR="008111C9" w:rsidRPr="00201A3F" w:rsidRDefault="008111C9" w:rsidP="005B1F40">
            <w:pPr>
              <w:jc w:val="both"/>
              <w:rPr>
                <w:rFonts w:eastAsia="Calibri"/>
                <w:sz w:val="20"/>
                <w:lang w:val="fr-CA"/>
              </w:rPr>
            </w:pPr>
            <w:r w:rsidRPr="00201A3F">
              <w:rPr>
                <w:rFonts w:eastAsia="Calibri"/>
                <w:sz w:val="20"/>
                <w:lang w:val="fr-CA"/>
              </w:rPr>
              <w:t>(Juge Harrison)</w:t>
            </w:r>
          </w:p>
          <w:p w:rsidR="008111C9" w:rsidRPr="00201A3F" w:rsidRDefault="008111C9" w:rsidP="005B1F40">
            <w:pPr>
              <w:jc w:val="both"/>
              <w:rPr>
                <w:rFonts w:eastAsia="Calibri"/>
                <w:sz w:val="20"/>
                <w:lang w:val="fr-CA"/>
              </w:rPr>
            </w:pPr>
          </w:p>
        </w:tc>
        <w:tc>
          <w:tcPr>
            <w:tcW w:w="146" w:type="pct"/>
          </w:tcPr>
          <w:p w:rsidR="008111C9" w:rsidRPr="00201A3F" w:rsidRDefault="008111C9" w:rsidP="005B1F40">
            <w:pPr>
              <w:jc w:val="both"/>
              <w:rPr>
                <w:rFonts w:eastAsia="Calibri"/>
                <w:sz w:val="20"/>
                <w:lang w:val="fr-CA"/>
              </w:rPr>
            </w:pPr>
          </w:p>
        </w:tc>
        <w:tc>
          <w:tcPr>
            <w:tcW w:w="2427" w:type="pct"/>
          </w:tcPr>
          <w:p w:rsidR="008111C9" w:rsidRPr="00201A3F" w:rsidRDefault="008111C9" w:rsidP="005B1F40">
            <w:pPr>
              <w:jc w:val="both"/>
              <w:rPr>
                <w:rFonts w:eastAsia="Calibri"/>
                <w:sz w:val="20"/>
                <w:lang w:val="fr-CA"/>
              </w:rPr>
            </w:pPr>
            <w:r w:rsidRPr="00201A3F">
              <w:rPr>
                <w:rFonts w:eastAsia="Calibri"/>
                <w:sz w:val="20"/>
                <w:lang w:val="fr-CA"/>
              </w:rPr>
              <w:t>Demandeurs déclarés coupables de fausses déclarations de TPS et de fraude</w:t>
            </w:r>
          </w:p>
        </w:tc>
      </w:tr>
      <w:tr w:rsidR="008111C9" w:rsidRPr="00DC2D1F" w:rsidTr="00BA37D8">
        <w:trPr>
          <w:cantSplit/>
        </w:trPr>
        <w:tc>
          <w:tcPr>
            <w:tcW w:w="2427" w:type="pct"/>
          </w:tcPr>
          <w:p w:rsidR="008111C9" w:rsidRPr="00201A3F" w:rsidRDefault="008111C9" w:rsidP="005B1F40">
            <w:pPr>
              <w:jc w:val="both"/>
              <w:rPr>
                <w:rFonts w:eastAsia="Calibri"/>
                <w:sz w:val="20"/>
                <w:lang w:val="fr-CA"/>
              </w:rPr>
            </w:pPr>
            <w:r w:rsidRPr="00201A3F">
              <w:rPr>
                <w:rFonts w:eastAsia="Calibri"/>
                <w:sz w:val="20"/>
                <w:lang w:val="fr-CA"/>
              </w:rPr>
              <w:lastRenderedPageBreak/>
              <w:t>26 avril 2011</w:t>
            </w:r>
          </w:p>
          <w:p w:rsidR="008111C9" w:rsidRPr="00201A3F" w:rsidRDefault="008111C9" w:rsidP="005B1F40">
            <w:pPr>
              <w:jc w:val="both"/>
              <w:rPr>
                <w:rFonts w:eastAsia="Calibri"/>
                <w:sz w:val="20"/>
                <w:lang w:val="fr-CA"/>
              </w:rPr>
            </w:pPr>
            <w:r w:rsidRPr="00201A3F">
              <w:rPr>
                <w:rFonts w:eastAsia="Calibri"/>
                <w:sz w:val="20"/>
                <w:lang w:val="fr-CA"/>
              </w:rPr>
              <w:t>Cour suprême de la Colombie</w:t>
            </w:r>
            <w:r w:rsidRPr="00201A3F">
              <w:rPr>
                <w:rFonts w:eastAsia="Calibri"/>
                <w:sz w:val="20"/>
                <w:lang w:val="fr-CA"/>
              </w:rPr>
              <w:noBreakHyphen/>
              <w:t xml:space="preserve">Britannique </w:t>
            </w:r>
          </w:p>
          <w:p w:rsidR="008111C9" w:rsidRPr="00201A3F" w:rsidRDefault="008111C9" w:rsidP="005B1F40">
            <w:pPr>
              <w:jc w:val="both"/>
              <w:rPr>
                <w:rFonts w:eastAsia="Calibri"/>
                <w:sz w:val="20"/>
                <w:lang w:val="fr-CA"/>
              </w:rPr>
            </w:pPr>
            <w:r w:rsidRPr="00201A3F">
              <w:rPr>
                <w:rFonts w:eastAsia="Calibri"/>
                <w:sz w:val="20"/>
                <w:lang w:val="fr-CA"/>
              </w:rPr>
              <w:t xml:space="preserve">(Juge Burnyeat) </w:t>
            </w:r>
          </w:p>
          <w:p w:rsidR="008111C9" w:rsidRPr="00201A3F" w:rsidRDefault="008111C9" w:rsidP="005B1F40">
            <w:pPr>
              <w:jc w:val="both"/>
              <w:rPr>
                <w:rFonts w:eastAsia="Calibri"/>
                <w:sz w:val="20"/>
                <w:lang w:val="fr-CA"/>
              </w:rPr>
            </w:pPr>
            <w:r w:rsidRPr="00201A3F">
              <w:rPr>
                <w:rFonts w:eastAsia="Calibri"/>
                <w:sz w:val="20"/>
                <w:lang w:val="fr-CA"/>
              </w:rPr>
              <w:t>2011 BCSC 519</w:t>
            </w:r>
          </w:p>
          <w:p w:rsidR="008111C9" w:rsidRPr="00201A3F" w:rsidRDefault="008111C9" w:rsidP="005B1F40">
            <w:pPr>
              <w:jc w:val="both"/>
              <w:rPr>
                <w:rFonts w:eastAsia="Calibri"/>
                <w:sz w:val="20"/>
                <w:lang w:val="fr-CA"/>
              </w:rPr>
            </w:pPr>
          </w:p>
        </w:tc>
        <w:tc>
          <w:tcPr>
            <w:tcW w:w="146" w:type="pct"/>
          </w:tcPr>
          <w:p w:rsidR="008111C9" w:rsidRPr="00201A3F" w:rsidRDefault="008111C9" w:rsidP="005B1F40">
            <w:pPr>
              <w:jc w:val="both"/>
              <w:rPr>
                <w:rFonts w:eastAsia="Calibri"/>
                <w:sz w:val="20"/>
                <w:lang w:val="fr-CA"/>
              </w:rPr>
            </w:pPr>
          </w:p>
        </w:tc>
        <w:tc>
          <w:tcPr>
            <w:tcW w:w="2427" w:type="pct"/>
          </w:tcPr>
          <w:p w:rsidR="008111C9" w:rsidRPr="00201A3F" w:rsidRDefault="008111C9" w:rsidP="005B1F40">
            <w:pPr>
              <w:jc w:val="both"/>
              <w:rPr>
                <w:rFonts w:eastAsia="Calibri"/>
                <w:sz w:val="20"/>
                <w:lang w:val="fr-CA"/>
              </w:rPr>
            </w:pPr>
            <w:r w:rsidRPr="00201A3F">
              <w:rPr>
                <w:rFonts w:eastAsia="Calibri"/>
                <w:sz w:val="20"/>
                <w:lang w:val="fr-CA"/>
              </w:rPr>
              <w:t>Appel de la déclaration de culpabilité par procédure sommaire, rejeté</w:t>
            </w:r>
          </w:p>
        </w:tc>
      </w:tr>
      <w:tr w:rsidR="008111C9" w:rsidRPr="00201A3F" w:rsidTr="00BA37D8">
        <w:trPr>
          <w:cantSplit/>
        </w:trPr>
        <w:tc>
          <w:tcPr>
            <w:tcW w:w="2427" w:type="pct"/>
          </w:tcPr>
          <w:p w:rsidR="008111C9" w:rsidRPr="00201A3F" w:rsidRDefault="008111C9" w:rsidP="005B1F40">
            <w:pPr>
              <w:jc w:val="both"/>
              <w:rPr>
                <w:rFonts w:eastAsia="Calibri"/>
                <w:sz w:val="20"/>
                <w:lang w:val="fr-CA"/>
              </w:rPr>
            </w:pPr>
            <w:r w:rsidRPr="00201A3F">
              <w:rPr>
                <w:rFonts w:eastAsia="Calibri"/>
                <w:sz w:val="20"/>
                <w:lang w:val="fr-CA"/>
              </w:rPr>
              <w:t>1</w:t>
            </w:r>
            <w:r w:rsidRPr="00201A3F">
              <w:rPr>
                <w:rFonts w:eastAsia="Calibri"/>
                <w:sz w:val="20"/>
                <w:vertAlign w:val="superscript"/>
                <w:lang w:val="fr-CA"/>
              </w:rPr>
              <w:t>er</w:t>
            </w:r>
            <w:r w:rsidRPr="00201A3F">
              <w:rPr>
                <w:rFonts w:eastAsia="Calibri"/>
                <w:sz w:val="20"/>
                <w:lang w:val="fr-CA"/>
              </w:rPr>
              <w:t xml:space="preserve"> mars 2012</w:t>
            </w:r>
          </w:p>
          <w:p w:rsidR="008111C9" w:rsidRPr="00201A3F" w:rsidRDefault="008111C9" w:rsidP="005B1F40">
            <w:pPr>
              <w:jc w:val="both"/>
              <w:rPr>
                <w:rFonts w:eastAsia="Calibri"/>
                <w:sz w:val="20"/>
                <w:lang w:val="fr-CA"/>
              </w:rPr>
            </w:pPr>
            <w:r w:rsidRPr="00201A3F">
              <w:rPr>
                <w:rFonts w:eastAsia="Calibri"/>
                <w:sz w:val="20"/>
                <w:lang w:val="fr-CA"/>
              </w:rPr>
              <w:t>Cour d'appel de la Colombie</w:t>
            </w:r>
            <w:r w:rsidRPr="00201A3F">
              <w:rPr>
                <w:rFonts w:eastAsia="Calibri"/>
                <w:sz w:val="20"/>
                <w:lang w:val="fr-CA"/>
              </w:rPr>
              <w:noBreakHyphen/>
              <w:t xml:space="preserve">Britannique </w:t>
            </w:r>
          </w:p>
          <w:p w:rsidR="008111C9" w:rsidRPr="00201A3F" w:rsidRDefault="008111C9" w:rsidP="005B1F40">
            <w:pPr>
              <w:jc w:val="both"/>
              <w:rPr>
                <w:rFonts w:eastAsia="Calibri"/>
                <w:sz w:val="20"/>
                <w:lang w:val="fr-CA"/>
              </w:rPr>
            </w:pPr>
            <w:r w:rsidRPr="00201A3F">
              <w:rPr>
                <w:rFonts w:eastAsia="Calibri"/>
                <w:sz w:val="20"/>
                <w:lang w:val="fr-CA"/>
              </w:rPr>
              <w:t>(Vancouver)</w:t>
            </w:r>
          </w:p>
          <w:p w:rsidR="008111C9" w:rsidRPr="00201A3F" w:rsidRDefault="008111C9" w:rsidP="005B1F40">
            <w:pPr>
              <w:jc w:val="both"/>
              <w:rPr>
                <w:rFonts w:eastAsia="Calibri"/>
                <w:sz w:val="20"/>
                <w:lang w:val="fr-CA"/>
              </w:rPr>
            </w:pPr>
            <w:r w:rsidRPr="00201A3F">
              <w:rPr>
                <w:rFonts w:eastAsia="Calibri"/>
                <w:sz w:val="20"/>
                <w:lang w:val="fr-CA"/>
              </w:rPr>
              <w:t>(Juge Hinkson)</w:t>
            </w:r>
          </w:p>
          <w:p w:rsidR="008111C9" w:rsidRPr="00201A3F" w:rsidRDefault="008111C9" w:rsidP="005B1F40">
            <w:pPr>
              <w:jc w:val="both"/>
              <w:rPr>
                <w:rFonts w:eastAsia="Calibri"/>
                <w:sz w:val="20"/>
                <w:lang w:val="fr-CA"/>
              </w:rPr>
            </w:pPr>
            <w:r w:rsidRPr="00201A3F">
              <w:rPr>
                <w:rFonts w:eastAsia="Calibri"/>
                <w:sz w:val="20"/>
                <w:lang w:val="fr-CA"/>
              </w:rPr>
              <w:t>2012 BCCA 93</w:t>
            </w:r>
          </w:p>
          <w:p w:rsidR="008111C9" w:rsidRPr="00201A3F" w:rsidRDefault="008111C9" w:rsidP="005B1F40">
            <w:pPr>
              <w:jc w:val="both"/>
              <w:rPr>
                <w:rFonts w:eastAsia="Calibri"/>
                <w:sz w:val="20"/>
                <w:lang w:val="fr-CA"/>
              </w:rPr>
            </w:pPr>
          </w:p>
        </w:tc>
        <w:tc>
          <w:tcPr>
            <w:tcW w:w="146" w:type="pct"/>
          </w:tcPr>
          <w:p w:rsidR="008111C9" w:rsidRPr="00201A3F" w:rsidRDefault="008111C9" w:rsidP="005B1F40">
            <w:pPr>
              <w:jc w:val="both"/>
              <w:rPr>
                <w:rFonts w:eastAsia="Calibri"/>
                <w:sz w:val="20"/>
                <w:lang w:val="fr-CA"/>
              </w:rPr>
            </w:pPr>
          </w:p>
        </w:tc>
        <w:tc>
          <w:tcPr>
            <w:tcW w:w="2427" w:type="pct"/>
          </w:tcPr>
          <w:p w:rsidR="008111C9" w:rsidRPr="00201A3F" w:rsidRDefault="008111C9" w:rsidP="005B1F40">
            <w:pPr>
              <w:jc w:val="both"/>
              <w:rPr>
                <w:rFonts w:eastAsia="Calibri"/>
                <w:sz w:val="20"/>
                <w:lang w:val="fr-CA"/>
              </w:rPr>
            </w:pPr>
            <w:r w:rsidRPr="00201A3F">
              <w:rPr>
                <w:rFonts w:eastAsia="Calibri"/>
                <w:sz w:val="20"/>
                <w:lang w:val="fr-CA"/>
              </w:rPr>
              <w:t>Demande d'autorisation d'appel, rejetée</w:t>
            </w:r>
          </w:p>
          <w:p w:rsidR="008111C9" w:rsidRPr="00201A3F" w:rsidRDefault="008111C9" w:rsidP="005B1F40">
            <w:pPr>
              <w:jc w:val="both"/>
              <w:rPr>
                <w:rFonts w:eastAsia="Calibri"/>
                <w:sz w:val="20"/>
                <w:lang w:val="fr-CA"/>
              </w:rPr>
            </w:pPr>
          </w:p>
        </w:tc>
      </w:tr>
      <w:tr w:rsidR="008111C9" w:rsidRPr="00201A3F" w:rsidTr="00BA37D8">
        <w:trPr>
          <w:cantSplit/>
        </w:trPr>
        <w:tc>
          <w:tcPr>
            <w:tcW w:w="2427" w:type="pct"/>
          </w:tcPr>
          <w:p w:rsidR="008111C9" w:rsidRPr="00201A3F" w:rsidRDefault="008111C9" w:rsidP="005B1F40">
            <w:pPr>
              <w:jc w:val="both"/>
              <w:rPr>
                <w:rFonts w:eastAsia="Calibri"/>
                <w:sz w:val="20"/>
                <w:lang w:val="fr-CA"/>
              </w:rPr>
            </w:pPr>
            <w:r w:rsidRPr="00201A3F">
              <w:rPr>
                <w:rFonts w:eastAsia="Calibri"/>
                <w:sz w:val="20"/>
                <w:lang w:val="fr-CA"/>
              </w:rPr>
              <w:t>3 mai 2012</w:t>
            </w:r>
          </w:p>
          <w:p w:rsidR="008111C9" w:rsidRPr="00201A3F" w:rsidRDefault="008111C9" w:rsidP="005B1F40">
            <w:pPr>
              <w:jc w:val="both"/>
              <w:rPr>
                <w:rFonts w:eastAsia="Calibri"/>
                <w:sz w:val="20"/>
                <w:lang w:val="fr-CA"/>
              </w:rPr>
            </w:pPr>
            <w:r w:rsidRPr="00201A3F">
              <w:rPr>
                <w:rFonts w:eastAsia="Calibri"/>
                <w:sz w:val="20"/>
                <w:lang w:val="fr-CA"/>
              </w:rPr>
              <w:t>Cour suprême du Canada</w:t>
            </w:r>
          </w:p>
          <w:p w:rsidR="008111C9" w:rsidRPr="00201A3F" w:rsidRDefault="008111C9" w:rsidP="005B1F40">
            <w:pPr>
              <w:jc w:val="both"/>
              <w:rPr>
                <w:rFonts w:eastAsia="Calibri"/>
                <w:sz w:val="20"/>
                <w:lang w:val="fr-CA"/>
              </w:rPr>
            </w:pPr>
          </w:p>
        </w:tc>
        <w:tc>
          <w:tcPr>
            <w:tcW w:w="146" w:type="pct"/>
          </w:tcPr>
          <w:p w:rsidR="008111C9" w:rsidRPr="00201A3F" w:rsidRDefault="008111C9" w:rsidP="005B1F40">
            <w:pPr>
              <w:jc w:val="both"/>
              <w:rPr>
                <w:rFonts w:eastAsia="Calibri"/>
                <w:sz w:val="20"/>
                <w:lang w:val="fr-CA"/>
              </w:rPr>
            </w:pPr>
          </w:p>
        </w:tc>
        <w:tc>
          <w:tcPr>
            <w:tcW w:w="2427" w:type="pct"/>
          </w:tcPr>
          <w:p w:rsidR="008111C9" w:rsidRPr="00201A3F" w:rsidRDefault="008111C9" w:rsidP="005B1F40">
            <w:pPr>
              <w:jc w:val="both"/>
              <w:rPr>
                <w:rFonts w:eastAsia="Calibri"/>
                <w:sz w:val="20"/>
                <w:lang w:val="fr-CA"/>
              </w:rPr>
            </w:pPr>
            <w:r w:rsidRPr="00201A3F">
              <w:rPr>
                <w:rFonts w:eastAsia="Calibri"/>
                <w:sz w:val="20"/>
                <w:lang w:val="fr-CA"/>
              </w:rPr>
              <w:t>Demande d'autorisation d'appel, déposée</w:t>
            </w:r>
          </w:p>
        </w:tc>
      </w:tr>
      <w:tr w:rsidR="008111C9" w:rsidRPr="00DC2D1F" w:rsidTr="00BA37D8">
        <w:trPr>
          <w:cantSplit/>
        </w:trPr>
        <w:tc>
          <w:tcPr>
            <w:tcW w:w="2427" w:type="pct"/>
          </w:tcPr>
          <w:p w:rsidR="008111C9" w:rsidRPr="00201A3F" w:rsidRDefault="008111C9" w:rsidP="005B1F40">
            <w:pPr>
              <w:jc w:val="both"/>
              <w:rPr>
                <w:rFonts w:eastAsia="Calibri"/>
                <w:sz w:val="20"/>
                <w:lang w:val="fr-CA"/>
              </w:rPr>
            </w:pPr>
            <w:r w:rsidRPr="00201A3F">
              <w:rPr>
                <w:rFonts w:eastAsia="Calibri"/>
                <w:sz w:val="20"/>
                <w:lang w:val="fr-CA"/>
              </w:rPr>
              <w:t>26 juillet 2012</w:t>
            </w:r>
          </w:p>
          <w:p w:rsidR="008111C9" w:rsidRPr="00201A3F" w:rsidRDefault="008111C9" w:rsidP="005B1F40">
            <w:pPr>
              <w:jc w:val="both"/>
              <w:rPr>
                <w:rFonts w:eastAsia="Calibri"/>
                <w:sz w:val="20"/>
                <w:lang w:val="fr-CA"/>
              </w:rPr>
            </w:pPr>
            <w:r w:rsidRPr="00201A3F">
              <w:rPr>
                <w:rFonts w:eastAsia="Calibri"/>
                <w:sz w:val="20"/>
                <w:lang w:val="fr-CA"/>
              </w:rPr>
              <w:t>Cour suprême du Canada</w:t>
            </w:r>
          </w:p>
        </w:tc>
        <w:tc>
          <w:tcPr>
            <w:tcW w:w="146" w:type="pct"/>
          </w:tcPr>
          <w:p w:rsidR="008111C9" w:rsidRPr="00201A3F" w:rsidRDefault="008111C9" w:rsidP="005B1F40">
            <w:pPr>
              <w:jc w:val="both"/>
              <w:rPr>
                <w:rFonts w:eastAsia="Calibri"/>
                <w:sz w:val="20"/>
                <w:lang w:val="fr-CA"/>
              </w:rPr>
            </w:pPr>
          </w:p>
        </w:tc>
        <w:tc>
          <w:tcPr>
            <w:tcW w:w="2427" w:type="pct"/>
          </w:tcPr>
          <w:p w:rsidR="008111C9" w:rsidRPr="00201A3F" w:rsidRDefault="008111C9" w:rsidP="005B1F40">
            <w:pPr>
              <w:jc w:val="both"/>
              <w:rPr>
                <w:rFonts w:eastAsia="Calibri"/>
                <w:sz w:val="20"/>
                <w:lang w:val="fr-CA"/>
              </w:rPr>
            </w:pPr>
            <w:r w:rsidRPr="00201A3F">
              <w:rPr>
                <w:rFonts w:eastAsia="Calibri"/>
                <w:sz w:val="20"/>
                <w:lang w:val="fr-CA"/>
              </w:rPr>
              <w:t>Requête en prorogation du délai de dépôt et de signification de la demande d'autorisation d'appel, déposée</w:t>
            </w:r>
          </w:p>
        </w:tc>
      </w:tr>
    </w:tbl>
    <w:p w:rsidR="00A740D1" w:rsidRPr="008111C9" w:rsidRDefault="00A740D1" w:rsidP="00A740D1">
      <w:pPr>
        <w:rPr>
          <w:sz w:val="20"/>
          <w:szCs w:val="20"/>
          <w:lang w:val="fr-CA"/>
        </w:rPr>
      </w:pPr>
    </w:p>
    <w:p w:rsidR="00A740D1" w:rsidRDefault="00BF3B03" w:rsidP="00A740D1">
      <w:pPr>
        <w:rPr>
          <w:sz w:val="20"/>
          <w:szCs w:val="20"/>
        </w:rPr>
      </w:pPr>
      <w:r w:rsidRPr="00BF3B03">
        <w:rPr>
          <w:sz w:val="20"/>
          <w:szCs w:val="20"/>
          <w:lang w:val="fr-CA"/>
        </w:rPr>
        <w:pict>
          <v:rect id="_x0000_i1067"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37D8" w:rsidRPr="00B9404B" w:rsidTr="00BA37D8">
        <w:trPr>
          <w:cantSplit/>
        </w:trPr>
        <w:tc>
          <w:tcPr>
            <w:tcW w:w="1458" w:type="dxa"/>
          </w:tcPr>
          <w:p w:rsidR="00BA37D8" w:rsidRPr="00B9404B" w:rsidRDefault="00BA37D8" w:rsidP="00BA37D8">
            <w:pPr>
              <w:rPr>
                <w:sz w:val="20"/>
                <w:szCs w:val="20"/>
              </w:rPr>
            </w:pPr>
            <w:r w:rsidRPr="00B9404B">
              <w:rPr>
                <w:rStyle w:val="SCCFileNumberChar"/>
                <w:sz w:val="20"/>
                <w:szCs w:val="20"/>
              </w:rPr>
              <w:t>34906</w:t>
            </w:r>
          </w:p>
          <w:p w:rsidR="00BA37D8" w:rsidRPr="00B9404B" w:rsidRDefault="00BA37D8" w:rsidP="00BA37D8">
            <w:pPr>
              <w:rPr>
                <w:b/>
                <w:sz w:val="20"/>
                <w:szCs w:val="20"/>
                <w:lang w:val="fr-CA"/>
              </w:rPr>
            </w:pPr>
          </w:p>
        </w:tc>
        <w:tc>
          <w:tcPr>
            <w:tcW w:w="8118" w:type="dxa"/>
          </w:tcPr>
          <w:p w:rsidR="00BA37D8" w:rsidRPr="00B9404B" w:rsidRDefault="00BA37D8" w:rsidP="00BA37D8">
            <w:pPr>
              <w:rPr>
                <w:sz w:val="20"/>
                <w:szCs w:val="20"/>
              </w:rPr>
            </w:pPr>
            <w:r w:rsidRPr="00BA37D8">
              <w:rPr>
                <w:rStyle w:val="SCCLsocChar"/>
                <w:sz w:val="20"/>
                <w:szCs w:val="20"/>
                <w:lang w:val="en-CA"/>
              </w:rPr>
              <w:t>Her Majesty the Queen v. Chay Brooks Gladue</w:t>
            </w:r>
            <w:r w:rsidRPr="00B9404B">
              <w:rPr>
                <w:sz w:val="20"/>
                <w:szCs w:val="20"/>
              </w:rPr>
              <w:t xml:space="preserve"> (Alta.) (Criminal) (By Leave)</w:t>
            </w:r>
          </w:p>
          <w:p w:rsidR="00BA37D8" w:rsidRPr="00B9404B" w:rsidRDefault="00BA37D8" w:rsidP="00BA37D8">
            <w:pPr>
              <w:rPr>
                <w:sz w:val="20"/>
                <w:szCs w:val="20"/>
              </w:rPr>
            </w:pPr>
          </w:p>
        </w:tc>
      </w:tr>
      <w:tr w:rsidR="00BA37D8" w:rsidRPr="00B9404B" w:rsidTr="00BA37D8">
        <w:trPr>
          <w:cantSplit/>
        </w:trPr>
        <w:tc>
          <w:tcPr>
            <w:tcW w:w="1458" w:type="dxa"/>
          </w:tcPr>
          <w:p w:rsidR="00BA37D8" w:rsidRPr="00B9404B" w:rsidRDefault="00BA37D8" w:rsidP="00BA37D8">
            <w:pPr>
              <w:rPr>
                <w:sz w:val="20"/>
                <w:szCs w:val="20"/>
              </w:rPr>
            </w:pPr>
            <w:r w:rsidRPr="00B9404B">
              <w:rPr>
                <w:sz w:val="20"/>
                <w:szCs w:val="20"/>
              </w:rPr>
              <w:t>Coram :</w:t>
            </w:r>
          </w:p>
        </w:tc>
        <w:tc>
          <w:tcPr>
            <w:tcW w:w="8118" w:type="dxa"/>
          </w:tcPr>
          <w:p w:rsidR="00BA37D8" w:rsidRPr="00B9404B" w:rsidRDefault="00BA37D8" w:rsidP="00BA37D8">
            <w:pPr>
              <w:rPr>
                <w:sz w:val="20"/>
                <w:szCs w:val="20"/>
              </w:rPr>
            </w:pPr>
            <w:r w:rsidRPr="00BA37D8">
              <w:rPr>
                <w:rStyle w:val="SCCCoramChar"/>
                <w:sz w:val="20"/>
                <w:szCs w:val="20"/>
                <w:lang w:val="en-CA"/>
              </w:rPr>
              <w:t>McLachlin C.J. and Rothstein and Moldaver JJ.</w:t>
            </w:r>
          </w:p>
          <w:p w:rsidR="00BA37D8" w:rsidRPr="00B9404B" w:rsidRDefault="00BA37D8" w:rsidP="00BA37D8">
            <w:pPr>
              <w:rPr>
                <w:sz w:val="20"/>
                <w:szCs w:val="20"/>
                <w:u w:val="single"/>
              </w:rPr>
            </w:pPr>
          </w:p>
        </w:tc>
      </w:tr>
      <w:tr w:rsidR="00BA37D8" w:rsidRPr="00DC2D1F" w:rsidTr="00BA37D8">
        <w:trPr>
          <w:cantSplit/>
        </w:trPr>
        <w:tc>
          <w:tcPr>
            <w:tcW w:w="9576" w:type="dxa"/>
            <w:gridSpan w:val="2"/>
          </w:tcPr>
          <w:p w:rsidR="00BA37D8" w:rsidRPr="00B9404B" w:rsidRDefault="00BA37D8" w:rsidP="00BA37D8">
            <w:pPr>
              <w:pStyle w:val="SCCShortJudgment"/>
              <w:rPr>
                <w:szCs w:val="20"/>
              </w:rPr>
            </w:pPr>
            <w:r w:rsidRPr="00B9404B">
              <w:rPr>
                <w:szCs w:val="20"/>
              </w:rPr>
              <w:t>The application for leave to appeal from the judgment of the Court of Appeal of Alberta (Edmonton), Number 1103-0100-A, 2012 ABCA 143, dated May 3, 2012, is dismissed without costs.</w:t>
            </w:r>
          </w:p>
          <w:p w:rsidR="00BA37D8" w:rsidRPr="00B9404B" w:rsidRDefault="00BA37D8" w:rsidP="00BA37D8">
            <w:pPr>
              <w:pStyle w:val="SCCShortJudgment"/>
              <w:ind w:firstLine="0"/>
              <w:rPr>
                <w:szCs w:val="20"/>
              </w:rPr>
            </w:pPr>
          </w:p>
          <w:p w:rsidR="00BA37D8" w:rsidRPr="00B9404B" w:rsidRDefault="00BA37D8" w:rsidP="00BA37D8">
            <w:pPr>
              <w:pStyle w:val="SCCShortJudgment"/>
              <w:rPr>
                <w:szCs w:val="20"/>
                <w:lang w:val="fr-CA"/>
              </w:rPr>
            </w:pPr>
            <w:r w:rsidRPr="00B9404B">
              <w:rPr>
                <w:szCs w:val="20"/>
                <w:lang w:val="fr-CA"/>
              </w:rPr>
              <w:t>La demande d’autorisation d’appel de l’arrêt de la Cour d'appel de l’Alberta (Edmonton), numéro 1103-0100-A, 2012 ABCA 143, daté du 3 mai 2012, est rejetée sans dépens.</w:t>
            </w:r>
          </w:p>
        </w:tc>
      </w:tr>
    </w:tbl>
    <w:p w:rsidR="00A740D1" w:rsidRPr="00BA37D8"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5599B" w:rsidRPr="00201A3F" w:rsidTr="005B1F40">
        <w:tc>
          <w:tcPr>
            <w:tcW w:w="5000" w:type="pct"/>
            <w:gridSpan w:val="3"/>
          </w:tcPr>
          <w:p w:rsidR="0085599B" w:rsidRPr="00201A3F" w:rsidRDefault="0085599B" w:rsidP="005B1F40">
            <w:pPr>
              <w:jc w:val="both"/>
              <w:rPr>
                <w:rFonts w:eastAsia="Calibri"/>
                <w:sz w:val="20"/>
              </w:rPr>
            </w:pPr>
            <w:r w:rsidRPr="00201A3F">
              <w:rPr>
                <w:rFonts w:eastAsia="Calibri"/>
                <w:sz w:val="20"/>
              </w:rPr>
              <w:t>Criminal law — Entrapment — Entrapment by random virtue testing — Whether the doctrine of entrapment by random virtue testing is engaged when police, posing as customers, place coded orders for illicit drugs, over telephone lines suspected of being used for the purpose of drug trafficking? — Whether the Court of Appeal of Alberta erred in applying too high a standard to meet the “reasonable suspicion” test and by ultimately concluding that police did not have a reasonable suspicion that persons who answered the subject phone line were involved in an ongoing drug trafficking scheme?</w:t>
            </w:r>
          </w:p>
        </w:tc>
      </w:tr>
      <w:tr w:rsidR="0085599B" w:rsidRPr="00201A3F" w:rsidTr="005B1F40">
        <w:tc>
          <w:tcPr>
            <w:tcW w:w="5000" w:type="pct"/>
            <w:gridSpan w:val="3"/>
          </w:tcPr>
          <w:p w:rsidR="0085599B" w:rsidRPr="00201A3F" w:rsidRDefault="0085599B" w:rsidP="005B1F40">
            <w:pPr>
              <w:jc w:val="both"/>
              <w:rPr>
                <w:rFonts w:eastAsia="Calibri"/>
                <w:sz w:val="20"/>
              </w:rPr>
            </w:pPr>
          </w:p>
        </w:tc>
      </w:tr>
      <w:tr w:rsidR="0085599B" w:rsidRPr="00201A3F" w:rsidTr="005B1F40">
        <w:tc>
          <w:tcPr>
            <w:tcW w:w="5000" w:type="pct"/>
            <w:gridSpan w:val="3"/>
          </w:tcPr>
          <w:p w:rsidR="0085599B" w:rsidRPr="00201A3F" w:rsidRDefault="0085599B" w:rsidP="005B1F40">
            <w:pPr>
              <w:jc w:val="both"/>
              <w:rPr>
                <w:rFonts w:eastAsia="Calibri"/>
                <w:sz w:val="20"/>
              </w:rPr>
            </w:pPr>
            <w:r w:rsidRPr="00201A3F">
              <w:rPr>
                <w:rFonts w:eastAsia="Calibri"/>
                <w:sz w:val="20"/>
              </w:rPr>
              <w:t xml:space="preserve">Police received a tip from a first-time informant that cocaine trafficking was being conducted by way of a specific cellular telephone number. Without taking steps to investigate further, an undercover police officer dialled the number, spoke to an unidentified male and placed a request to purchase cocaine by using jargon used in the drug trade. </w:t>
            </w:r>
          </w:p>
          <w:p w:rsidR="0085599B" w:rsidRPr="00201A3F" w:rsidRDefault="0085599B" w:rsidP="005B1F40">
            <w:pPr>
              <w:jc w:val="both"/>
              <w:rPr>
                <w:rFonts w:eastAsia="Calibri"/>
                <w:sz w:val="20"/>
              </w:rPr>
            </w:pPr>
          </w:p>
          <w:p w:rsidR="0085599B" w:rsidRPr="00201A3F" w:rsidRDefault="0085599B" w:rsidP="005B1F40">
            <w:pPr>
              <w:jc w:val="both"/>
              <w:rPr>
                <w:rFonts w:eastAsia="Calibri"/>
                <w:sz w:val="20"/>
              </w:rPr>
            </w:pPr>
            <w:r w:rsidRPr="00201A3F">
              <w:rPr>
                <w:rFonts w:eastAsia="Calibri"/>
                <w:sz w:val="20"/>
              </w:rPr>
              <w:t xml:space="preserve">The respondent was arrested by the undercover police officer when he attempted to deliver cocaine in response to the officer’s telephone request. At trial, the respondent entered a guilty plea to trafficking in cocaine but applied for a stay of the conviction on the basis of entrapment. </w:t>
            </w:r>
          </w:p>
          <w:p w:rsidR="0085599B" w:rsidRPr="00201A3F" w:rsidRDefault="0085599B" w:rsidP="005B1F40">
            <w:pPr>
              <w:jc w:val="both"/>
              <w:rPr>
                <w:rFonts w:eastAsia="Calibri"/>
                <w:sz w:val="20"/>
              </w:rPr>
            </w:pPr>
          </w:p>
        </w:tc>
      </w:tr>
      <w:tr w:rsidR="0085599B" w:rsidRPr="00201A3F" w:rsidTr="00BA37D8">
        <w:trPr>
          <w:cantSplit/>
        </w:trPr>
        <w:tc>
          <w:tcPr>
            <w:tcW w:w="2427" w:type="pct"/>
          </w:tcPr>
          <w:p w:rsidR="0085599B" w:rsidRPr="00201A3F" w:rsidRDefault="0085599B" w:rsidP="005B1F40">
            <w:pPr>
              <w:jc w:val="both"/>
              <w:rPr>
                <w:rFonts w:eastAsia="Calibri"/>
                <w:sz w:val="20"/>
              </w:rPr>
            </w:pPr>
            <w:r w:rsidRPr="00201A3F">
              <w:rPr>
                <w:rFonts w:eastAsia="Calibri"/>
                <w:sz w:val="20"/>
              </w:rPr>
              <w:lastRenderedPageBreak/>
              <w:t>March 25, 2011</w:t>
            </w:r>
          </w:p>
          <w:p w:rsidR="0085599B" w:rsidRPr="00201A3F" w:rsidRDefault="0085599B" w:rsidP="005B1F40">
            <w:pPr>
              <w:jc w:val="both"/>
              <w:rPr>
                <w:rFonts w:eastAsia="Calibri"/>
                <w:sz w:val="20"/>
              </w:rPr>
            </w:pPr>
            <w:r w:rsidRPr="00201A3F">
              <w:rPr>
                <w:rFonts w:eastAsia="Calibri"/>
                <w:sz w:val="20"/>
              </w:rPr>
              <w:t>Court of Queen’s Bench of Alberta</w:t>
            </w:r>
          </w:p>
          <w:p w:rsidR="0085599B" w:rsidRPr="00201A3F" w:rsidRDefault="0085599B" w:rsidP="005B1F40">
            <w:pPr>
              <w:jc w:val="both"/>
              <w:rPr>
                <w:rFonts w:eastAsia="Calibri"/>
                <w:sz w:val="20"/>
              </w:rPr>
            </w:pPr>
            <w:r w:rsidRPr="00201A3F">
              <w:rPr>
                <w:rFonts w:eastAsia="Calibri"/>
                <w:sz w:val="20"/>
              </w:rPr>
              <w:t>(Gill J.)</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 xml:space="preserve">Application for a stay of proceedings granted </w:t>
            </w:r>
          </w:p>
          <w:p w:rsidR="0085599B" w:rsidRPr="00201A3F" w:rsidRDefault="0085599B" w:rsidP="005B1F40">
            <w:pPr>
              <w:jc w:val="both"/>
              <w:rPr>
                <w:rFonts w:eastAsia="Calibri"/>
                <w:sz w:val="20"/>
              </w:rPr>
            </w:pPr>
          </w:p>
        </w:tc>
      </w:tr>
      <w:tr w:rsidR="0085599B" w:rsidRPr="00201A3F" w:rsidTr="00BA37D8">
        <w:trPr>
          <w:cantSplit/>
        </w:trPr>
        <w:tc>
          <w:tcPr>
            <w:tcW w:w="2427" w:type="pct"/>
          </w:tcPr>
          <w:p w:rsidR="0085599B" w:rsidRPr="00201A3F" w:rsidRDefault="0085599B" w:rsidP="005B1F40">
            <w:pPr>
              <w:jc w:val="both"/>
              <w:rPr>
                <w:rFonts w:eastAsia="Calibri"/>
                <w:sz w:val="20"/>
              </w:rPr>
            </w:pPr>
            <w:r w:rsidRPr="00201A3F">
              <w:rPr>
                <w:rFonts w:eastAsia="Calibri"/>
                <w:sz w:val="20"/>
              </w:rPr>
              <w:t>May 3, 2012</w:t>
            </w:r>
          </w:p>
          <w:p w:rsidR="0085599B" w:rsidRPr="00201A3F" w:rsidRDefault="0085599B" w:rsidP="005B1F40">
            <w:pPr>
              <w:jc w:val="both"/>
              <w:rPr>
                <w:rFonts w:eastAsia="Calibri"/>
                <w:sz w:val="20"/>
              </w:rPr>
            </w:pPr>
            <w:r w:rsidRPr="00201A3F">
              <w:rPr>
                <w:rFonts w:eastAsia="Calibri"/>
                <w:sz w:val="20"/>
              </w:rPr>
              <w:t>Court of Appeal of Alberta (Edmonton)</w:t>
            </w:r>
          </w:p>
          <w:p w:rsidR="0085599B" w:rsidRPr="00201A3F" w:rsidRDefault="0085599B" w:rsidP="005B1F40">
            <w:pPr>
              <w:jc w:val="both"/>
              <w:rPr>
                <w:rFonts w:eastAsia="Calibri"/>
                <w:sz w:val="20"/>
              </w:rPr>
            </w:pPr>
            <w:r w:rsidRPr="00201A3F">
              <w:rPr>
                <w:rFonts w:eastAsia="Calibri"/>
                <w:sz w:val="20"/>
              </w:rPr>
              <w:t>(Costigan, Rowbotham, Bielby JJ.A.)</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Appeal dismissed</w:t>
            </w:r>
          </w:p>
          <w:p w:rsidR="0085599B" w:rsidRPr="00201A3F" w:rsidRDefault="0085599B" w:rsidP="005B1F40">
            <w:pPr>
              <w:jc w:val="both"/>
              <w:rPr>
                <w:rFonts w:eastAsia="Calibri"/>
                <w:sz w:val="20"/>
              </w:rPr>
            </w:pPr>
          </w:p>
        </w:tc>
      </w:tr>
      <w:tr w:rsidR="0085599B" w:rsidRPr="00201A3F" w:rsidTr="00BA37D8">
        <w:trPr>
          <w:cantSplit/>
        </w:trPr>
        <w:tc>
          <w:tcPr>
            <w:tcW w:w="2427" w:type="pct"/>
          </w:tcPr>
          <w:p w:rsidR="0085599B" w:rsidRPr="00201A3F" w:rsidRDefault="0085599B" w:rsidP="005B1F40">
            <w:pPr>
              <w:jc w:val="both"/>
              <w:rPr>
                <w:rFonts w:eastAsia="Calibri"/>
                <w:sz w:val="20"/>
              </w:rPr>
            </w:pPr>
            <w:r w:rsidRPr="00201A3F">
              <w:rPr>
                <w:rFonts w:eastAsia="Calibri"/>
                <w:sz w:val="20"/>
              </w:rPr>
              <w:t>July 30, 2012</w:t>
            </w:r>
          </w:p>
          <w:p w:rsidR="0085599B" w:rsidRPr="00201A3F" w:rsidRDefault="0085599B" w:rsidP="005B1F40">
            <w:pPr>
              <w:jc w:val="both"/>
              <w:rPr>
                <w:rFonts w:eastAsia="Calibri"/>
                <w:sz w:val="20"/>
              </w:rPr>
            </w:pPr>
            <w:r w:rsidRPr="00201A3F">
              <w:rPr>
                <w:rFonts w:eastAsia="Calibri"/>
                <w:sz w:val="20"/>
              </w:rPr>
              <w:t>Supreme Court of Canada</w:t>
            </w: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Application for leave to appeal filed</w:t>
            </w:r>
          </w:p>
          <w:p w:rsidR="0085599B" w:rsidRPr="00201A3F" w:rsidRDefault="0085599B" w:rsidP="005B1F40">
            <w:pPr>
              <w:jc w:val="both"/>
              <w:rPr>
                <w:rFonts w:eastAsia="Calibri"/>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68"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85599B" w:rsidRPr="00DC2D1F" w:rsidTr="005B1F40">
        <w:tc>
          <w:tcPr>
            <w:tcW w:w="5000" w:type="pct"/>
            <w:gridSpan w:val="3"/>
          </w:tcPr>
          <w:p w:rsidR="0085599B" w:rsidRPr="00201A3F" w:rsidRDefault="0085599B" w:rsidP="005B1F40">
            <w:pPr>
              <w:jc w:val="both"/>
              <w:rPr>
                <w:rFonts w:eastAsia="Calibri"/>
                <w:sz w:val="20"/>
                <w:lang w:val="fr-CA"/>
              </w:rPr>
            </w:pPr>
            <w:r w:rsidRPr="00201A3F">
              <w:rPr>
                <w:rFonts w:eastAsia="Calibri"/>
                <w:sz w:val="20"/>
                <w:lang w:val="fr-CA"/>
              </w:rPr>
              <w:t>Droit criminel — Provocation policière — Provocation policière dans le cadre d’une opération visant à éprouver au hasard la vertu des gens — La doctrine de provocation policière dans le cadre d’une opération visant à éprouver au hasard la vertu des gens s’applique</w:t>
            </w:r>
            <w:r w:rsidRPr="00201A3F">
              <w:rPr>
                <w:rFonts w:eastAsia="Calibri"/>
                <w:sz w:val="20"/>
                <w:lang w:val="fr-CA"/>
              </w:rPr>
              <w:noBreakHyphen/>
              <w:t>t</w:t>
            </w:r>
            <w:r w:rsidRPr="00201A3F">
              <w:rPr>
                <w:rFonts w:eastAsia="Calibri"/>
                <w:sz w:val="20"/>
                <w:lang w:val="fr-CA"/>
              </w:rPr>
              <w:noBreakHyphen/>
              <w:t>elle lorsque que des policiers, se faisant passer pour des clients, passent des commandes codées pour des drogues illicites, par la voie de lignes téléphoniques dont on soupçonne qu'elles sont utilisées pour le trafic de la drogue? — La Cour d'appel de l'Alberta a</w:t>
            </w:r>
            <w:r w:rsidRPr="00201A3F">
              <w:rPr>
                <w:rFonts w:eastAsia="Calibri"/>
                <w:sz w:val="20"/>
                <w:lang w:val="fr-CA"/>
              </w:rPr>
              <w:noBreakHyphen/>
              <w:t>t</w:t>
            </w:r>
            <w:r w:rsidRPr="00201A3F">
              <w:rPr>
                <w:rFonts w:eastAsia="Calibri"/>
                <w:sz w:val="20"/>
                <w:lang w:val="fr-CA"/>
              </w:rPr>
              <w:noBreakHyphen/>
              <w:t>elle eu tort d'appliquer une norme trop rigoureuse pour répondre au critère du « soupçon raisonnable » et de conclure en fin de compte que les policiers n'avaient pas de soupçon raisonnable comme quoi les personnes qui répondaient sur la ligne téléphonique en cause étaient impliquées dans un stratagème de trafic de la drogue en cours?</w:t>
            </w:r>
          </w:p>
        </w:tc>
      </w:tr>
      <w:tr w:rsidR="0085599B" w:rsidRPr="00DC2D1F" w:rsidTr="005B1F40">
        <w:tc>
          <w:tcPr>
            <w:tcW w:w="5000" w:type="pct"/>
            <w:gridSpan w:val="3"/>
          </w:tcPr>
          <w:p w:rsidR="0085599B" w:rsidRPr="00201A3F" w:rsidRDefault="0085599B" w:rsidP="005B1F40">
            <w:pPr>
              <w:jc w:val="both"/>
              <w:rPr>
                <w:rFonts w:eastAsia="Calibri"/>
                <w:sz w:val="20"/>
                <w:lang w:val="fr-CA"/>
              </w:rPr>
            </w:pPr>
          </w:p>
        </w:tc>
      </w:tr>
      <w:tr w:rsidR="0085599B" w:rsidRPr="00DC2D1F" w:rsidTr="005B1F40">
        <w:tc>
          <w:tcPr>
            <w:tcW w:w="5000" w:type="pct"/>
            <w:gridSpan w:val="3"/>
          </w:tcPr>
          <w:p w:rsidR="0085599B" w:rsidRPr="00201A3F" w:rsidRDefault="0085599B" w:rsidP="005B1F40">
            <w:pPr>
              <w:jc w:val="both"/>
              <w:rPr>
                <w:rFonts w:eastAsia="Calibri"/>
                <w:sz w:val="20"/>
                <w:lang w:val="fr-CA"/>
              </w:rPr>
            </w:pPr>
            <w:r w:rsidRPr="00201A3F">
              <w:rPr>
                <w:rFonts w:eastAsia="Calibri"/>
                <w:sz w:val="20"/>
                <w:lang w:val="fr-CA"/>
              </w:rPr>
              <w:t xml:space="preserve">Des policiers ont reçu d'un informateur n’ayant jamais fourni de renseignements auparavant un tuyau comme quoi il se faisait du trafic de cocaïne par la voie d’un numéro de téléphone cellulaire en particulier.  Sans prendre de mesures pour enquêter davantage, un policier banalisé a composé le numéro, parlé à un homme non identifié et placé une commande d'achat de cocaïne en utilisant le jargon utilisé dans le commerce de la drogue. </w:t>
            </w:r>
          </w:p>
          <w:p w:rsidR="0085599B" w:rsidRPr="00201A3F" w:rsidRDefault="0085599B" w:rsidP="005B1F40">
            <w:pPr>
              <w:jc w:val="both"/>
              <w:rPr>
                <w:rFonts w:eastAsia="Calibri"/>
                <w:sz w:val="20"/>
                <w:lang w:val="fr-CA"/>
              </w:rPr>
            </w:pPr>
          </w:p>
          <w:p w:rsidR="0085599B" w:rsidRPr="00201A3F" w:rsidRDefault="0085599B" w:rsidP="005B1F40">
            <w:pPr>
              <w:jc w:val="both"/>
              <w:rPr>
                <w:rFonts w:eastAsia="Calibri"/>
                <w:sz w:val="20"/>
                <w:lang w:val="fr-CA"/>
              </w:rPr>
            </w:pPr>
            <w:r w:rsidRPr="00201A3F">
              <w:rPr>
                <w:rFonts w:eastAsia="Calibri"/>
                <w:sz w:val="20"/>
                <w:lang w:val="fr-CA"/>
              </w:rPr>
              <w:t xml:space="preserve">L'intimé et a été arrêté par le policier banalisé lorsqu'il a tenté de livrer la cocaïne en réponse à la commande téléphonique du policier.  Au procès, l'intimé a plaidé coupable de trafic de cocaïne mais a demandé la suspension de la déclaration de culpabilité pour cause de provocation policière. </w:t>
            </w:r>
          </w:p>
          <w:p w:rsidR="0085599B" w:rsidRPr="00201A3F" w:rsidRDefault="0085599B" w:rsidP="005B1F40">
            <w:pPr>
              <w:jc w:val="both"/>
              <w:rPr>
                <w:rFonts w:eastAsia="Calibri"/>
                <w:sz w:val="20"/>
                <w:lang w:val="fr-CA"/>
              </w:rPr>
            </w:pPr>
          </w:p>
        </w:tc>
      </w:tr>
      <w:tr w:rsidR="0085599B" w:rsidRPr="00201A3F" w:rsidTr="005B1F40">
        <w:tc>
          <w:tcPr>
            <w:tcW w:w="2427" w:type="pct"/>
          </w:tcPr>
          <w:p w:rsidR="0085599B" w:rsidRPr="00201A3F" w:rsidRDefault="0085599B" w:rsidP="005B1F40">
            <w:pPr>
              <w:jc w:val="both"/>
              <w:rPr>
                <w:rFonts w:eastAsia="Calibri"/>
                <w:sz w:val="20"/>
                <w:lang w:val="fr-CA"/>
              </w:rPr>
            </w:pPr>
            <w:r w:rsidRPr="00201A3F">
              <w:rPr>
                <w:rFonts w:eastAsia="Calibri"/>
                <w:sz w:val="20"/>
                <w:lang w:val="fr-CA"/>
              </w:rPr>
              <w:t>25 mars 2011</w:t>
            </w:r>
          </w:p>
          <w:p w:rsidR="0085599B" w:rsidRPr="00201A3F" w:rsidRDefault="0085599B" w:rsidP="005B1F40">
            <w:pPr>
              <w:jc w:val="both"/>
              <w:rPr>
                <w:rFonts w:eastAsia="Calibri"/>
                <w:sz w:val="20"/>
                <w:lang w:val="fr-CA"/>
              </w:rPr>
            </w:pPr>
            <w:r w:rsidRPr="00201A3F">
              <w:rPr>
                <w:rFonts w:eastAsia="Calibri"/>
                <w:sz w:val="20"/>
                <w:lang w:val="fr-CA"/>
              </w:rPr>
              <w:t>Cour du Banc de la Reine de l'Alberta</w:t>
            </w:r>
          </w:p>
          <w:p w:rsidR="0085599B" w:rsidRPr="00201A3F" w:rsidRDefault="0085599B" w:rsidP="005B1F40">
            <w:pPr>
              <w:jc w:val="both"/>
              <w:rPr>
                <w:rFonts w:eastAsia="Calibri"/>
                <w:sz w:val="20"/>
                <w:lang w:val="fr-CA"/>
              </w:rPr>
            </w:pPr>
            <w:r w:rsidRPr="00201A3F">
              <w:rPr>
                <w:rFonts w:eastAsia="Calibri"/>
                <w:sz w:val="20"/>
                <w:lang w:val="fr-CA"/>
              </w:rPr>
              <w:t>(Juge Gill)</w:t>
            </w:r>
          </w:p>
          <w:p w:rsidR="0085599B" w:rsidRPr="00201A3F" w:rsidRDefault="0085599B" w:rsidP="005B1F40">
            <w:pPr>
              <w:jc w:val="both"/>
              <w:rPr>
                <w:rFonts w:eastAsia="Calibri"/>
                <w:sz w:val="20"/>
                <w:lang w:val="fr-CA"/>
              </w:rPr>
            </w:pPr>
          </w:p>
        </w:tc>
        <w:tc>
          <w:tcPr>
            <w:tcW w:w="243" w:type="pct"/>
          </w:tcPr>
          <w:p w:rsidR="0085599B" w:rsidRPr="00201A3F" w:rsidRDefault="0085599B" w:rsidP="005B1F40">
            <w:pPr>
              <w:jc w:val="both"/>
              <w:rPr>
                <w:rFonts w:eastAsia="Calibri"/>
                <w:sz w:val="20"/>
                <w:lang w:val="fr-CA"/>
              </w:rPr>
            </w:pPr>
          </w:p>
        </w:tc>
        <w:tc>
          <w:tcPr>
            <w:tcW w:w="2330" w:type="pct"/>
          </w:tcPr>
          <w:p w:rsidR="0085599B" w:rsidRPr="00201A3F" w:rsidRDefault="0085599B" w:rsidP="005B1F40">
            <w:pPr>
              <w:jc w:val="both"/>
              <w:rPr>
                <w:rFonts w:eastAsia="Calibri"/>
                <w:sz w:val="20"/>
                <w:lang w:val="fr-CA"/>
              </w:rPr>
            </w:pPr>
            <w:r w:rsidRPr="00201A3F">
              <w:rPr>
                <w:rFonts w:eastAsia="Calibri"/>
                <w:sz w:val="20"/>
                <w:lang w:val="fr-CA"/>
              </w:rPr>
              <w:t>Demande d'arrêt des procédures, accueillie</w:t>
            </w:r>
          </w:p>
          <w:p w:rsidR="0085599B" w:rsidRPr="00201A3F" w:rsidRDefault="0085599B" w:rsidP="005B1F40">
            <w:pPr>
              <w:jc w:val="both"/>
              <w:rPr>
                <w:rFonts w:eastAsia="Calibri"/>
                <w:sz w:val="20"/>
                <w:lang w:val="fr-CA"/>
              </w:rPr>
            </w:pPr>
          </w:p>
        </w:tc>
      </w:tr>
      <w:tr w:rsidR="0085599B" w:rsidRPr="00201A3F" w:rsidTr="005B1F40">
        <w:tc>
          <w:tcPr>
            <w:tcW w:w="2427" w:type="pct"/>
          </w:tcPr>
          <w:p w:rsidR="0085599B" w:rsidRPr="00201A3F" w:rsidRDefault="0085599B" w:rsidP="005B1F40">
            <w:pPr>
              <w:jc w:val="both"/>
              <w:rPr>
                <w:rFonts w:eastAsia="Calibri"/>
                <w:sz w:val="20"/>
                <w:lang w:val="fr-CA"/>
              </w:rPr>
            </w:pPr>
            <w:r w:rsidRPr="00201A3F">
              <w:rPr>
                <w:rFonts w:eastAsia="Calibri"/>
                <w:sz w:val="20"/>
                <w:lang w:val="fr-CA"/>
              </w:rPr>
              <w:t>3 mai 2012</w:t>
            </w:r>
          </w:p>
          <w:p w:rsidR="0085599B" w:rsidRPr="00201A3F" w:rsidRDefault="0085599B" w:rsidP="005B1F40">
            <w:pPr>
              <w:jc w:val="both"/>
              <w:rPr>
                <w:rFonts w:eastAsia="Calibri"/>
                <w:sz w:val="20"/>
                <w:lang w:val="fr-CA"/>
              </w:rPr>
            </w:pPr>
            <w:r w:rsidRPr="00201A3F">
              <w:rPr>
                <w:rFonts w:eastAsia="Calibri"/>
                <w:sz w:val="20"/>
                <w:lang w:val="fr-CA"/>
              </w:rPr>
              <w:t>Cour d'appel de l'Alberta (Edmonton)</w:t>
            </w:r>
          </w:p>
          <w:p w:rsidR="0085599B" w:rsidRPr="00201A3F" w:rsidRDefault="0085599B" w:rsidP="005B1F40">
            <w:pPr>
              <w:jc w:val="both"/>
              <w:rPr>
                <w:rFonts w:eastAsia="Calibri"/>
                <w:sz w:val="20"/>
                <w:lang w:val="fr-CA"/>
              </w:rPr>
            </w:pPr>
            <w:r w:rsidRPr="00201A3F">
              <w:rPr>
                <w:rFonts w:eastAsia="Calibri"/>
                <w:sz w:val="20"/>
                <w:lang w:val="fr-CA"/>
              </w:rPr>
              <w:t>(Juges Costigan, Rowbotham et Bielby)</w:t>
            </w:r>
          </w:p>
          <w:p w:rsidR="0085599B" w:rsidRPr="00201A3F" w:rsidRDefault="0085599B" w:rsidP="005B1F40">
            <w:pPr>
              <w:jc w:val="both"/>
              <w:rPr>
                <w:rFonts w:eastAsia="Calibri"/>
                <w:sz w:val="20"/>
                <w:lang w:val="fr-CA"/>
              </w:rPr>
            </w:pPr>
          </w:p>
        </w:tc>
        <w:tc>
          <w:tcPr>
            <w:tcW w:w="243" w:type="pct"/>
          </w:tcPr>
          <w:p w:rsidR="0085599B" w:rsidRPr="00201A3F" w:rsidRDefault="0085599B" w:rsidP="005B1F40">
            <w:pPr>
              <w:jc w:val="both"/>
              <w:rPr>
                <w:rFonts w:eastAsia="Calibri"/>
                <w:sz w:val="20"/>
                <w:lang w:val="fr-CA"/>
              </w:rPr>
            </w:pPr>
          </w:p>
        </w:tc>
        <w:tc>
          <w:tcPr>
            <w:tcW w:w="2330" w:type="pct"/>
          </w:tcPr>
          <w:p w:rsidR="0085599B" w:rsidRPr="00201A3F" w:rsidRDefault="0085599B" w:rsidP="005B1F40">
            <w:pPr>
              <w:jc w:val="both"/>
              <w:rPr>
                <w:rFonts w:eastAsia="Calibri"/>
                <w:sz w:val="20"/>
                <w:lang w:val="fr-CA"/>
              </w:rPr>
            </w:pPr>
            <w:r w:rsidRPr="00201A3F">
              <w:rPr>
                <w:rFonts w:eastAsia="Calibri"/>
                <w:sz w:val="20"/>
                <w:lang w:val="fr-CA"/>
              </w:rPr>
              <w:t>Appel rejeté</w:t>
            </w:r>
          </w:p>
          <w:p w:rsidR="0085599B" w:rsidRPr="00201A3F" w:rsidRDefault="0085599B" w:rsidP="005B1F40">
            <w:pPr>
              <w:jc w:val="both"/>
              <w:rPr>
                <w:rFonts w:eastAsia="Calibri"/>
                <w:sz w:val="20"/>
                <w:lang w:val="fr-CA"/>
              </w:rPr>
            </w:pPr>
          </w:p>
        </w:tc>
      </w:tr>
      <w:tr w:rsidR="0085599B" w:rsidRPr="00201A3F" w:rsidTr="005B1F40">
        <w:tc>
          <w:tcPr>
            <w:tcW w:w="2427" w:type="pct"/>
          </w:tcPr>
          <w:p w:rsidR="0085599B" w:rsidRPr="00201A3F" w:rsidRDefault="0085599B" w:rsidP="005B1F40">
            <w:pPr>
              <w:jc w:val="both"/>
              <w:rPr>
                <w:rFonts w:eastAsia="Calibri"/>
                <w:sz w:val="20"/>
                <w:lang w:val="fr-CA"/>
              </w:rPr>
            </w:pPr>
            <w:r w:rsidRPr="00201A3F">
              <w:rPr>
                <w:rFonts w:eastAsia="Calibri"/>
                <w:sz w:val="20"/>
                <w:lang w:val="fr-CA"/>
              </w:rPr>
              <w:t>30 juillet 2012</w:t>
            </w:r>
          </w:p>
          <w:p w:rsidR="0085599B" w:rsidRPr="00201A3F" w:rsidRDefault="0085599B" w:rsidP="005B1F40">
            <w:pPr>
              <w:jc w:val="both"/>
              <w:rPr>
                <w:rFonts w:eastAsia="Calibri"/>
                <w:sz w:val="20"/>
                <w:lang w:val="fr-CA"/>
              </w:rPr>
            </w:pPr>
            <w:r w:rsidRPr="00201A3F">
              <w:rPr>
                <w:rFonts w:eastAsia="Calibri"/>
                <w:sz w:val="20"/>
                <w:lang w:val="fr-CA"/>
              </w:rPr>
              <w:t>Cour suprême du Canada</w:t>
            </w:r>
          </w:p>
        </w:tc>
        <w:tc>
          <w:tcPr>
            <w:tcW w:w="243" w:type="pct"/>
          </w:tcPr>
          <w:p w:rsidR="0085599B" w:rsidRPr="00201A3F" w:rsidRDefault="0085599B" w:rsidP="005B1F40">
            <w:pPr>
              <w:jc w:val="both"/>
              <w:rPr>
                <w:rFonts w:eastAsia="Calibri"/>
                <w:sz w:val="20"/>
                <w:lang w:val="fr-CA"/>
              </w:rPr>
            </w:pPr>
          </w:p>
        </w:tc>
        <w:tc>
          <w:tcPr>
            <w:tcW w:w="2330" w:type="pct"/>
          </w:tcPr>
          <w:p w:rsidR="0085599B" w:rsidRPr="00201A3F" w:rsidRDefault="0085599B" w:rsidP="005B1F40">
            <w:pPr>
              <w:jc w:val="both"/>
              <w:rPr>
                <w:rFonts w:eastAsia="Calibri"/>
                <w:sz w:val="20"/>
                <w:lang w:val="fr-CA"/>
              </w:rPr>
            </w:pPr>
            <w:r w:rsidRPr="00201A3F">
              <w:rPr>
                <w:rFonts w:eastAsia="Calibri"/>
                <w:sz w:val="20"/>
                <w:lang w:val="fr-CA"/>
              </w:rPr>
              <w:t>Demande d'autorisation d'appel, déposée</w:t>
            </w:r>
          </w:p>
          <w:p w:rsidR="0085599B" w:rsidRPr="00201A3F" w:rsidRDefault="0085599B" w:rsidP="005B1F40">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69"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37D8" w:rsidRPr="00B9404B" w:rsidTr="00BA37D8">
        <w:trPr>
          <w:cantSplit/>
        </w:trPr>
        <w:tc>
          <w:tcPr>
            <w:tcW w:w="1458" w:type="dxa"/>
          </w:tcPr>
          <w:p w:rsidR="00BA37D8" w:rsidRPr="00B9404B" w:rsidRDefault="00BA37D8" w:rsidP="00BA37D8">
            <w:pPr>
              <w:rPr>
                <w:sz w:val="20"/>
                <w:szCs w:val="20"/>
              </w:rPr>
            </w:pPr>
            <w:r w:rsidRPr="00B9404B">
              <w:rPr>
                <w:rStyle w:val="SCCFileNumberChar"/>
                <w:sz w:val="20"/>
                <w:szCs w:val="20"/>
              </w:rPr>
              <w:lastRenderedPageBreak/>
              <w:t>34907</w:t>
            </w:r>
          </w:p>
          <w:p w:rsidR="00BA37D8" w:rsidRPr="00B9404B" w:rsidRDefault="00BA37D8" w:rsidP="00BA37D8">
            <w:pPr>
              <w:rPr>
                <w:b/>
                <w:sz w:val="20"/>
                <w:szCs w:val="20"/>
                <w:lang w:val="fr-CA"/>
              </w:rPr>
            </w:pPr>
          </w:p>
        </w:tc>
        <w:tc>
          <w:tcPr>
            <w:tcW w:w="8118" w:type="dxa"/>
          </w:tcPr>
          <w:p w:rsidR="00BA37D8" w:rsidRPr="00B9404B" w:rsidRDefault="00BA37D8" w:rsidP="00BA37D8">
            <w:pPr>
              <w:jc w:val="both"/>
              <w:rPr>
                <w:sz w:val="20"/>
                <w:szCs w:val="20"/>
              </w:rPr>
            </w:pPr>
            <w:r w:rsidRPr="00BA37D8">
              <w:rPr>
                <w:rStyle w:val="SCCLsocChar"/>
                <w:sz w:val="20"/>
                <w:szCs w:val="20"/>
                <w:lang w:val="en-CA"/>
              </w:rPr>
              <w:t>Bertina Alfano, Trustee of the Carmen Alfano Family Trust, Bertina Alfano, Italo Alfano, Trustee of the Italo Alfano Family Trust, Italo Alfano, Ulti Alfano, Trustee of the Ulti Alfano Family Trust and Ulti Alfano v. Christian Piersanti, Piersanti and Co. Barristers and Solicitors, Gold Financial Corp, 1281111 Ontario Limited, 1269906 Ontario Limited and 1281632 Ontario Limited, 1212700 Ontario Limited, Terry Piersanti, also known as Terry Scatcherd, 1281038 Ontario Limited and 3964400 Canada Inc. AND BETWEEN Christian Piersanti v. Bertina Alfano, Trustee of the Carmen Alfano Family Trust, Bertina Alfano, Italo Alfano, Trustee of the Italo Alfano Family Trust, Italo Alfano, Ulti Alfano, Trustee of the Ulti Alfano Family Trust and Ulti Alfano</w:t>
            </w:r>
            <w:r w:rsidRPr="00B9404B">
              <w:rPr>
                <w:sz w:val="20"/>
                <w:szCs w:val="20"/>
              </w:rPr>
              <w:t xml:space="preserve"> (Ont.) (Civil) (By Leave)</w:t>
            </w:r>
          </w:p>
          <w:p w:rsidR="00BA37D8" w:rsidRPr="00B9404B" w:rsidRDefault="00BA37D8" w:rsidP="00BA37D8">
            <w:pPr>
              <w:rPr>
                <w:sz w:val="20"/>
                <w:szCs w:val="20"/>
              </w:rPr>
            </w:pPr>
          </w:p>
        </w:tc>
      </w:tr>
      <w:tr w:rsidR="00BA37D8" w:rsidRPr="00B9404B" w:rsidTr="00BA37D8">
        <w:trPr>
          <w:cantSplit/>
        </w:trPr>
        <w:tc>
          <w:tcPr>
            <w:tcW w:w="1458" w:type="dxa"/>
          </w:tcPr>
          <w:p w:rsidR="00BA37D8" w:rsidRPr="00B9404B" w:rsidRDefault="00BA37D8" w:rsidP="00BA37D8">
            <w:pPr>
              <w:rPr>
                <w:sz w:val="20"/>
                <w:szCs w:val="20"/>
              </w:rPr>
            </w:pPr>
            <w:r w:rsidRPr="00B9404B">
              <w:rPr>
                <w:sz w:val="20"/>
                <w:szCs w:val="20"/>
              </w:rPr>
              <w:t>Coram :</w:t>
            </w:r>
          </w:p>
        </w:tc>
        <w:tc>
          <w:tcPr>
            <w:tcW w:w="8118" w:type="dxa"/>
          </w:tcPr>
          <w:p w:rsidR="00BA37D8" w:rsidRPr="00B9404B" w:rsidRDefault="00BA37D8" w:rsidP="00BA37D8">
            <w:pPr>
              <w:rPr>
                <w:sz w:val="20"/>
                <w:szCs w:val="20"/>
              </w:rPr>
            </w:pPr>
            <w:r w:rsidRPr="00BA37D8">
              <w:rPr>
                <w:rStyle w:val="SCCCoramChar"/>
                <w:sz w:val="20"/>
                <w:szCs w:val="20"/>
                <w:lang w:val="en-CA"/>
              </w:rPr>
              <w:t>LeBel, Abella and Cromwell JJ.</w:t>
            </w:r>
          </w:p>
          <w:p w:rsidR="00BA37D8" w:rsidRPr="00B9404B" w:rsidRDefault="00BA37D8" w:rsidP="00BA37D8">
            <w:pPr>
              <w:rPr>
                <w:sz w:val="20"/>
                <w:szCs w:val="20"/>
                <w:u w:val="single"/>
              </w:rPr>
            </w:pPr>
          </w:p>
        </w:tc>
      </w:tr>
      <w:tr w:rsidR="00BA37D8" w:rsidRPr="00DC2D1F" w:rsidTr="00BA37D8">
        <w:trPr>
          <w:cantSplit/>
        </w:trPr>
        <w:tc>
          <w:tcPr>
            <w:tcW w:w="9576" w:type="dxa"/>
            <w:gridSpan w:val="2"/>
          </w:tcPr>
          <w:p w:rsidR="00BA37D8" w:rsidRPr="00B9404B" w:rsidRDefault="00BA37D8" w:rsidP="00BA37D8">
            <w:pPr>
              <w:pStyle w:val="SCCShortJudgment"/>
              <w:rPr>
                <w:szCs w:val="20"/>
              </w:rPr>
            </w:pPr>
            <w:r w:rsidRPr="00B9404B">
              <w:rPr>
                <w:szCs w:val="20"/>
              </w:rPr>
              <w:t>The applications for leave to appeal from the judgment of the Court of Appeal for Ontario, Number C52738, 2012 ONCA 297, dated May 9, 2012, are dismissed with costs.</w:t>
            </w:r>
          </w:p>
          <w:p w:rsidR="00BA37D8" w:rsidRPr="00B9404B" w:rsidRDefault="00BA37D8" w:rsidP="00BA37D8">
            <w:pPr>
              <w:pStyle w:val="SCCShortJudgment"/>
              <w:ind w:firstLine="0"/>
              <w:rPr>
                <w:szCs w:val="20"/>
              </w:rPr>
            </w:pPr>
          </w:p>
          <w:p w:rsidR="00BA37D8" w:rsidRPr="00B9404B" w:rsidRDefault="00BA37D8" w:rsidP="00BA37D8">
            <w:pPr>
              <w:pStyle w:val="SCCShortJudgment"/>
              <w:rPr>
                <w:szCs w:val="20"/>
                <w:lang w:val="fr-CA"/>
              </w:rPr>
            </w:pPr>
            <w:r w:rsidRPr="00B9404B">
              <w:rPr>
                <w:szCs w:val="20"/>
                <w:lang w:val="fr-CA"/>
              </w:rPr>
              <w:t>Les demandes d’autorisation d’appel de l’arrêt de la Cour d’appel de l’Ontario, numéro C52738, 2012 ONCA 297, daté du 9 mai 2012, sont rejetées avec dépens.</w:t>
            </w:r>
          </w:p>
        </w:tc>
      </w:tr>
    </w:tbl>
    <w:p w:rsidR="0085599B" w:rsidRPr="00BA37D8" w:rsidRDefault="0085599B" w:rsidP="0085599B">
      <w:pPr>
        <w:rPr>
          <w:sz w:val="20"/>
          <w:szCs w:val="20"/>
          <w:lang w:val="fr-CA"/>
        </w:rPr>
      </w:pPr>
    </w:p>
    <w:p w:rsidR="0085599B" w:rsidRPr="001B157C" w:rsidRDefault="0085599B" w:rsidP="0085599B">
      <w:pPr>
        <w:rPr>
          <w:sz w:val="20"/>
          <w:szCs w:val="20"/>
          <w:u w:val="single"/>
        </w:rPr>
      </w:pPr>
      <w:r w:rsidRPr="001B157C">
        <w:rPr>
          <w:sz w:val="20"/>
          <w:szCs w:val="20"/>
          <w:u w:val="single"/>
        </w:rPr>
        <w:t>CASE SUMMARY</w:t>
      </w:r>
    </w:p>
    <w:p w:rsidR="0085599B" w:rsidRDefault="0085599B" w:rsidP="0085599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5599B" w:rsidRPr="00201A3F" w:rsidTr="005B1F40">
        <w:tc>
          <w:tcPr>
            <w:tcW w:w="5000" w:type="pct"/>
            <w:gridSpan w:val="3"/>
          </w:tcPr>
          <w:p w:rsidR="0085599B" w:rsidRPr="00201A3F" w:rsidRDefault="0085599B" w:rsidP="005B1F40">
            <w:pPr>
              <w:jc w:val="both"/>
              <w:rPr>
                <w:rFonts w:eastAsia="Calibri"/>
                <w:sz w:val="20"/>
              </w:rPr>
            </w:pPr>
            <w:r w:rsidRPr="00201A3F">
              <w:rPr>
                <w:rFonts w:eastAsia="Calibri"/>
                <w:sz w:val="20"/>
              </w:rPr>
              <w:t xml:space="preserve">Commercial law — Fraud — Misappropriation of funds — Bankruptcy — Expert evidence — Derivative claim — Whether the Court of Appeal relied on a theory of liability which was not raised or addressed by the Alfanos et al. to dismiss the claim against Terry Piersanti? — If so, whether that constitutes a breach of the principles of natural justice? — Whether the Court of Appeal erred in upholding all remaining findings of fraud and misappropriation against Christian Piersanti? — Whether the Court of Appeal erred in upholding the trial judge’s disqualification of Piersanti et al.’s expert witness? — Whether there is at law a cause of action for damages for wrongfully assigning a company into bankruptcy? — If so, what are the constituent elements of the cause of action and can such a cause of action result in an award for damages? — Whether there is an exception to the rule in </w:t>
            </w:r>
            <w:r w:rsidRPr="00201A3F">
              <w:rPr>
                <w:rFonts w:eastAsia="Calibri"/>
                <w:i/>
                <w:sz w:val="20"/>
              </w:rPr>
              <w:t>Foss v. Harbottle</w:t>
            </w:r>
            <w:r w:rsidRPr="00201A3F">
              <w:rPr>
                <w:rFonts w:eastAsia="Calibri"/>
                <w:sz w:val="20"/>
              </w:rPr>
              <w:t xml:space="preserve"> where the company is in bankruptcy or where the practical effect is that there is no company left to which the shareholders can assert a derivative claim? </w:t>
            </w:r>
          </w:p>
          <w:p w:rsidR="0085599B" w:rsidRPr="00201A3F" w:rsidRDefault="0085599B" w:rsidP="005B1F40">
            <w:pPr>
              <w:jc w:val="both"/>
              <w:rPr>
                <w:rFonts w:eastAsia="Calibri"/>
                <w:sz w:val="20"/>
              </w:rPr>
            </w:pPr>
          </w:p>
        </w:tc>
      </w:tr>
      <w:tr w:rsidR="0085599B" w:rsidRPr="00201A3F" w:rsidTr="005B1F40">
        <w:tc>
          <w:tcPr>
            <w:tcW w:w="5000" w:type="pct"/>
            <w:gridSpan w:val="3"/>
          </w:tcPr>
          <w:p w:rsidR="0085599B" w:rsidRPr="00201A3F" w:rsidRDefault="0085599B" w:rsidP="005B1F40">
            <w:pPr>
              <w:jc w:val="both"/>
              <w:rPr>
                <w:rFonts w:eastAsia="Calibri"/>
                <w:sz w:val="20"/>
              </w:rPr>
            </w:pPr>
            <w:r w:rsidRPr="00201A3F">
              <w:rPr>
                <w:rFonts w:eastAsia="Calibri"/>
                <w:sz w:val="20"/>
              </w:rPr>
              <w:t xml:space="preserve">Christian Piersanti, a lawyer, assisted the Alfanos in incorporating a family paving business and in establishing family trusts which would indirectly hold just under 90 percent of the interest in the paving company.  Mr. Piersanti held the remaining interest in the business and subsequently became its president.  Nine years later, Mr. Piersanti asserted that he was the sole owner of the paving company and locked the Alfanos out. </w:t>
            </w:r>
          </w:p>
          <w:p w:rsidR="0085599B" w:rsidRPr="00201A3F" w:rsidRDefault="0085599B" w:rsidP="005B1F40">
            <w:pPr>
              <w:jc w:val="both"/>
              <w:rPr>
                <w:rFonts w:eastAsia="Calibri"/>
                <w:sz w:val="20"/>
              </w:rPr>
            </w:pPr>
          </w:p>
          <w:p w:rsidR="0085599B" w:rsidRPr="00201A3F" w:rsidRDefault="0085599B" w:rsidP="005B1F40">
            <w:pPr>
              <w:jc w:val="both"/>
              <w:rPr>
                <w:rFonts w:eastAsia="Calibri"/>
                <w:sz w:val="20"/>
              </w:rPr>
            </w:pPr>
            <w:r w:rsidRPr="00201A3F">
              <w:rPr>
                <w:rFonts w:eastAsia="Calibri"/>
                <w:sz w:val="20"/>
              </w:rPr>
              <w:t xml:space="preserve">Members of the Alfano family and trustees of several family trusts first initiated an action seeking a declaration of their interests in the paving company.  On or about the same day, Mr. Piersanti assigned the company into bankruptcy.  The Alfanos et al. then brought an unsuccessful motion to set aside the assignment into bankruptcy.  During the course of litigation, the Alfanos became aware of evidence leading them to believe that Christian and his spouse Terry Piersanti had been — by way of numerous numbered companies owned by Ms. Piersanti — misappropriating funds from the Alfano family business as well as misappropriating the interests held by the Alfanos et al. in different commercial properties.  The Alfanos amended their original statement of claim, seeking numerous orders and declarations, including an order for damages against Mr. and Ms. Piersanti for breach of fiduciary duty, fraud, conversion and conspiracy. </w:t>
            </w:r>
          </w:p>
          <w:p w:rsidR="0085599B" w:rsidRPr="00201A3F" w:rsidRDefault="0085599B" w:rsidP="005B1F40">
            <w:pPr>
              <w:jc w:val="both"/>
              <w:rPr>
                <w:rFonts w:eastAsia="Calibri"/>
                <w:sz w:val="20"/>
              </w:rPr>
            </w:pP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t>September 3, 2010</w:t>
            </w:r>
          </w:p>
          <w:p w:rsidR="0085599B" w:rsidRPr="00201A3F" w:rsidRDefault="0085599B" w:rsidP="005B1F40">
            <w:pPr>
              <w:jc w:val="both"/>
              <w:rPr>
                <w:rFonts w:eastAsia="Calibri"/>
                <w:sz w:val="20"/>
              </w:rPr>
            </w:pPr>
            <w:r w:rsidRPr="00201A3F">
              <w:rPr>
                <w:rFonts w:eastAsia="Calibri"/>
                <w:sz w:val="20"/>
              </w:rPr>
              <w:t>Ontario Superior Court of Justice</w:t>
            </w:r>
          </w:p>
          <w:p w:rsidR="0085599B" w:rsidRPr="00201A3F" w:rsidRDefault="0085599B" w:rsidP="005B1F40">
            <w:pPr>
              <w:jc w:val="both"/>
              <w:rPr>
                <w:rFonts w:eastAsia="Calibri"/>
                <w:sz w:val="20"/>
              </w:rPr>
            </w:pPr>
            <w:r w:rsidRPr="00201A3F">
              <w:rPr>
                <w:rFonts w:eastAsia="Calibri"/>
                <w:sz w:val="20"/>
              </w:rPr>
              <w:t>(MacDonald J.)</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 xml:space="preserve">Declarations issued that (i) each of the Alfano family trusts are owners of 29% of the 758626 Ontario Limited, (ii) 758626 Ontario Limited is the owner of 100% of the shares of Osler Paving and Construction, (iii) that 758626 Ontario Limited is the owner of 100% of the shares of 1212700 Ontario Limited, and (iv) that </w:t>
            </w:r>
            <w:r w:rsidRPr="00201A3F">
              <w:rPr>
                <w:rFonts w:eastAsia="Calibri"/>
                <w:sz w:val="20"/>
              </w:rPr>
              <w:lastRenderedPageBreak/>
              <w:t>the Defendants Piersanti et al. have no interest in the proceeds stemming from the sale of 2 properties; Counterclaim dismissed; Christian and Terry Piersanti ordered to pay the family trusts damages in the sum of $20,000,000; Christian Piersanti ordered to pay the family trusts $250,000 in punitive damages; 1281632 Ontario Limited ordered to pay $2,500,000 into Court to the credit of the family trusts; Declarations that Ulti Alfano has a claim to 1/12</w:t>
            </w:r>
            <w:r w:rsidRPr="00201A3F">
              <w:rPr>
                <w:rFonts w:eastAsia="Calibri"/>
                <w:sz w:val="20"/>
                <w:vertAlign w:val="superscript"/>
              </w:rPr>
              <w:t>th</w:t>
            </w:r>
            <w:r w:rsidRPr="00201A3F">
              <w:rPr>
                <w:rFonts w:eastAsia="Calibri"/>
                <w:sz w:val="20"/>
              </w:rPr>
              <w:t xml:space="preserve"> interest in certain properties.</w:t>
            </w:r>
          </w:p>
          <w:p w:rsidR="0085599B" w:rsidRPr="00201A3F" w:rsidRDefault="0085599B" w:rsidP="005B1F40">
            <w:pPr>
              <w:jc w:val="both"/>
              <w:rPr>
                <w:rFonts w:eastAsia="Calibri"/>
                <w:sz w:val="20"/>
              </w:rPr>
            </w:pP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lastRenderedPageBreak/>
              <w:t>May 9, 2012</w:t>
            </w:r>
          </w:p>
          <w:p w:rsidR="0085599B" w:rsidRPr="00201A3F" w:rsidRDefault="0085599B" w:rsidP="005B1F40">
            <w:pPr>
              <w:jc w:val="both"/>
              <w:rPr>
                <w:rFonts w:eastAsia="Calibri"/>
                <w:sz w:val="20"/>
              </w:rPr>
            </w:pPr>
            <w:r w:rsidRPr="00201A3F">
              <w:rPr>
                <w:rFonts w:eastAsia="Calibri"/>
                <w:sz w:val="20"/>
              </w:rPr>
              <w:t>Court of Appeal for Ontario</w:t>
            </w:r>
          </w:p>
          <w:p w:rsidR="0085599B" w:rsidRPr="00201A3F" w:rsidRDefault="0085599B" w:rsidP="005B1F40">
            <w:pPr>
              <w:jc w:val="both"/>
              <w:rPr>
                <w:rFonts w:eastAsia="Calibri"/>
                <w:sz w:val="20"/>
              </w:rPr>
            </w:pPr>
            <w:r w:rsidRPr="00201A3F">
              <w:rPr>
                <w:rFonts w:eastAsia="Calibri"/>
                <w:sz w:val="20"/>
              </w:rPr>
              <w:t>(O'Connor A.C.J.O., LaForme J.A., Cunningham J.A.(</w:t>
            </w:r>
            <w:r w:rsidRPr="00201A3F">
              <w:rPr>
                <w:rFonts w:eastAsia="Calibri"/>
                <w:i/>
                <w:sz w:val="20"/>
              </w:rPr>
              <w:t>ad hoc</w:t>
            </w:r>
            <w:r w:rsidRPr="00201A3F">
              <w:rPr>
                <w:rFonts w:eastAsia="Calibri"/>
                <w:sz w:val="20"/>
              </w:rPr>
              <w:t>))</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 xml:space="preserve">Appeal allowed in part; Damages award reduced. Judgment against Terry Piersanti set aside. Order against 1281632 Ontario Limited and declaration relating to Ulti Alfano’s interest, set aside. </w:t>
            </w:r>
          </w:p>
          <w:p w:rsidR="0085599B" w:rsidRPr="00201A3F" w:rsidRDefault="0085599B" w:rsidP="005B1F40">
            <w:pPr>
              <w:jc w:val="both"/>
              <w:rPr>
                <w:rFonts w:eastAsia="Calibri"/>
                <w:sz w:val="20"/>
              </w:rPr>
            </w:pP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t>July 30, 2012</w:t>
            </w:r>
          </w:p>
          <w:p w:rsidR="0085599B" w:rsidRPr="00201A3F" w:rsidRDefault="0085599B" w:rsidP="005B1F40">
            <w:pPr>
              <w:jc w:val="both"/>
              <w:rPr>
                <w:rFonts w:eastAsia="Calibri"/>
                <w:sz w:val="20"/>
              </w:rPr>
            </w:pPr>
            <w:r w:rsidRPr="00201A3F">
              <w:rPr>
                <w:rFonts w:eastAsia="Calibri"/>
                <w:sz w:val="20"/>
              </w:rPr>
              <w:t>Supreme Court of Canada</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First application for leave to appeal filed by the Trustee</w:t>
            </w:r>
          </w:p>
          <w:p w:rsidR="0085599B" w:rsidRPr="00201A3F" w:rsidRDefault="0085599B" w:rsidP="005B1F40">
            <w:pPr>
              <w:jc w:val="both"/>
              <w:rPr>
                <w:rFonts w:eastAsia="Calibri"/>
                <w:sz w:val="20"/>
              </w:rPr>
            </w:pP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t>August 8, 2012</w:t>
            </w:r>
          </w:p>
          <w:p w:rsidR="0085599B" w:rsidRPr="00201A3F" w:rsidRDefault="0085599B" w:rsidP="005B1F40">
            <w:pPr>
              <w:jc w:val="both"/>
              <w:rPr>
                <w:rFonts w:eastAsia="Calibri"/>
                <w:sz w:val="20"/>
              </w:rPr>
            </w:pPr>
            <w:r w:rsidRPr="00201A3F">
              <w:rPr>
                <w:rFonts w:eastAsia="Calibri"/>
                <w:sz w:val="20"/>
              </w:rPr>
              <w:t>Supreme Court of Canada</w:t>
            </w: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Second application for leave to appeal filed by Bertina Alfano</w:t>
            </w:r>
          </w:p>
        </w:tc>
      </w:tr>
    </w:tbl>
    <w:p w:rsidR="0085599B" w:rsidRDefault="0085599B" w:rsidP="0085599B">
      <w:pPr>
        <w:rPr>
          <w:sz w:val="20"/>
          <w:szCs w:val="20"/>
        </w:rPr>
      </w:pPr>
    </w:p>
    <w:p w:rsidR="0085599B" w:rsidRPr="00C50A5C" w:rsidRDefault="00BF3B03" w:rsidP="0085599B">
      <w:pPr>
        <w:rPr>
          <w:sz w:val="20"/>
          <w:szCs w:val="20"/>
        </w:rPr>
      </w:pPr>
      <w:r w:rsidRPr="00BF3B03">
        <w:rPr>
          <w:sz w:val="20"/>
          <w:szCs w:val="20"/>
          <w:lang w:val="fr-CA"/>
        </w:rPr>
        <w:pict>
          <v:rect id="_x0000_i1070" style="width:2in;height:1pt" o:hrpct="0" o:hralign="center" o:hrstd="t" o:hrnoshade="t" o:hr="t" fillcolor="black [3213]" stroked="f"/>
        </w:pict>
      </w:r>
    </w:p>
    <w:p w:rsidR="0085599B" w:rsidRDefault="0085599B" w:rsidP="0085599B">
      <w:pPr>
        <w:rPr>
          <w:sz w:val="20"/>
          <w:szCs w:val="20"/>
        </w:rPr>
      </w:pPr>
    </w:p>
    <w:p w:rsidR="0085599B" w:rsidRPr="001B157C" w:rsidRDefault="0085599B" w:rsidP="0085599B">
      <w:pPr>
        <w:rPr>
          <w:sz w:val="20"/>
          <w:szCs w:val="20"/>
          <w:u w:val="single"/>
          <w:lang w:val="fr-CA"/>
        </w:rPr>
      </w:pPr>
      <w:r w:rsidRPr="001B157C">
        <w:rPr>
          <w:sz w:val="20"/>
          <w:szCs w:val="20"/>
          <w:u w:val="single"/>
          <w:lang w:val="fr-CA"/>
        </w:rPr>
        <w:t>RÉSUMÉ DE L’AFFAIRE</w:t>
      </w:r>
    </w:p>
    <w:p w:rsidR="0085599B" w:rsidRDefault="0085599B" w:rsidP="0085599B">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85599B" w:rsidRPr="00DC2D1F" w:rsidTr="005B1F40">
        <w:tc>
          <w:tcPr>
            <w:tcW w:w="5000" w:type="pct"/>
            <w:gridSpan w:val="3"/>
          </w:tcPr>
          <w:p w:rsidR="0085599B" w:rsidRPr="00201A3F" w:rsidRDefault="0085599B" w:rsidP="005B1F40">
            <w:pPr>
              <w:jc w:val="both"/>
              <w:rPr>
                <w:sz w:val="20"/>
                <w:lang w:val="fr-CA"/>
              </w:rPr>
            </w:pPr>
            <w:r w:rsidRPr="00201A3F">
              <w:rPr>
                <w:sz w:val="20"/>
                <w:lang w:val="fr-CA"/>
              </w:rPr>
              <w:t xml:space="preserve">Droit commercial — Fraude — Détournement de fonds </w:t>
            </w:r>
            <w:r w:rsidRPr="00201A3F">
              <w:rPr>
                <w:sz w:val="20"/>
                <w:lang w:val="fr-CA"/>
              </w:rPr>
              <w:noBreakHyphen/>
              <w:t xml:space="preserve"> Faillite — Preuve d'expert — Action oblique — La Cour d'appel s'est</w:t>
            </w:r>
            <w:r w:rsidRPr="00201A3F">
              <w:rPr>
                <w:sz w:val="20"/>
                <w:lang w:val="fr-CA"/>
              </w:rPr>
              <w:noBreakHyphen/>
              <w:t>elle appuyée sur une thèse en matière de responsabilité qui n'a pas été soulevée ou traitée par les Alfano et al. pour rejeter la demande contre Terry Piersanti? — Dans l'affirmative, s'agit</w:t>
            </w:r>
            <w:r w:rsidRPr="00201A3F">
              <w:rPr>
                <w:sz w:val="20"/>
                <w:lang w:val="fr-CA"/>
              </w:rPr>
              <w:noBreakHyphen/>
              <w:t>il d'une violation des principes de justice naturelle? — La Cour d'appel a</w:t>
            </w:r>
            <w:r w:rsidRPr="00201A3F">
              <w:rPr>
                <w:sz w:val="20"/>
                <w:lang w:val="fr-CA"/>
              </w:rPr>
              <w:noBreakHyphen/>
              <w:t>t</w:t>
            </w:r>
            <w:r w:rsidRPr="00201A3F">
              <w:rPr>
                <w:sz w:val="20"/>
                <w:lang w:val="fr-CA"/>
              </w:rPr>
              <w:noBreakHyphen/>
              <w:t>elle eu tort de confirmer tous les autres verdicts de fraude et de détournement prononcés contre Christian Piersanti? — La Cour d'appel a</w:t>
            </w:r>
            <w:r w:rsidRPr="00201A3F">
              <w:rPr>
                <w:sz w:val="20"/>
                <w:lang w:val="fr-CA"/>
              </w:rPr>
              <w:noBreakHyphen/>
              <w:t>t</w:t>
            </w:r>
            <w:r w:rsidRPr="00201A3F">
              <w:rPr>
                <w:sz w:val="20"/>
                <w:lang w:val="fr-CA"/>
              </w:rPr>
              <w:noBreakHyphen/>
              <w:t>elle eu tort de confirmer la récusation par le juge de première instance du témoin</w:t>
            </w:r>
            <w:r w:rsidRPr="00201A3F">
              <w:rPr>
                <w:sz w:val="20"/>
                <w:lang w:val="fr-CA"/>
              </w:rPr>
              <w:noBreakHyphen/>
              <w:t xml:space="preserve">expert des Piersanti et </w:t>
            </w:r>
            <w:proofErr w:type="gramStart"/>
            <w:r w:rsidRPr="00201A3F">
              <w:rPr>
                <w:sz w:val="20"/>
                <w:lang w:val="fr-CA"/>
              </w:rPr>
              <w:t>al.?</w:t>
            </w:r>
            <w:proofErr w:type="gramEnd"/>
            <w:r w:rsidRPr="00201A3F">
              <w:rPr>
                <w:sz w:val="20"/>
                <w:lang w:val="fr-CA"/>
              </w:rPr>
              <w:t xml:space="preserve"> — Le droit reconnaît</w:t>
            </w:r>
            <w:r w:rsidRPr="00201A3F">
              <w:rPr>
                <w:sz w:val="20"/>
                <w:lang w:val="fr-CA"/>
              </w:rPr>
              <w:noBreakHyphen/>
              <w:t>il une cause d'action en dommages</w:t>
            </w:r>
            <w:r w:rsidRPr="00201A3F">
              <w:rPr>
                <w:sz w:val="20"/>
                <w:lang w:val="fr-CA"/>
              </w:rPr>
              <w:noBreakHyphen/>
              <w:t>intérêts pour avoir illicitement cédé les biens d’une compagnie en faillite? — Dans l'affirmative, quels sont les éléments constitutifs de la cause d'action et cette cause d'action peut</w:t>
            </w:r>
            <w:r w:rsidRPr="00201A3F">
              <w:rPr>
                <w:sz w:val="20"/>
                <w:lang w:val="fr-CA"/>
              </w:rPr>
              <w:noBreakHyphen/>
              <w:t>elle donner lieu à l'attribution de dommages</w:t>
            </w:r>
            <w:r w:rsidRPr="00201A3F">
              <w:rPr>
                <w:sz w:val="20"/>
                <w:lang w:val="fr-CA"/>
              </w:rPr>
              <w:noBreakHyphen/>
              <w:t>intérêts? — Existe</w:t>
            </w:r>
            <w:r w:rsidRPr="00201A3F">
              <w:rPr>
                <w:sz w:val="20"/>
                <w:lang w:val="fr-CA"/>
              </w:rPr>
              <w:noBreakHyphen/>
              <w:t>t</w:t>
            </w:r>
            <w:r w:rsidRPr="00201A3F">
              <w:rPr>
                <w:sz w:val="20"/>
                <w:lang w:val="fr-CA"/>
              </w:rPr>
              <w:noBreakHyphen/>
              <w:t xml:space="preserve">il une exception à la règle de l’arrêt </w:t>
            </w:r>
            <w:r w:rsidRPr="00201A3F">
              <w:rPr>
                <w:i/>
                <w:sz w:val="20"/>
                <w:lang w:val="fr-CA"/>
              </w:rPr>
              <w:t>Foss c. Harbottle</w:t>
            </w:r>
            <w:r w:rsidRPr="00201A3F">
              <w:rPr>
                <w:sz w:val="20"/>
                <w:lang w:val="fr-CA"/>
              </w:rPr>
              <w:t xml:space="preserve"> lorsque la compagnie est en faillite ou lorsqu'en pratique, il n'y a plus de compagnie contre laquelle les actionnaires peuvent intenter une action oblique? </w:t>
            </w:r>
          </w:p>
          <w:p w:rsidR="0085599B" w:rsidRPr="00201A3F" w:rsidRDefault="0085599B" w:rsidP="005B1F40">
            <w:pPr>
              <w:rPr>
                <w:sz w:val="20"/>
                <w:lang w:val="fr-CA"/>
              </w:rPr>
            </w:pPr>
          </w:p>
        </w:tc>
      </w:tr>
      <w:tr w:rsidR="0085599B" w:rsidRPr="00DC2D1F" w:rsidTr="005B1F40">
        <w:tc>
          <w:tcPr>
            <w:tcW w:w="5000" w:type="pct"/>
            <w:gridSpan w:val="3"/>
          </w:tcPr>
          <w:p w:rsidR="0085599B" w:rsidRPr="00201A3F" w:rsidRDefault="0085599B" w:rsidP="005B1F40">
            <w:pPr>
              <w:jc w:val="both"/>
              <w:rPr>
                <w:sz w:val="20"/>
                <w:lang w:val="fr-CA"/>
              </w:rPr>
            </w:pPr>
            <w:r w:rsidRPr="00201A3F">
              <w:rPr>
                <w:sz w:val="20"/>
                <w:lang w:val="fr-CA"/>
              </w:rPr>
              <w:t>Christian Piersanti, un avocat, a aidé les Alfano à constituer une entreprise familiale de pavage et à établir des fiducies familiales qui allaient indirectement détenir une participation d'un peu moins de 90 % de la compagnie de pavage.  Monsieur Piersanti détenait le reste de la participation dans l'entreprise et est devenu son président par la suite. Neuf ans plus tard, M. Piersanti a revendiqué la propriété exclusive de la compagnie de pavage et en a exclu les Alfano. </w:t>
            </w:r>
          </w:p>
          <w:p w:rsidR="0085599B" w:rsidRPr="00201A3F" w:rsidRDefault="0085599B" w:rsidP="005B1F40">
            <w:pPr>
              <w:jc w:val="both"/>
              <w:rPr>
                <w:sz w:val="20"/>
                <w:lang w:val="fr-CA"/>
              </w:rPr>
            </w:pPr>
          </w:p>
          <w:p w:rsidR="0085599B" w:rsidRPr="00201A3F" w:rsidRDefault="0085599B" w:rsidP="005B1F40">
            <w:pPr>
              <w:jc w:val="both"/>
              <w:rPr>
                <w:sz w:val="20"/>
                <w:lang w:val="fr-CA"/>
              </w:rPr>
            </w:pPr>
            <w:r w:rsidRPr="00201A3F">
              <w:rPr>
                <w:sz w:val="20"/>
                <w:lang w:val="fr-CA"/>
              </w:rPr>
              <w:t>Des membres de la famille Alfano et les fiduciaires de plusieurs fiducies familiales ont d'abord intenté une action en jugement déclaratoire de leur participation dans la compagnie de pavage. Le même jour ou presque, M. Piersanti a cédé les biens de la compagnie en faillite. Les Alfano et al. ont ensuite présenté une motion en annulation de la cession de faillite, mais ils ont été déboutés. Pendant le litige, les Alfano ont pris connaissance d'éléments de preuve qui les ont amenés à croire que M. Piersanti et son épouse Terry détournaient — par la voie de plusieurs compagnies à numéros appartenant à Mme Piersanti — des fonds de la famille Alfano en plus de détourner la participation des Alfano et al. dans divers biens commerciaux.  Les Alfano ont modifié leurs déclarations initiales, sollicitant plusieurs ordonnances et jugements déclaratoires, notamment une condamnation en dommages</w:t>
            </w:r>
            <w:r w:rsidRPr="00201A3F">
              <w:rPr>
                <w:sz w:val="20"/>
                <w:lang w:val="fr-CA"/>
              </w:rPr>
              <w:noBreakHyphen/>
              <w:t xml:space="preserve">intérêts contre M. et Mme Piersanti pour manquement à l'obligation fiduciaire, fraude, détournement et complot. </w:t>
            </w:r>
          </w:p>
          <w:p w:rsidR="0085599B" w:rsidRPr="00201A3F" w:rsidRDefault="0085599B" w:rsidP="005B1F40">
            <w:pPr>
              <w:rPr>
                <w:sz w:val="20"/>
                <w:lang w:val="fr-CA"/>
              </w:rPr>
            </w:pPr>
          </w:p>
        </w:tc>
      </w:tr>
      <w:tr w:rsidR="0085599B" w:rsidRPr="00DC2D1F" w:rsidTr="005B1F40">
        <w:tc>
          <w:tcPr>
            <w:tcW w:w="2427" w:type="pct"/>
          </w:tcPr>
          <w:p w:rsidR="0085599B" w:rsidRPr="00201A3F" w:rsidRDefault="0085599B" w:rsidP="005B1F40">
            <w:pPr>
              <w:rPr>
                <w:sz w:val="20"/>
                <w:lang w:val="fr-CA"/>
              </w:rPr>
            </w:pPr>
            <w:r w:rsidRPr="00201A3F">
              <w:rPr>
                <w:sz w:val="20"/>
                <w:lang w:val="fr-CA"/>
              </w:rPr>
              <w:lastRenderedPageBreak/>
              <w:t>3 septembre 2010</w:t>
            </w:r>
          </w:p>
          <w:p w:rsidR="0085599B" w:rsidRPr="00201A3F" w:rsidRDefault="0085599B" w:rsidP="005B1F40">
            <w:pPr>
              <w:rPr>
                <w:sz w:val="20"/>
                <w:lang w:val="fr-CA"/>
              </w:rPr>
            </w:pPr>
            <w:r w:rsidRPr="00201A3F">
              <w:rPr>
                <w:sz w:val="20"/>
                <w:lang w:val="fr-CA"/>
              </w:rPr>
              <w:t xml:space="preserve">Cour supérieure de justice de l'Ontario </w:t>
            </w:r>
          </w:p>
          <w:p w:rsidR="0085599B" w:rsidRPr="00201A3F" w:rsidRDefault="0085599B" w:rsidP="005B1F40">
            <w:pPr>
              <w:rPr>
                <w:sz w:val="20"/>
                <w:lang w:val="fr-CA"/>
              </w:rPr>
            </w:pPr>
            <w:r w:rsidRPr="00201A3F">
              <w:rPr>
                <w:sz w:val="20"/>
                <w:lang w:val="fr-CA"/>
              </w:rPr>
              <w:t>(Juge MacDonald)</w:t>
            </w:r>
          </w:p>
          <w:p w:rsidR="0085599B" w:rsidRPr="00201A3F" w:rsidRDefault="0085599B" w:rsidP="005B1F40">
            <w:pPr>
              <w:rPr>
                <w:sz w:val="20"/>
                <w:lang w:val="fr-CA"/>
              </w:rPr>
            </w:pPr>
          </w:p>
        </w:tc>
        <w:tc>
          <w:tcPr>
            <w:tcW w:w="243" w:type="pct"/>
          </w:tcPr>
          <w:p w:rsidR="0085599B" w:rsidRPr="00201A3F" w:rsidRDefault="0085599B" w:rsidP="005B1F40">
            <w:pPr>
              <w:rPr>
                <w:sz w:val="20"/>
                <w:lang w:val="fr-CA"/>
              </w:rPr>
            </w:pPr>
          </w:p>
        </w:tc>
        <w:tc>
          <w:tcPr>
            <w:tcW w:w="2330" w:type="pct"/>
          </w:tcPr>
          <w:p w:rsidR="0085599B" w:rsidRPr="00201A3F" w:rsidRDefault="0085599B" w:rsidP="005B1F40">
            <w:pPr>
              <w:jc w:val="both"/>
              <w:rPr>
                <w:sz w:val="20"/>
                <w:lang w:val="fr-CA"/>
              </w:rPr>
            </w:pPr>
            <w:r w:rsidRPr="00201A3F">
              <w:rPr>
                <w:sz w:val="20"/>
                <w:lang w:val="fr-CA"/>
              </w:rPr>
              <w:t>Jugements déclaratoires portant que (i) chacune des fiducies familiales Alfano est propriétaire de 29 % de 758626 Ontario Limited, (ii) 758626 Ontario Limited est propriétaire de 100 % des actions de Osler Paving and Construction, (iii) 758626 Ontario Limited est propriétaire de 100 % des actions de 1212700 Ontario Limited, (iv) les défendeurs Piersanti et al. n’ont aucune participation dans le produit de la vente de deux biens; demande reconventionnelle rejetée; Christian et Terry Piersanti condamnés à payer aux fiducies familiales la somme de 20 000 000 $ en dommages</w:t>
            </w:r>
            <w:r w:rsidRPr="00201A3F">
              <w:rPr>
                <w:sz w:val="20"/>
                <w:lang w:val="fr-CA"/>
              </w:rPr>
              <w:noBreakHyphen/>
              <w:t>intérêts; Christian Piersanti condamné à payer aux fiducies familiales la somme de 250 000 $ en dommages</w:t>
            </w:r>
            <w:r w:rsidRPr="00201A3F">
              <w:rPr>
                <w:sz w:val="20"/>
                <w:lang w:val="fr-CA"/>
              </w:rPr>
              <w:noBreakHyphen/>
              <w:t>intérêts punitifs; 1281632 Ontario Limited condamnée à consigner au tribunal la somme de 2 500 000 $ au crédit des fiducies familiales; jugements déclaratoires portant que Ulti Alfano peut revendiquer une participation de 1/12 dans certains biens.</w:t>
            </w:r>
          </w:p>
          <w:p w:rsidR="0085599B" w:rsidRPr="00201A3F" w:rsidRDefault="0085599B" w:rsidP="005B1F40">
            <w:pPr>
              <w:rPr>
                <w:sz w:val="20"/>
                <w:lang w:val="fr-CA"/>
              </w:rPr>
            </w:pPr>
          </w:p>
        </w:tc>
      </w:tr>
      <w:tr w:rsidR="0085599B" w:rsidRPr="00DC2D1F" w:rsidTr="005B1F40">
        <w:tc>
          <w:tcPr>
            <w:tcW w:w="2427" w:type="pct"/>
          </w:tcPr>
          <w:p w:rsidR="0085599B" w:rsidRPr="00201A3F" w:rsidRDefault="0085599B" w:rsidP="005B1F40">
            <w:pPr>
              <w:rPr>
                <w:sz w:val="20"/>
                <w:lang w:val="fr-CA"/>
              </w:rPr>
            </w:pPr>
            <w:r w:rsidRPr="00201A3F">
              <w:rPr>
                <w:sz w:val="20"/>
                <w:lang w:val="fr-CA"/>
              </w:rPr>
              <w:t>9 mai 2012</w:t>
            </w:r>
          </w:p>
          <w:p w:rsidR="0085599B" w:rsidRPr="00201A3F" w:rsidRDefault="0085599B" w:rsidP="005B1F40">
            <w:pPr>
              <w:rPr>
                <w:sz w:val="20"/>
                <w:lang w:val="fr-CA"/>
              </w:rPr>
            </w:pPr>
            <w:r w:rsidRPr="00201A3F">
              <w:rPr>
                <w:sz w:val="20"/>
                <w:lang w:val="fr-CA"/>
              </w:rPr>
              <w:t xml:space="preserve">Cour d'appel de l'Ontario </w:t>
            </w:r>
          </w:p>
          <w:p w:rsidR="0085599B" w:rsidRPr="00201A3F" w:rsidRDefault="0085599B" w:rsidP="005B1F40">
            <w:pPr>
              <w:rPr>
                <w:sz w:val="20"/>
                <w:lang w:val="fr-CA"/>
              </w:rPr>
            </w:pPr>
            <w:r w:rsidRPr="00201A3F">
              <w:rPr>
                <w:sz w:val="20"/>
                <w:lang w:val="fr-CA"/>
              </w:rPr>
              <w:t>(Juge en chef O'Connor, juges LaForme et Cunningham (</w:t>
            </w:r>
            <w:r w:rsidRPr="00201A3F">
              <w:rPr>
                <w:i/>
                <w:sz w:val="20"/>
                <w:lang w:val="fr-CA"/>
              </w:rPr>
              <w:t>ad hoc</w:t>
            </w:r>
            <w:r w:rsidRPr="00201A3F">
              <w:rPr>
                <w:sz w:val="20"/>
                <w:lang w:val="fr-CA"/>
              </w:rPr>
              <w:t>))</w:t>
            </w:r>
          </w:p>
          <w:p w:rsidR="0085599B" w:rsidRPr="00201A3F" w:rsidRDefault="0085599B" w:rsidP="005B1F40">
            <w:pPr>
              <w:rPr>
                <w:sz w:val="20"/>
                <w:lang w:val="fr-CA"/>
              </w:rPr>
            </w:pPr>
          </w:p>
        </w:tc>
        <w:tc>
          <w:tcPr>
            <w:tcW w:w="243" w:type="pct"/>
          </w:tcPr>
          <w:p w:rsidR="0085599B" w:rsidRPr="00201A3F" w:rsidRDefault="0085599B" w:rsidP="005B1F40">
            <w:pPr>
              <w:rPr>
                <w:sz w:val="20"/>
                <w:lang w:val="fr-CA"/>
              </w:rPr>
            </w:pPr>
          </w:p>
        </w:tc>
        <w:tc>
          <w:tcPr>
            <w:tcW w:w="2330" w:type="pct"/>
          </w:tcPr>
          <w:p w:rsidR="0085599B" w:rsidRPr="00201A3F" w:rsidRDefault="0085599B" w:rsidP="005B1F40">
            <w:pPr>
              <w:jc w:val="both"/>
              <w:rPr>
                <w:sz w:val="20"/>
                <w:lang w:val="fr-CA"/>
              </w:rPr>
            </w:pPr>
            <w:r w:rsidRPr="00201A3F">
              <w:rPr>
                <w:sz w:val="20"/>
                <w:lang w:val="fr-CA"/>
              </w:rPr>
              <w:t>Appels accueillis en partie; montant des dommages</w:t>
            </w:r>
            <w:r w:rsidRPr="00201A3F">
              <w:rPr>
                <w:sz w:val="20"/>
                <w:lang w:val="fr-CA"/>
              </w:rPr>
              <w:noBreakHyphen/>
              <w:t xml:space="preserve">intérêts accordés, réduit. Jugement contre Terry Piersanti, annulé. Ordonnance contre 1281632 Ontario Limited et jugement déclaratoire relatif à la participation d’Ulti Alfano, annulés. </w:t>
            </w:r>
          </w:p>
          <w:p w:rsidR="0085599B" w:rsidRPr="00201A3F" w:rsidRDefault="0085599B" w:rsidP="005B1F40">
            <w:pPr>
              <w:rPr>
                <w:sz w:val="20"/>
                <w:lang w:val="fr-CA"/>
              </w:rPr>
            </w:pPr>
          </w:p>
        </w:tc>
      </w:tr>
      <w:tr w:rsidR="0085599B" w:rsidRPr="00DC2D1F" w:rsidTr="005B1F40">
        <w:tc>
          <w:tcPr>
            <w:tcW w:w="2427" w:type="pct"/>
          </w:tcPr>
          <w:p w:rsidR="0085599B" w:rsidRPr="00201A3F" w:rsidRDefault="0085599B" w:rsidP="005B1F40">
            <w:pPr>
              <w:rPr>
                <w:sz w:val="20"/>
                <w:lang w:val="fr-CA"/>
              </w:rPr>
            </w:pPr>
            <w:r w:rsidRPr="00201A3F">
              <w:rPr>
                <w:sz w:val="20"/>
                <w:lang w:val="fr-CA"/>
              </w:rPr>
              <w:t>30 juillet 2012</w:t>
            </w:r>
          </w:p>
          <w:p w:rsidR="0085599B" w:rsidRPr="00201A3F" w:rsidRDefault="0085599B" w:rsidP="005B1F40">
            <w:pPr>
              <w:rPr>
                <w:sz w:val="20"/>
                <w:lang w:val="fr-CA"/>
              </w:rPr>
            </w:pPr>
            <w:r w:rsidRPr="00201A3F">
              <w:rPr>
                <w:sz w:val="20"/>
                <w:lang w:val="fr-CA"/>
              </w:rPr>
              <w:t>Cour suprême du Canada</w:t>
            </w:r>
          </w:p>
          <w:p w:rsidR="0085599B" w:rsidRPr="00201A3F" w:rsidRDefault="0085599B" w:rsidP="005B1F40">
            <w:pPr>
              <w:rPr>
                <w:sz w:val="20"/>
                <w:lang w:val="fr-CA"/>
              </w:rPr>
            </w:pPr>
          </w:p>
        </w:tc>
        <w:tc>
          <w:tcPr>
            <w:tcW w:w="243" w:type="pct"/>
          </w:tcPr>
          <w:p w:rsidR="0085599B" w:rsidRPr="00201A3F" w:rsidRDefault="0085599B" w:rsidP="005B1F40">
            <w:pPr>
              <w:rPr>
                <w:sz w:val="20"/>
                <w:lang w:val="fr-CA"/>
              </w:rPr>
            </w:pPr>
          </w:p>
        </w:tc>
        <w:tc>
          <w:tcPr>
            <w:tcW w:w="2330" w:type="pct"/>
          </w:tcPr>
          <w:p w:rsidR="0085599B" w:rsidRPr="00201A3F" w:rsidRDefault="0085599B" w:rsidP="005B1F40">
            <w:pPr>
              <w:rPr>
                <w:sz w:val="20"/>
                <w:lang w:val="fr-CA"/>
              </w:rPr>
            </w:pPr>
            <w:r w:rsidRPr="00201A3F">
              <w:rPr>
                <w:sz w:val="20"/>
                <w:lang w:val="fr-CA"/>
              </w:rPr>
              <w:t>Première demande d'autorisation d'appel déposée par le fiduciaire</w:t>
            </w:r>
          </w:p>
          <w:p w:rsidR="0085599B" w:rsidRPr="00201A3F" w:rsidRDefault="0085599B" w:rsidP="005B1F40">
            <w:pPr>
              <w:rPr>
                <w:sz w:val="20"/>
                <w:lang w:val="fr-CA"/>
              </w:rPr>
            </w:pPr>
          </w:p>
        </w:tc>
      </w:tr>
      <w:tr w:rsidR="0085599B" w:rsidRPr="00DC2D1F" w:rsidTr="005B1F40">
        <w:tc>
          <w:tcPr>
            <w:tcW w:w="2427" w:type="pct"/>
          </w:tcPr>
          <w:p w:rsidR="0085599B" w:rsidRPr="00201A3F" w:rsidRDefault="0085599B" w:rsidP="005B1F40">
            <w:pPr>
              <w:rPr>
                <w:sz w:val="20"/>
                <w:lang w:val="fr-CA"/>
              </w:rPr>
            </w:pPr>
            <w:r w:rsidRPr="00201A3F">
              <w:rPr>
                <w:sz w:val="20"/>
                <w:lang w:val="fr-CA"/>
              </w:rPr>
              <w:t>8 août 2012</w:t>
            </w:r>
          </w:p>
          <w:p w:rsidR="0085599B" w:rsidRPr="00201A3F" w:rsidRDefault="0085599B" w:rsidP="005B1F40">
            <w:pPr>
              <w:rPr>
                <w:sz w:val="20"/>
                <w:lang w:val="fr-CA"/>
              </w:rPr>
            </w:pPr>
            <w:r w:rsidRPr="00201A3F">
              <w:rPr>
                <w:sz w:val="20"/>
                <w:lang w:val="fr-CA"/>
              </w:rPr>
              <w:t>Cour suprême du Canada</w:t>
            </w:r>
          </w:p>
        </w:tc>
        <w:tc>
          <w:tcPr>
            <w:tcW w:w="243" w:type="pct"/>
          </w:tcPr>
          <w:p w:rsidR="0085599B" w:rsidRPr="00201A3F" w:rsidRDefault="0085599B" w:rsidP="005B1F40">
            <w:pPr>
              <w:rPr>
                <w:sz w:val="20"/>
                <w:lang w:val="fr-CA"/>
              </w:rPr>
            </w:pPr>
          </w:p>
        </w:tc>
        <w:tc>
          <w:tcPr>
            <w:tcW w:w="2330" w:type="pct"/>
          </w:tcPr>
          <w:p w:rsidR="0085599B" w:rsidRPr="00201A3F" w:rsidRDefault="0085599B" w:rsidP="005B1F40">
            <w:pPr>
              <w:rPr>
                <w:sz w:val="20"/>
                <w:lang w:val="fr-CA"/>
              </w:rPr>
            </w:pPr>
            <w:r w:rsidRPr="00201A3F">
              <w:rPr>
                <w:sz w:val="20"/>
                <w:lang w:val="fr-CA"/>
              </w:rPr>
              <w:t>Deuxième demande d'autorisation d'appel déposée par Bertina Alfano</w:t>
            </w:r>
          </w:p>
        </w:tc>
      </w:tr>
    </w:tbl>
    <w:p w:rsidR="0085599B" w:rsidRPr="0085599B" w:rsidRDefault="0085599B" w:rsidP="0085599B">
      <w:pPr>
        <w:rPr>
          <w:sz w:val="20"/>
          <w:szCs w:val="20"/>
          <w:lang w:val="fr-CA"/>
        </w:rPr>
      </w:pPr>
    </w:p>
    <w:p w:rsidR="0085599B" w:rsidRDefault="00BF3B03" w:rsidP="0085599B">
      <w:pPr>
        <w:rPr>
          <w:sz w:val="20"/>
          <w:szCs w:val="20"/>
        </w:rPr>
      </w:pPr>
      <w:r w:rsidRPr="00BF3B03">
        <w:rPr>
          <w:sz w:val="20"/>
          <w:szCs w:val="20"/>
          <w:lang w:val="fr-CA"/>
        </w:rPr>
        <w:pict>
          <v:rect id="_x0000_i1071" style="width:2in;height:1pt" o:hrpct="0" o:hralign="center" o:hrstd="t" o:hrnoshade="t" o:hr="t" fillcolor="black [3213]" stroked="f"/>
        </w:pict>
      </w:r>
    </w:p>
    <w:p w:rsidR="0085599B" w:rsidRDefault="0085599B" w:rsidP="0085599B">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37D8" w:rsidRPr="00B9404B" w:rsidTr="00BA37D8">
        <w:trPr>
          <w:cantSplit/>
        </w:trPr>
        <w:tc>
          <w:tcPr>
            <w:tcW w:w="1458" w:type="dxa"/>
          </w:tcPr>
          <w:p w:rsidR="00BA37D8" w:rsidRPr="00B9404B" w:rsidRDefault="00BA37D8" w:rsidP="00BA37D8">
            <w:pPr>
              <w:rPr>
                <w:sz w:val="20"/>
                <w:szCs w:val="20"/>
              </w:rPr>
            </w:pPr>
            <w:r w:rsidRPr="00B9404B">
              <w:rPr>
                <w:rStyle w:val="SCCFileNumberChar"/>
                <w:sz w:val="20"/>
                <w:szCs w:val="20"/>
              </w:rPr>
              <w:t>34919</w:t>
            </w:r>
          </w:p>
          <w:p w:rsidR="00BA37D8" w:rsidRPr="00B9404B" w:rsidRDefault="00BA37D8" w:rsidP="00BA37D8">
            <w:pPr>
              <w:rPr>
                <w:b/>
                <w:sz w:val="20"/>
                <w:szCs w:val="20"/>
                <w:lang w:val="fr-CA"/>
              </w:rPr>
            </w:pPr>
          </w:p>
        </w:tc>
        <w:tc>
          <w:tcPr>
            <w:tcW w:w="8118" w:type="dxa"/>
          </w:tcPr>
          <w:p w:rsidR="00BA37D8" w:rsidRPr="00B9404B" w:rsidRDefault="00BA37D8" w:rsidP="00BA37D8">
            <w:pPr>
              <w:rPr>
                <w:sz w:val="20"/>
                <w:szCs w:val="20"/>
              </w:rPr>
            </w:pPr>
            <w:r w:rsidRPr="00BA37D8">
              <w:rPr>
                <w:rStyle w:val="SCCLsocChar"/>
                <w:sz w:val="20"/>
                <w:szCs w:val="20"/>
                <w:lang w:val="en-CA"/>
              </w:rPr>
              <w:t>Michael Downer v. Personal Insurance Company of Canada</w:t>
            </w:r>
            <w:r w:rsidRPr="00B9404B">
              <w:rPr>
                <w:sz w:val="20"/>
                <w:szCs w:val="20"/>
              </w:rPr>
              <w:t xml:space="preserve"> (Ont.) (Civil) (By Leave)</w:t>
            </w:r>
          </w:p>
          <w:p w:rsidR="00BA37D8" w:rsidRPr="00B9404B" w:rsidRDefault="00BA37D8" w:rsidP="00BA37D8">
            <w:pPr>
              <w:rPr>
                <w:sz w:val="20"/>
                <w:szCs w:val="20"/>
              </w:rPr>
            </w:pPr>
          </w:p>
        </w:tc>
      </w:tr>
      <w:tr w:rsidR="00BA37D8" w:rsidRPr="00B9404B" w:rsidTr="00BA37D8">
        <w:trPr>
          <w:cantSplit/>
        </w:trPr>
        <w:tc>
          <w:tcPr>
            <w:tcW w:w="1458" w:type="dxa"/>
          </w:tcPr>
          <w:p w:rsidR="00BA37D8" w:rsidRPr="00B9404B" w:rsidRDefault="00BA37D8" w:rsidP="00BA37D8">
            <w:pPr>
              <w:rPr>
                <w:sz w:val="20"/>
                <w:szCs w:val="20"/>
              </w:rPr>
            </w:pPr>
            <w:r w:rsidRPr="00B9404B">
              <w:rPr>
                <w:sz w:val="20"/>
                <w:szCs w:val="20"/>
              </w:rPr>
              <w:t>Coram :</w:t>
            </w:r>
          </w:p>
        </w:tc>
        <w:tc>
          <w:tcPr>
            <w:tcW w:w="8118" w:type="dxa"/>
          </w:tcPr>
          <w:p w:rsidR="00BA37D8" w:rsidRPr="00B9404B" w:rsidRDefault="00BA37D8" w:rsidP="00BA37D8">
            <w:pPr>
              <w:rPr>
                <w:sz w:val="20"/>
                <w:szCs w:val="20"/>
              </w:rPr>
            </w:pPr>
            <w:r w:rsidRPr="00BA37D8">
              <w:rPr>
                <w:rStyle w:val="SCCCoramChar"/>
                <w:sz w:val="20"/>
                <w:szCs w:val="20"/>
                <w:lang w:val="en-CA"/>
              </w:rPr>
              <w:t>McLachlin C.J. and Rothstein and Moldaver JJ.</w:t>
            </w:r>
          </w:p>
          <w:p w:rsidR="00BA37D8" w:rsidRPr="00B9404B" w:rsidRDefault="00BA37D8" w:rsidP="00BA37D8">
            <w:pPr>
              <w:rPr>
                <w:sz w:val="20"/>
                <w:szCs w:val="20"/>
                <w:u w:val="single"/>
              </w:rPr>
            </w:pPr>
          </w:p>
        </w:tc>
      </w:tr>
      <w:tr w:rsidR="00BA37D8" w:rsidRPr="00DC2D1F" w:rsidTr="00BA37D8">
        <w:trPr>
          <w:cantSplit/>
        </w:trPr>
        <w:tc>
          <w:tcPr>
            <w:tcW w:w="9576" w:type="dxa"/>
            <w:gridSpan w:val="2"/>
          </w:tcPr>
          <w:p w:rsidR="00BA37D8" w:rsidRPr="00B9404B" w:rsidRDefault="00BA37D8" w:rsidP="00BA37D8">
            <w:pPr>
              <w:pStyle w:val="SCCShortJudgment"/>
              <w:rPr>
                <w:szCs w:val="20"/>
              </w:rPr>
            </w:pPr>
            <w:r w:rsidRPr="00B9404B">
              <w:rPr>
                <w:szCs w:val="20"/>
              </w:rPr>
              <w:t>The application for leave to appeal from the judgment of the Court of Appeal for Ontario, Number C54313, 2012 ONCA 302, dated May 9, 2012, is dismissed with costs.</w:t>
            </w:r>
          </w:p>
          <w:p w:rsidR="00BA37D8" w:rsidRPr="00B9404B" w:rsidRDefault="00BA37D8" w:rsidP="00BA37D8">
            <w:pPr>
              <w:pStyle w:val="SCCShortJudgment"/>
              <w:ind w:firstLine="0"/>
              <w:rPr>
                <w:szCs w:val="20"/>
              </w:rPr>
            </w:pPr>
          </w:p>
          <w:p w:rsidR="00BA37D8" w:rsidRPr="00B9404B" w:rsidRDefault="00BA37D8" w:rsidP="00BA37D8">
            <w:pPr>
              <w:pStyle w:val="SCCShortJudgment"/>
              <w:rPr>
                <w:szCs w:val="20"/>
                <w:lang w:val="fr-CA"/>
              </w:rPr>
            </w:pPr>
            <w:r w:rsidRPr="00B9404B">
              <w:rPr>
                <w:szCs w:val="20"/>
                <w:lang w:val="fr-CA"/>
              </w:rPr>
              <w:t>La demande d’autorisation d’appel de l’arrêt de la Cour d’appel de l’Ontario, numéro C54313, 2012 ONCA 302, daté du 9 mai 2012, est rejetée avec dépens.</w:t>
            </w:r>
          </w:p>
        </w:tc>
      </w:tr>
    </w:tbl>
    <w:p w:rsidR="00A740D1" w:rsidRPr="00BA37D8"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5599B" w:rsidRPr="00201A3F" w:rsidTr="005B1F40">
        <w:tc>
          <w:tcPr>
            <w:tcW w:w="5000" w:type="pct"/>
            <w:gridSpan w:val="3"/>
          </w:tcPr>
          <w:p w:rsidR="0085599B" w:rsidRPr="00201A3F" w:rsidRDefault="0085599B" w:rsidP="005B1F40">
            <w:pPr>
              <w:jc w:val="both"/>
              <w:rPr>
                <w:rFonts w:eastAsia="Calibri"/>
                <w:sz w:val="20"/>
              </w:rPr>
            </w:pPr>
            <w:r w:rsidRPr="00201A3F">
              <w:rPr>
                <w:rFonts w:eastAsia="Calibri"/>
                <w:sz w:val="20"/>
              </w:rPr>
              <w:t xml:space="preserve">Insurance — Automobile insurance — Statutory accident benefits — Applicant physically assaulted by several unidentified assailants while parked at a gas station — Applicant commencing action against respondent insurer seeking a declaration that he was entitled to statutory accident benefits — Whether Court of Appeal erred in rejecting </w:t>
            </w:r>
            <w:r w:rsidRPr="00201A3F">
              <w:rPr>
                <w:rFonts w:eastAsia="Calibri"/>
                <w:sz w:val="20"/>
              </w:rPr>
              <w:lastRenderedPageBreak/>
              <w:t xml:space="preserve">reasoning of Court in </w:t>
            </w:r>
            <w:r w:rsidRPr="00201A3F">
              <w:rPr>
                <w:rFonts w:eastAsia="Calibri"/>
                <w:i/>
                <w:sz w:val="20"/>
              </w:rPr>
              <w:t>Amos v. Insurance Corp. of British Columbia</w:t>
            </w:r>
            <w:r w:rsidRPr="00201A3F">
              <w:rPr>
                <w:rFonts w:eastAsia="Calibri"/>
                <w:sz w:val="20"/>
              </w:rPr>
              <w:t>,</w:t>
            </w:r>
            <w:r w:rsidRPr="00201A3F">
              <w:rPr>
                <w:rFonts w:eastAsia="Calibri"/>
                <w:i/>
                <w:sz w:val="20"/>
              </w:rPr>
              <w:t xml:space="preserve"> </w:t>
            </w:r>
            <w:r w:rsidRPr="00201A3F">
              <w:rPr>
                <w:rFonts w:eastAsia="Calibri"/>
                <w:sz w:val="20"/>
              </w:rPr>
              <w:t>[1995] 3 S.C.R. 405</w:t>
            </w:r>
            <w:r w:rsidRPr="00201A3F">
              <w:rPr>
                <w:rFonts w:eastAsia="Calibri"/>
                <w:i/>
                <w:sz w:val="20"/>
              </w:rPr>
              <w:t xml:space="preserve"> </w:t>
            </w:r>
            <w:r w:rsidRPr="00201A3F">
              <w:rPr>
                <w:rFonts w:eastAsia="Calibri"/>
                <w:sz w:val="20"/>
              </w:rPr>
              <w:t xml:space="preserve">— Whether Court of Appeal erred in replacing motion judge’s reasonable inferences of fact with its own — </w:t>
            </w:r>
            <w:r w:rsidRPr="00201A3F">
              <w:rPr>
                <w:rFonts w:eastAsia="Calibri"/>
                <w:i/>
                <w:sz w:val="20"/>
              </w:rPr>
              <w:t xml:space="preserve">Statutory Accident Benefits Schedule </w:t>
            </w:r>
            <w:r w:rsidRPr="00201A3F">
              <w:rPr>
                <w:rFonts w:eastAsia="Calibri"/>
                <w:sz w:val="20"/>
              </w:rPr>
              <w:t xml:space="preserve">— </w:t>
            </w:r>
            <w:r w:rsidRPr="00201A3F">
              <w:rPr>
                <w:rFonts w:eastAsia="Calibri"/>
                <w:i/>
                <w:sz w:val="20"/>
              </w:rPr>
              <w:t>Accidents on or after November 1, 1996</w:t>
            </w:r>
            <w:r w:rsidRPr="00201A3F">
              <w:rPr>
                <w:rFonts w:eastAsia="Calibri"/>
                <w:sz w:val="20"/>
              </w:rPr>
              <w:t>, O. Reg. 403/96, s. 2(1).</w:t>
            </w:r>
          </w:p>
        </w:tc>
      </w:tr>
      <w:tr w:rsidR="0085599B" w:rsidRPr="00201A3F" w:rsidTr="005B1F40">
        <w:tc>
          <w:tcPr>
            <w:tcW w:w="5000" w:type="pct"/>
            <w:gridSpan w:val="3"/>
          </w:tcPr>
          <w:p w:rsidR="0085599B" w:rsidRPr="00201A3F" w:rsidRDefault="0085599B" w:rsidP="005B1F40">
            <w:pPr>
              <w:jc w:val="both"/>
              <w:rPr>
                <w:rFonts w:eastAsia="Calibri"/>
                <w:sz w:val="20"/>
              </w:rPr>
            </w:pPr>
          </w:p>
        </w:tc>
      </w:tr>
      <w:tr w:rsidR="0085599B" w:rsidRPr="00201A3F" w:rsidTr="005B1F40">
        <w:tc>
          <w:tcPr>
            <w:tcW w:w="5000" w:type="pct"/>
            <w:gridSpan w:val="3"/>
          </w:tcPr>
          <w:p w:rsidR="0085599B" w:rsidRPr="00201A3F" w:rsidRDefault="0085599B" w:rsidP="005B1F40">
            <w:pPr>
              <w:jc w:val="both"/>
              <w:rPr>
                <w:rFonts w:eastAsia="Calibri"/>
                <w:sz w:val="20"/>
              </w:rPr>
            </w:pPr>
            <w:r w:rsidRPr="00201A3F">
              <w:rPr>
                <w:rFonts w:eastAsia="Calibri"/>
                <w:sz w:val="20"/>
              </w:rPr>
              <w:t xml:space="preserve">The applicant was physically assaulted by several unidentified assailants while parked at a gas station.  The applicant managed to escape by putting his car in gear and driving away.  He believed that in doing so, he may have run over one of his assailants.  The applicant claimed psychological and physical injuries as a result of the incident.  Following the incident, the applicant's automobile insurer, the respondent, paid him monthly statutory accident benefits ("SABs"), including income replacement benefits, for some 26 months.  However, the respondent later advised him that it was terminating his benefits because the incident giving rise to his injuries was not an "accident" as defined in s. 2(1) of the Statutory Accident Benefits Schedule.  Section 2(1) defines an accident as "an incident in which the use or operation of an automobile directly causes </w:t>
            </w:r>
            <w:proofErr w:type="gramStart"/>
            <w:r w:rsidRPr="00201A3F">
              <w:rPr>
                <w:rFonts w:eastAsia="Calibri"/>
                <w:sz w:val="20"/>
              </w:rPr>
              <w:t>an impairment</w:t>
            </w:r>
            <w:proofErr w:type="gramEnd"/>
            <w:r w:rsidRPr="00201A3F">
              <w:rPr>
                <w:rFonts w:eastAsia="Calibri"/>
                <w:sz w:val="20"/>
              </w:rPr>
              <w:t xml:space="preserve">".  The respondent further advised that it was seeking repayment of all benefits paid to date because they were paid to him in error.  </w:t>
            </w:r>
          </w:p>
          <w:p w:rsidR="0085599B" w:rsidRPr="00201A3F" w:rsidRDefault="0085599B" w:rsidP="005B1F40">
            <w:pPr>
              <w:jc w:val="both"/>
              <w:rPr>
                <w:rFonts w:eastAsia="Calibri"/>
                <w:sz w:val="20"/>
              </w:rPr>
            </w:pPr>
          </w:p>
          <w:p w:rsidR="0085599B" w:rsidRPr="00201A3F" w:rsidRDefault="0085599B" w:rsidP="005B1F40">
            <w:pPr>
              <w:jc w:val="both"/>
              <w:rPr>
                <w:rFonts w:eastAsia="Calibri"/>
                <w:sz w:val="20"/>
              </w:rPr>
            </w:pPr>
            <w:r w:rsidRPr="00201A3F">
              <w:rPr>
                <w:rFonts w:eastAsia="Calibri"/>
                <w:sz w:val="20"/>
              </w:rPr>
              <w:t>The applicant commenced an action against the respondent seeking a declaration that he was entitled to SABs including income replacement benefits.  The respondent later moved for summary judgment seeking to dismiss the action.  The motion judge dismissed the motion and granted a declaration that the applicant was involved in an "accident" within the meaning of the Schedule.  The Court of Appeal allowed the respondent’s appeal in part, to the extent that it granted a declaration that the physical assault on the applicant did not constitute an "accident" under s. 2(1) of the Schedule.</w:t>
            </w:r>
          </w:p>
          <w:p w:rsidR="0085599B" w:rsidRPr="00201A3F" w:rsidRDefault="0085599B" w:rsidP="005B1F40">
            <w:pPr>
              <w:jc w:val="both"/>
              <w:rPr>
                <w:rFonts w:eastAsia="Calibri"/>
                <w:sz w:val="20"/>
              </w:rPr>
            </w:pP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t>August 23, 2011</w:t>
            </w:r>
          </w:p>
          <w:p w:rsidR="0085599B" w:rsidRPr="00201A3F" w:rsidRDefault="0085599B" w:rsidP="005B1F40">
            <w:pPr>
              <w:jc w:val="both"/>
              <w:rPr>
                <w:rFonts w:eastAsia="Calibri"/>
                <w:sz w:val="20"/>
              </w:rPr>
            </w:pPr>
            <w:r w:rsidRPr="00201A3F">
              <w:rPr>
                <w:rFonts w:eastAsia="Calibri"/>
                <w:sz w:val="20"/>
              </w:rPr>
              <w:t>Ontario Superior Court of Justice</w:t>
            </w:r>
          </w:p>
          <w:p w:rsidR="0085599B" w:rsidRPr="00201A3F" w:rsidRDefault="0085599B" w:rsidP="005B1F40">
            <w:pPr>
              <w:jc w:val="both"/>
              <w:rPr>
                <w:rFonts w:eastAsia="Calibri"/>
                <w:sz w:val="20"/>
              </w:rPr>
            </w:pPr>
            <w:r w:rsidRPr="00201A3F">
              <w:rPr>
                <w:rFonts w:eastAsia="Calibri"/>
                <w:sz w:val="20"/>
              </w:rPr>
              <w:t>(Murray J.)</w:t>
            </w:r>
          </w:p>
          <w:p w:rsidR="0085599B" w:rsidRPr="00201A3F" w:rsidRDefault="0085599B" w:rsidP="005B1F40">
            <w:pPr>
              <w:jc w:val="both"/>
              <w:rPr>
                <w:rFonts w:eastAsia="Calibri"/>
                <w:sz w:val="20"/>
              </w:rPr>
            </w:pPr>
            <w:r w:rsidRPr="00201A3F">
              <w:rPr>
                <w:rFonts w:eastAsia="Calibri"/>
                <w:sz w:val="20"/>
              </w:rPr>
              <w:t>2011 ONSC 4980</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Respondent’s motion for summary judgment dismissed</w:t>
            </w:r>
          </w:p>
          <w:p w:rsidR="0085599B" w:rsidRPr="00201A3F" w:rsidRDefault="0085599B" w:rsidP="005B1F40">
            <w:pPr>
              <w:jc w:val="both"/>
              <w:rPr>
                <w:rFonts w:eastAsia="Calibri"/>
                <w:sz w:val="20"/>
              </w:rPr>
            </w:pP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t>May 9, 2012</w:t>
            </w:r>
          </w:p>
          <w:p w:rsidR="0085599B" w:rsidRPr="00201A3F" w:rsidRDefault="0085599B" w:rsidP="005B1F40">
            <w:pPr>
              <w:jc w:val="both"/>
              <w:rPr>
                <w:rFonts w:eastAsia="Calibri"/>
                <w:sz w:val="20"/>
              </w:rPr>
            </w:pPr>
            <w:r w:rsidRPr="00201A3F">
              <w:rPr>
                <w:rFonts w:eastAsia="Calibri"/>
                <w:sz w:val="20"/>
              </w:rPr>
              <w:t>Court of Appeal for Ontario</w:t>
            </w:r>
          </w:p>
          <w:p w:rsidR="0085599B" w:rsidRPr="00201A3F" w:rsidRDefault="0085599B" w:rsidP="005B1F40">
            <w:pPr>
              <w:jc w:val="both"/>
              <w:rPr>
                <w:rFonts w:eastAsia="Calibri"/>
                <w:sz w:val="20"/>
              </w:rPr>
            </w:pPr>
            <w:r w:rsidRPr="00201A3F">
              <w:rPr>
                <w:rFonts w:eastAsia="Calibri"/>
                <w:sz w:val="20"/>
              </w:rPr>
              <w:t>(Lang, LaForme JJ.A. and Pattillo J. (ad hoc))</w:t>
            </w:r>
          </w:p>
          <w:p w:rsidR="0085599B" w:rsidRPr="00201A3F" w:rsidRDefault="0085599B" w:rsidP="005B1F40">
            <w:pPr>
              <w:jc w:val="both"/>
              <w:rPr>
                <w:rFonts w:eastAsia="Calibri"/>
                <w:sz w:val="20"/>
              </w:rPr>
            </w:pPr>
            <w:r w:rsidRPr="00201A3F">
              <w:rPr>
                <w:rFonts w:eastAsia="Calibri"/>
                <w:sz w:val="20"/>
              </w:rPr>
              <w:t>2012 ONCA 302</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Appeal allowed in part</w:t>
            </w:r>
          </w:p>
          <w:p w:rsidR="0085599B" w:rsidRPr="00201A3F" w:rsidRDefault="0085599B" w:rsidP="005B1F40">
            <w:pPr>
              <w:jc w:val="both"/>
              <w:rPr>
                <w:rFonts w:eastAsia="Calibri"/>
                <w:sz w:val="20"/>
              </w:rPr>
            </w:pP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t>August 8, 2012</w:t>
            </w:r>
          </w:p>
          <w:p w:rsidR="0085599B" w:rsidRPr="00201A3F" w:rsidRDefault="0085599B" w:rsidP="005B1F40">
            <w:pPr>
              <w:jc w:val="both"/>
              <w:rPr>
                <w:rFonts w:eastAsia="Calibri"/>
                <w:sz w:val="20"/>
              </w:rPr>
            </w:pPr>
            <w:r w:rsidRPr="00201A3F">
              <w:rPr>
                <w:rFonts w:eastAsia="Calibri"/>
                <w:sz w:val="20"/>
              </w:rPr>
              <w:t>Supreme Court of Canada</w:t>
            </w: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Application for leave to appeal filed</w:t>
            </w: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72"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85599B" w:rsidRPr="00DC2D1F" w:rsidTr="005B1F40">
        <w:tc>
          <w:tcPr>
            <w:tcW w:w="5000" w:type="pct"/>
            <w:gridSpan w:val="3"/>
          </w:tcPr>
          <w:p w:rsidR="0085599B" w:rsidRPr="00201A3F" w:rsidRDefault="0085599B" w:rsidP="005B1F40">
            <w:pPr>
              <w:jc w:val="both"/>
              <w:rPr>
                <w:rFonts w:eastAsia="Calibri"/>
                <w:sz w:val="20"/>
                <w:lang w:val="fr-CA"/>
              </w:rPr>
            </w:pPr>
            <w:r w:rsidRPr="00201A3F">
              <w:rPr>
                <w:rFonts w:eastAsia="Calibri"/>
                <w:sz w:val="20"/>
                <w:lang w:val="fr-CA"/>
              </w:rPr>
              <w:t>Assurance — Assurance automobile — Indemnités d'accident légales — Le demandeur a été agressé physiquement par plusieurs individus non identifiés alors qu'il était garé dans une station</w:t>
            </w:r>
            <w:r w:rsidRPr="00201A3F">
              <w:rPr>
                <w:rFonts w:eastAsia="Calibri"/>
                <w:sz w:val="20"/>
                <w:lang w:val="fr-CA"/>
              </w:rPr>
              <w:noBreakHyphen/>
              <w:t>service — Le demandeur a intenté une action contre l'assureur intimé pour obtenir un jugement déclarant qu'il avait droit à des indemnités d'accident légales — La Cour d'appel a</w:t>
            </w:r>
            <w:r w:rsidRPr="00201A3F">
              <w:rPr>
                <w:rFonts w:eastAsia="Calibri"/>
                <w:sz w:val="20"/>
                <w:lang w:val="fr-CA"/>
              </w:rPr>
              <w:noBreakHyphen/>
              <w:t>t</w:t>
            </w:r>
            <w:r w:rsidRPr="00201A3F">
              <w:rPr>
                <w:rFonts w:eastAsia="Calibri"/>
                <w:sz w:val="20"/>
                <w:lang w:val="fr-CA"/>
              </w:rPr>
              <w:noBreakHyphen/>
              <w:t xml:space="preserve">elle eu tort de rejeter le raisonnement de la Cour dans l'arrêt </w:t>
            </w:r>
            <w:r w:rsidRPr="00201A3F">
              <w:rPr>
                <w:rFonts w:eastAsia="Calibri"/>
                <w:i/>
                <w:sz w:val="20"/>
                <w:lang w:val="fr-CA"/>
              </w:rPr>
              <w:t>Amos c. Insurance Corp. of British Columbia</w:t>
            </w:r>
            <w:r w:rsidRPr="00201A3F">
              <w:rPr>
                <w:rFonts w:eastAsia="Calibri"/>
                <w:sz w:val="20"/>
                <w:lang w:val="fr-CA"/>
              </w:rPr>
              <w:t>,</w:t>
            </w:r>
            <w:r w:rsidRPr="00201A3F">
              <w:rPr>
                <w:rFonts w:eastAsia="Calibri"/>
                <w:i/>
                <w:sz w:val="20"/>
                <w:lang w:val="fr-CA"/>
              </w:rPr>
              <w:t xml:space="preserve"> </w:t>
            </w:r>
            <w:r w:rsidRPr="00201A3F">
              <w:rPr>
                <w:rFonts w:eastAsia="Calibri"/>
                <w:sz w:val="20"/>
                <w:lang w:val="fr-CA"/>
              </w:rPr>
              <w:t>[1995] 3 R.C.S. 405?</w:t>
            </w:r>
            <w:r w:rsidRPr="00201A3F">
              <w:rPr>
                <w:rFonts w:eastAsia="Calibri"/>
                <w:i/>
                <w:sz w:val="20"/>
                <w:lang w:val="fr-CA"/>
              </w:rPr>
              <w:t xml:space="preserve"> </w:t>
            </w:r>
            <w:r w:rsidRPr="00201A3F">
              <w:rPr>
                <w:rFonts w:eastAsia="Calibri"/>
                <w:sz w:val="20"/>
                <w:lang w:val="fr-CA"/>
              </w:rPr>
              <w:t>— La Cour d'appel a</w:t>
            </w:r>
            <w:r w:rsidRPr="00201A3F">
              <w:rPr>
                <w:rFonts w:eastAsia="Calibri"/>
                <w:sz w:val="20"/>
                <w:lang w:val="fr-CA"/>
              </w:rPr>
              <w:noBreakHyphen/>
              <w:t>t</w:t>
            </w:r>
            <w:r w:rsidRPr="00201A3F">
              <w:rPr>
                <w:rFonts w:eastAsia="Calibri"/>
                <w:sz w:val="20"/>
                <w:lang w:val="fr-CA"/>
              </w:rPr>
              <w:noBreakHyphen/>
              <w:t>elle eu tort de substituer ses propres inférences aux inférences de fait raisonnables du juge de première instance? —</w:t>
            </w:r>
            <w:r w:rsidRPr="00201A3F">
              <w:rPr>
                <w:rFonts w:eastAsia="Calibri"/>
                <w:i/>
                <w:sz w:val="20"/>
                <w:lang w:val="fr-CA"/>
              </w:rPr>
              <w:t xml:space="preserve"> Annexe sur les indemnités d'accident légales </w:t>
            </w:r>
            <w:r w:rsidRPr="00201A3F">
              <w:rPr>
                <w:rFonts w:eastAsia="Calibri"/>
                <w:i/>
                <w:sz w:val="20"/>
                <w:lang w:val="fr-CA"/>
              </w:rPr>
              <w:noBreakHyphen/>
              <w:t xml:space="preserve"> accidents survenus le 1</w:t>
            </w:r>
            <w:r w:rsidRPr="00201A3F">
              <w:rPr>
                <w:rFonts w:eastAsia="Calibri"/>
                <w:i/>
                <w:sz w:val="20"/>
                <w:vertAlign w:val="superscript"/>
                <w:lang w:val="fr-CA"/>
              </w:rPr>
              <w:t>er</w:t>
            </w:r>
            <w:r w:rsidRPr="00201A3F">
              <w:rPr>
                <w:rFonts w:eastAsia="Calibri"/>
                <w:i/>
                <w:sz w:val="20"/>
                <w:lang w:val="fr-CA"/>
              </w:rPr>
              <w:t> novembre 1996 ou après ce jour</w:t>
            </w:r>
            <w:r w:rsidRPr="00201A3F">
              <w:rPr>
                <w:rFonts w:eastAsia="Calibri"/>
                <w:sz w:val="20"/>
                <w:lang w:val="fr-CA"/>
              </w:rPr>
              <w:t>, Règl de l’Ont 403/96, par. 2(1).</w:t>
            </w:r>
          </w:p>
        </w:tc>
      </w:tr>
      <w:tr w:rsidR="0085599B" w:rsidRPr="00DC2D1F" w:rsidTr="005B1F40">
        <w:tc>
          <w:tcPr>
            <w:tcW w:w="5000" w:type="pct"/>
            <w:gridSpan w:val="3"/>
          </w:tcPr>
          <w:p w:rsidR="0085599B" w:rsidRPr="00201A3F" w:rsidRDefault="0085599B" w:rsidP="005B1F40">
            <w:pPr>
              <w:jc w:val="both"/>
              <w:rPr>
                <w:rFonts w:eastAsia="Calibri"/>
                <w:sz w:val="20"/>
                <w:lang w:val="fr-CA"/>
              </w:rPr>
            </w:pPr>
          </w:p>
        </w:tc>
      </w:tr>
      <w:tr w:rsidR="0085599B" w:rsidRPr="00DC2D1F" w:rsidTr="005B1F40">
        <w:tc>
          <w:tcPr>
            <w:tcW w:w="5000" w:type="pct"/>
            <w:gridSpan w:val="3"/>
          </w:tcPr>
          <w:p w:rsidR="0085599B" w:rsidRPr="00201A3F" w:rsidRDefault="0085599B" w:rsidP="005B1F40">
            <w:pPr>
              <w:jc w:val="both"/>
              <w:rPr>
                <w:rFonts w:eastAsia="Calibri"/>
                <w:sz w:val="20"/>
                <w:lang w:val="fr-CA"/>
              </w:rPr>
            </w:pPr>
            <w:r w:rsidRPr="00201A3F">
              <w:rPr>
                <w:rFonts w:eastAsia="Calibri"/>
                <w:sz w:val="20"/>
                <w:lang w:val="fr-CA"/>
              </w:rPr>
              <w:t>Le demandeur a été agressé physiquement par plusieurs individus non identifiés alors qu'il était garé dans une station</w:t>
            </w:r>
            <w:r w:rsidRPr="00201A3F">
              <w:rPr>
                <w:rFonts w:eastAsia="Calibri"/>
                <w:sz w:val="20"/>
                <w:lang w:val="fr-CA"/>
              </w:rPr>
              <w:noBreakHyphen/>
              <w:t>service.  Le demandeur a réussi à embrayer sa voiture et à s'enfuir au volant de celle</w:t>
            </w:r>
            <w:r w:rsidRPr="00201A3F">
              <w:rPr>
                <w:rFonts w:eastAsia="Calibri"/>
                <w:sz w:val="20"/>
                <w:lang w:val="fr-CA"/>
              </w:rPr>
              <w:noBreakHyphen/>
              <w:t>ci.  Il croit que ce faisant, il a peut</w:t>
            </w:r>
            <w:r w:rsidRPr="00201A3F">
              <w:rPr>
                <w:rFonts w:eastAsia="Calibri"/>
                <w:sz w:val="20"/>
                <w:lang w:val="fr-CA"/>
              </w:rPr>
              <w:noBreakHyphen/>
              <w:t xml:space="preserve">être écrasé un de ses agresseurs.  Le demandeur a allégué avoir subi des dommages psychologiques et physiques à la suite de l'incident. Après l'incident, l'assureur automobile du demandeur, l'intimée, lui a versé des </w:t>
            </w:r>
            <w:r w:rsidRPr="00201A3F">
              <w:rPr>
                <w:rFonts w:eastAsia="Calibri"/>
                <w:sz w:val="20"/>
                <w:lang w:val="fr-CA"/>
              </w:rPr>
              <w:lastRenderedPageBreak/>
              <w:t>indemnités d'accident légales (« IAL ») mensuelles, y compris des indemnités de remplacement de revenu, pendant environ 26 mois.  Toutefois, l'intimée l’a informé plus tard qu'elle cessait de lui verser des indemnités, parce que l'incident qui avait donné lieu aux dommages qu'il avait subis n'était pas un « accident » au sens du par. 2(1) de l’</w:t>
            </w:r>
            <w:r w:rsidRPr="00201A3F">
              <w:rPr>
                <w:rFonts w:eastAsia="Calibri"/>
                <w:i/>
                <w:sz w:val="20"/>
                <w:lang w:val="fr-CA"/>
              </w:rPr>
              <w:t>Annexe sur les indemnités d'accident légales</w:t>
            </w:r>
            <w:r w:rsidRPr="00201A3F">
              <w:rPr>
                <w:rFonts w:eastAsia="Calibri"/>
                <w:sz w:val="20"/>
                <w:lang w:val="fr-CA"/>
              </w:rPr>
              <w:t xml:space="preserve">.  Aux termes du paragraphe 2(1) un accident s’entend d’un « incident au cours duquel l’usage ou la conduite d’une automobile cause directement une déficience ».  L'intimée a en outre informé le demandeur qu'elle lui réclamait le remboursement de toutes les indemnités versées jusqu'alors parce qu'elles lui avaient été versées par erreur.  </w:t>
            </w:r>
          </w:p>
          <w:p w:rsidR="0085599B" w:rsidRPr="00201A3F" w:rsidRDefault="0085599B" w:rsidP="005B1F40">
            <w:pPr>
              <w:jc w:val="both"/>
              <w:rPr>
                <w:rFonts w:eastAsia="Calibri"/>
                <w:sz w:val="20"/>
                <w:lang w:val="fr-CA"/>
              </w:rPr>
            </w:pPr>
          </w:p>
          <w:p w:rsidR="0085599B" w:rsidRPr="00201A3F" w:rsidRDefault="0085599B" w:rsidP="005B1F40">
            <w:pPr>
              <w:jc w:val="both"/>
              <w:rPr>
                <w:rFonts w:eastAsia="Calibri"/>
                <w:sz w:val="20"/>
                <w:lang w:val="fr-CA"/>
              </w:rPr>
            </w:pPr>
            <w:r w:rsidRPr="00201A3F">
              <w:rPr>
                <w:rFonts w:eastAsia="Calibri"/>
                <w:sz w:val="20"/>
                <w:lang w:val="fr-CA"/>
              </w:rPr>
              <w:t>Le demandeur a intenté une action contre l'intimée pour obtenir un jugement déclarant qu'il avait droit aux IAL, y compris les indemnités de remplacement de revenu.  L'intimée a par la suite demandé par motion un jugement sommaire en rejet de l'action.  Le juge saisi de la motion a rejeté celle</w:t>
            </w:r>
            <w:r w:rsidRPr="00201A3F">
              <w:rPr>
                <w:rFonts w:eastAsia="Calibri"/>
                <w:sz w:val="20"/>
                <w:lang w:val="fr-CA"/>
              </w:rPr>
              <w:noBreakHyphen/>
              <w:t>ci et a rendu un jugement déclarant que le demandeur avait été impliqué dans un accident au sens de l'annexe.  La Cour d'appel a accueilli l'appel de l'intimée en partie, dans la mesure où elle a rendu un jugement déclarant que l'agression physique à l'endroit du demandeur ne constituait pas un « accident » au sens du par. 2(1) de l'annexe.</w:t>
            </w:r>
          </w:p>
          <w:p w:rsidR="0085599B" w:rsidRPr="00201A3F" w:rsidRDefault="0085599B" w:rsidP="005B1F40">
            <w:pPr>
              <w:jc w:val="both"/>
              <w:rPr>
                <w:rFonts w:eastAsia="Calibri"/>
                <w:sz w:val="20"/>
                <w:lang w:val="fr-CA"/>
              </w:rPr>
            </w:pPr>
          </w:p>
        </w:tc>
      </w:tr>
      <w:tr w:rsidR="0085599B" w:rsidRPr="00DC2D1F" w:rsidTr="005B1F40">
        <w:tc>
          <w:tcPr>
            <w:tcW w:w="2427" w:type="pct"/>
          </w:tcPr>
          <w:p w:rsidR="0085599B" w:rsidRPr="00201A3F" w:rsidRDefault="0085599B" w:rsidP="005B1F40">
            <w:pPr>
              <w:jc w:val="both"/>
              <w:rPr>
                <w:rFonts w:eastAsia="Calibri"/>
                <w:sz w:val="20"/>
                <w:lang w:val="fr-CA"/>
              </w:rPr>
            </w:pPr>
            <w:r w:rsidRPr="00201A3F">
              <w:rPr>
                <w:rFonts w:eastAsia="Calibri"/>
                <w:sz w:val="20"/>
                <w:lang w:val="fr-CA"/>
              </w:rPr>
              <w:lastRenderedPageBreak/>
              <w:t>23 août 2011</w:t>
            </w:r>
          </w:p>
          <w:p w:rsidR="0085599B" w:rsidRPr="00201A3F" w:rsidRDefault="0085599B" w:rsidP="005B1F40">
            <w:pPr>
              <w:jc w:val="both"/>
              <w:rPr>
                <w:rFonts w:eastAsia="Calibri"/>
                <w:sz w:val="20"/>
                <w:lang w:val="fr-CA"/>
              </w:rPr>
            </w:pPr>
            <w:r w:rsidRPr="00201A3F">
              <w:rPr>
                <w:rFonts w:eastAsia="Calibri"/>
                <w:sz w:val="20"/>
                <w:lang w:val="fr-CA"/>
              </w:rPr>
              <w:t xml:space="preserve">Cour supérieure de justice de l'Ontario </w:t>
            </w:r>
          </w:p>
          <w:p w:rsidR="0085599B" w:rsidRPr="00201A3F" w:rsidRDefault="0085599B" w:rsidP="005B1F40">
            <w:pPr>
              <w:jc w:val="both"/>
              <w:rPr>
                <w:rFonts w:eastAsia="Calibri"/>
                <w:sz w:val="20"/>
                <w:lang w:val="fr-CA"/>
              </w:rPr>
            </w:pPr>
            <w:r w:rsidRPr="00201A3F">
              <w:rPr>
                <w:rFonts w:eastAsia="Calibri"/>
                <w:sz w:val="20"/>
                <w:lang w:val="fr-CA"/>
              </w:rPr>
              <w:t>(Juge Murray)</w:t>
            </w:r>
          </w:p>
          <w:p w:rsidR="0085599B" w:rsidRPr="00201A3F" w:rsidRDefault="0085599B" w:rsidP="005B1F40">
            <w:pPr>
              <w:jc w:val="both"/>
              <w:rPr>
                <w:rFonts w:eastAsia="Calibri"/>
                <w:sz w:val="20"/>
                <w:lang w:val="fr-CA"/>
              </w:rPr>
            </w:pPr>
            <w:r w:rsidRPr="00201A3F">
              <w:rPr>
                <w:rFonts w:eastAsia="Calibri"/>
                <w:sz w:val="20"/>
                <w:lang w:val="fr-CA"/>
              </w:rPr>
              <w:t>2011 ONSC 4980</w:t>
            </w:r>
          </w:p>
          <w:p w:rsidR="0085599B" w:rsidRPr="00201A3F" w:rsidRDefault="0085599B" w:rsidP="005B1F40">
            <w:pPr>
              <w:jc w:val="both"/>
              <w:rPr>
                <w:rFonts w:eastAsia="Calibri"/>
                <w:sz w:val="20"/>
                <w:lang w:val="fr-CA"/>
              </w:rPr>
            </w:pPr>
          </w:p>
        </w:tc>
        <w:tc>
          <w:tcPr>
            <w:tcW w:w="243" w:type="pct"/>
          </w:tcPr>
          <w:p w:rsidR="0085599B" w:rsidRPr="00201A3F" w:rsidRDefault="0085599B" w:rsidP="005B1F40">
            <w:pPr>
              <w:jc w:val="both"/>
              <w:rPr>
                <w:rFonts w:eastAsia="Calibri"/>
                <w:sz w:val="20"/>
                <w:lang w:val="fr-CA"/>
              </w:rPr>
            </w:pPr>
          </w:p>
        </w:tc>
        <w:tc>
          <w:tcPr>
            <w:tcW w:w="2330" w:type="pct"/>
          </w:tcPr>
          <w:p w:rsidR="0085599B" w:rsidRPr="00201A3F" w:rsidRDefault="0085599B" w:rsidP="005B1F40">
            <w:pPr>
              <w:jc w:val="both"/>
              <w:rPr>
                <w:rFonts w:eastAsia="Calibri"/>
                <w:sz w:val="20"/>
                <w:lang w:val="fr-CA"/>
              </w:rPr>
            </w:pPr>
            <w:r w:rsidRPr="00201A3F">
              <w:rPr>
                <w:rFonts w:eastAsia="Calibri"/>
                <w:sz w:val="20"/>
                <w:lang w:val="fr-CA"/>
              </w:rPr>
              <w:t>Motion de l'intimée en vue d'obtenir un jugement sommaire, rejetée</w:t>
            </w:r>
          </w:p>
          <w:p w:rsidR="0085599B" w:rsidRPr="00201A3F" w:rsidRDefault="0085599B" w:rsidP="005B1F40">
            <w:pPr>
              <w:jc w:val="both"/>
              <w:rPr>
                <w:rFonts w:eastAsia="Calibri"/>
                <w:sz w:val="20"/>
                <w:lang w:val="fr-CA"/>
              </w:rPr>
            </w:pPr>
          </w:p>
        </w:tc>
      </w:tr>
      <w:tr w:rsidR="0085599B" w:rsidRPr="00201A3F" w:rsidTr="005B1F40">
        <w:tc>
          <w:tcPr>
            <w:tcW w:w="2427" w:type="pct"/>
          </w:tcPr>
          <w:p w:rsidR="0085599B" w:rsidRPr="00201A3F" w:rsidRDefault="0085599B" w:rsidP="005B1F40">
            <w:pPr>
              <w:jc w:val="both"/>
              <w:rPr>
                <w:rFonts w:eastAsia="Calibri"/>
                <w:sz w:val="20"/>
                <w:lang w:val="fr-CA"/>
              </w:rPr>
            </w:pPr>
            <w:r w:rsidRPr="00201A3F">
              <w:rPr>
                <w:rFonts w:eastAsia="Calibri"/>
                <w:sz w:val="20"/>
                <w:lang w:val="fr-CA"/>
              </w:rPr>
              <w:t>9 mai 2012</w:t>
            </w:r>
          </w:p>
          <w:p w:rsidR="0085599B" w:rsidRPr="00201A3F" w:rsidRDefault="0085599B" w:rsidP="005B1F40">
            <w:pPr>
              <w:jc w:val="both"/>
              <w:rPr>
                <w:rFonts w:eastAsia="Calibri"/>
                <w:sz w:val="20"/>
                <w:lang w:val="fr-CA"/>
              </w:rPr>
            </w:pPr>
            <w:r w:rsidRPr="00201A3F">
              <w:rPr>
                <w:rFonts w:eastAsia="Calibri"/>
                <w:sz w:val="20"/>
                <w:lang w:val="fr-CA"/>
              </w:rPr>
              <w:t xml:space="preserve">Cour d'appel de l'Ontario </w:t>
            </w:r>
          </w:p>
          <w:p w:rsidR="0085599B" w:rsidRPr="00201A3F" w:rsidRDefault="0085599B" w:rsidP="005B1F40">
            <w:pPr>
              <w:jc w:val="both"/>
              <w:rPr>
                <w:rFonts w:eastAsia="Calibri"/>
                <w:sz w:val="20"/>
                <w:lang w:val="fr-CA"/>
              </w:rPr>
            </w:pPr>
            <w:r w:rsidRPr="00201A3F">
              <w:rPr>
                <w:rFonts w:eastAsia="Calibri"/>
                <w:sz w:val="20"/>
                <w:lang w:val="fr-CA"/>
              </w:rPr>
              <w:t>(Juges Lang, LaForme et Pattillo (ad hoc))</w:t>
            </w:r>
          </w:p>
          <w:p w:rsidR="0085599B" w:rsidRPr="00201A3F" w:rsidRDefault="0085599B" w:rsidP="005B1F40">
            <w:pPr>
              <w:jc w:val="both"/>
              <w:rPr>
                <w:rFonts w:eastAsia="Calibri"/>
                <w:sz w:val="20"/>
                <w:lang w:val="fr-CA"/>
              </w:rPr>
            </w:pPr>
            <w:r w:rsidRPr="00201A3F">
              <w:rPr>
                <w:rFonts w:eastAsia="Calibri"/>
                <w:sz w:val="20"/>
                <w:lang w:val="fr-CA"/>
              </w:rPr>
              <w:t>2012 ONCA 302</w:t>
            </w:r>
          </w:p>
          <w:p w:rsidR="0085599B" w:rsidRPr="00201A3F" w:rsidRDefault="0085599B" w:rsidP="005B1F40">
            <w:pPr>
              <w:jc w:val="both"/>
              <w:rPr>
                <w:rFonts w:eastAsia="Calibri"/>
                <w:sz w:val="20"/>
                <w:lang w:val="fr-CA"/>
              </w:rPr>
            </w:pPr>
          </w:p>
        </w:tc>
        <w:tc>
          <w:tcPr>
            <w:tcW w:w="243" w:type="pct"/>
          </w:tcPr>
          <w:p w:rsidR="0085599B" w:rsidRPr="00201A3F" w:rsidRDefault="0085599B" w:rsidP="005B1F40">
            <w:pPr>
              <w:jc w:val="both"/>
              <w:rPr>
                <w:rFonts w:eastAsia="Calibri"/>
                <w:sz w:val="20"/>
                <w:lang w:val="fr-CA"/>
              </w:rPr>
            </w:pPr>
          </w:p>
        </w:tc>
        <w:tc>
          <w:tcPr>
            <w:tcW w:w="2330" w:type="pct"/>
          </w:tcPr>
          <w:p w:rsidR="0085599B" w:rsidRPr="00201A3F" w:rsidRDefault="0085599B" w:rsidP="005B1F40">
            <w:pPr>
              <w:jc w:val="both"/>
              <w:rPr>
                <w:rFonts w:eastAsia="Calibri"/>
                <w:sz w:val="20"/>
                <w:lang w:val="fr-CA"/>
              </w:rPr>
            </w:pPr>
            <w:r w:rsidRPr="00201A3F">
              <w:rPr>
                <w:rFonts w:eastAsia="Calibri"/>
                <w:sz w:val="20"/>
                <w:lang w:val="fr-CA"/>
              </w:rPr>
              <w:t>Appel accueilli en partie</w:t>
            </w:r>
          </w:p>
          <w:p w:rsidR="0085599B" w:rsidRPr="00201A3F" w:rsidRDefault="0085599B" w:rsidP="005B1F40">
            <w:pPr>
              <w:jc w:val="both"/>
              <w:rPr>
                <w:rFonts w:eastAsia="Calibri"/>
                <w:sz w:val="20"/>
                <w:lang w:val="fr-CA"/>
              </w:rPr>
            </w:pPr>
          </w:p>
        </w:tc>
      </w:tr>
      <w:tr w:rsidR="0085599B" w:rsidRPr="00201A3F" w:rsidTr="005B1F40">
        <w:tc>
          <w:tcPr>
            <w:tcW w:w="2427" w:type="pct"/>
          </w:tcPr>
          <w:p w:rsidR="0085599B" w:rsidRPr="00201A3F" w:rsidRDefault="0085599B" w:rsidP="005B1F40">
            <w:pPr>
              <w:jc w:val="both"/>
              <w:rPr>
                <w:rFonts w:eastAsia="Calibri"/>
                <w:sz w:val="20"/>
                <w:lang w:val="fr-CA"/>
              </w:rPr>
            </w:pPr>
            <w:r w:rsidRPr="00201A3F">
              <w:rPr>
                <w:rFonts w:eastAsia="Calibri"/>
                <w:sz w:val="20"/>
                <w:lang w:val="fr-CA"/>
              </w:rPr>
              <w:t>8 août 2012</w:t>
            </w:r>
          </w:p>
          <w:p w:rsidR="0085599B" w:rsidRPr="00201A3F" w:rsidRDefault="0085599B" w:rsidP="005B1F40">
            <w:pPr>
              <w:jc w:val="both"/>
              <w:rPr>
                <w:rFonts w:eastAsia="Calibri"/>
                <w:sz w:val="20"/>
                <w:lang w:val="fr-CA"/>
              </w:rPr>
            </w:pPr>
            <w:r w:rsidRPr="00201A3F">
              <w:rPr>
                <w:rFonts w:eastAsia="Calibri"/>
                <w:sz w:val="20"/>
                <w:lang w:val="fr-CA"/>
              </w:rPr>
              <w:t>Cour suprême du Canada</w:t>
            </w:r>
          </w:p>
        </w:tc>
        <w:tc>
          <w:tcPr>
            <w:tcW w:w="243" w:type="pct"/>
          </w:tcPr>
          <w:p w:rsidR="0085599B" w:rsidRPr="00201A3F" w:rsidRDefault="0085599B" w:rsidP="005B1F40">
            <w:pPr>
              <w:jc w:val="both"/>
              <w:rPr>
                <w:rFonts w:eastAsia="Calibri"/>
                <w:sz w:val="20"/>
                <w:lang w:val="fr-CA"/>
              </w:rPr>
            </w:pPr>
          </w:p>
        </w:tc>
        <w:tc>
          <w:tcPr>
            <w:tcW w:w="2330" w:type="pct"/>
          </w:tcPr>
          <w:p w:rsidR="0085599B" w:rsidRPr="00201A3F" w:rsidRDefault="0085599B" w:rsidP="005B1F40">
            <w:pPr>
              <w:jc w:val="both"/>
              <w:rPr>
                <w:rFonts w:eastAsia="Calibri"/>
                <w:sz w:val="20"/>
                <w:lang w:val="fr-CA"/>
              </w:rPr>
            </w:pPr>
            <w:r w:rsidRPr="00201A3F">
              <w:rPr>
                <w:rFonts w:eastAsia="Calibri"/>
                <w:sz w:val="20"/>
                <w:lang w:val="fr-CA"/>
              </w:rPr>
              <w:t>Demande d'autorisation d'appel, déposée</w:t>
            </w: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73"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37D8" w:rsidRPr="00B9404B" w:rsidTr="00BA37D8">
        <w:trPr>
          <w:cantSplit/>
        </w:trPr>
        <w:tc>
          <w:tcPr>
            <w:tcW w:w="1458" w:type="dxa"/>
          </w:tcPr>
          <w:p w:rsidR="00BA37D8" w:rsidRPr="00B9404B" w:rsidRDefault="00BA37D8" w:rsidP="00BA37D8">
            <w:pPr>
              <w:rPr>
                <w:sz w:val="20"/>
                <w:szCs w:val="20"/>
              </w:rPr>
            </w:pPr>
            <w:r w:rsidRPr="00B9404B">
              <w:rPr>
                <w:rStyle w:val="SCCFileNumberChar"/>
                <w:sz w:val="20"/>
                <w:szCs w:val="20"/>
              </w:rPr>
              <w:t>34931</w:t>
            </w:r>
          </w:p>
          <w:p w:rsidR="00BA37D8" w:rsidRPr="00B9404B" w:rsidRDefault="00BA37D8" w:rsidP="00BA37D8">
            <w:pPr>
              <w:rPr>
                <w:b/>
                <w:sz w:val="20"/>
                <w:szCs w:val="20"/>
                <w:lang w:val="fr-CA"/>
              </w:rPr>
            </w:pPr>
          </w:p>
        </w:tc>
        <w:tc>
          <w:tcPr>
            <w:tcW w:w="8118" w:type="dxa"/>
          </w:tcPr>
          <w:p w:rsidR="00BA37D8" w:rsidRPr="00B9404B" w:rsidRDefault="00BA37D8" w:rsidP="00BA37D8">
            <w:pPr>
              <w:rPr>
                <w:sz w:val="20"/>
                <w:szCs w:val="20"/>
              </w:rPr>
            </w:pPr>
            <w:r w:rsidRPr="00B9404B">
              <w:rPr>
                <w:rStyle w:val="SCCLsocChar"/>
                <w:sz w:val="20"/>
                <w:szCs w:val="20"/>
              </w:rPr>
              <w:t>IBM Canada Limited v. Jean Samoisette</w:t>
            </w:r>
            <w:r w:rsidRPr="00B9404B">
              <w:rPr>
                <w:sz w:val="20"/>
                <w:szCs w:val="20"/>
                <w:lang w:val="fr-CA"/>
              </w:rPr>
              <w:t xml:space="preserve"> (Que.) </w:t>
            </w:r>
            <w:r w:rsidRPr="00B9404B">
              <w:rPr>
                <w:sz w:val="20"/>
                <w:szCs w:val="20"/>
              </w:rPr>
              <w:t>(Civil) (By Leave)</w:t>
            </w:r>
          </w:p>
          <w:p w:rsidR="00BA37D8" w:rsidRPr="00B9404B" w:rsidRDefault="00BA37D8" w:rsidP="00BA37D8">
            <w:pPr>
              <w:rPr>
                <w:sz w:val="20"/>
                <w:szCs w:val="20"/>
              </w:rPr>
            </w:pPr>
          </w:p>
        </w:tc>
      </w:tr>
      <w:tr w:rsidR="00BA37D8" w:rsidRPr="00B9404B" w:rsidTr="00BA37D8">
        <w:trPr>
          <w:cantSplit/>
        </w:trPr>
        <w:tc>
          <w:tcPr>
            <w:tcW w:w="1458" w:type="dxa"/>
          </w:tcPr>
          <w:p w:rsidR="00BA37D8" w:rsidRPr="00B9404B" w:rsidRDefault="00BA37D8" w:rsidP="00BA37D8">
            <w:pPr>
              <w:rPr>
                <w:sz w:val="20"/>
                <w:szCs w:val="20"/>
              </w:rPr>
            </w:pPr>
            <w:r w:rsidRPr="00B9404B">
              <w:rPr>
                <w:sz w:val="20"/>
                <w:szCs w:val="20"/>
              </w:rPr>
              <w:t>Coram :</w:t>
            </w:r>
          </w:p>
        </w:tc>
        <w:tc>
          <w:tcPr>
            <w:tcW w:w="8118" w:type="dxa"/>
          </w:tcPr>
          <w:p w:rsidR="00BA37D8" w:rsidRPr="00B9404B" w:rsidRDefault="00BA37D8" w:rsidP="00BA37D8">
            <w:pPr>
              <w:rPr>
                <w:sz w:val="20"/>
                <w:szCs w:val="20"/>
              </w:rPr>
            </w:pPr>
            <w:r w:rsidRPr="00BA37D8">
              <w:rPr>
                <w:rStyle w:val="SCCCoramChar"/>
                <w:sz w:val="20"/>
                <w:szCs w:val="20"/>
                <w:lang w:val="en-CA"/>
              </w:rPr>
              <w:t>LeBel, Abella and Cromwell JJ.</w:t>
            </w:r>
          </w:p>
          <w:p w:rsidR="00BA37D8" w:rsidRPr="00B9404B" w:rsidRDefault="00BA37D8" w:rsidP="00BA37D8">
            <w:pPr>
              <w:rPr>
                <w:sz w:val="20"/>
                <w:szCs w:val="20"/>
                <w:u w:val="single"/>
              </w:rPr>
            </w:pPr>
          </w:p>
        </w:tc>
      </w:tr>
      <w:tr w:rsidR="00BA37D8" w:rsidRPr="00DC2D1F" w:rsidTr="00BA37D8">
        <w:trPr>
          <w:cantSplit/>
        </w:trPr>
        <w:tc>
          <w:tcPr>
            <w:tcW w:w="9576" w:type="dxa"/>
            <w:gridSpan w:val="2"/>
          </w:tcPr>
          <w:p w:rsidR="00BA37D8" w:rsidRPr="00B9404B" w:rsidRDefault="00BA37D8" w:rsidP="00BA37D8">
            <w:pPr>
              <w:pStyle w:val="SCCShortJudgment"/>
              <w:rPr>
                <w:szCs w:val="20"/>
              </w:rPr>
            </w:pPr>
            <w:r w:rsidRPr="00B9404B">
              <w:rPr>
                <w:szCs w:val="20"/>
              </w:rPr>
              <w:t>The application for leave to appeal from the judgment of the Court of Appeal of Quebec (Montréal), Number 500-09-021086-103, 2012 QCCA 946, dated May 18, 2012, is dismissed with costs.</w:t>
            </w:r>
          </w:p>
          <w:p w:rsidR="00BA37D8" w:rsidRPr="00B9404B" w:rsidRDefault="00BA37D8" w:rsidP="00BA37D8">
            <w:pPr>
              <w:pStyle w:val="SCCShortJudgment"/>
              <w:ind w:firstLine="0"/>
              <w:rPr>
                <w:szCs w:val="20"/>
              </w:rPr>
            </w:pPr>
          </w:p>
          <w:p w:rsidR="00BA37D8" w:rsidRPr="00B9404B" w:rsidRDefault="00BA37D8" w:rsidP="00BA37D8">
            <w:pPr>
              <w:pStyle w:val="SCCShortJudgment"/>
              <w:rPr>
                <w:szCs w:val="20"/>
                <w:lang w:val="fr-CA"/>
              </w:rPr>
            </w:pPr>
            <w:r w:rsidRPr="00B9404B">
              <w:rPr>
                <w:szCs w:val="20"/>
                <w:lang w:val="fr-CA"/>
              </w:rPr>
              <w:t>La demande d’autorisation d’appel de l’arrêt de la Cour d’appel du Québec (Montréal), numéro 500-09-021086-103, 2012 QCCA 946, daté du 18 mai 2012, est rejetée avec dépens.</w:t>
            </w:r>
          </w:p>
        </w:tc>
      </w:tr>
    </w:tbl>
    <w:p w:rsidR="00A740D1" w:rsidRPr="00BA37D8" w:rsidRDefault="00A740D1" w:rsidP="00A740D1">
      <w:pPr>
        <w:rPr>
          <w:sz w:val="20"/>
          <w:szCs w:val="20"/>
          <w:lang w:val="fr-CA"/>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5599B" w:rsidRPr="00201A3F" w:rsidTr="005B1F40">
        <w:tc>
          <w:tcPr>
            <w:tcW w:w="5000" w:type="pct"/>
            <w:gridSpan w:val="3"/>
          </w:tcPr>
          <w:p w:rsidR="0085599B" w:rsidRPr="00201A3F" w:rsidRDefault="0085599B" w:rsidP="005B1F40">
            <w:pPr>
              <w:jc w:val="both"/>
              <w:rPr>
                <w:rFonts w:eastAsia="Calibri"/>
                <w:sz w:val="20"/>
              </w:rPr>
            </w:pPr>
            <w:r w:rsidRPr="00201A3F">
              <w:rPr>
                <w:rFonts w:eastAsia="Calibri"/>
                <w:sz w:val="20"/>
              </w:rPr>
              <w:t xml:space="preserve">Civil procedure — Class action — Criteria for authorizing — Retirement benefits under adhesion contract of employment changed unilaterally pursuant to clauses authorizing that procedure — Whether Court of Appeal wrongly interfered with exercise of Superior Court’s discretion as regards colour of right — Whether Court of Appeal provided insufficient reasons for decision — </w:t>
            </w:r>
            <w:r w:rsidRPr="00201A3F">
              <w:rPr>
                <w:rFonts w:eastAsia="Calibri"/>
                <w:i/>
                <w:sz w:val="20"/>
              </w:rPr>
              <w:t>Code of Civil Procedure</w:t>
            </w:r>
            <w:r w:rsidRPr="00201A3F">
              <w:rPr>
                <w:rFonts w:eastAsia="Calibri"/>
                <w:sz w:val="20"/>
              </w:rPr>
              <w:t>, R.S.Q. c. C</w:t>
            </w:r>
            <w:r w:rsidRPr="00201A3F">
              <w:rPr>
                <w:rFonts w:eastAsia="Calibri"/>
                <w:sz w:val="20"/>
              </w:rPr>
              <w:noBreakHyphen/>
              <w:t>25, art. 1003.</w:t>
            </w:r>
          </w:p>
        </w:tc>
      </w:tr>
      <w:tr w:rsidR="0085599B" w:rsidRPr="00201A3F" w:rsidTr="005B1F40">
        <w:tc>
          <w:tcPr>
            <w:tcW w:w="5000" w:type="pct"/>
            <w:gridSpan w:val="3"/>
          </w:tcPr>
          <w:p w:rsidR="0085599B" w:rsidRPr="00201A3F" w:rsidRDefault="0085599B" w:rsidP="005B1F40">
            <w:pPr>
              <w:jc w:val="both"/>
              <w:rPr>
                <w:rFonts w:eastAsia="Calibri"/>
                <w:sz w:val="20"/>
              </w:rPr>
            </w:pPr>
          </w:p>
        </w:tc>
      </w:tr>
      <w:tr w:rsidR="0085599B" w:rsidRPr="00201A3F" w:rsidTr="005B1F40">
        <w:tc>
          <w:tcPr>
            <w:tcW w:w="5000" w:type="pct"/>
            <w:gridSpan w:val="3"/>
          </w:tcPr>
          <w:p w:rsidR="0085599B" w:rsidRPr="00201A3F" w:rsidRDefault="0085599B" w:rsidP="005B1F40">
            <w:pPr>
              <w:jc w:val="both"/>
              <w:rPr>
                <w:rFonts w:eastAsia="Calibri"/>
                <w:sz w:val="20"/>
              </w:rPr>
            </w:pPr>
            <w:r w:rsidRPr="00201A3F">
              <w:rPr>
                <w:rFonts w:eastAsia="Calibri"/>
                <w:sz w:val="20"/>
              </w:rPr>
              <w:t xml:space="preserve">The respondent was one of several hundred workers affected by recent reductions in retirement benefits by their employer, IBM.  The workers were not unionized and were subject to a contract containing a unilateral amendment clause.  The respondent, who was eligible to retire but had not yet done so, sought to institute a class action on behalf </w:t>
            </w:r>
            <w:r w:rsidRPr="00201A3F">
              <w:rPr>
                <w:rFonts w:eastAsia="Calibri"/>
                <w:sz w:val="20"/>
              </w:rPr>
              <w:lastRenderedPageBreak/>
              <w:t>of retired employees, employees who were eligible to retire but had not yet retired, and employees who were not yet eligible for retirement.</w:t>
            </w:r>
          </w:p>
          <w:p w:rsidR="0085599B" w:rsidRPr="00201A3F" w:rsidRDefault="0085599B" w:rsidP="005B1F40">
            <w:pPr>
              <w:jc w:val="both"/>
              <w:rPr>
                <w:rFonts w:eastAsia="Calibri"/>
                <w:sz w:val="20"/>
              </w:rPr>
            </w:pP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lastRenderedPageBreak/>
              <w:t>September 10, 2010</w:t>
            </w:r>
          </w:p>
          <w:p w:rsidR="0085599B" w:rsidRPr="00201A3F" w:rsidRDefault="0085599B" w:rsidP="005B1F40">
            <w:pPr>
              <w:jc w:val="both"/>
              <w:rPr>
                <w:rFonts w:eastAsia="Calibri"/>
                <w:sz w:val="20"/>
              </w:rPr>
            </w:pPr>
            <w:r w:rsidRPr="00201A3F">
              <w:rPr>
                <w:rFonts w:eastAsia="Calibri"/>
                <w:sz w:val="20"/>
              </w:rPr>
              <w:t>Quebec Superior Court</w:t>
            </w:r>
          </w:p>
          <w:p w:rsidR="0085599B" w:rsidRPr="00201A3F" w:rsidRDefault="0085599B" w:rsidP="005B1F40">
            <w:pPr>
              <w:jc w:val="both"/>
              <w:rPr>
                <w:rFonts w:eastAsia="Calibri"/>
                <w:sz w:val="20"/>
              </w:rPr>
            </w:pPr>
            <w:r w:rsidRPr="00201A3F">
              <w:rPr>
                <w:rFonts w:eastAsia="Calibri"/>
                <w:sz w:val="20"/>
              </w:rPr>
              <w:t>(Castiglio J.)</w:t>
            </w:r>
          </w:p>
          <w:p w:rsidR="0085599B" w:rsidRPr="00201A3F" w:rsidRDefault="0085599B" w:rsidP="005B1F40">
            <w:pPr>
              <w:jc w:val="both"/>
              <w:rPr>
                <w:rFonts w:eastAsia="Calibri"/>
                <w:sz w:val="20"/>
              </w:rPr>
            </w:pPr>
            <w:r w:rsidRPr="00201A3F">
              <w:rPr>
                <w:rFonts w:eastAsia="Calibri"/>
                <w:sz w:val="20"/>
              </w:rPr>
              <w:t>2010 QCCS 4312</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 xml:space="preserve">Respondent’s motion for authorization to institute class action against applicant dismissed </w:t>
            </w:r>
          </w:p>
          <w:p w:rsidR="0085599B" w:rsidRPr="00201A3F" w:rsidRDefault="0085599B" w:rsidP="005B1F40">
            <w:pPr>
              <w:jc w:val="both"/>
              <w:rPr>
                <w:rFonts w:eastAsia="Calibri"/>
                <w:sz w:val="20"/>
              </w:rPr>
            </w:pP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t>May 18, 2012</w:t>
            </w:r>
          </w:p>
          <w:p w:rsidR="0085599B" w:rsidRPr="00201A3F" w:rsidRDefault="0085599B" w:rsidP="005B1F40">
            <w:pPr>
              <w:jc w:val="both"/>
              <w:rPr>
                <w:rFonts w:eastAsia="Calibri"/>
                <w:sz w:val="20"/>
              </w:rPr>
            </w:pPr>
            <w:r w:rsidRPr="00201A3F">
              <w:rPr>
                <w:rFonts w:eastAsia="Calibri"/>
                <w:sz w:val="20"/>
              </w:rPr>
              <w:t>Quebec Court of Appeal (Montréal)</w:t>
            </w:r>
          </w:p>
          <w:p w:rsidR="0085599B" w:rsidRPr="00201A3F" w:rsidRDefault="0085599B" w:rsidP="005B1F40">
            <w:pPr>
              <w:jc w:val="both"/>
              <w:rPr>
                <w:rFonts w:eastAsia="Calibri"/>
                <w:sz w:val="20"/>
              </w:rPr>
            </w:pPr>
            <w:r w:rsidRPr="00201A3F">
              <w:rPr>
                <w:rFonts w:eastAsia="Calibri"/>
                <w:sz w:val="20"/>
              </w:rPr>
              <w:t>(Dalphond, Giroux and Dufresne JJ.A.)</w:t>
            </w:r>
          </w:p>
          <w:p w:rsidR="0085599B" w:rsidRDefault="0085599B" w:rsidP="005B1F40">
            <w:pPr>
              <w:jc w:val="both"/>
              <w:rPr>
                <w:rFonts w:eastAsia="Calibri"/>
                <w:sz w:val="20"/>
              </w:rPr>
            </w:pPr>
            <w:r w:rsidRPr="00201A3F">
              <w:rPr>
                <w:rFonts w:eastAsia="Calibri"/>
                <w:sz w:val="20"/>
              </w:rPr>
              <w:t>2012 QCCA 946</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Appeal allowed; class action authorized</w:t>
            </w:r>
          </w:p>
        </w:tc>
      </w:tr>
      <w:tr w:rsidR="0085599B" w:rsidRPr="00201A3F" w:rsidTr="005B1F40">
        <w:tc>
          <w:tcPr>
            <w:tcW w:w="2427" w:type="pct"/>
          </w:tcPr>
          <w:p w:rsidR="0085599B" w:rsidRPr="00201A3F" w:rsidRDefault="0085599B" w:rsidP="005B1F40">
            <w:pPr>
              <w:jc w:val="both"/>
              <w:rPr>
                <w:rFonts w:eastAsia="Calibri"/>
                <w:sz w:val="20"/>
              </w:rPr>
            </w:pPr>
            <w:r w:rsidRPr="00201A3F">
              <w:rPr>
                <w:rFonts w:eastAsia="Calibri"/>
                <w:sz w:val="20"/>
              </w:rPr>
              <w:t>August 17, 2012</w:t>
            </w:r>
          </w:p>
          <w:p w:rsidR="0085599B" w:rsidRPr="00201A3F" w:rsidRDefault="0085599B" w:rsidP="005B1F40">
            <w:pPr>
              <w:jc w:val="both"/>
              <w:rPr>
                <w:rFonts w:eastAsia="Calibri"/>
                <w:sz w:val="20"/>
              </w:rPr>
            </w:pPr>
            <w:r w:rsidRPr="00201A3F">
              <w:rPr>
                <w:rFonts w:eastAsia="Calibri"/>
                <w:sz w:val="20"/>
              </w:rPr>
              <w:t>Supreme Court of Canada</w:t>
            </w: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rPr>
            </w:pPr>
            <w:r w:rsidRPr="00201A3F">
              <w:rPr>
                <w:rFonts w:eastAsia="Calibri"/>
                <w:sz w:val="20"/>
              </w:rPr>
              <w:t>Application for leave to appeal filed</w:t>
            </w:r>
          </w:p>
          <w:p w:rsidR="0085599B" w:rsidRPr="00201A3F" w:rsidRDefault="0085599B" w:rsidP="005B1F40">
            <w:pPr>
              <w:jc w:val="both"/>
              <w:rPr>
                <w:rFonts w:eastAsia="Calibri"/>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74"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85599B" w:rsidRPr="00DC2D1F" w:rsidTr="005B1F40">
        <w:tc>
          <w:tcPr>
            <w:tcW w:w="5000" w:type="pct"/>
            <w:gridSpan w:val="3"/>
          </w:tcPr>
          <w:p w:rsidR="0085599B" w:rsidRPr="00201A3F" w:rsidRDefault="0085599B" w:rsidP="005B1F40">
            <w:pPr>
              <w:jc w:val="both"/>
              <w:rPr>
                <w:rFonts w:eastAsia="Calibri"/>
                <w:sz w:val="20"/>
                <w:lang w:val="fr-FR"/>
              </w:rPr>
            </w:pPr>
            <w:r w:rsidRPr="00201A3F">
              <w:rPr>
                <w:rFonts w:eastAsia="Calibri"/>
                <w:sz w:val="20"/>
                <w:lang w:val="fr-CA"/>
              </w:rPr>
              <w:t xml:space="preserve">Procédure civile — Recours collectif — Critères d’autorisation — Modification unilatérale des avantages attachés à la retraite dans un contrat de travail d’adhésion en application de clauses permettant ce procédé — La Cour d’appel est-elle intervenue à tort dans l’exercice de la discrétion de la Cour supérieure quant à l’apparence de droit? — La Cour d’appel a-t-elle rendu une décision insuffisamment motivée? — </w:t>
            </w:r>
            <w:r w:rsidRPr="00201A3F">
              <w:rPr>
                <w:rFonts w:eastAsia="Calibri"/>
                <w:i/>
                <w:sz w:val="20"/>
                <w:lang w:val="fr-CA"/>
              </w:rPr>
              <w:t>Code de procédure civile</w:t>
            </w:r>
            <w:r w:rsidRPr="00201A3F">
              <w:rPr>
                <w:rFonts w:eastAsia="Calibri"/>
                <w:sz w:val="20"/>
                <w:lang w:val="fr-CA"/>
              </w:rPr>
              <w:t>, L.R.Q. ch. 25, art. 1003.</w:t>
            </w:r>
          </w:p>
        </w:tc>
      </w:tr>
      <w:tr w:rsidR="0085599B" w:rsidRPr="00DC2D1F" w:rsidTr="005B1F40">
        <w:tc>
          <w:tcPr>
            <w:tcW w:w="5000" w:type="pct"/>
            <w:gridSpan w:val="3"/>
          </w:tcPr>
          <w:p w:rsidR="0085599B" w:rsidRPr="00201A3F" w:rsidRDefault="0085599B" w:rsidP="005B1F40">
            <w:pPr>
              <w:jc w:val="both"/>
              <w:rPr>
                <w:rFonts w:eastAsia="Calibri"/>
                <w:sz w:val="20"/>
                <w:lang w:val="fr-CA"/>
              </w:rPr>
            </w:pPr>
          </w:p>
        </w:tc>
      </w:tr>
      <w:tr w:rsidR="0085599B" w:rsidRPr="00DC2D1F" w:rsidTr="005B1F40">
        <w:tc>
          <w:tcPr>
            <w:tcW w:w="5000" w:type="pct"/>
            <w:gridSpan w:val="3"/>
          </w:tcPr>
          <w:p w:rsidR="0085599B" w:rsidRPr="00201A3F" w:rsidRDefault="0085599B" w:rsidP="005B1F40">
            <w:pPr>
              <w:jc w:val="both"/>
              <w:rPr>
                <w:rFonts w:eastAsia="Calibri"/>
                <w:sz w:val="20"/>
                <w:lang w:val="fr-CA"/>
              </w:rPr>
            </w:pPr>
            <w:r w:rsidRPr="00201A3F">
              <w:rPr>
                <w:rFonts w:eastAsia="Calibri"/>
                <w:sz w:val="20"/>
                <w:lang w:val="fr-CA"/>
              </w:rPr>
              <w:t>L’intimé fait partie de plusieurs centaines de travailleurs visés par les récentes diminutions d’avantages liés à la retraite chez leur employeur IBM.  Non-syndiqués, les travailleurs adhèrent à un contrat contenant une clause de modification unilatérale.  L’intimé, qui est admissible à la retraite mais ne l’a pas prise encore, demande à exercer un recours collectif au nom d’employés retraités, d’employés admissibles à la retraite mais ne l’ayant pas encore prise, et d’employés non admissibles à la retraite pour le moment.</w:t>
            </w:r>
          </w:p>
          <w:p w:rsidR="0085599B" w:rsidRPr="00201A3F" w:rsidRDefault="0085599B" w:rsidP="005B1F40">
            <w:pPr>
              <w:jc w:val="both"/>
              <w:rPr>
                <w:rFonts w:eastAsia="Calibri"/>
                <w:sz w:val="20"/>
                <w:lang w:val="fr-CA"/>
              </w:rPr>
            </w:pPr>
          </w:p>
        </w:tc>
      </w:tr>
      <w:tr w:rsidR="0085599B" w:rsidRPr="00DC2D1F" w:rsidTr="005B1F40">
        <w:tc>
          <w:tcPr>
            <w:tcW w:w="2427" w:type="pct"/>
          </w:tcPr>
          <w:p w:rsidR="0085599B" w:rsidRPr="00201A3F" w:rsidRDefault="0085599B" w:rsidP="005B1F40">
            <w:pPr>
              <w:jc w:val="both"/>
              <w:rPr>
                <w:rFonts w:eastAsia="Calibri"/>
                <w:sz w:val="20"/>
                <w:lang w:val="fr-CA"/>
              </w:rPr>
            </w:pPr>
            <w:r w:rsidRPr="00201A3F">
              <w:rPr>
                <w:rFonts w:eastAsia="Calibri"/>
                <w:sz w:val="20"/>
                <w:lang w:val="fr-CA"/>
              </w:rPr>
              <w:t>Le 10 septembre 2010</w:t>
            </w:r>
          </w:p>
          <w:p w:rsidR="0085599B" w:rsidRPr="00201A3F" w:rsidRDefault="0085599B" w:rsidP="005B1F40">
            <w:pPr>
              <w:jc w:val="both"/>
              <w:rPr>
                <w:rFonts w:eastAsia="Calibri"/>
                <w:sz w:val="20"/>
                <w:lang w:val="fr-CA"/>
              </w:rPr>
            </w:pPr>
            <w:r w:rsidRPr="00201A3F">
              <w:rPr>
                <w:rFonts w:eastAsia="Calibri"/>
                <w:sz w:val="20"/>
                <w:lang w:val="fr-CA"/>
              </w:rPr>
              <w:t>Cour supérieure du Québec</w:t>
            </w:r>
          </w:p>
          <w:p w:rsidR="0085599B" w:rsidRPr="00201A3F" w:rsidRDefault="0085599B" w:rsidP="005B1F40">
            <w:pPr>
              <w:jc w:val="both"/>
              <w:rPr>
                <w:rFonts w:eastAsia="Calibri"/>
                <w:sz w:val="20"/>
                <w:lang w:val="fr-CA"/>
              </w:rPr>
            </w:pPr>
            <w:r w:rsidRPr="00201A3F">
              <w:rPr>
                <w:rFonts w:eastAsia="Calibri"/>
                <w:sz w:val="20"/>
                <w:lang w:val="fr-CA"/>
              </w:rPr>
              <w:t>(Le juge Castiglio)</w:t>
            </w:r>
          </w:p>
          <w:p w:rsidR="0085599B" w:rsidRPr="00201A3F" w:rsidRDefault="0085599B" w:rsidP="005B1F40">
            <w:pPr>
              <w:jc w:val="both"/>
              <w:rPr>
                <w:rFonts w:eastAsia="Calibri"/>
                <w:sz w:val="20"/>
                <w:lang w:val="fr-CA"/>
              </w:rPr>
            </w:pPr>
            <w:r w:rsidRPr="00201A3F">
              <w:rPr>
                <w:rFonts w:eastAsia="Calibri"/>
                <w:sz w:val="20"/>
                <w:lang w:val="fr-CA"/>
              </w:rPr>
              <w:t>2010 QCCS 4312</w:t>
            </w:r>
          </w:p>
          <w:p w:rsidR="0085599B" w:rsidRPr="00201A3F" w:rsidRDefault="0085599B" w:rsidP="005B1F40">
            <w:pPr>
              <w:jc w:val="both"/>
              <w:rPr>
                <w:rFonts w:eastAsia="Calibri"/>
                <w:sz w:val="20"/>
              </w:rPr>
            </w:pPr>
          </w:p>
        </w:tc>
        <w:tc>
          <w:tcPr>
            <w:tcW w:w="243" w:type="pct"/>
          </w:tcPr>
          <w:p w:rsidR="0085599B" w:rsidRPr="00201A3F" w:rsidRDefault="0085599B" w:rsidP="005B1F40">
            <w:pPr>
              <w:jc w:val="both"/>
              <w:rPr>
                <w:rFonts w:eastAsia="Calibri"/>
                <w:sz w:val="20"/>
              </w:rPr>
            </w:pPr>
          </w:p>
        </w:tc>
        <w:tc>
          <w:tcPr>
            <w:tcW w:w="2330" w:type="pct"/>
          </w:tcPr>
          <w:p w:rsidR="0085599B" w:rsidRPr="00201A3F" w:rsidRDefault="0085599B" w:rsidP="005B1F40">
            <w:pPr>
              <w:jc w:val="both"/>
              <w:rPr>
                <w:rFonts w:eastAsia="Calibri"/>
                <w:sz w:val="20"/>
                <w:lang w:val="fr-CA"/>
              </w:rPr>
            </w:pPr>
            <w:r w:rsidRPr="00201A3F">
              <w:rPr>
                <w:rFonts w:eastAsia="Calibri"/>
                <w:sz w:val="20"/>
                <w:lang w:val="fr-CA"/>
              </w:rPr>
              <w:t xml:space="preserve">Rejet de la requête de l’intimé en autorisation de recours collectif contre la demanderesse. </w:t>
            </w:r>
          </w:p>
          <w:p w:rsidR="0085599B" w:rsidRPr="00201A3F" w:rsidRDefault="0085599B" w:rsidP="005B1F40">
            <w:pPr>
              <w:jc w:val="both"/>
              <w:rPr>
                <w:rFonts w:eastAsia="Calibri"/>
                <w:sz w:val="20"/>
                <w:lang w:val="fr-CA"/>
              </w:rPr>
            </w:pPr>
          </w:p>
        </w:tc>
      </w:tr>
      <w:tr w:rsidR="0085599B" w:rsidRPr="00DC2D1F" w:rsidTr="005B1F40">
        <w:tc>
          <w:tcPr>
            <w:tcW w:w="2427" w:type="pct"/>
          </w:tcPr>
          <w:p w:rsidR="0085599B" w:rsidRPr="00201A3F" w:rsidRDefault="0085599B" w:rsidP="005B1F40">
            <w:pPr>
              <w:jc w:val="both"/>
              <w:rPr>
                <w:rFonts w:eastAsia="Calibri"/>
                <w:sz w:val="20"/>
                <w:lang w:val="fr-CA"/>
              </w:rPr>
            </w:pPr>
            <w:r w:rsidRPr="00201A3F">
              <w:rPr>
                <w:rFonts w:eastAsia="Calibri"/>
                <w:sz w:val="20"/>
                <w:lang w:val="fr-CA"/>
              </w:rPr>
              <w:t>Le 18 mai 2012</w:t>
            </w:r>
          </w:p>
          <w:p w:rsidR="0085599B" w:rsidRPr="00201A3F" w:rsidRDefault="0085599B" w:rsidP="005B1F40">
            <w:pPr>
              <w:jc w:val="both"/>
              <w:rPr>
                <w:rFonts w:eastAsia="Calibri"/>
                <w:sz w:val="20"/>
                <w:lang w:val="fr-CA"/>
              </w:rPr>
            </w:pPr>
            <w:r w:rsidRPr="00201A3F">
              <w:rPr>
                <w:rFonts w:eastAsia="Calibri"/>
                <w:sz w:val="20"/>
                <w:lang w:val="fr-CA"/>
              </w:rPr>
              <w:t>Cour d’appel du Québec (Montréal)</w:t>
            </w:r>
          </w:p>
          <w:p w:rsidR="0085599B" w:rsidRPr="00201A3F" w:rsidRDefault="0085599B" w:rsidP="005B1F40">
            <w:pPr>
              <w:jc w:val="both"/>
              <w:rPr>
                <w:rFonts w:eastAsia="Calibri"/>
                <w:sz w:val="20"/>
                <w:lang w:val="fr-CA"/>
              </w:rPr>
            </w:pPr>
            <w:r w:rsidRPr="00201A3F">
              <w:rPr>
                <w:rFonts w:eastAsia="Calibri"/>
                <w:sz w:val="20"/>
                <w:lang w:val="fr-CA"/>
              </w:rPr>
              <w:t>(Les juges Dalphond, Giroux et Dufresne)</w:t>
            </w:r>
          </w:p>
          <w:p w:rsidR="0085599B" w:rsidRPr="00201A3F" w:rsidRDefault="0085599B" w:rsidP="005B1F40">
            <w:pPr>
              <w:jc w:val="both"/>
              <w:rPr>
                <w:rFonts w:eastAsia="Calibri"/>
                <w:sz w:val="20"/>
                <w:lang w:val="fr-CA"/>
              </w:rPr>
            </w:pPr>
            <w:r w:rsidRPr="00201A3F">
              <w:rPr>
                <w:rFonts w:eastAsia="Calibri"/>
                <w:sz w:val="20"/>
                <w:lang w:val="fr-CA"/>
              </w:rPr>
              <w:t>2012 QCCA 946</w:t>
            </w:r>
          </w:p>
          <w:p w:rsidR="0085599B" w:rsidRPr="00201A3F" w:rsidRDefault="0085599B" w:rsidP="005B1F40">
            <w:pPr>
              <w:jc w:val="both"/>
              <w:rPr>
                <w:rFonts w:eastAsia="Calibri"/>
                <w:sz w:val="20"/>
                <w:lang w:val="fr-FR"/>
              </w:rPr>
            </w:pPr>
          </w:p>
        </w:tc>
        <w:tc>
          <w:tcPr>
            <w:tcW w:w="243" w:type="pct"/>
          </w:tcPr>
          <w:p w:rsidR="0085599B" w:rsidRPr="00201A3F" w:rsidRDefault="0085599B" w:rsidP="005B1F40">
            <w:pPr>
              <w:jc w:val="both"/>
              <w:rPr>
                <w:rFonts w:eastAsia="Calibri"/>
                <w:sz w:val="20"/>
                <w:lang w:val="fr-FR"/>
              </w:rPr>
            </w:pPr>
          </w:p>
        </w:tc>
        <w:tc>
          <w:tcPr>
            <w:tcW w:w="2330" w:type="pct"/>
          </w:tcPr>
          <w:p w:rsidR="0085599B" w:rsidRPr="00201A3F" w:rsidRDefault="0085599B" w:rsidP="005B1F40">
            <w:pPr>
              <w:jc w:val="both"/>
              <w:rPr>
                <w:rFonts w:eastAsia="Calibri"/>
                <w:sz w:val="20"/>
                <w:lang w:val="fr-CA"/>
              </w:rPr>
            </w:pPr>
            <w:r w:rsidRPr="00201A3F">
              <w:rPr>
                <w:rFonts w:eastAsia="Calibri"/>
                <w:sz w:val="20"/>
                <w:lang w:val="fr-CA"/>
              </w:rPr>
              <w:t>Appel accueilli; recours collectif autorisé.</w:t>
            </w:r>
          </w:p>
        </w:tc>
      </w:tr>
      <w:tr w:rsidR="0085599B" w:rsidRPr="00201A3F" w:rsidTr="005B1F40">
        <w:tc>
          <w:tcPr>
            <w:tcW w:w="2427" w:type="pct"/>
          </w:tcPr>
          <w:p w:rsidR="0085599B" w:rsidRPr="00201A3F" w:rsidRDefault="0085599B" w:rsidP="005B1F40">
            <w:pPr>
              <w:jc w:val="both"/>
              <w:rPr>
                <w:rFonts w:eastAsia="Calibri"/>
                <w:sz w:val="20"/>
                <w:lang w:val="fr-CA"/>
              </w:rPr>
            </w:pPr>
            <w:r w:rsidRPr="00201A3F">
              <w:rPr>
                <w:rFonts w:eastAsia="Calibri"/>
                <w:sz w:val="20"/>
                <w:lang w:val="fr-CA"/>
              </w:rPr>
              <w:t>Le 17 août 2012</w:t>
            </w:r>
          </w:p>
          <w:p w:rsidR="0085599B" w:rsidRPr="00201A3F" w:rsidRDefault="0085599B" w:rsidP="005B1F40">
            <w:pPr>
              <w:jc w:val="both"/>
              <w:rPr>
                <w:rFonts w:eastAsia="Calibri"/>
                <w:sz w:val="20"/>
                <w:lang w:val="fr-FR"/>
              </w:rPr>
            </w:pPr>
            <w:r w:rsidRPr="00201A3F">
              <w:rPr>
                <w:rFonts w:eastAsia="Calibri"/>
                <w:sz w:val="20"/>
                <w:lang w:val="fr-CA"/>
              </w:rPr>
              <w:t>Cour suprême du Canada</w:t>
            </w:r>
          </w:p>
        </w:tc>
        <w:tc>
          <w:tcPr>
            <w:tcW w:w="243" w:type="pct"/>
          </w:tcPr>
          <w:p w:rsidR="0085599B" w:rsidRPr="00201A3F" w:rsidRDefault="0085599B" w:rsidP="005B1F40">
            <w:pPr>
              <w:jc w:val="both"/>
              <w:rPr>
                <w:rFonts w:eastAsia="Calibri"/>
                <w:sz w:val="20"/>
                <w:lang w:val="fr-FR"/>
              </w:rPr>
            </w:pPr>
          </w:p>
        </w:tc>
        <w:tc>
          <w:tcPr>
            <w:tcW w:w="2330" w:type="pct"/>
          </w:tcPr>
          <w:p w:rsidR="0085599B" w:rsidRPr="00201A3F" w:rsidRDefault="0085599B" w:rsidP="005B1F40">
            <w:pPr>
              <w:jc w:val="both"/>
              <w:rPr>
                <w:rFonts w:eastAsia="Calibri"/>
                <w:sz w:val="20"/>
                <w:lang w:val="fr-CA"/>
              </w:rPr>
            </w:pPr>
            <w:r w:rsidRPr="00201A3F">
              <w:rPr>
                <w:rFonts w:eastAsia="Calibri"/>
                <w:sz w:val="20"/>
                <w:lang w:val="fr-CA"/>
              </w:rPr>
              <w:t>Demande d'autorisation d'appel déposée.</w:t>
            </w:r>
          </w:p>
          <w:p w:rsidR="0085599B" w:rsidRPr="00201A3F" w:rsidRDefault="0085599B" w:rsidP="005B1F40">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75" style="width:2in;height:1pt" o:hrpct="0" o:hralign="center" o:hrstd="t" o:hrnoshade="t" o:hr="t" fillcolor="black [3213]" stroked="f"/>
        </w:pict>
      </w:r>
    </w:p>
    <w:p w:rsidR="00A740D1" w:rsidRDefault="00A740D1" w:rsidP="00A740D1">
      <w:pPr>
        <w:rPr>
          <w:sz w:val="20"/>
          <w:szCs w:val="20"/>
        </w:rPr>
      </w:pPr>
    </w:p>
    <w:p w:rsidR="00C4561E" w:rsidRDefault="00C4561E">
      <w:pPr>
        <w:rPr>
          <w:sz w:val="20"/>
          <w:szCs w:val="20"/>
        </w:rPr>
      </w:pPr>
      <w:r>
        <w:rPr>
          <w:sz w:val="20"/>
          <w:szCs w:val="20"/>
        </w:rPr>
        <w:br w:type="page"/>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561E" w:rsidRPr="00DC2D1F" w:rsidTr="007A1180">
        <w:trPr>
          <w:cantSplit/>
        </w:trPr>
        <w:tc>
          <w:tcPr>
            <w:tcW w:w="1458" w:type="dxa"/>
          </w:tcPr>
          <w:p w:rsidR="00C4561E" w:rsidRPr="00C4561E" w:rsidRDefault="00C4561E" w:rsidP="007A1180">
            <w:pPr>
              <w:rPr>
                <w:sz w:val="20"/>
                <w:szCs w:val="20"/>
              </w:rPr>
            </w:pPr>
            <w:r w:rsidRPr="00C4561E">
              <w:rPr>
                <w:rStyle w:val="SCCFileNumberChar"/>
                <w:sz w:val="20"/>
                <w:szCs w:val="20"/>
              </w:rPr>
              <w:lastRenderedPageBreak/>
              <w:t>34942</w:t>
            </w:r>
          </w:p>
          <w:p w:rsidR="00C4561E" w:rsidRPr="00C4561E" w:rsidRDefault="00C4561E" w:rsidP="007A1180">
            <w:pPr>
              <w:rPr>
                <w:b/>
                <w:sz w:val="20"/>
                <w:szCs w:val="20"/>
                <w:lang w:val="fr-CA"/>
              </w:rPr>
            </w:pPr>
          </w:p>
        </w:tc>
        <w:tc>
          <w:tcPr>
            <w:tcW w:w="8118" w:type="dxa"/>
          </w:tcPr>
          <w:p w:rsidR="00C4561E" w:rsidRPr="00C4561E" w:rsidRDefault="00C4561E" w:rsidP="007A1180">
            <w:pPr>
              <w:rPr>
                <w:sz w:val="20"/>
                <w:szCs w:val="20"/>
                <w:lang w:val="fr-CA"/>
              </w:rPr>
            </w:pPr>
            <w:r w:rsidRPr="00C4561E">
              <w:rPr>
                <w:rStyle w:val="SCCLsocChar"/>
                <w:sz w:val="20"/>
                <w:szCs w:val="20"/>
              </w:rPr>
              <w:t>Mario Bouchard c. Société d'assurance automobile du Québec</w:t>
            </w:r>
            <w:r w:rsidRPr="00C4561E">
              <w:rPr>
                <w:sz w:val="20"/>
                <w:szCs w:val="20"/>
                <w:lang w:val="fr-CA"/>
              </w:rPr>
              <w:t xml:space="preserve"> (Qc) (Civile) (Autorisation)</w:t>
            </w:r>
          </w:p>
          <w:p w:rsidR="00C4561E" w:rsidRPr="00C4561E" w:rsidRDefault="00C4561E" w:rsidP="007A1180">
            <w:pPr>
              <w:rPr>
                <w:sz w:val="20"/>
                <w:szCs w:val="20"/>
                <w:lang w:val="fr-CA"/>
              </w:rPr>
            </w:pPr>
          </w:p>
        </w:tc>
      </w:tr>
      <w:tr w:rsidR="00C4561E" w:rsidRPr="00DC2D1F" w:rsidTr="007A1180">
        <w:trPr>
          <w:cantSplit/>
        </w:trPr>
        <w:tc>
          <w:tcPr>
            <w:tcW w:w="1458" w:type="dxa"/>
          </w:tcPr>
          <w:p w:rsidR="00C4561E" w:rsidRPr="00C4561E" w:rsidRDefault="00C4561E" w:rsidP="007A1180">
            <w:pPr>
              <w:rPr>
                <w:sz w:val="20"/>
                <w:szCs w:val="20"/>
              </w:rPr>
            </w:pPr>
            <w:r w:rsidRPr="00C4561E">
              <w:rPr>
                <w:sz w:val="20"/>
                <w:szCs w:val="20"/>
              </w:rPr>
              <w:t>Coram :</w:t>
            </w:r>
          </w:p>
        </w:tc>
        <w:tc>
          <w:tcPr>
            <w:tcW w:w="8118" w:type="dxa"/>
          </w:tcPr>
          <w:p w:rsidR="00C4561E" w:rsidRPr="00C4561E" w:rsidRDefault="00C4561E" w:rsidP="007A1180">
            <w:pPr>
              <w:rPr>
                <w:sz w:val="20"/>
                <w:szCs w:val="20"/>
                <w:lang w:val="fr-CA"/>
              </w:rPr>
            </w:pPr>
            <w:r w:rsidRPr="00C4561E">
              <w:rPr>
                <w:rStyle w:val="SCCCoramChar"/>
                <w:sz w:val="20"/>
                <w:szCs w:val="20"/>
              </w:rPr>
              <w:t>Les juges LeBel, Abella et Cromwell</w:t>
            </w:r>
          </w:p>
          <w:p w:rsidR="00C4561E" w:rsidRPr="00C4561E" w:rsidRDefault="00C4561E" w:rsidP="007A1180">
            <w:pPr>
              <w:rPr>
                <w:sz w:val="20"/>
                <w:szCs w:val="20"/>
                <w:u w:val="single"/>
                <w:lang w:val="fr-CA"/>
              </w:rPr>
            </w:pPr>
          </w:p>
        </w:tc>
      </w:tr>
      <w:tr w:rsidR="00C4561E" w:rsidRPr="00C4561E" w:rsidTr="007A1180">
        <w:trPr>
          <w:cantSplit/>
        </w:trPr>
        <w:tc>
          <w:tcPr>
            <w:tcW w:w="9576" w:type="dxa"/>
            <w:gridSpan w:val="2"/>
          </w:tcPr>
          <w:p w:rsidR="00C4561E" w:rsidRPr="00C4561E" w:rsidRDefault="00C4561E" w:rsidP="007A1180">
            <w:pPr>
              <w:pStyle w:val="SCCShortJudgment"/>
              <w:rPr>
                <w:szCs w:val="20"/>
                <w:lang w:val="fr-CA"/>
              </w:rPr>
            </w:pPr>
            <w:r w:rsidRPr="00C4561E">
              <w:rPr>
                <w:szCs w:val="20"/>
                <w:lang w:val="fr-CA"/>
              </w:rPr>
              <w:t>La demande d’autorisation d’appel de l’arrêt de la Cour d’appel du Québec (Montréal), numéro 500-09-022441-125, 2012 QCCA 789, daté du 1er mai 2012, est rejetée avec dépens en faveur de l’intimée Société d’assurance automobile du Québec.</w:t>
            </w:r>
          </w:p>
          <w:p w:rsidR="00C4561E" w:rsidRPr="00C4561E" w:rsidRDefault="00C4561E" w:rsidP="007A1180">
            <w:pPr>
              <w:pStyle w:val="SCCShortJudgment"/>
              <w:ind w:firstLine="0"/>
              <w:rPr>
                <w:szCs w:val="20"/>
                <w:lang w:val="fr-CA"/>
              </w:rPr>
            </w:pPr>
          </w:p>
          <w:p w:rsidR="00C4561E" w:rsidRPr="00C4561E" w:rsidRDefault="00C4561E" w:rsidP="007A1180">
            <w:pPr>
              <w:pStyle w:val="SCCShortJudgment"/>
              <w:rPr>
                <w:szCs w:val="20"/>
              </w:rPr>
            </w:pPr>
            <w:r w:rsidRPr="00C4561E">
              <w:rPr>
                <w:szCs w:val="20"/>
              </w:rPr>
              <w:t>The application for leave to appeal from the judgment of the Court of Appeal of Quebec (Montréal), Number 500-09-022441-125, 2012 QCCA 789, dated May 1, 2012, is dismissed with costs to the respondent Société d’assurance automobile du Québec.</w:t>
            </w:r>
          </w:p>
        </w:tc>
      </w:tr>
    </w:tbl>
    <w:p w:rsidR="00A740D1" w:rsidRDefault="00A740D1" w:rsidP="00A740D1">
      <w:pPr>
        <w:rPr>
          <w:sz w:val="20"/>
          <w:szCs w:val="20"/>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085DE2" w:rsidRPr="00201A3F" w:rsidTr="005B1F40">
        <w:tc>
          <w:tcPr>
            <w:tcW w:w="5000" w:type="pct"/>
            <w:gridSpan w:val="3"/>
          </w:tcPr>
          <w:p w:rsidR="00085DE2" w:rsidRPr="00201A3F" w:rsidRDefault="00085DE2" w:rsidP="005B1F40">
            <w:pPr>
              <w:jc w:val="both"/>
              <w:rPr>
                <w:rFonts w:eastAsia="Calibri"/>
                <w:sz w:val="20"/>
              </w:rPr>
            </w:pPr>
            <w:r w:rsidRPr="00201A3F">
              <w:rPr>
                <w:rFonts w:eastAsia="Calibri"/>
                <w:sz w:val="20"/>
              </w:rPr>
              <w:t>Administrative law — Automobile insurance — Standard of review — Public decision</w:t>
            </w:r>
            <w:r w:rsidRPr="00201A3F">
              <w:rPr>
                <w:rFonts w:eastAsia="Calibri"/>
                <w:sz w:val="20"/>
              </w:rPr>
              <w:noBreakHyphen/>
              <w:t>making body rejecting causal connection between accident and subsequent medical condition — Whether decision at issue valid.</w:t>
            </w:r>
          </w:p>
        </w:tc>
      </w:tr>
      <w:tr w:rsidR="00085DE2" w:rsidRPr="00201A3F" w:rsidTr="005B1F40">
        <w:tc>
          <w:tcPr>
            <w:tcW w:w="5000" w:type="pct"/>
            <w:gridSpan w:val="3"/>
          </w:tcPr>
          <w:p w:rsidR="00085DE2" w:rsidRPr="00201A3F" w:rsidRDefault="00085DE2" w:rsidP="005B1F40">
            <w:pPr>
              <w:jc w:val="both"/>
              <w:rPr>
                <w:rFonts w:eastAsia="Calibri"/>
                <w:sz w:val="20"/>
              </w:rPr>
            </w:pPr>
          </w:p>
        </w:tc>
      </w:tr>
      <w:tr w:rsidR="00085DE2" w:rsidRPr="00201A3F" w:rsidTr="005B1F40">
        <w:tc>
          <w:tcPr>
            <w:tcW w:w="5000" w:type="pct"/>
            <w:gridSpan w:val="3"/>
          </w:tcPr>
          <w:p w:rsidR="00085DE2" w:rsidRPr="00201A3F" w:rsidRDefault="00085DE2" w:rsidP="005B1F40">
            <w:pPr>
              <w:jc w:val="both"/>
              <w:rPr>
                <w:rFonts w:eastAsia="Calibri"/>
                <w:sz w:val="20"/>
              </w:rPr>
            </w:pPr>
            <w:r w:rsidRPr="00201A3F">
              <w:rPr>
                <w:rFonts w:eastAsia="Calibri"/>
                <w:sz w:val="20"/>
              </w:rPr>
              <w:t>In November 2008, the Administrative Tribunal of Québec dismissed the applicant’s appeal from a decision of the Société de l’assurance automobile du Québec concerning a connection between his car accident in May 2002 and his cervicodorsal sprain diagnosed in January 2005.  In September 2011, the ATQ found that there was nothing reviewable in its previous decision.  The applicant applied for judicial review.</w:t>
            </w:r>
          </w:p>
          <w:p w:rsidR="00085DE2" w:rsidRPr="00201A3F" w:rsidRDefault="00085DE2" w:rsidP="005B1F40">
            <w:pPr>
              <w:jc w:val="both"/>
              <w:rPr>
                <w:rFonts w:eastAsia="Calibri"/>
                <w:sz w:val="20"/>
              </w:rPr>
            </w:pPr>
          </w:p>
        </w:tc>
      </w:tr>
      <w:tr w:rsidR="00085DE2" w:rsidRPr="00201A3F" w:rsidTr="005B1F40">
        <w:tc>
          <w:tcPr>
            <w:tcW w:w="2427" w:type="pct"/>
          </w:tcPr>
          <w:p w:rsidR="00085DE2" w:rsidRPr="00201A3F" w:rsidRDefault="00085DE2" w:rsidP="005B1F40">
            <w:pPr>
              <w:jc w:val="both"/>
              <w:rPr>
                <w:rFonts w:eastAsia="Calibri"/>
                <w:sz w:val="20"/>
              </w:rPr>
            </w:pPr>
            <w:r w:rsidRPr="00201A3F">
              <w:rPr>
                <w:rFonts w:eastAsia="Calibri"/>
                <w:sz w:val="20"/>
              </w:rPr>
              <w:t>February 2, 2012</w:t>
            </w:r>
          </w:p>
          <w:p w:rsidR="00085DE2" w:rsidRPr="00201A3F" w:rsidRDefault="00085DE2" w:rsidP="005B1F40">
            <w:pPr>
              <w:jc w:val="both"/>
              <w:rPr>
                <w:rFonts w:eastAsia="Calibri"/>
                <w:sz w:val="20"/>
              </w:rPr>
            </w:pPr>
            <w:r w:rsidRPr="00201A3F">
              <w:rPr>
                <w:rFonts w:eastAsia="Calibri"/>
                <w:sz w:val="20"/>
              </w:rPr>
              <w:t>Quebec Superior Court</w:t>
            </w:r>
          </w:p>
          <w:p w:rsidR="00085DE2" w:rsidRPr="00201A3F" w:rsidRDefault="00085DE2" w:rsidP="005B1F40">
            <w:pPr>
              <w:jc w:val="both"/>
              <w:rPr>
                <w:rFonts w:eastAsia="Calibri"/>
                <w:sz w:val="20"/>
              </w:rPr>
            </w:pPr>
            <w:r w:rsidRPr="00201A3F">
              <w:rPr>
                <w:rFonts w:eastAsia="Calibri"/>
                <w:sz w:val="20"/>
              </w:rPr>
              <w:t>(Castiglio J.)</w:t>
            </w:r>
          </w:p>
          <w:p w:rsidR="00085DE2" w:rsidRPr="00201A3F" w:rsidRDefault="00085DE2" w:rsidP="005B1F40">
            <w:pPr>
              <w:jc w:val="both"/>
              <w:rPr>
                <w:rFonts w:eastAsia="Calibri"/>
                <w:sz w:val="20"/>
              </w:rPr>
            </w:pPr>
            <w:r w:rsidRPr="00201A3F">
              <w:rPr>
                <w:rFonts w:eastAsia="Calibri"/>
                <w:sz w:val="20"/>
              </w:rPr>
              <w:t>2012 QCCS 1571</w:t>
            </w:r>
          </w:p>
          <w:p w:rsidR="00085DE2" w:rsidRPr="00201A3F" w:rsidRDefault="00085DE2" w:rsidP="005B1F40">
            <w:pPr>
              <w:jc w:val="both"/>
              <w:rPr>
                <w:rFonts w:eastAsia="Calibri"/>
                <w:sz w:val="20"/>
              </w:rPr>
            </w:pP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rPr>
            </w:pPr>
            <w:r w:rsidRPr="00201A3F">
              <w:rPr>
                <w:rFonts w:eastAsia="Calibri"/>
                <w:sz w:val="20"/>
              </w:rPr>
              <w:t>Applicant’s application for judicial review dismissed</w:t>
            </w:r>
          </w:p>
        </w:tc>
      </w:tr>
      <w:tr w:rsidR="00085DE2" w:rsidRPr="00201A3F" w:rsidTr="005B1F40">
        <w:tc>
          <w:tcPr>
            <w:tcW w:w="2427" w:type="pct"/>
          </w:tcPr>
          <w:p w:rsidR="00085DE2" w:rsidRPr="00201A3F" w:rsidRDefault="00085DE2" w:rsidP="005B1F40">
            <w:pPr>
              <w:jc w:val="both"/>
              <w:rPr>
                <w:rFonts w:eastAsia="Calibri"/>
                <w:sz w:val="20"/>
              </w:rPr>
            </w:pPr>
            <w:r w:rsidRPr="00201A3F">
              <w:rPr>
                <w:rFonts w:eastAsia="Calibri"/>
                <w:sz w:val="20"/>
              </w:rPr>
              <w:t>May 1, 2012</w:t>
            </w:r>
          </w:p>
          <w:p w:rsidR="00085DE2" w:rsidRPr="00201A3F" w:rsidRDefault="00085DE2" w:rsidP="005B1F40">
            <w:pPr>
              <w:jc w:val="both"/>
              <w:rPr>
                <w:rFonts w:eastAsia="Calibri"/>
                <w:sz w:val="20"/>
              </w:rPr>
            </w:pPr>
            <w:r w:rsidRPr="00201A3F">
              <w:rPr>
                <w:rFonts w:eastAsia="Calibri"/>
                <w:sz w:val="20"/>
              </w:rPr>
              <w:t>Quebec Court of Appeal (Montréal)</w:t>
            </w:r>
          </w:p>
          <w:p w:rsidR="00085DE2" w:rsidRPr="00201A3F" w:rsidRDefault="00085DE2" w:rsidP="005B1F40">
            <w:pPr>
              <w:jc w:val="both"/>
              <w:rPr>
                <w:rFonts w:eastAsia="Calibri"/>
                <w:sz w:val="20"/>
              </w:rPr>
            </w:pPr>
            <w:r w:rsidRPr="00201A3F">
              <w:rPr>
                <w:rFonts w:eastAsia="Calibri"/>
                <w:sz w:val="20"/>
              </w:rPr>
              <w:t>(Léger J.A.)</w:t>
            </w:r>
          </w:p>
          <w:p w:rsidR="00085DE2" w:rsidRPr="00201A3F" w:rsidRDefault="00085DE2" w:rsidP="005B1F40">
            <w:pPr>
              <w:jc w:val="both"/>
              <w:rPr>
                <w:rFonts w:eastAsia="Calibri"/>
                <w:sz w:val="20"/>
              </w:rPr>
            </w:pPr>
            <w:r w:rsidRPr="00201A3F">
              <w:rPr>
                <w:rFonts w:eastAsia="Calibri"/>
                <w:sz w:val="20"/>
              </w:rPr>
              <w:t>2012 QCCA 789</w:t>
            </w:r>
          </w:p>
          <w:p w:rsidR="00085DE2" w:rsidRPr="00201A3F" w:rsidRDefault="00085DE2" w:rsidP="005B1F40">
            <w:pPr>
              <w:jc w:val="both"/>
              <w:rPr>
                <w:rFonts w:eastAsia="Calibri"/>
                <w:sz w:val="20"/>
              </w:rPr>
            </w:pP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rPr>
            </w:pPr>
            <w:r w:rsidRPr="00201A3F">
              <w:rPr>
                <w:rFonts w:eastAsia="Calibri"/>
                <w:sz w:val="20"/>
              </w:rPr>
              <w:t>Leave to appeal refused</w:t>
            </w:r>
          </w:p>
        </w:tc>
      </w:tr>
      <w:tr w:rsidR="00085DE2" w:rsidRPr="00201A3F" w:rsidTr="005B1F40">
        <w:tc>
          <w:tcPr>
            <w:tcW w:w="2427" w:type="pct"/>
          </w:tcPr>
          <w:p w:rsidR="00085DE2" w:rsidRPr="00201A3F" w:rsidRDefault="00085DE2" w:rsidP="005B1F40">
            <w:pPr>
              <w:jc w:val="both"/>
              <w:rPr>
                <w:rFonts w:eastAsia="Calibri"/>
                <w:sz w:val="20"/>
              </w:rPr>
            </w:pPr>
            <w:r w:rsidRPr="00201A3F">
              <w:rPr>
                <w:rFonts w:eastAsia="Calibri"/>
                <w:sz w:val="20"/>
              </w:rPr>
              <w:t>July 27, 2012</w:t>
            </w:r>
          </w:p>
          <w:p w:rsidR="00085DE2" w:rsidRPr="00201A3F" w:rsidRDefault="00085DE2" w:rsidP="005B1F40">
            <w:pPr>
              <w:jc w:val="both"/>
              <w:rPr>
                <w:rFonts w:eastAsia="Calibri"/>
                <w:sz w:val="20"/>
              </w:rPr>
            </w:pPr>
            <w:r w:rsidRPr="00201A3F">
              <w:rPr>
                <w:rFonts w:eastAsia="Calibri"/>
                <w:sz w:val="20"/>
              </w:rPr>
              <w:t>Supreme Court of Canada</w:t>
            </w: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rPr>
            </w:pPr>
            <w:r w:rsidRPr="00201A3F">
              <w:rPr>
                <w:rFonts w:eastAsia="Calibri"/>
                <w:sz w:val="20"/>
              </w:rPr>
              <w:t>Application for leave to appeal filed</w:t>
            </w:r>
          </w:p>
          <w:p w:rsidR="00085DE2" w:rsidRPr="00201A3F" w:rsidRDefault="00085DE2" w:rsidP="005B1F40">
            <w:pPr>
              <w:jc w:val="both"/>
              <w:rPr>
                <w:rFonts w:eastAsia="Calibri"/>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76"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085DE2" w:rsidRPr="00DC2D1F" w:rsidTr="005B1F40">
        <w:tc>
          <w:tcPr>
            <w:tcW w:w="5000" w:type="pct"/>
            <w:gridSpan w:val="3"/>
          </w:tcPr>
          <w:p w:rsidR="00085DE2" w:rsidRPr="00201A3F" w:rsidRDefault="00085DE2" w:rsidP="005B1F40">
            <w:pPr>
              <w:jc w:val="both"/>
              <w:rPr>
                <w:rFonts w:eastAsia="Calibri"/>
                <w:sz w:val="20"/>
                <w:lang w:val="fr-CA"/>
              </w:rPr>
            </w:pPr>
            <w:r w:rsidRPr="00201A3F">
              <w:rPr>
                <w:rFonts w:eastAsia="Calibri"/>
                <w:sz w:val="20"/>
                <w:lang w:val="fr-CA"/>
              </w:rPr>
              <w:t>Droit administratif — Assurance automobile — Norme de contrôle — Lien causal entre un accident et une condition médicale ultérieure rejeté par l’organisme public décideur — La décision en litige était</w:t>
            </w:r>
            <w:r w:rsidRPr="00201A3F">
              <w:rPr>
                <w:rFonts w:eastAsia="Calibri"/>
                <w:sz w:val="20"/>
                <w:lang w:val="fr-CA"/>
              </w:rPr>
              <w:noBreakHyphen/>
              <w:t>elle fondée?</w:t>
            </w:r>
          </w:p>
        </w:tc>
      </w:tr>
      <w:tr w:rsidR="00085DE2" w:rsidRPr="00DC2D1F" w:rsidTr="005B1F40">
        <w:tc>
          <w:tcPr>
            <w:tcW w:w="5000" w:type="pct"/>
            <w:gridSpan w:val="3"/>
          </w:tcPr>
          <w:p w:rsidR="00085DE2" w:rsidRPr="00201A3F" w:rsidRDefault="00085DE2" w:rsidP="005B1F40">
            <w:pPr>
              <w:jc w:val="both"/>
              <w:rPr>
                <w:rFonts w:eastAsia="Calibri"/>
                <w:sz w:val="20"/>
                <w:lang w:val="fr-CA"/>
              </w:rPr>
            </w:pPr>
          </w:p>
        </w:tc>
      </w:tr>
      <w:tr w:rsidR="00085DE2" w:rsidRPr="00201A3F" w:rsidTr="005B1F40">
        <w:tc>
          <w:tcPr>
            <w:tcW w:w="5000" w:type="pct"/>
            <w:gridSpan w:val="3"/>
          </w:tcPr>
          <w:p w:rsidR="00085DE2" w:rsidRPr="00201A3F" w:rsidRDefault="00085DE2" w:rsidP="005B1F40">
            <w:pPr>
              <w:jc w:val="both"/>
              <w:rPr>
                <w:rFonts w:eastAsia="Calibri"/>
                <w:sz w:val="20"/>
                <w:lang w:val="fr-CA"/>
              </w:rPr>
            </w:pPr>
            <w:r w:rsidRPr="00201A3F">
              <w:rPr>
                <w:rFonts w:eastAsia="Calibri"/>
                <w:sz w:val="20"/>
                <w:lang w:val="fr-CA"/>
              </w:rPr>
              <w:t>En novembre 2008, le Tribunal administratif du Québec rejette l’appel du demandeur d’une décision la Société de l'assurance automobile du Québec, au sujet d’un lien entre son accident de voiture, survenu en mai 2002, et son entorse cervico</w:t>
            </w:r>
            <w:r w:rsidRPr="00201A3F">
              <w:rPr>
                <w:rFonts w:eastAsia="Calibri"/>
                <w:sz w:val="20"/>
                <w:lang w:val="fr-CA"/>
              </w:rPr>
              <w:noBreakHyphen/>
              <w:t>dorsale, diagnostiquée en janvier 2005. En septembre 2011, le TAQ estime qu’il n’y a pas matière à révision de sa part.  Le demandeur sollicite une révision judiciaire.</w:t>
            </w:r>
          </w:p>
          <w:p w:rsidR="00085DE2" w:rsidRPr="00201A3F" w:rsidRDefault="00085DE2" w:rsidP="005B1F40">
            <w:pPr>
              <w:jc w:val="both"/>
              <w:rPr>
                <w:rFonts w:eastAsia="Calibri"/>
                <w:sz w:val="20"/>
                <w:lang w:val="fr-CA"/>
              </w:rPr>
            </w:pPr>
          </w:p>
        </w:tc>
      </w:tr>
      <w:tr w:rsidR="00085DE2" w:rsidRPr="00DC2D1F" w:rsidTr="00C4561E">
        <w:trPr>
          <w:cantSplit/>
        </w:trPr>
        <w:tc>
          <w:tcPr>
            <w:tcW w:w="2427" w:type="pct"/>
          </w:tcPr>
          <w:p w:rsidR="00085DE2" w:rsidRPr="00201A3F" w:rsidRDefault="00085DE2" w:rsidP="005B1F40">
            <w:pPr>
              <w:jc w:val="both"/>
              <w:rPr>
                <w:rFonts w:eastAsia="Calibri"/>
                <w:sz w:val="20"/>
                <w:lang w:val="fr-CA"/>
              </w:rPr>
            </w:pPr>
            <w:r w:rsidRPr="00201A3F">
              <w:rPr>
                <w:rFonts w:eastAsia="Calibri"/>
                <w:sz w:val="20"/>
                <w:lang w:val="fr-CA"/>
              </w:rPr>
              <w:lastRenderedPageBreak/>
              <w:t>Le 2 février 2012</w:t>
            </w:r>
          </w:p>
          <w:p w:rsidR="00085DE2" w:rsidRPr="00201A3F" w:rsidRDefault="00085DE2" w:rsidP="005B1F40">
            <w:pPr>
              <w:jc w:val="both"/>
              <w:rPr>
                <w:rFonts w:eastAsia="Calibri"/>
                <w:sz w:val="20"/>
                <w:lang w:val="fr-CA"/>
              </w:rPr>
            </w:pPr>
            <w:r w:rsidRPr="00201A3F">
              <w:rPr>
                <w:rFonts w:eastAsia="Calibri"/>
                <w:sz w:val="20"/>
                <w:lang w:val="fr-CA"/>
              </w:rPr>
              <w:t>Cour supérieure du Québec</w:t>
            </w:r>
          </w:p>
          <w:p w:rsidR="00085DE2" w:rsidRPr="00201A3F" w:rsidRDefault="00085DE2" w:rsidP="005B1F40">
            <w:pPr>
              <w:jc w:val="both"/>
              <w:rPr>
                <w:rFonts w:eastAsia="Calibri"/>
                <w:sz w:val="20"/>
                <w:lang w:val="fr-CA"/>
              </w:rPr>
            </w:pPr>
            <w:r w:rsidRPr="00201A3F">
              <w:rPr>
                <w:rFonts w:eastAsia="Calibri"/>
                <w:sz w:val="20"/>
                <w:lang w:val="fr-CA"/>
              </w:rPr>
              <w:t>(Le juge Castiglio)</w:t>
            </w:r>
          </w:p>
          <w:p w:rsidR="00085DE2" w:rsidRPr="00201A3F" w:rsidRDefault="00085DE2" w:rsidP="005B1F40">
            <w:pPr>
              <w:jc w:val="both"/>
              <w:rPr>
                <w:rFonts w:eastAsia="Calibri"/>
                <w:sz w:val="20"/>
                <w:lang w:val="fr-CA"/>
              </w:rPr>
            </w:pPr>
            <w:r w:rsidRPr="00201A3F">
              <w:rPr>
                <w:rFonts w:eastAsia="Calibri"/>
                <w:sz w:val="20"/>
                <w:lang w:val="fr-CA"/>
              </w:rPr>
              <w:t>2012 QCCS 1571</w:t>
            </w:r>
          </w:p>
          <w:p w:rsidR="00085DE2" w:rsidRPr="00201A3F" w:rsidRDefault="00085DE2" w:rsidP="005B1F40">
            <w:pPr>
              <w:jc w:val="both"/>
              <w:rPr>
                <w:rFonts w:eastAsia="Calibri"/>
                <w:sz w:val="20"/>
              </w:rPr>
            </w:pP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lang w:val="fr-CA"/>
              </w:rPr>
            </w:pPr>
            <w:r w:rsidRPr="00201A3F">
              <w:rPr>
                <w:rFonts w:eastAsia="Calibri"/>
                <w:sz w:val="20"/>
                <w:lang w:val="fr-CA"/>
              </w:rPr>
              <w:t>Rejet de la demande de révision judiciaire du demandeur.</w:t>
            </w:r>
          </w:p>
        </w:tc>
      </w:tr>
      <w:tr w:rsidR="00085DE2" w:rsidRPr="00DC2D1F" w:rsidTr="00C4561E">
        <w:trPr>
          <w:cantSplit/>
        </w:trPr>
        <w:tc>
          <w:tcPr>
            <w:tcW w:w="2427" w:type="pct"/>
          </w:tcPr>
          <w:p w:rsidR="00085DE2" w:rsidRPr="00201A3F" w:rsidRDefault="00085DE2" w:rsidP="005B1F40">
            <w:pPr>
              <w:jc w:val="both"/>
              <w:rPr>
                <w:rFonts w:eastAsia="Calibri"/>
                <w:sz w:val="20"/>
                <w:lang w:val="fr-CA"/>
              </w:rPr>
            </w:pPr>
            <w:r w:rsidRPr="00201A3F">
              <w:rPr>
                <w:rFonts w:eastAsia="Calibri"/>
                <w:sz w:val="20"/>
                <w:lang w:val="fr-CA"/>
              </w:rPr>
              <w:t>Le 1</w:t>
            </w:r>
            <w:r w:rsidRPr="004D7851">
              <w:rPr>
                <w:rFonts w:eastAsia="Calibri"/>
                <w:sz w:val="20"/>
                <w:vertAlign w:val="superscript"/>
                <w:lang w:val="fr-CA"/>
              </w:rPr>
              <w:t>er</w:t>
            </w:r>
            <w:r w:rsidRPr="00201A3F">
              <w:rPr>
                <w:rFonts w:eastAsia="Calibri"/>
                <w:sz w:val="20"/>
                <w:lang w:val="fr-CA"/>
              </w:rPr>
              <w:t xml:space="preserve"> mai 2012</w:t>
            </w:r>
          </w:p>
          <w:p w:rsidR="00085DE2" w:rsidRPr="00201A3F" w:rsidRDefault="00085DE2" w:rsidP="005B1F40">
            <w:pPr>
              <w:jc w:val="both"/>
              <w:rPr>
                <w:rFonts w:eastAsia="Calibri"/>
                <w:sz w:val="20"/>
                <w:lang w:val="fr-CA"/>
              </w:rPr>
            </w:pPr>
            <w:r w:rsidRPr="00201A3F">
              <w:rPr>
                <w:rFonts w:eastAsia="Calibri"/>
                <w:sz w:val="20"/>
                <w:lang w:val="fr-CA"/>
              </w:rPr>
              <w:t>Cour d’appel du Québec (Montréal)</w:t>
            </w:r>
          </w:p>
          <w:p w:rsidR="00085DE2" w:rsidRPr="00201A3F" w:rsidRDefault="00085DE2" w:rsidP="005B1F40">
            <w:pPr>
              <w:jc w:val="both"/>
              <w:rPr>
                <w:rFonts w:eastAsia="Calibri"/>
                <w:sz w:val="20"/>
                <w:lang w:val="fr-CA"/>
              </w:rPr>
            </w:pPr>
            <w:r w:rsidRPr="00201A3F">
              <w:rPr>
                <w:rFonts w:eastAsia="Calibri"/>
                <w:sz w:val="20"/>
                <w:lang w:val="fr-CA"/>
              </w:rPr>
              <w:t>(Le juge Léger)</w:t>
            </w:r>
          </w:p>
          <w:p w:rsidR="00085DE2" w:rsidRPr="00201A3F" w:rsidRDefault="00085DE2" w:rsidP="005B1F40">
            <w:pPr>
              <w:jc w:val="both"/>
              <w:rPr>
                <w:rFonts w:eastAsia="Calibri"/>
                <w:sz w:val="20"/>
                <w:lang w:val="fr-CA"/>
              </w:rPr>
            </w:pPr>
            <w:r w:rsidRPr="00201A3F">
              <w:rPr>
                <w:rFonts w:eastAsia="Calibri"/>
                <w:sz w:val="20"/>
                <w:lang w:val="fr-CA"/>
              </w:rPr>
              <w:t>2012 QCCA 789</w:t>
            </w:r>
          </w:p>
          <w:p w:rsidR="00085DE2" w:rsidRPr="00201A3F" w:rsidRDefault="00085DE2" w:rsidP="005B1F40">
            <w:pPr>
              <w:jc w:val="both"/>
              <w:rPr>
                <w:rFonts w:eastAsia="Calibri"/>
                <w:sz w:val="20"/>
              </w:rPr>
            </w:pP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lang w:val="fr-CA"/>
              </w:rPr>
            </w:pPr>
            <w:r w:rsidRPr="00201A3F">
              <w:rPr>
                <w:rFonts w:eastAsia="Calibri"/>
                <w:sz w:val="20"/>
                <w:lang w:val="fr-CA"/>
              </w:rPr>
              <w:t>Refus de la permission d’appeler.</w:t>
            </w:r>
          </w:p>
        </w:tc>
      </w:tr>
      <w:tr w:rsidR="00085DE2" w:rsidRPr="00DC2D1F" w:rsidTr="00C4561E">
        <w:trPr>
          <w:cantSplit/>
        </w:trPr>
        <w:tc>
          <w:tcPr>
            <w:tcW w:w="2427" w:type="pct"/>
          </w:tcPr>
          <w:p w:rsidR="00085DE2" w:rsidRPr="00201A3F" w:rsidRDefault="00085DE2" w:rsidP="005B1F40">
            <w:pPr>
              <w:jc w:val="both"/>
              <w:rPr>
                <w:rFonts w:eastAsia="Calibri"/>
                <w:sz w:val="20"/>
                <w:lang w:val="fr-CA"/>
              </w:rPr>
            </w:pPr>
            <w:r w:rsidRPr="00201A3F">
              <w:rPr>
                <w:rFonts w:eastAsia="Calibri"/>
                <w:sz w:val="20"/>
                <w:lang w:val="fr-CA"/>
              </w:rPr>
              <w:t>Le 27 juillet 2012</w:t>
            </w:r>
          </w:p>
          <w:p w:rsidR="00085DE2" w:rsidRPr="00201A3F" w:rsidRDefault="00085DE2" w:rsidP="005B1F40">
            <w:pPr>
              <w:jc w:val="both"/>
              <w:rPr>
                <w:rFonts w:eastAsia="Calibri"/>
                <w:sz w:val="20"/>
                <w:lang w:val="fr-FR"/>
              </w:rPr>
            </w:pPr>
            <w:r w:rsidRPr="00201A3F">
              <w:rPr>
                <w:rFonts w:eastAsia="Calibri"/>
                <w:sz w:val="20"/>
                <w:lang w:val="fr-CA"/>
              </w:rPr>
              <w:t>Cour suprême du Canada</w:t>
            </w:r>
          </w:p>
        </w:tc>
        <w:tc>
          <w:tcPr>
            <w:tcW w:w="243" w:type="pct"/>
          </w:tcPr>
          <w:p w:rsidR="00085DE2" w:rsidRPr="00201A3F" w:rsidRDefault="00085DE2" w:rsidP="005B1F40">
            <w:pPr>
              <w:jc w:val="both"/>
              <w:rPr>
                <w:rFonts w:eastAsia="Calibri"/>
                <w:sz w:val="20"/>
                <w:lang w:val="fr-FR"/>
              </w:rPr>
            </w:pPr>
          </w:p>
        </w:tc>
        <w:tc>
          <w:tcPr>
            <w:tcW w:w="2330" w:type="pct"/>
          </w:tcPr>
          <w:p w:rsidR="00085DE2" w:rsidRPr="00201A3F" w:rsidRDefault="00085DE2" w:rsidP="005B1F40">
            <w:pPr>
              <w:jc w:val="both"/>
              <w:rPr>
                <w:rFonts w:eastAsia="Calibri"/>
                <w:sz w:val="20"/>
                <w:lang w:val="fr-CA"/>
              </w:rPr>
            </w:pPr>
            <w:r w:rsidRPr="00201A3F">
              <w:rPr>
                <w:rFonts w:eastAsia="Calibri"/>
                <w:sz w:val="20"/>
                <w:lang w:val="fr-CA"/>
              </w:rPr>
              <w:t>Dépôt de la demande d'autorisation d'appel.</w:t>
            </w:r>
          </w:p>
          <w:p w:rsidR="00085DE2" w:rsidRPr="00201A3F" w:rsidRDefault="00085DE2" w:rsidP="005B1F40">
            <w:pPr>
              <w:jc w:val="both"/>
              <w:rPr>
                <w:rFonts w:eastAsia="Calibri"/>
                <w:sz w:val="20"/>
                <w:lang w:val="fr-CA"/>
              </w:rPr>
            </w:pPr>
          </w:p>
        </w:tc>
      </w:tr>
    </w:tbl>
    <w:p w:rsidR="00A740D1" w:rsidRPr="00085DE2" w:rsidRDefault="00A740D1" w:rsidP="00A740D1">
      <w:pPr>
        <w:rPr>
          <w:sz w:val="20"/>
          <w:szCs w:val="20"/>
          <w:lang w:val="fr-CA"/>
        </w:rPr>
      </w:pPr>
    </w:p>
    <w:p w:rsidR="00A740D1" w:rsidRDefault="00BF3B03" w:rsidP="00A740D1">
      <w:pPr>
        <w:rPr>
          <w:sz w:val="20"/>
          <w:szCs w:val="20"/>
        </w:rPr>
      </w:pPr>
      <w:r w:rsidRPr="00BF3B03">
        <w:rPr>
          <w:sz w:val="20"/>
          <w:szCs w:val="20"/>
          <w:lang w:val="fr-CA"/>
        </w:rPr>
        <w:pict>
          <v:rect id="_x0000_i1077"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561E" w:rsidRPr="00C4561E" w:rsidTr="007A1180">
        <w:trPr>
          <w:cantSplit/>
        </w:trPr>
        <w:tc>
          <w:tcPr>
            <w:tcW w:w="1458" w:type="dxa"/>
          </w:tcPr>
          <w:p w:rsidR="00C4561E" w:rsidRPr="00C4561E" w:rsidRDefault="00C4561E" w:rsidP="007A1180">
            <w:pPr>
              <w:rPr>
                <w:sz w:val="20"/>
                <w:szCs w:val="20"/>
              </w:rPr>
            </w:pPr>
            <w:r w:rsidRPr="00C4561E">
              <w:rPr>
                <w:rStyle w:val="SCCFileNumberChar"/>
                <w:sz w:val="20"/>
                <w:szCs w:val="20"/>
              </w:rPr>
              <w:t>34956</w:t>
            </w:r>
          </w:p>
          <w:p w:rsidR="00C4561E" w:rsidRPr="00C4561E" w:rsidRDefault="00C4561E" w:rsidP="007A1180">
            <w:pPr>
              <w:rPr>
                <w:b/>
                <w:sz w:val="20"/>
                <w:szCs w:val="20"/>
                <w:lang w:val="fr-CA"/>
              </w:rPr>
            </w:pPr>
          </w:p>
        </w:tc>
        <w:tc>
          <w:tcPr>
            <w:tcW w:w="8118" w:type="dxa"/>
          </w:tcPr>
          <w:p w:rsidR="00C4561E" w:rsidRPr="00C4561E" w:rsidRDefault="00C4561E" w:rsidP="007A1180">
            <w:pPr>
              <w:rPr>
                <w:sz w:val="20"/>
                <w:szCs w:val="20"/>
              </w:rPr>
            </w:pPr>
            <w:r w:rsidRPr="00C4561E">
              <w:rPr>
                <w:rStyle w:val="SCCLsocChar"/>
                <w:sz w:val="20"/>
                <w:szCs w:val="20"/>
              </w:rPr>
              <w:t>Michel Lafontaine c. G7 Développement inc.</w:t>
            </w:r>
            <w:r w:rsidRPr="00C4561E">
              <w:rPr>
                <w:sz w:val="20"/>
                <w:szCs w:val="20"/>
                <w:lang w:val="fr-CA"/>
              </w:rPr>
              <w:t xml:space="preserve"> </w:t>
            </w:r>
            <w:r w:rsidRPr="00C4561E">
              <w:rPr>
                <w:sz w:val="20"/>
                <w:szCs w:val="20"/>
              </w:rPr>
              <w:t>(Qc) (Civile) (Autorisation)</w:t>
            </w:r>
          </w:p>
          <w:p w:rsidR="00C4561E" w:rsidRPr="00C4561E" w:rsidRDefault="00C4561E" w:rsidP="007A1180">
            <w:pPr>
              <w:rPr>
                <w:sz w:val="20"/>
                <w:szCs w:val="20"/>
              </w:rPr>
            </w:pPr>
          </w:p>
        </w:tc>
      </w:tr>
      <w:tr w:rsidR="00C4561E" w:rsidRPr="00DC2D1F" w:rsidTr="007A1180">
        <w:trPr>
          <w:cantSplit/>
        </w:trPr>
        <w:tc>
          <w:tcPr>
            <w:tcW w:w="1458" w:type="dxa"/>
          </w:tcPr>
          <w:p w:rsidR="00C4561E" w:rsidRPr="00C4561E" w:rsidRDefault="00C4561E" w:rsidP="007A1180">
            <w:pPr>
              <w:rPr>
                <w:sz w:val="20"/>
                <w:szCs w:val="20"/>
              </w:rPr>
            </w:pPr>
            <w:r w:rsidRPr="00C4561E">
              <w:rPr>
                <w:sz w:val="20"/>
                <w:szCs w:val="20"/>
              </w:rPr>
              <w:t>Coram :</w:t>
            </w:r>
          </w:p>
        </w:tc>
        <w:tc>
          <w:tcPr>
            <w:tcW w:w="8118" w:type="dxa"/>
          </w:tcPr>
          <w:p w:rsidR="00C4561E" w:rsidRPr="00C4561E" w:rsidRDefault="00C4561E" w:rsidP="007A1180">
            <w:pPr>
              <w:rPr>
                <w:sz w:val="20"/>
                <w:szCs w:val="20"/>
                <w:lang w:val="fr-CA"/>
              </w:rPr>
            </w:pPr>
            <w:r w:rsidRPr="00C4561E">
              <w:rPr>
                <w:rStyle w:val="SCCCoramChar"/>
                <w:sz w:val="20"/>
                <w:szCs w:val="20"/>
              </w:rPr>
              <w:t>Les juges LeBel, Abella et Cromwell</w:t>
            </w:r>
          </w:p>
          <w:p w:rsidR="00C4561E" w:rsidRPr="00C4561E" w:rsidRDefault="00C4561E" w:rsidP="007A1180">
            <w:pPr>
              <w:rPr>
                <w:sz w:val="20"/>
                <w:szCs w:val="20"/>
                <w:u w:val="single"/>
                <w:lang w:val="fr-CA"/>
              </w:rPr>
            </w:pPr>
          </w:p>
        </w:tc>
      </w:tr>
      <w:tr w:rsidR="00C4561E" w:rsidRPr="00C4561E" w:rsidTr="007A1180">
        <w:trPr>
          <w:cantSplit/>
        </w:trPr>
        <w:tc>
          <w:tcPr>
            <w:tcW w:w="9576" w:type="dxa"/>
            <w:gridSpan w:val="2"/>
          </w:tcPr>
          <w:p w:rsidR="00C4561E" w:rsidRPr="00C4561E" w:rsidRDefault="00C4561E" w:rsidP="007A1180">
            <w:pPr>
              <w:pStyle w:val="SCCShortJudgment"/>
              <w:rPr>
                <w:szCs w:val="20"/>
                <w:lang w:val="fr-CA"/>
              </w:rPr>
            </w:pPr>
            <w:r w:rsidRPr="00C4561E">
              <w:rPr>
                <w:szCs w:val="20"/>
                <w:lang w:val="fr-CA"/>
              </w:rPr>
              <w:t>La requête en prorogation du délai pour produire des pièces est rejetée. La demande d’autorisation d’appel de l’arrêt de la Cour d’appel du Québec (Montréal), numéro 500-09-022563-126, 2012 QCCA 998, daté du 1</w:t>
            </w:r>
            <w:r w:rsidRPr="004D7851">
              <w:rPr>
                <w:szCs w:val="20"/>
                <w:vertAlign w:val="superscript"/>
                <w:lang w:val="fr-CA"/>
              </w:rPr>
              <w:t>er</w:t>
            </w:r>
            <w:r w:rsidRPr="00C4561E">
              <w:rPr>
                <w:szCs w:val="20"/>
                <w:lang w:val="fr-CA"/>
              </w:rPr>
              <w:t xml:space="preserve"> juin 2012, est rejetée sans dépens.</w:t>
            </w:r>
          </w:p>
          <w:p w:rsidR="00C4561E" w:rsidRPr="00C4561E" w:rsidRDefault="00C4561E" w:rsidP="007A1180">
            <w:pPr>
              <w:pStyle w:val="SCCShortJudgment"/>
              <w:ind w:firstLine="0"/>
              <w:rPr>
                <w:szCs w:val="20"/>
                <w:lang w:val="fr-CA"/>
              </w:rPr>
            </w:pPr>
          </w:p>
          <w:p w:rsidR="00C4561E" w:rsidRPr="00C4561E" w:rsidRDefault="00C4561E" w:rsidP="007A1180">
            <w:pPr>
              <w:pStyle w:val="SCCShortJudgment"/>
              <w:rPr>
                <w:szCs w:val="20"/>
              </w:rPr>
            </w:pPr>
            <w:r w:rsidRPr="00C4561E">
              <w:rPr>
                <w:szCs w:val="20"/>
              </w:rPr>
              <w:t>The motion for an extension of time to produce documents is dismissed. The application for leave to appeal from the judgment of the Court of Appeal of Quebec (Montréal), Number 500-09-022563-126, 2012 QCCA 998, dated June 1, 2012, is dismissed without costs.</w:t>
            </w:r>
          </w:p>
        </w:tc>
      </w:tr>
    </w:tbl>
    <w:p w:rsidR="00A740D1" w:rsidRDefault="00A740D1" w:rsidP="00A740D1">
      <w:pPr>
        <w:rPr>
          <w:sz w:val="20"/>
          <w:szCs w:val="20"/>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085DE2" w:rsidRPr="00201A3F" w:rsidTr="005B1F40">
        <w:tc>
          <w:tcPr>
            <w:tcW w:w="5000" w:type="pct"/>
            <w:gridSpan w:val="3"/>
          </w:tcPr>
          <w:p w:rsidR="00085DE2" w:rsidRPr="00201A3F" w:rsidRDefault="00085DE2" w:rsidP="005B1F40">
            <w:pPr>
              <w:jc w:val="both"/>
              <w:rPr>
                <w:rFonts w:eastAsia="Calibri"/>
                <w:sz w:val="20"/>
              </w:rPr>
            </w:pPr>
            <w:r w:rsidRPr="00201A3F">
              <w:rPr>
                <w:rFonts w:eastAsia="Calibri"/>
                <w:sz w:val="20"/>
              </w:rPr>
              <w:t>Civil procedure — Forced surrender — Taking in payment — Whether applicant raising legal issue — Whether issue is of public importance.</w:t>
            </w:r>
          </w:p>
        </w:tc>
      </w:tr>
      <w:tr w:rsidR="00085DE2" w:rsidRPr="00201A3F" w:rsidTr="005B1F40">
        <w:tc>
          <w:tcPr>
            <w:tcW w:w="5000" w:type="pct"/>
            <w:gridSpan w:val="3"/>
          </w:tcPr>
          <w:p w:rsidR="00085DE2" w:rsidRPr="00201A3F" w:rsidRDefault="00085DE2" w:rsidP="005B1F40">
            <w:pPr>
              <w:jc w:val="both"/>
              <w:rPr>
                <w:rFonts w:eastAsia="Calibri"/>
                <w:sz w:val="20"/>
              </w:rPr>
            </w:pPr>
          </w:p>
        </w:tc>
      </w:tr>
      <w:tr w:rsidR="00085DE2" w:rsidRPr="00201A3F" w:rsidTr="005B1F40">
        <w:tc>
          <w:tcPr>
            <w:tcW w:w="5000" w:type="pct"/>
            <w:gridSpan w:val="3"/>
          </w:tcPr>
          <w:p w:rsidR="00085DE2" w:rsidRPr="00201A3F" w:rsidRDefault="00085DE2" w:rsidP="005B1F40">
            <w:pPr>
              <w:jc w:val="both"/>
              <w:rPr>
                <w:rFonts w:eastAsia="Calibri"/>
                <w:color w:val="000000"/>
                <w:sz w:val="20"/>
              </w:rPr>
            </w:pPr>
            <w:r w:rsidRPr="00201A3F">
              <w:rPr>
                <w:rFonts w:eastAsia="Calibri"/>
                <w:sz w:val="20"/>
              </w:rPr>
              <w:t xml:space="preserve">In </w:t>
            </w:r>
            <w:r w:rsidR="00BF3B03" w:rsidRPr="00201A3F">
              <w:rPr>
                <w:rFonts w:eastAsia="Calibri"/>
                <w:sz w:val="20"/>
              </w:rPr>
              <w:fldChar w:fldCharType="begin"/>
            </w:r>
            <w:r w:rsidRPr="00201A3F">
              <w:rPr>
                <w:rFonts w:eastAsia="Calibri"/>
                <w:sz w:val="20"/>
              </w:rPr>
              <w:instrText xml:space="preserve"> SEQ CHAPTER \h \r 1</w:instrText>
            </w:r>
            <w:r w:rsidR="00BF3B03" w:rsidRPr="00201A3F">
              <w:rPr>
                <w:rFonts w:eastAsia="Calibri"/>
                <w:sz w:val="20"/>
              </w:rPr>
              <w:fldChar w:fldCharType="end"/>
            </w:r>
            <w:r w:rsidRPr="00201A3F">
              <w:rPr>
                <w:rFonts w:eastAsia="Calibri"/>
                <w:sz w:val="20"/>
              </w:rPr>
              <w:t>1998, the applicant Mr. Lafontaine purchased a piece of land in Mont</w:t>
            </w:r>
            <w:r w:rsidRPr="00201A3F">
              <w:rPr>
                <w:rFonts w:eastAsia="Calibri"/>
                <w:sz w:val="20"/>
              </w:rPr>
              <w:noBreakHyphen/>
              <w:t xml:space="preserve">Tremblant.  The deed of sale provided that </w:t>
            </w:r>
            <w:proofErr w:type="gramStart"/>
            <w:r w:rsidRPr="00201A3F">
              <w:rPr>
                <w:rFonts w:eastAsia="Calibri"/>
                <w:sz w:val="20"/>
              </w:rPr>
              <w:t>a servitude</w:t>
            </w:r>
            <w:proofErr w:type="gramEnd"/>
            <w:r w:rsidRPr="00201A3F">
              <w:rPr>
                <w:rFonts w:eastAsia="Calibri"/>
                <w:sz w:val="20"/>
              </w:rPr>
              <w:t xml:space="preserve"> of right of way would be established in favour of the land with a right to build and maintain a road.  In April 2000, since there were problems with access to the land and the cadastral description, Mr. Lafontaine brought an action in execution of title and in damages against his vendor and its representative in relation to certain parcels adjacent to his land.  He alleged that the vendor had tried to escape its obligations and that, at the time of the sale, it had been agreed that a parcel of land would be added to the subject matter of the sale.  He also asked to be declared the owner of another adjoining parcel that, according to him, had been unjustifiably removed from the cadastral description.  In 2001, after obtaining the necessary authorizations from the municipality, Mr. Lafontaine built his road.  In the meantime, the respondent companies purchased lots adjacent to Mr. Lafontaine’s land.  As well, in January 2003, a judgment of taking in payment was rendered against Mr. Lafontaine’s vendor.  On May 13, 2011, </w:t>
            </w:r>
            <w:r w:rsidRPr="00201A3F">
              <w:rPr>
                <w:rFonts w:eastAsia="Calibri"/>
                <w:color w:val="000000"/>
                <w:sz w:val="20"/>
              </w:rPr>
              <w:t>de Grandpré J. declared Mr. Lafontaine to be a quarrelsome litigant.  On November 10, 2011, G7 published prior notices of the exercise of the hypothecary remedy of taking in payment.  Mr. Lafontaine did not pay the debt or surrender the hypothecated immovable.</w:t>
            </w:r>
          </w:p>
          <w:p w:rsidR="00085DE2" w:rsidRPr="00201A3F" w:rsidRDefault="00085DE2" w:rsidP="005B1F40">
            <w:pPr>
              <w:jc w:val="both"/>
              <w:rPr>
                <w:rFonts w:eastAsia="Calibri"/>
                <w:sz w:val="20"/>
              </w:rPr>
            </w:pPr>
          </w:p>
        </w:tc>
      </w:tr>
      <w:tr w:rsidR="00085DE2" w:rsidRPr="00201A3F" w:rsidTr="00C4561E">
        <w:trPr>
          <w:cantSplit/>
        </w:trPr>
        <w:tc>
          <w:tcPr>
            <w:tcW w:w="2427" w:type="pct"/>
          </w:tcPr>
          <w:p w:rsidR="00085DE2" w:rsidRPr="00201A3F" w:rsidRDefault="00085DE2" w:rsidP="005B1F40">
            <w:pPr>
              <w:jc w:val="both"/>
              <w:rPr>
                <w:rFonts w:eastAsia="Calibri"/>
                <w:sz w:val="20"/>
              </w:rPr>
            </w:pPr>
            <w:r w:rsidRPr="00201A3F">
              <w:rPr>
                <w:rFonts w:eastAsia="Calibri"/>
                <w:sz w:val="20"/>
              </w:rPr>
              <w:lastRenderedPageBreak/>
              <w:t>April 19, 2012</w:t>
            </w:r>
          </w:p>
          <w:p w:rsidR="00085DE2" w:rsidRPr="00201A3F" w:rsidRDefault="00085DE2" w:rsidP="005B1F40">
            <w:pPr>
              <w:jc w:val="both"/>
              <w:rPr>
                <w:rFonts w:eastAsia="Calibri"/>
                <w:sz w:val="20"/>
              </w:rPr>
            </w:pPr>
            <w:r w:rsidRPr="00201A3F">
              <w:rPr>
                <w:rFonts w:eastAsia="Calibri"/>
                <w:sz w:val="20"/>
              </w:rPr>
              <w:t>Quebec Superior Court</w:t>
            </w:r>
          </w:p>
          <w:p w:rsidR="00085DE2" w:rsidRPr="00201A3F" w:rsidRDefault="00085DE2" w:rsidP="005B1F40">
            <w:pPr>
              <w:jc w:val="both"/>
              <w:rPr>
                <w:rFonts w:eastAsia="Calibri"/>
                <w:sz w:val="20"/>
              </w:rPr>
            </w:pPr>
            <w:r w:rsidRPr="00201A3F">
              <w:rPr>
                <w:rFonts w:eastAsia="Calibri"/>
                <w:sz w:val="20"/>
              </w:rPr>
              <w:t>(Payette J.)</w:t>
            </w:r>
          </w:p>
          <w:p w:rsidR="00085DE2" w:rsidRPr="00201A3F" w:rsidRDefault="00085DE2" w:rsidP="005B1F40">
            <w:pPr>
              <w:jc w:val="both"/>
              <w:rPr>
                <w:rFonts w:eastAsia="Calibri"/>
                <w:sz w:val="20"/>
              </w:rPr>
            </w:pPr>
            <w:r w:rsidRPr="00201A3F">
              <w:rPr>
                <w:rFonts w:eastAsia="Calibri"/>
                <w:sz w:val="20"/>
              </w:rPr>
              <w:t>2012 QCCS 1616</w:t>
            </w:r>
          </w:p>
          <w:p w:rsidR="00085DE2" w:rsidRPr="00201A3F" w:rsidRDefault="00085DE2" w:rsidP="005B1F40">
            <w:pPr>
              <w:jc w:val="both"/>
              <w:rPr>
                <w:rFonts w:eastAsia="Calibri"/>
                <w:sz w:val="20"/>
              </w:rPr>
            </w:pP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rPr>
            </w:pPr>
            <w:r w:rsidRPr="00201A3F">
              <w:rPr>
                <w:rFonts w:eastAsia="Calibri"/>
                <w:sz w:val="20"/>
              </w:rPr>
              <w:t>Motion for forced surrender and taking in payment allowed;</w:t>
            </w:r>
          </w:p>
          <w:p w:rsidR="00085DE2" w:rsidRPr="00201A3F" w:rsidRDefault="00085DE2" w:rsidP="005B1F40">
            <w:pPr>
              <w:jc w:val="both"/>
              <w:rPr>
                <w:rFonts w:eastAsia="Calibri"/>
                <w:sz w:val="20"/>
              </w:rPr>
            </w:pPr>
            <w:r w:rsidRPr="00201A3F">
              <w:rPr>
                <w:rFonts w:eastAsia="Calibri"/>
                <w:sz w:val="20"/>
              </w:rPr>
              <w:t>Various declaratory conclusions and orders made</w:t>
            </w:r>
          </w:p>
          <w:p w:rsidR="00085DE2" w:rsidRPr="00201A3F" w:rsidRDefault="00085DE2" w:rsidP="005B1F40">
            <w:pPr>
              <w:jc w:val="both"/>
              <w:rPr>
                <w:rFonts w:eastAsia="Calibri"/>
                <w:sz w:val="20"/>
              </w:rPr>
            </w:pPr>
          </w:p>
        </w:tc>
      </w:tr>
      <w:tr w:rsidR="00085DE2" w:rsidRPr="00201A3F" w:rsidTr="00C4561E">
        <w:trPr>
          <w:cantSplit/>
        </w:trPr>
        <w:tc>
          <w:tcPr>
            <w:tcW w:w="2427" w:type="pct"/>
          </w:tcPr>
          <w:p w:rsidR="00085DE2" w:rsidRPr="00201A3F" w:rsidRDefault="00085DE2" w:rsidP="005B1F40">
            <w:pPr>
              <w:jc w:val="both"/>
              <w:rPr>
                <w:rFonts w:eastAsia="Calibri"/>
                <w:sz w:val="20"/>
              </w:rPr>
            </w:pPr>
            <w:r w:rsidRPr="00201A3F">
              <w:rPr>
                <w:rFonts w:eastAsia="Calibri"/>
                <w:sz w:val="20"/>
              </w:rPr>
              <w:t>June 1, 2012</w:t>
            </w:r>
          </w:p>
          <w:p w:rsidR="00085DE2" w:rsidRPr="00201A3F" w:rsidRDefault="00085DE2" w:rsidP="005B1F40">
            <w:pPr>
              <w:jc w:val="both"/>
              <w:rPr>
                <w:rFonts w:eastAsia="Calibri"/>
                <w:sz w:val="20"/>
              </w:rPr>
            </w:pPr>
            <w:r w:rsidRPr="00201A3F">
              <w:rPr>
                <w:rFonts w:eastAsia="Calibri"/>
                <w:sz w:val="20"/>
              </w:rPr>
              <w:t>Quebec Court of Appeal (Montréal)</w:t>
            </w:r>
          </w:p>
          <w:p w:rsidR="00085DE2" w:rsidRPr="00201A3F" w:rsidRDefault="00085DE2" w:rsidP="005B1F40">
            <w:pPr>
              <w:jc w:val="both"/>
              <w:rPr>
                <w:rFonts w:eastAsia="Calibri"/>
                <w:sz w:val="20"/>
              </w:rPr>
            </w:pPr>
            <w:r w:rsidRPr="00201A3F">
              <w:rPr>
                <w:rFonts w:eastAsia="Calibri"/>
                <w:sz w:val="20"/>
              </w:rPr>
              <w:t>(Thibault, Rochette and Morissette JJ.A.)</w:t>
            </w:r>
          </w:p>
          <w:p w:rsidR="00085DE2" w:rsidRPr="00201A3F" w:rsidRDefault="00085DE2" w:rsidP="005B1F40">
            <w:pPr>
              <w:jc w:val="both"/>
              <w:rPr>
                <w:rFonts w:eastAsia="Calibri"/>
                <w:sz w:val="20"/>
              </w:rPr>
            </w:pPr>
            <w:r w:rsidRPr="00201A3F">
              <w:rPr>
                <w:rFonts w:eastAsia="Calibri"/>
                <w:sz w:val="20"/>
              </w:rPr>
              <w:t>2012 QCCA 998</w:t>
            </w:r>
          </w:p>
          <w:p w:rsidR="00085DE2" w:rsidRPr="00201A3F" w:rsidRDefault="00085DE2" w:rsidP="005B1F40">
            <w:pPr>
              <w:jc w:val="both"/>
              <w:rPr>
                <w:rFonts w:eastAsia="Calibri"/>
                <w:sz w:val="20"/>
              </w:rPr>
            </w:pP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rPr>
            </w:pPr>
            <w:r w:rsidRPr="00201A3F">
              <w:rPr>
                <w:rFonts w:eastAsia="Calibri"/>
                <w:sz w:val="20"/>
              </w:rPr>
              <w:t>Motion to dismiss appeal allowed;</w:t>
            </w:r>
          </w:p>
          <w:p w:rsidR="00085DE2" w:rsidRPr="00201A3F" w:rsidRDefault="00085DE2" w:rsidP="005B1F40">
            <w:pPr>
              <w:jc w:val="both"/>
              <w:rPr>
                <w:rFonts w:eastAsia="Calibri"/>
                <w:sz w:val="20"/>
              </w:rPr>
            </w:pPr>
            <w:r w:rsidRPr="00201A3F">
              <w:rPr>
                <w:rFonts w:eastAsia="Calibri"/>
                <w:sz w:val="20"/>
              </w:rPr>
              <w:t>Appeal dismissed</w:t>
            </w:r>
          </w:p>
          <w:p w:rsidR="00085DE2" w:rsidRPr="00201A3F" w:rsidRDefault="00085DE2" w:rsidP="005B1F40">
            <w:pPr>
              <w:jc w:val="both"/>
              <w:rPr>
                <w:rFonts w:eastAsia="Calibri"/>
                <w:sz w:val="20"/>
              </w:rPr>
            </w:pPr>
          </w:p>
          <w:p w:rsidR="00085DE2" w:rsidRPr="00201A3F" w:rsidRDefault="00085DE2" w:rsidP="005B1F40">
            <w:pPr>
              <w:jc w:val="both"/>
              <w:rPr>
                <w:rFonts w:eastAsia="Calibri"/>
                <w:sz w:val="20"/>
              </w:rPr>
            </w:pPr>
          </w:p>
        </w:tc>
      </w:tr>
      <w:tr w:rsidR="00085DE2" w:rsidRPr="00201A3F" w:rsidTr="00C4561E">
        <w:trPr>
          <w:cantSplit/>
        </w:trPr>
        <w:tc>
          <w:tcPr>
            <w:tcW w:w="2427" w:type="pct"/>
          </w:tcPr>
          <w:p w:rsidR="00085DE2" w:rsidRPr="00201A3F" w:rsidRDefault="00085DE2" w:rsidP="005B1F40">
            <w:pPr>
              <w:jc w:val="both"/>
              <w:rPr>
                <w:rFonts w:eastAsia="Calibri"/>
                <w:sz w:val="20"/>
              </w:rPr>
            </w:pPr>
            <w:r w:rsidRPr="00201A3F">
              <w:rPr>
                <w:rFonts w:eastAsia="Calibri"/>
                <w:sz w:val="20"/>
              </w:rPr>
              <w:t>August 31, 2012</w:t>
            </w:r>
          </w:p>
          <w:p w:rsidR="00085DE2" w:rsidRPr="00201A3F" w:rsidRDefault="00085DE2" w:rsidP="005B1F40">
            <w:pPr>
              <w:jc w:val="both"/>
              <w:rPr>
                <w:rFonts w:eastAsia="Calibri"/>
                <w:sz w:val="20"/>
              </w:rPr>
            </w:pPr>
            <w:r w:rsidRPr="00201A3F">
              <w:rPr>
                <w:rFonts w:eastAsia="Calibri"/>
                <w:sz w:val="20"/>
              </w:rPr>
              <w:t>Supreme Court of Canada</w:t>
            </w: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rPr>
            </w:pPr>
            <w:r w:rsidRPr="00201A3F">
              <w:rPr>
                <w:rFonts w:eastAsia="Calibri"/>
                <w:sz w:val="20"/>
              </w:rPr>
              <w:t>Application for leave to appeal filed</w:t>
            </w:r>
          </w:p>
          <w:p w:rsidR="00085DE2" w:rsidRPr="00201A3F" w:rsidRDefault="00085DE2" w:rsidP="005B1F40">
            <w:pPr>
              <w:jc w:val="both"/>
              <w:rPr>
                <w:rFonts w:eastAsia="Calibri"/>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78"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085DE2" w:rsidRPr="00DC2D1F" w:rsidTr="005B1F40">
        <w:tc>
          <w:tcPr>
            <w:tcW w:w="5000" w:type="pct"/>
            <w:gridSpan w:val="3"/>
          </w:tcPr>
          <w:p w:rsidR="00085DE2" w:rsidRPr="00201A3F" w:rsidRDefault="00085DE2" w:rsidP="005B1F40">
            <w:pPr>
              <w:jc w:val="both"/>
              <w:rPr>
                <w:rFonts w:eastAsia="Calibri"/>
                <w:sz w:val="20"/>
                <w:lang w:val="fr-CA"/>
              </w:rPr>
            </w:pPr>
            <w:r w:rsidRPr="00201A3F">
              <w:rPr>
                <w:rFonts w:eastAsia="Calibri"/>
                <w:sz w:val="20"/>
                <w:lang w:val="fr-CA"/>
              </w:rPr>
              <w:t>Procédure civile — Délaissement forcé — Prise en paiement — Le demandeur soulève</w:t>
            </w:r>
            <w:r w:rsidRPr="00201A3F">
              <w:rPr>
                <w:rFonts w:eastAsia="Calibri"/>
                <w:sz w:val="20"/>
                <w:lang w:val="fr-CA"/>
              </w:rPr>
              <w:noBreakHyphen/>
              <w:t>t</w:t>
            </w:r>
            <w:r w:rsidRPr="00201A3F">
              <w:rPr>
                <w:rFonts w:eastAsia="Calibri"/>
                <w:sz w:val="20"/>
                <w:lang w:val="fr-CA"/>
              </w:rPr>
              <w:noBreakHyphen/>
              <w:t>il une question juridique? — Cette question est</w:t>
            </w:r>
            <w:r w:rsidRPr="00201A3F">
              <w:rPr>
                <w:rFonts w:eastAsia="Calibri"/>
                <w:sz w:val="20"/>
                <w:lang w:val="fr-CA"/>
              </w:rPr>
              <w:noBreakHyphen/>
              <w:t>elle d’importance pour le public?</w:t>
            </w:r>
          </w:p>
        </w:tc>
      </w:tr>
      <w:tr w:rsidR="00085DE2" w:rsidRPr="00DC2D1F" w:rsidTr="005B1F40">
        <w:tc>
          <w:tcPr>
            <w:tcW w:w="5000" w:type="pct"/>
            <w:gridSpan w:val="3"/>
          </w:tcPr>
          <w:p w:rsidR="00085DE2" w:rsidRPr="00201A3F" w:rsidRDefault="00085DE2" w:rsidP="005B1F40">
            <w:pPr>
              <w:jc w:val="both"/>
              <w:rPr>
                <w:rFonts w:eastAsia="Calibri"/>
                <w:sz w:val="20"/>
                <w:lang w:val="fr-CA"/>
              </w:rPr>
            </w:pPr>
          </w:p>
        </w:tc>
      </w:tr>
      <w:tr w:rsidR="00085DE2" w:rsidRPr="00DC2D1F" w:rsidTr="005B1F40">
        <w:tc>
          <w:tcPr>
            <w:tcW w:w="5000" w:type="pct"/>
            <w:gridSpan w:val="3"/>
          </w:tcPr>
          <w:p w:rsidR="00085DE2" w:rsidRPr="00201A3F" w:rsidRDefault="00BF3B03" w:rsidP="005B1F40">
            <w:pPr>
              <w:jc w:val="both"/>
              <w:rPr>
                <w:rFonts w:eastAsia="Calibri"/>
                <w:color w:val="000000"/>
                <w:sz w:val="20"/>
                <w:lang w:val="fr-FR"/>
              </w:rPr>
            </w:pPr>
            <w:r w:rsidRPr="00201A3F">
              <w:rPr>
                <w:rFonts w:eastAsia="Calibri"/>
                <w:sz w:val="20"/>
                <w:lang w:val="fr-CA"/>
              </w:rPr>
              <w:fldChar w:fldCharType="begin"/>
            </w:r>
            <w:r w:rsidR="00085DE2" w:rsidRPr="00201A3F">
              <w:rPr>
                <w:rFonts w:eastAsia="Calibri"/>
                <w:sz w:val="20"/>
                <w:lang w:val="fr-CA"/>
              </w:rPr>
              <w:instrText xml:space="preserve"> SEQ CHAPTER \h \r 1</w:instrText>
            </w:r>
            <w:r w:rsidRPr="00201A3F">
              <w:rPr>
                <w:rFonts w:eastAsia="Calibri"/>
                <w:sz w:val="20"/>
                <w:lang w:val="fr-CA"/>
              </w:rPr>
              <w:fldChar w:fldCharType="end"/>
            </w:r>
            <w:r w:rsidR="00085DE2" w:rsidRPr="00201A3F">
              <w:rPr>
                <w:rFonts w:eastAsia="Calibri"/>
                <w:sz w:val="20"/>
                <w:lang w:val="fr-CA"/>
              </w:rPr>
              <w:t>En 1998, le demandeur, M. Lafontaine, achète un terrain à Mont</w:t>
            </w:r>
            <w:r w:rsidR="00085DE2" w:rsidRPr="00201A3F">
              <w:rPr>
                <w:rFonts w:eastAsia="Calibri"/>
                <w:sz w:val="20"/>
                <w:lang w:val="fr-CA"/>
              </w:rPr>
              <w:noBreakHyphen/>
              <w:t>Tremblant.  L’acte de vente prévoit qu’une servitude de droit de passage sera établie en faveur du terrain avec droit de construire et entretenir un chemin.  L’accès au terrain de même que la description cadastrale étant problématiques, M. Lafontaine intente, en avril 2000, une action en passation de titre et en dommages</w:t>
            </w:r>
            <w:r w:rsidR="00085DE2" w:rsidRPr="00201A3F">
              <w:rPr>
                <w:rFonts w:eastAsia="Calibri"/>
                <w:sz w:val="20"/>
                <w:lang w:val="fr-CA"/>
              </w:rPr>
              <w:noBreakHyphen/>
              <w:t xml:space="preserve">intérêts contre son vendeur et son représentant et visant certaines parcelles voisines de son terrain.  Il allègue que le vendeur a tenté d’échapper à ses obligations et qu’au moment de la vente, il avait été convenu d’ajouter une parcelle de terrain à l’objet de la vente.  Il demande aussi d’être déclaré propriétaire d’une autre parcelle limitrophe qui aurait, selon lui, été retirée sans justification de la désignation cadastrale.  En 2001, après avoir obtenu les autorisations nécessaires de la municipalité, M. Lafontaine construit son chemin.  Pendant ce temps, les compagnies intimées acquièrent des terrains voisins de celui de M. Lafontaine.  De plus, en janvier 2003, un jugement de prise en paiement est prononcé contre le vendeur de M. Lafontaine.  </w:t>
            </w:r>
            <w:r w:rsidR="00085DE2" w:rsidRPr="00201A3F">
              <w:rPr>
                <w:rFonts w:eastAsia="Calibri"/>
                <w:color w:val="000000"/>
                <w:sz w:val="20"/>
                <w:lang w:val="fr-FR"/>
              </w:rPr>
              <w:t>Le 13 mai 2011, le juge de Grandpré déclare M. Lafontaine plaideur quérulent. Le 10 novembre 2011, G7 publie des préavis d’exercice de recours hypothécaire en prise de paiement.  M. Lafontaine n’a pas acquitté la dette ni délaissé l’immeuble hypothéqué.</w:t>
            </w:r>
          </w:p>
          <w:p w:rsidR="00085DE2" w:rsidRPr="00201A3F" w:rsidRDefault="00085DE2" w:rsidP="005B1F40">
            <w:pPr>
              <w:jc w:val="both"/>
              <w:rPr>
                <w:rFonts w:eastAsia="Calibri"/>
                <w:sz w:val="20"/>
                <w:lang w:val="fr-CA"/>
              </w:rPr>
            </w:pPr>
          </w:p>
        </w:tc>
      </w:tr>
      <w:tr w:rsidR="00085DE2" w:rsidRPr="00DC2D1F" w:rsidTr="005B1F40">
        <w:tc>
          <w:tcPr>
            <w:tcW w:w="2427" w:type="pct"/>
          </w:tcPr>
          <w:p w:rsidR="00085DE2" w:rsidRPr="00201A3F" w:rsidRDefault="00085DE2" w:rsidP="005B1F40">
            <w:pPr>
              <w:jc w:val="both"/>
              <w:rPr>
                <w:rFonts w:eastAsia="Calibri"/>
                <w:sz w:val="20"/>
                <w:lang w:val="fr-CA"/>
              </w:rPr>
            </w:pPr>
            <w:r w:rsidRPr="00201A3F">
              <w:rPr>
                <w:rFonts w:eastAsia="Calibri"/>
                <w:sz w:val="20"/>
                <w:lang w:val="fr-CA"/>
              </w:rPr>
              <w:t>Le 19 avril 2012</w:t>
            </w:r>
          </w:p>
          <w:p w:rsidR="00085DE2" w:rsidRPr="00201A3F" w:rsidRDefault="00085DE2" w:rsidP="005B1F40">
            <w:pPr>
              <w:jc w:val="both"/>
              <w:rPr>
                <w:rFonts w:eastAsia="Calibri"/>
                <w:sz w:val="20"/>
                <w:lang w:val="fr-CA"/>
              </w:rPr>
            </w:pPr>
            <w:r w:rsidRPr="00201A3F">
              <w:rPr>
                <w:rFonts w:eastAsia="Calibri"/>
                <w:sz w:val="20"/>
                <w:lang w:val="fr-CA"/>
              </w:rPr>
              <w:t>Cour supérieure du Québec</w:t>
            </w:r>
          </w:p>
          <w:p w:rsidR="00085DE2" w:rsidRPr="00201A3F" w:rsidRDefault="00085DE2" w:rsidP="005B1F40">
            <w:pPr>
              <w:jc w:val="both"/>
              <w:rPr>
                <w:rFonts w:eastAsia="Calibri"/>
                <w:sz w:val="20"/>
                <w:lang w:val="fr-CA"/>
              </w:rPr>
            </w:pPr>
            <w:r w:rsidRPr="00201A3F">
              <w:rPr>
                <w:rFonts w:eastAsia="Calibri"/>
                <w:sz w:val="20"/>
                <w:lang w:val="fr-CA"/>
              </w:rPr>
              <w:t>(Le juge Payette)</w:t>
            </w:r>
          </w:p>
          <w:p w:rsidR="00085DE2" w:rsidRPr="00201A3F" w:rsidRDefault="00085DE2" w:rsidP="005B1F40">
            <w:pPr>
              <w:jc w:val="both"/>
              <w:rPr>
                <w:rFonts w:eastAsia="Calibri"/>
                <w:sz w:val="20"/>
                <w:lang w:val="fr-CA"/>
              </w:rPr>
            </w:pPr>
            <w:r w:rsidRPr="00201A3F">
              <w:rPr>
                <w:rFonts w:eastAsia="Calibri"/>
                <w:sz w:val="20"/>
                <w:lang w:val="fr-CA"/>
              </w:rPr>
              <w:t>2012 QCCS 1616</w:t>
            </w:r>
          </w:p>
          <w:p w:rsidR="00085DE2" w:rsidRPr="00201A3F" w:rsidRDefault="00085DE2" w:rsidP="005B1F40">
            <w:pPr>
              <w:jc w:val="both"/>
              <w:rPr>
                <w:rFonts w:eastAsia="Calibri"/>
                <w:sz w:val="20"/>
              </w:rPr>
            </w:pP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lang w:val="fr-CA"/>
              </w:rPr>
            </w:pPr>
            <w:r w:rsidRPr="00201A3F">
              <w:rPr>
                <w:rFonts w:eastAsia="Calibri"/>
                <w:sz w:val="20"/>
                <w:lang w:val="fr-CA"/>
              </w:rPr>
              <w:t>Requête en délaissement forcé et prise en paiement accueillie;</w:t>
            </w:r>
          </w:p>
          <w:p w:rsidR="00085DE2" w:rsidRPr="00201A3F" w:rsidRDefault="00085DE2" w:rsidP="005B1F40">
            <w:pPr>
              <w:jc w:val="both"/>
              <w:rPr>
                <w:rFonts w:eastAsia="Calibri"/>
                <w:sz w:val="20"/>
                <w:lang w:val="fr-CA"/>
              </w:rPr>
            </w:pPr>
            <w:r w:rsidRPr="00201A3F">
              <w:rPr>
                <w:rFonts w:eastAsia="Calibri"/>
                <w:sz w:val="20"/>
                <w:lang w:val="fr-CA"/>
              </w:rPr>
              <w:t>Diverses ordonnances et conclusions de nature déclaratoire prononcées.</w:t>
            </w:r>
          </w:p>
          <w:p w:rsidR="00085DE2" w:rsidRPr="00201A3F" w:rsidRDefault="00085DE2" w:rsidP="005B1F40">
            <w:pPr>
              <w:jc w:val="both"/>
              <w:rPr>
                <w:rFonts w:eastAsia="Calibri"/>
                <w:sz w:val="20"/>
                <w:lang w:val="fr-CA"/>
              </w:rPr>
            </w:pPr>
          </w:p>
        </w:tc>
      </w:tr>
      <w:tr w:rsidR="00085DE2" w:rsidRPr="00201A3F" w:rsidTr="005B1F40">
        <w:tc>
          <w:tcPr>
            <w:tcW w:w="2427" w:type="pct"/>
          </w:tcPr>
          <w:p w:rsidR="00085DE2" w:rsidRPr="00201A3F" w:rsidRDefault="00085DE2" w:rsidP="005B1F40">
            <w:pPr>
              <w:jc w:val="both"/>
              <w:rPr>
                <w:rFonts w:eastAsia="Calibri"/>
                <w:sz w:val="20"/>
                <w:lang w:val="fr-CA"/>
              </w:rPr>
            </w:pPr>
            <w:r w:rsidRPr="00201A3F">
              <w:rPr>
                <w:rFonts w:eastAsia="Calibri"/>
                <w:sz w:val="20"/>
                <w:lang w:val="fr-CA"/>
              </w:rPr>
              <w:t>Le 1</w:t>
            </w:r>
            <w:r w:rsidR="00D3651F" w:rsidRPr="00D3651F">
              <w:rPr>
                <w:rFonts w:eastAsia="Calibri"/>
                <w:sz w:val="20"/>
                <w:vertAlign w:val="superscript"/>
                <w:lang w:val="fr-CA"/>
              </w:rPr>
              <w:t>er</w:t>
            </w:r>
            <w:r w:rsidRPr="00201A3F">
              <w:rPr>
                <w:rFonts w:eastAsia="Calibri"/>
                <w:sz w:val="20"/>
                <w:lang w:val="fr-CA"/>
              </w:rPr>
              <w:t xml:space="preserve"> juin 2012</w:t>
            </w:r>
          </w:p>
          <w:p w:rsidR="00085DE2" w:rsidRPr="00201A3F" w:rsidRDefault="00085DE2" w:rsidP="005B1F40">
            <w:pPr>
              <w:jc w:val="both"/>
              <w:rPr>
                <w:rFonts w:eastAsia="Calibri"/>
                <w:sz w:val="20"/>
                <w:lang w:val="fr-CA"/>
              </w:rPr>
            </w:pPr>
            <w:r w:rsidRPr="00201A3F">
              <w:rPr>
                <w:rFonts w:eastAsia="Calibri"/>
                <w:sz w:val="20"/>
                <w:lang w:val="fr-CA"/>
              </w:rPr>
              <w:t>Cour d’appel du Québec (Montréal)</w:t>
            </w:r>
          </w:p>
          <w:p w:rsidR="00085DE2" w:rsidRPr="00201A3F" w:rsidRDefault="00085DE2" w:rsidP="005B1F40">
            <w:pPr>
              <w:jc w:val="both"/>
              <w:rPr>
                <w:rFonts w:eastAsia="Calibri"/>
                <w:sz w:val="20"/>
                <w:lang w:val="fr-CA"/>
              </w:rPr>
            </w:pPr>
            <w:r w:rsidRPr="00201A3F">
              <w:rPr>
                <w:rFonts w:eastAsia="Calibri"/>
                <w:sz w:val="20"/>
                <w:lang w:val="fr-CA"/>
              </w:rPr>
              <w:t>(Les juges Thibault, Rochette et Morissette)</w:t>
            </w:r>
          </w:p>
          <w:p w:rsidR="00085DE2" w:rsidRPr="00201A3F" w:rsidRDefault="00085DE2" w:rsidP="005B1F40">
            <w:pPr>
              <w:jc w:val="both"/>
              <w:rPr>
                <w:rFonts w:eastAsia="Calibri"/>
                <w:sz w:val="20"/>
                <w:lang w:val="fr-CA"/>
              </w:rPr>
            </w:pPr>
            <w:r w:rsidRPr="00201A3F">
              <w:rPr>
                <w:rFonts w:eastAsia="Calibri"/>
                <w:sz w:val="20"/>
                <w:lang w:val="fr-CA"/>
              </w:rPr>
              <w:t>2012 QCCA 998</w:t>
            </w:r>
          </w:p>
          <w:p w:rsidR="00085DE2" w:rsidRPr="00201A3F" w:rsidRDefault="00085DE2" w:rsidP="005B1F40">
            <w:pPr>
              <w:jc w:val="both"/>
              <w:rPr>
                <w:rFonts w:eastAsia="Calibri"/>
                <w:sz w:val="20"/>
              </w:rPr>
            </w:pPr>
          </w:p>
        </w:tc>
        <w:tc>
          <w:tcPr>
            <w:tcW w:w="243" w:type="pct"/>
          </w:tcPr>
          <w:p w:rsidR="00085DE2" w:rsidRPr="00201A3F" w:rsidRDefault="00085DE2" w:rsidP="005B1F40">
            <w:pPr>
              <w:jc w:val="both"/>
              <w:rPr>
                <w:rFonts w:eastAsia="Calibri"/>
                <w:sz w:val="20"/>
              </w:rPr>
            </w:pPr>
          </w:p>
        </w:tc>
        <w:tc>
          <w:tcPr>
            <w:tcW w:w="2330" w:type="pct"/>
          </w:tcPr>
          <w:p w:rsidR="00085DE2" w:rsidRPr="00201A3F" w:rsidRDefault="00085DE2" w:rsidP="005B1F40">
            <w:pPr>
              <w:jc w:val="both"/>
              <w:rPr>
                <w:rFonts w:eastAsia="Calibri"/>
                <w:sz w:val="20"/>
                <w:lang w:val="fr-CA"/>
              </w:rPr>
            </w:pPr>
            <w:r w:rsidRPr="00201A3F">
              <w:rPr>
                <w:rFonts w:eastAsia="Calibri"/>
                <w:sz w:val="20"/>
                <w:lang w:val="fr-CA"/>
              </w:rPr>
              <w:t>Requête en rejet d’appel accueillie;</w:t>
            </w:r>
          </w:p>
          <w:p w:rsidR="00085DE2" w:rsidRPr="00201A3F" w:rsidRDefault="00085DE2" w:rsidP="005B1F40">
            <w:pPr>
              <w:jc w:val="both"/>
              <w:rPr>
                <w:rFonts w:eastAsia="Calibri"/>
                <w:sz w:val="20"/>
                <w:lang w:val="fr-CA"/>
              </w:rPr>
            </w:pPr>
            <w:r w:rsidRPr="00201A3F">
              <w:rPr>
                <w:rFonts w:eastAsia="Calibri"/>
                <w:sz w:val="20"/>
                <w:lang w:val="fr-CA"/>
              </w:rPr>
              <w:t>Appel rejeté.</w:t>
            </w:r>
          </w:p>
          <w:p w:rsidR="00085DE2" w:rsidRPr="00201A3F" w:rsidRDefault="00085DE2" w:rsidP="005B1F40">
            <w:pPr>
              <w:jc w:val="both"/>
              <w:rPr>
                <w:rFonts w:eastAsia="Calibri"/>
                <w:sz w:val="20"/>
                <w:lang w:val="fr-CA"/>
              </w:rPr>
            </w:pPr>
          </w:p>
        </w:tc>
      </w:tr>
      <w:tr w:rsidR="00085DE2" w:rsidRPr="00201A3F" w:rsidTr="005B1F40">
        <w:tc>
          <w:tcPr>
            <w:tcW w:w="2427" w:type="pct"/>
          </w:tcPr>
          <w:p w:rsidR="00085DE2" w:rsidRPr="00201A3F" w:rsidRDefault="00085DE2" w:rsidP="005B1F40">
            <w:pPr>
              <w:jc w:val="both"/>
              <w:rPr>
                <w:rFonts w:eastAsia="Calibri"/>
                <w:sz w:val="20"/>
                <w:lang w:val="fr-CA"/>
              </w:rPr>
            </w:pPr>
            <w:r w:rsidRPr="00201A3F">
              <w:rPr>
                <w:rFonts w:eastAsia="Calibri"/>
                <w:sz w:val="20"/>
                <w:lang w:val="fr-CA"/>
              </w:rPr>
              <w:t>Le 31 août 2012</w:t>
            </w:r>
          </w:p>
          <w:p w:rsidR="00085DE2" w:rsidRPr="00201A3F" w:rsidRDefault="00085DE2" w:rsidP="005B1F40">
            <w:pPr>
              <w:jc w:val="both"/>
              <w:rPr>
                <w:rFonts w:eastAsia="Calibri"/>
                <w:sz w:val="20"/>
                <w:lang w:val="fr-CA"/>
              </w:rPr>
            </w:pPr>
            <w:r w:rsidRPr="00201A3F">
              <w:rPr>
                <w:rFonts w:eastAsia="Calibri"/>
                <w:sz w:val="20"/>
                <w:lang w:val="fr-CA"/>
              </w:rPr>
              <w:t>Cour suprême du Canada</w:t>
            </w:r>
          </w:p>
        </w:tc>
        <w:tc>
          <w:tcPr>
            <w:tcW w:w="243" w:type="pct"/>
          </w:tcPr>
          <w:p w:rsidR="00085DE2" w:rsidRPr="00201A3F" w:rsidRDefault="00085DE2" w:rsidP="005B1F40">
            <w:pPr>
              <w:jc w:val="both"/>
              <w:rPr>
                <w:rFonts w:eastAsia="Calibri"/>
                <w:sz w:val="20"/>
                <w:lang w:val="fr-CA"/>
              </w:rPr>
            </w:pPr>
          </w:p>
        </w:tc>
        <w:tc>
          <w:tcPr>
            <w:tcW w:w="2330" w:type="pct"/>
          </w:tcPr>
          <w:p w:rsidR="00085DE2" w:rsidRPr="00201A3F" w:rsidRDefault="00085DE2" w:rsidP="005B1F40">
            <w:pPr>
              <w:jc w:val="both"/>
              <w:rPr>
                <w:rFonts w:eastAsia="Calibri"/>
                <w:sz w:val="20"/>
                <w:lang w:val="fr-CA"/>
              </w:rPr>
            </w:pPr>
            <w:r w:rsidRPr="00201A3F">
              <w:rPr>
                <w:rFonts w:eastAsia="Calibri"/>
                <w:sz w:val="20"/>
                <w:lang w:val="fr-CA"/>
              </w:rPr>
              <w:t>Demande d’autorisation d’appel déposée.</w:t>
            </w:r>
          </w:p>
          <w:p w:rsidR="00085DE2" w:rsidRPr="00201A3F" w:rsidRDefault="00085DE2" w:rsidP="005B1F40">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79" style="width:2in;height:1pt" o:hrpct="0" o:hralign="center" o:hrstd="t" o:hrnoshade="t" o:hr="t" fillcolor="black [3213]" stroked="f"/>
        </w:pict>
      </w:r>
    </w:p>
    <w:p w:rsidR="00A740D1" w:rsidRDefault="00A740D1" w:rsidP="00A740D1">
      <w:pPr>
        <w:rPr>
          <w:sz w:val="20"/>
          <w:szCs w:val="20"/>
        </w:rPr>
      </w:pPr>
    </w:p>
    <w:p w:rsidR="00C4561E" w:rsidRDefault="00C4561E">
      <w:pPr>
        <w:rPr>
          <w:sz w:val="20"/>
          <w:szCs w:val="20"/>
        </w:rPr>
      </w:pPr>
      <w:r>
        <w:rPr>
          <w:sz w:val="20"/>
          <w:szCs w:val="20"/>
        </w:rPr>
        <w:br w:type="page"/>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561E" w:rsidRPr="00DC2D1F" w:rsidTr="007A1180">
        <w:trPr>
          <w:cantSplit/>
        </w:trPr>
        <w:tc>
          <w:tcPr>
            <w:tcW w:w="1458" w:type="dxa"/>
          </w:tcPr>
          <w:p w:rsidR="00C4561E" w:rsidRPr="00B83D51" w:rsidRDefault="00C4561E" w:rsidP="007A1180">
            <w:pPr>
              <w:rPr>
                <w:sz w:val="20"/>
                <w:szCs w:val="20"/>
              </w:rPr>
            </w:pPr>
            <w:r w:rsidRPr="00B83D51">
              <w:rPr>
                <w:rStyle w:val="SCCFileNumberChar"/>
                <w:sz w:val="20"/>
                <w:szCs w:val="20"/>
              </w:rPr>
              <w:lastRenderedPageBreak/>
              <w:t>34960</w:t>
            </w:r>
          </w:p>
          <w:p w:rsidR="00C4561E" w:rsidRPr="00B83D51" w:rsidRDefault="00C4561E" w:rsidP="007A1180">
            <w:pPr>
              <w:rPr>
                <w:b/>
                <w:sz w:val="20"/>
                <w:szCs w:val="20"/>
                <w:lang w:val="fr-CA"/>
              </w:rPr>
            </w:pPr>
          </w:p>
        </w:tc>
        <w:tc>
          <w:tcPr>
            <w:tcW w:w="8118" w:type="dxa"/>
          </w:tcPr>
          <w:p w:rsidR="00C4561E" w:rsidRPr="00B83D51" w:rsidRDefault="00C4561E" w:rsidP="007A1180">
            <w:pPr>
              <w:rPr>
                <w:sz w:val="20"/>
                <w:szCs w:val="20"/>
                <w:lang w:val="fr-CA"/>
              </w:rPr>
            </w:pPr>
            <w:r w:rsidRPr="00B83D51">
              <w:rPr>
                <w:rStyle w:val="SCCLsocChar"/>
                <w:sz w:val="20"/>
                <w:szCs w:val="20"/>
              </w:rPr>
              <w:t>Lumumba Patrice Olenga c. Sa Majesté la Reine</w:t>
            </w:r>
            <w:r w:rsidRPr="00B83D51">
              <w:rPr>
                <w:sz w:val="20"/>
                <w:szCs w:val="20"/>
                <w:lang w:val="fr-CA"/>
              </w:rPr>
              <w:t xml:space="preserve"> (Qc) (Criminelle) (Autorisation)</w:t>
            </w:r>
          </w:p>
          <w:p w:rsidR="00C4561E" w:rsidRPr="00B83D51" w:rsidRDefault="00C4561E" w:rsidP="007A1180">
            <w:pPr>
              <w:rPr>
                <w:sz w:val="20"/>
                <w:szCs w:val="20"/>
                <w:lang w:val="fr-CA"/>
              </w:rPr>
            </w:pPr>
          </w:p>
        </w:tc>
      </w:tr>
      <w:tr w:rsidR="00C4561E" w:rsidRPr="00DC2D1F" w:rsidTr="007A1180">
        <w:trPr>
          <w:cantSplit/>
        </w:trPr>
        <w:tc>
          <w:tcPr>
            <w:tcW w:w="1458" w:type="dxa"/>
          </w:tcPr>
          <w:p w:rsidR="00C4561E" w:rsidRPr="00B83D51" w:rsidRDefault="00C4561E" w:rsidP="007A1180">
            <w:pPr>
              <w:rPr>
                <w:sz w:val="20"/>
                <w:szCs w:val="20"/>
              </w:rPr>
            </w:pPr>
            <w:r w:rsidRPr="00B83D51">
              <w:rPr>
                <w:sz w:val="20"/>
                <w:szCs w:val="20"/>
              </w:rPr>
              <w:t>Coram :</w:t>
            </w:r>
          </w:p>
        </w:tc>
        <w:tc>
          <w:tcPr>
            <w:tcW w:w="8118" w:type="dxa"/>
          </w:tcPr>
          <w:p w:rsidR="00C4561E" w:rsidRPr="00B83D51" w:rsidRDefault="00C4561E" w:rsidP="007A1180">
            <w:pPr>
              <w:rPr>
                <w:sz w:val="20"/>
                <w:szCs w:val="20"/>
                <w:lang w:val="fr-CA"/>
              </w:rPr>
            </w:pPr>
            <w:r w:rsidRPr="00B83D51">
              <w:rPr>
                <w:rStyle w:val="SCCCoramChar"/>
                <w:sz w:val="20"/>
                <w:szCs w:val="20"/>
              </w:rPr>
              <w:t>Les juges LeBel, Abella et Cromwell</w:t>
            </w:r>
          </w:p>
          <w:p w:rsidR="00C4561E" w:rsidRPr="00B83D51" w:rsidRDefault="00C4561E" w:rsidP="007A1180">
            <w:pPr>
              <w:rPr>
                <w:sz w:val="20"/>
                <w:szCs w:val="20"/>
                <w:u w:val="single"/>
                <w:lang w:val="fr-CA"/>
              </w:rPr>
            </w:pPr>
          </w:p>
        </w:tc>
      </w:tr>
      <w:tr w:rsidR="00C4561E" w:rsidRPr="00B83D51" w:rsidTr="007A1180">
        <w:trPr>
          <w:cantSplit/>
        </w:trPr>
        <w:tc>
          <w:tcPr>
            <w:tcW w:w="9576" w:type="dxa"/>
            <w:gridSpan w:val="2"/>
          </w:tcPr>
          <w:p w:rsidR="00C4561E" w:rsidRPr="00B83D51" w:rsidRDefault="00C4561E" w:rsidP="007A1180">
            <w:pPr>
              <w:pStyle w:val="SCCShortJudgment"/>
              <w:rPr>
                <w:szCs w:val="20"/>
                <w:lang w:val="fr-CA"/>
              </w:rPr>
            </w:pPr>
            <w:r w:rsidRPr="00B83D51">
              <w:rPr>
                <w:szCs w:val="20"/>
                <w:lang w:val="fr-CA"/>
              </w:rPr>
              <w:t>La demande d’autorisation d’appel de l’arrêt de la Cour d’appel du Québec (Montréal), numéro 500-10-005085-129, 2012 QCCA 1157, daté du 15 juin 2012, est rejetée sans dépens.</w:t>
            </w:r>
          </w:p>
          <w:p w:rsidR="00C4561E" w:rsidRPr="00B83D51" w:rsidRDefault="00C4561E" w:rsidP="007A1180">
            <w:pPr>
              <w:pStyle w:val="SCCShortJudgment"/>
              <w:ind w:firstLine="0"/>
              <w:rPr>
                <w:szCs w:val="20"/>
                <w:lang w:val="fr-CA"/>
              </w:rPr>
            </w:pPr>
          </w:p>
          <w:p w:rsidR="00C4561E" w:rsidRPr="00B83D51" w:rsidRDefault="00C4561E" w:rsidP="007A1180">
            <w:pPr>
              <w:pStyle w:val="SCCShortJudgment"/>
              <w:rPr>
                <w:szCs w:val="20"/>
              </w:rPr>
            </w:pPr>
            <w:r w:rsidRPr="00B83D51">
              <w:rPr>
                <w:szCs w:val="20"/>
              </w:rPr>
              <w:t>The application for leave to appeal from the judgment of the Court of Appeal of Quebec (Montréal), Number 500-10-005085-129, 2012 QCCA 1157, dated June 15, 2012, is dismissed without costs.</w:t>
            </w:r>
          </w:p>
        </w:tc>
      </w:tr>
    </w:tbl>
    <w:p w:rsidR="00A740D1" w:rsidRDefault="00A740D1" w:rsidP="00A740D1">
      <w:pPr>
        <w:rPr>
          <w:sz w:val="20"/>
          <w:szCs w:val="20"/>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F40" w:rsidRPr="00201A3F" w:rsidTr="005B1F40">
        <w:tc>
          <w:tcPr>
            <w:tcW w:w="5000" w:type="pct"/>
            <w:gridSpan w:val="3"/>
          </w:tcPr>
          <w:p w:rsidR="005B1F40" w:rsidRPr="00201A3F" w:rsidRDefault="005B1F40" w:rsidP="005B1F40">
            <w:pPr>
              <w:jc w:val="both"/>
              <w:rPr>
                <w:rFonts w:eastAsia="Calibri"/>
                <w:sz w:val="20"/>
              </w:rPr>
            </w:pPr>
            <w:r w:rsidRPr="00201A3F">
              <w:rPr>
                <w:rFonts w:eastAsia="Calibri"/>
                <w:sz w:val="20"/>
              </w:rPr>
              <w:t>Criminal law — Arrest — Formal requirements — Warrantless arrest — Allegation that informations not signed — Whether applicant’s arrest contrary to rules.</w:t>
            </w:r>
          </w:p>
        </w:tc>
      </w:tr>
      <w:tr w:rsidR="005B1F40" w:rsidRPr="00201A3F" w:rsidTr="005B1F40">
        <w:tc>
          <w:tcPr>
            <w:tcW w:w="5000" w:type="pct"/>
            <w:gridSpan w:val="3"/>
          </w:tcPr>
          <w:p w:rsidR="005B1F40" w:rsidRPr="00201A3F" w:rsidRDefault="005B1F40" w:rsidP="005B1F40">
            <w:pPr>
              <w:jc w:val="both"/>
              <w:rPr>
                <w:rFonts w:eastAsia="Calibri"/>
                <w:sz w:val="20"/>
              </w:rPr>
            </w:pPr>
          </w:p>
        </w:tc>
      </w:tr>
      <w:tr w:rsidR="005B1F40" w:rsidRPr="00201A3F" w:rsidTr="005B1F40">
        <w:tc>
          <w:tcPr>
            <w:tcW w:w="5000" w:type="pct"/>
            <w:gridSpan w:val="3"/>
          </w:tcPr>
          <w:p w:rsidR="005B1F40" w:rsidRPr="00201A3F" w:rsidRDefault="005B1F40" w:rsidP="005B1F40">
            <w:pPr>
              <w:jc w:val="both"/>
              <w:rPr>
                <w:rFonts w:eastAsia="Calibri"/>
                <w:sz w:val="20"/>
              </w:rPr>
            </w:pPr>
            <w:r w:rsidRPr="00201A3F">
              <w:rPr>
                <w:rFonts w:eastAsia="Calibri"/>
                <w:sz w:val="20"/>
              </w:rPr>
              <w:t xml:space="preserve">The applicant was arrested on November 25, 2011, </w:t>
            </w:r>
            <w:r w:rsidRPr="00201A3F">
              <w:rPr>
                <w:rFonts w:eastAsia="Calibri"/>
                <w:i/>
                <w:sz w:val="20"/>
              </w:rPr>
              <w:t>inter alia</w:t>
            </w:r>
            <w:r w:rsidRPr="00201A3F">
              <w:rPr>
                <w:rFonts w:eastAsia="Calibri"/>
                <w:sz w:val="20"/>
              </w:rPr>
              <w:t xml:space="preserve"> to face charges for intimidation allegedly committed on October 27, 2011.  He alleged that the police officers had arrested him without a warrant and that the informations leading to his arrest had not been duly sworn.</w:t>
            </w:r>
          </w:p>
          <w:p w:rsidR="005B1F40" w:rsidRPr="00201A3F" w:rsidRDefault="005B1F40" w:rsidP="005B1F40">
            <w:pPr>
              <w:jc w:val="both"/>
              <w:rPr>
                <w:rFonts w:eastAsia="Calibri"/>
                <w:sz w:val="20"/>
              </w:rPr>
            </w:pPr>
          </w:p>
        </w:tc>
      </w:tr>
      <w:tr w:rsidR="005B1F40" w:rsidRPr="00201A3F" w:rsidTr="005B1F40">
        <w:tc>
          <w:tcPr>
            <w:tcW w:w="2427" w:type="pct"/>
          </w:tcPr>
          <w:p w:rsidR="005B1F40" w:rsidRPr="00201A3F" w:rsidRDefault="005B1F40" w:rsidP="005B1F40">
            <w:pPr>
              <w:jc w:val="both"/>
              <w:rPr>
                <w:rFonts w:eastAsia="Calibri"/>
                <w:sz w:val="20"/>
              </w:rPr>
            </w:pPr>
            <w:r w:rsidRPr="00201A3F">
              <w:rPr>
                <w:rFonts w:eastAsia="Calibri"/>
                <w:sz w:val="20"/>
              </w:rPr>
              <w:t>January 24, 2012</w:t>
            </w:r>
          </w:p>
          <w:p w:rsidR="005B1F40" w:rsidRPr="00201A3F" w:rsidRDefault="005B1F40" w:rsidP="005B1F40">
            <w:pPr>
              <w:jc w:val="both"/>
              <w:rPr>
                <w:rFonts w:eastAsia="Calibri"/>
                <w:sz w:val="20"/>
              </w:rPr>
            </w:pPr>
            <w:r w:rsidRPr="00201A3F">
              <w:rPr>
                <w:rFonts w:eastAsia="Calibri"/>
                <w:sz w:val="20"/>
              </w:rPr>
              <w:t>Quebec Superior Court</w:t>
            </w:r>
          </w:p>
          <w:p w:rsidR="005B1F40" w:rsidRPr="00201A3F" w:rsidRDefault="005B1F40" w:rsidP="005B1F40">
            <w:pPr>
              <w:jc w:val="both"/>
              <w:rPr>
                <w:rFonts w:eastAsia="Calibri"/>
                <w:sz w:val="20"/>
              </w:rPr>
            </w:pPr>
            <w:r w:rsidRPr="00201A3F">
              <w:rPr>
                <w:rFonts w:eastAsia="Calibri"/>
                <w:sz w:val="20"/>
              </w:rPr>
              <w:t>(David J.)</w:t>
            </w:r>
          </w:p>
          <w:p w:rsidR="005B1F40" w:rsidRPr="00201A3F" w:rsidRDefault="005B1F40" w:rsidP="005B1F40">
            <w:pPr>
              <w:jc w:val="both"/>
              <w:rPr>
                <w:rFonts w:eastAsia="Calibri"/>
                <w:sz w:val="20"/>
              </w:rPr>
            </w:pPr>
          </w:p>
        </w:tc>
        <w:tc>
          <w:tcPr>
            <w:tcW w:w="243" w:type="pct"/>
          </w:tcPr>
          <w:p w:rsidR="005B1F40" w:rsidRPr="00201A3F" w:rsidRDefault="005B1F40" w:rsidP="005B1F40">
            <w:pPr>
              <w:jc w:val="both"/>
              <w:rPr>
                <w:rFonts w:eastAsia="Calibri"/>
                <w:sz w:val="20"/>
              </w:rPr>
            </w:pPr>
          </w:p>
        </w:tc>
        <w:tc>
          <w:tcPr>
            <w:tcW w:w="2330" w:type="pct"/>
          </w:tcPr>
          <w:p w:rsidR="005B1F40" w:rsidRPr="00201A3F" w:rsidRDefault="005B1F40" w:rsidP="005B1F40">
            <w:pPr>
              <w:jc w:val="both"/>
              <w:rPr>
                <w:rFonts w:eastAsia="Calibri"/>
                <w:sz w:val="20"/>
              </w:rPr>
            </w:pPr>
            <w:r w:rsidRPr="00201A3F">
              <w:rPr>
                <w:rFonts w:eastAsia="Calibri"/>
                <w:sz w:val="20"/>
              </w:rPr>
              <w:t xml:space="preserve">Applicant’s motion for </w:t>
            </w:r>
            <w:r w:rsidRPr="00201A3F">
              <w:rPr>
                <w:rFonts w:eastAsia="Calibri"/>
                <w:i/>
                <w:sz w:val="20"/>
              </w:rPr>
              <w:t>certiorari</w:t>
            </w:r>
            <w:r w:rsidRPr="00201A3F">
              <w:rPr>
                <w:rFonts w:eastAsia="Calibri"/>
                <w:sz w:val="20"/>
              </w:rPr>
              <w:t xml:space="preserve"> dismissed</w:t>
            </w:r>
          </w:p>
        </w:tc>
      </w:tr>
      <w:tr w:rsidR="005B1F40" w:rsidRPr="00201A3F" w:rsidTr="005B1F40">
        <w:tc>
          <w:tcPr>
            <w:tcW w:w="2427" w:type="pct"/>
          </w:tcPr>
          <w:p w:rsidR="005B1F40" w:rsidRPr="00201A3F" w:rsidRDefault="005B1F40" w:rsidP="005B1F40">
            <w:pPr>
              <w:jc w:val="both"/>
              <w:rPr>
                <w:rFonts w:eastAsia="Calibri"/>
                <w:sz w:val="20"/>
              </w:rPr>
            </w:pPr>
            <w:r w:rsidRPr="00201A3F">
              <w:rPr>
                <w:rFonts w:eastAsia="Calibri"/>
                <w:sz w:val="20"/>
              </w:rPr>
              <w:t>June 15, 2012</w:t>
            </w:r>
          </w:p>
          <w:p w:rsidR="005B1F40" w:rsidRPr="00201A3F" w:rsidRDefault="005B1F40" w:rsidP="005B1F40">
            <w:pPr>
              <w:jc w:val="both"/>
              <w:rPr>
                <w:rFonts w:eastAsia="Calibri"/>
                <w:sz w:val="20"/>
              </w:rPr>
            </w:pPr>
            <w:r w:rsidRPr="00201A3F">
              <w:rPr>
                <w:rFonts w:eastAsia="Calibri"/>
                <w:sz w:val="20"/>
              </w:rPr>
              <w:t>Quebec Court of Appeal (Montréal)</w:t>
            </w:r>
          </w:p>
          <w:p w:rsidR="005B1F40" w:rsidRPr="00201A3F" w:rsidRDefault="005B1F40" w:rsidP="005B1F40">
            <w:pPr>
              <w:jc w:val="both"/>
              <w:rPr>
                <w:rFonts w:eastAsia="Calibri"/>
                <w:sz w:val="20"/>
              </w:rPr>
            </w:pPr>
            <w:r w:rsidRPr="00201A3F">
              <w:rPr>
                <w:rFonts w:eastAsia="Calibri"/>
                <w:sz w:val="20"/>
              </w:rPr>
              <w:t>(Hilton, Kasirer and Wagner JJ.A.)</w:t>
            </w:r>
          </w:p>
          <w:p w:rsidR="005B1F40" w:rsidRPr="00201A3F" w:rsidRDefault="005B1F40" w:rsidP="005B1F40">
            <w:pPr>
              <w:jc w:val="both"/>
              <w:rPr>
                <w:rFonts w:eastAsia="Calibri"/>
                <w:sz w:val="20"/>
              </w:rPr>
            </w:pPr>
            <w:r w:rsidRPr="00201A3F">
              <w:rPr>
                <w:rFonts w:eastAsia="Calibri"/>
                <w:sz w:val="20"/>
              </w:rPr>
              <w:t>2012 QCCA 1157</w:t>
            </w:r>
          </w:p>
          <w:p w:rsidR="005B1F40" w:rsidRPr="00201A3F" w:rsidRDefault="005B1F40" w:rsidP="005B1F40">
            <w:pPr>
              <w:jc w:val="both"/>
              <w:rPr>
                <w:rFonts w:eastAsia="Calibri"/>
                <w:sz w:val="20"/>
              </w:rPr>
            </w:pPr>
          </w:p>
        </w:tc>
        <w:tc>
          <w:tcPr>
            <w:tcW w:w="243" w:type="pct"/>
          </w:tcPr>
          <w:p w:rsidR="005B1F40" w:rsidRPr="00201A3F" w:rsidRDefault="005B1F40" w:rsidP="005B1F40">
            <w:pPr>
              <w:jc w:val="both"/>
              <w:rPr>
                <w:rFonts w:eastAsia="Calibri"/>
                <w:sz w:val="20"/>
              </w:rPr>
            </w:pPr>
          </w:p>
        </w:tc>
        <w:tc>
          <w:tcPr>
            <w:tcW w:w="2330" w:type="pct"/>
          </w:tcPr>
          <w:p w:rsidR="005B1F40" w:rsidRPr="00201A3F" w:rsidRDefault="005B1F40" w:rsidP="005B1F40">
            <w:pPr>
              <w:jc w:val="both"/>
              <w:rPr>
                <w:rFonts w:eastAsia="Calibri"/>
                <w:sz w:val="20"/>
              </w:rPr>
            </w:pPr>
            <w:r w:rsidRPr="00201A3F">
              <w:rPr>
                <w:rFonts w:eastAsia="Calibri"/>
                <w:sz w:val="20"/>
              </w:rPr>
              <w:t>Appeal dismissed</w:t>
            </w:r>
          </w:p>
        </w:tc>
      </w:tr>
      <w:tr w:rsidR="005B1F40" w:rsidRPr="00201A3F" w:rsidTr="005B1F40">
        <w:tc>
          <w:tcPr>
            <w:tcW w:w="2427" w:type="pct"/>
          </w:tcPr>
          <w:p w:rsidR="005B1F40" w:rsidRPr="00201A3F" w:rsidRDefault="005B1F40" w:rsidP="005B1F40">
            <w:pPr>
              <w:jc w:val="both"/>
              <w:rPr>
                <w:rFonts w:eastAsia="Calibri"/>
                <w:sz w:val="20"/>
              </w:rPr>
            </w:pPr>
            <w:r w:rsidRPr="00201A3F">
              <w:rPr>
                <w:rFonts w:eastAsia="Calibri"/>
                <w:sz w:val="20"/>
              </w:rPr>
              <w:t>September 12, 2012</w:t>
            </w:r>
          </w:p>
          <w:p w:rsidR="005B1F40" w:rsidRPr="00201A3F" w:rsidRDefault="005B1F40" w:rsidP="005B1F40">
            <w:pPr>
              <w:jc w:val="both"/>
              <w:rPr>
                <w:rFonts w:eastAsia="Calibri"/>
                <w:sz w:val="20"/>
              </w:rPr>
            </w:pPr>
            <w:r w:rsidRPr="00201A3F">
              <w:rPr>
                <w:rFonts w:eastAsia="Calibri"/>
                <w:sz w:val="20"/>
              </w:rPr>
              <w:t>Supreme Court of Canada</w:t>
            </w:r>
          </w:p>
        </w:tc>
        <w:tc>
          <w:tcPr>
            <w:tcW w:w="243" w:type="pct"/>
          </w:tcPr>
          <w:p w:rsidR="005B1F40" w:rsidRPr="00201A3F" w:rsidRDefault="005B1F40" w:rsidP="005B1F40">
            <w:pPr>
              <w:jc w:val="both"/>
              <w:rPr>
                <w:rFonts w:eastAsia="Calibri"/>
                <w:sz w:val="20"/>
              </w:rPr>
            </w:pPr>
          </w:p>
        </w:tc>
        <w:tc>
          <w:tcPr>
            <w:tcW w:w="2330" w:type="pct"/>
          </w:tcPr>
          <w:p w:rsidR="005B1F40" w:rsidRPr="00201A3F" w:rsidRDefault="005B1F40" w:rsidP="005B1F40">
            <w:pPr>
              <w:jc w:val="both"/>
              <w:rPr>
                <w:rFonts w:eastAsia="Calibri"/>
                <w:sz w:val="20"/>
              </w:rPr>
            </w:pPr>
            <w:r w:rsidRPr="00201A3F">
              <w:rPr>
                <w:rFonts w:eastAsia="Calibri"/>
                <w:sz w:val="20"/>
              </w:rPr>
              <w:t>Application for leave to appeal filed</w:t>
            </w: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80"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F40" w:rsidRPr="00DC2D1F" w:rsidTr="005B1F40">
        <w:tc>
          <w:tcPr>
            <w:tcW w:w="5000" w:type="pct"/>
            <w:gridSpan w:val="3"/>
          </w:tcPr>
          <w:p w:rsidR="005B1F40" w:rsidRPr="00201A3F" w:rsidRDefault="005B1F40" w:rsidP="005B1F40">
            <w:pPr>
              <w:jc w:val="both"/>
              <w:rPr>
                <w:rFonts w:eastAsia="Calibri"/>
                <w:sz w:val="20"/>
                <w:lang w:val="fr-FR"/>
              </w:rPr>
            </w:pPr>
            <w:r w:rsidRPr="00201A3F">
              <w:rPr>
                <w:rFonts w:eastAsia="Calibri"/>
                <w:sz w:val="20"/>
                <w:lang w:val="fr-CA"/>
              </w:rPr>
              <w:t>Droit criminel — Arrestation — Conditions formelles — Arrestation sans mandat — Allégation de dénonciations non signées — L’arrestation du demandeur contrevenait</w:t>
            </w:r>
            <w:r w:rsidRPr="00201A3F">
              <w:rPr>
                <w:rFonts w:eastAsia="Calibri"/>
                <w:sz w:val="20"/>
                <w:lang w:val="fr-CA"/>
              </w:rPr>
              <w:noBreakHyphen/>
              <w:t>elle aux règles?</w:t>
            </w:r>
          </w:p>
        </w:tc>
      </w:tr>
      <w:tr w:rsidR="005B1F40" w:rsidRPr="00DC2D1F" w:rsidTr="005B1F40">
        <w:tc>
          <w:tcPr>
            <w:tcW w:w="5000" w:type="pct"/>
            <w:gridSpan w:val="3"/>
          </w:tcPr>
          <w:p w:rsidR="005B1F40" w:rsidRPr="00201A3F" w:rsidRDefault="005B1F40" w:rsidP="005B1F40">
            <w:pPr>
              <w:jc w:val="both"/>
              <w:rPr>
                <w:rFonts w:eastAsia="Calibri"/>
                <w:sz w:val="20"/>
                <w:lang w:val="fr-CA"/>
              </w:rPr>
            </w:pPr>
          </w:p>
        </w:tc>
      </w:tr>
      <w:tr w:rsidR="005B1F40" w:rsidRPr="00DC2D1F" w:rsidTr="005B1F40">
        <w:tc>
          <w:tcPr>
            <w:tcW w:w="5000" w:type="pct"/>
            <w:gridSpan w:val="3"/>
          </w:tcPr>
          <w:p w:rsidR="005B1F40" w:rsidRPr="00201A3F" w:rsidRDefault="005B1F40" w:rsidP="005B1F40">
            <w:pPr>
              <w:jc w:val="both"/>
              <w:rPr>
                <w:rFonts w:eastAsia="Calibri"/>
                <w:sz w:val="20"/>
                <w:lang w:val="fr-CA"/>
              </w:rPr>
            </w:pPr>
            <w:r w:rsidRPr="00201A3F">
              <w:rPr>
                <w:rFonts w:eastAsia="Calibri"/>
                <w:sz w:val="20"/>
                <w:lang w:val="fr-CA"/>
              </w:rPr>
              <w:t>Le demandeur a été arrêté le 25 novembre 2011 pour répondre, entre autres, à des accusations relatives à des actes d'intimidation qui seraient survenus le 27 octobre 2011.  Il reproche aux policiers de l'avoir arrêté sans mandat et il allègue que les dénonciations à l'origine de son arrestation n'étaient pas dûment assermentées.</w:t>
            </w:r>
          </w:p>
          <w:p w:rsidR="005B1F40" w:rsidRPr="00201A3F" w:rsidRDefault="005B1F40" w:rsidP="005B1F40">
            <w:pPr>
              <w:jc w:val="both"/>
              <w:rPr>
                <w:rFonts w:eastAsia="Calibri"/>
                <w:sz w:val="20"/>
                <w:lang w:val="fr-CA"/>
              </w:rPr>
            </w:pPr>
          </w:p>
        </w:tc>
      </w:tr>
      <w:tr w:rsidR="005B1F40" w:rsidRPr="00DC2D1F" w:rsidTr="005B1F40">
        <w:tc>
          <w:tcPr>
            <w:tcW w:w="2427" w:type="pct"/>
          </w:tcPr>
          <w:p w:rsidR="005B1F40" w:rsidRPr="00201A3F" w:rsidRDefault="005B1F40" w:rsidP="005B1F40">
            <w:pPr>
              <w:jc w:val="both"/>
              <w:rPr>
                <w:rFonts w:eastAsia="Calibri"/>
                <w:sz w:val="20"/>
                <w:lang w:val="fr-CA"/>
              </w:rPr>
            </w:pPr>
            <w:r w:rsidRPr="00201A3F">
              <w:rPr>
                <w:rFonts w:eastAsia="Calibri"/>
                <w:sz w:val="20"/>
                <w:lang w:val="fr-CA"/>
              </w:rPr>
              <w:t>Le 24 janvier 2012</w:t>
            </w:r>
          </w:p>
          <w:p w:rsidR="005B1F40" w:rsidRPr="00201A3F" w:rsidRDefault="005B1F40" w:rsidP="005B1F40">
            <w:pPr>
              <w:jc w:val="both"/>
              <w:rPr>
                <w:rFonts w:eastAsia="Calibri"/>
                <w:sz w:val="20"/>
                <w:lang w:val="fr-CA"/>
              </w:rPr>
            </w:pPr>
            <w:r w:rsidRPr="00201A3F">
              <w:rPr>
                <w:rFonts w:eastAsia="Calibri"/>
                <w:sz w:val="20"/>
                <w:lang w:val="fr-CA"/>
              </w:rPr>
              <w:t>Cour supérieure du Québec</w:t>
            </w:r>
          </w:p>
          <w:p w:rsidR="005B1F40" w:rsidRPr="00201A3F" w:rsidRDefault="005B1F40" w:rsidP="005B1F40">
            <w:pPr>
              <w:jc w:val="both"/>
              <w:rPr>
                <w:rFonts w:eastAsia="Calibri"/>
                <w:sz w:val="20"/>
                <w:lang w:val="fr-CA"/>
              </w:rPr>
            </w:pPr>
            <w:r w:rsidRPr="00201A3F">
              <w:rPr>
                <w:rFonts w:eastAsia="Calibri"/>
                <w:sz w:val="20"/>
                <w:lang w:val="fr-CA"/>
              </w:rPr>
              <w:t>(Le juge David)</w:t>
            </w:r>
          </w:p>
          <w:p w:rsidR="005B1F40" w:rsidRPr="00201A3F" w:rsidRDefault="005B1F40" w:rsidP="005B1F40">
            <w:pPr>
              <w:jc w:val="both"/>
              <w:rPr>
                <w:rFonts w:eastAsia="Calibri"/>
                <w:sz w:val="20"/>
              </w:rPr>
            </w:pPr>
          </w:p>
        </w:tc>
        <w:tc>
          <w:tcPr>
            <w:tcW w:w="243" w:type="pct"/>
          </w:tcPr>
          <w:p w:rsidR="005B1F40" w:rsidRPr="00201A3F" w:rsidRDefault="005B1F40" w:rsidP="005B1F40">
            <w:pPr>
              <w:jc w:val="both"/>
              <w:rPr>
                <w:rFonts w:eastAsia="Calibri"/>
                <w:sz w:val="20"/>
              </w:rPr>
            </w:pPr>
          </w:p>
        </w:tc>
        <w:tc>
          <w:tcPr>
            <w:tcW w:w="2330" w:type="pct"/>
          </w:tcPr>
          <w:p w:rsidR="005B1F40" w:rsidRPr="00201A3F" w:rsidRDefault="005B1F40" w:rsidP="005B1F40">
            <w:pPr>
              <w:jc w:val="both"/>
              <w:rPr>
                <w:rFonts w:eastAsia="Calibri"/>
                <w:sz w:val="20"/>
                <w:lang w:val="fr-CA"/>
              </w:rPr>
            </w:pPr>
            <w:r w:rsidRPr="00201A3F">
              <w:rPr>
                <w:rFonts w:eastAsia="Calibri"/>
                <w:sz w:val="20"/>
                <w:lang w:val="fr-CA"/>
              </w:rPr>
              <w:t xml:space="preserve">Rejet de la requête en </w:t>
            </w:r>
            <w:r w:rsidRPr="00201A3F">
              <w:rPr>
                <w:rFonts w:eastAsia="Calibri"/>
                <w:i/>
                <w:sz w:val="20"/>
                <w:lang w:val="fr-CA"/>
              </w:rPr>
              <w:t>certiorari</w:t>
            </w:r>
            <w:r w:rsidRPr="00201A3F">
              <w:rPr>
                <w:rFonts w:eastAsia="Calibri"/>
                <w:sz w:val="20"/>
                <w:lang w:val="fr-CA"/>
              </w:rPr>
              <w:t xml:space="preserve"> du demandeur.</w:t>
            </w:r>
          </w:p>
        </w:tc>
      </w:tr>
      <w:tr w:rsidR="005B1F40" w:rsidRPr="00201A3F" w:rsidTr="00C4561E">
        <w:trPr>
          <w:cantSplit/>
        </w:trPr>
        <w:tc>
          <w:tcPr>
            <w:tcW w:w="2427" w:type="pct"/>
          </w:tcPr>
          <w:p w:rsidR="005B1F40" w:rsidRPr="00201A3F" w:rsidRDefault="005B1F40" w:rsidP="005B1F40">
            <w:pPr>
              <w:jc w:val="both"/>
              <w:rPr>
                <w:rFonts w:eastAsia="Calibri"/>
                <w:sz w:val="20"/>
                <w:lang w:val="fr-CA"/>
              </w:rPr>
            </w:pPr>
            <w:r w:rsidRPr="00201A3F">
              <w:rPr>
                <w:rFonts w:eastAsia="Calibri"/>
                <w:sz w:val="20"/>
                <w:lang w:val="fr-CA"/>
              </w:rPr>
              <w:lastRenderedPageBreak/>
              <w:t>Le 15 juin 2012</w:t>
            </w:r>
          </w:p>
          <w:p w:rsidR="005B1F40" w:rsidRPr="00201A3F" w:rsidRDefault="005B1F40" w:rsidP="005B1F40">
            <w:pPr>
              <w:jc w:val="both"/>
              <w:rPr>
                <w:rFonts w:eastAsia="Calibri"/>
                <w:sz w:val="20"/>
                <w:lang w:val="fr-CA"/>
              </w:rPr>
            </w:pPr>
            <w:r w:rsidRPr="00201A3F">
              <w:rPr>
                <w:rFonts w:eastAsia="Calibri"/>
                <w:sz w:val="20"/>
                <w:lang w:val="fr-CA"/>
              </w:rPr>
              <w:t>Cour d’appel du Québec (Montréal)</w:t>
            </w:r>
          </w:p>
          <w:p w:rsidR="005B1F40" w:rsidRPr="00201A3F" w:rsidRDefault="005B1F40" w:rsidP="005B1F40">
            <w:pPr>
              <w:jc w:val="both"/>
              <w:rPr>
                <w:rFonts w:eastAsia="Calibri"/>
                <w:sz w:val="20"/>
                <w:lang w:val="fr-FR"/>
              </w:rPr>
            </w:pPr>
            <w:r w:rsidRPr="00201A3F">
              <w:rPr>
                <w:rFonts w:eastAsia="Calibri"/>
                <w:sz w:val="20"/>
                <w:lang w:val="fr-FR"/>
              </w:rPr>
              <w:t>(Les juges Hilton, Kasirer et Wagner)</w:t>
            </w:r>
          </w:p>
          <w:p w:rsidR="005B1F40" w:rsidRPr="00201A3F" w:rsidRDefault="005B1F40" w:rsidP="005B1F40">
            <w:pPr>
              <w:jc w:val="both"/>
              <w:rPr>
                <w:rFonts w:eastAsia="Calibri"/>
                <w:sz w:val="20"/>
                <w:lang w:val="fr-CA"/>
              </w:rPr>
            </w:pPr>
            <w:r w:rsidRPr="00201A3F">
              <w:rPr>
                <w:rFonts w:eastAsia="Calibri"/>
                <w:sz w:val="20"/>
                <w:lang w:val="fr-CA"/>
              </w:rPr>
              <w:t>2012 QCCA 1157</w:t>
            </w:r>
          </w:p>
          <w:p w:rsidR="005B1F40" w:rsidRPr="00201A3F" w:rsidRDefault="005B1F40" w:rsidP="005B1F40">
            <w:pPr>
              <w:jc w:val="both"/>
              <w:rPr>
                <w:rFonts w:eastAsia="Calibri"/>
                <w:sz w:val="20"/>
              </w:rPr>
            </w:pPr>
          </w:p>
        </w:tc>
        <w:tc>
          <w:tcPr>
            <w:tcW w:w="243" w:type="pct"/>
          </w:tcPr>
          <w:p w:rsidR="005B1F40" w:rsidRPr="00201A3F" w:rsidRDefault="005B1F40" w:rsidP="005B1F40">
            <w:pPr>
              <w:jc w:val="both"/>
              <w:rPr>
                <w:rFonts w:eastAsia="Calibri"/>
                <w:sz w:val="20"/>
              </w:rPr>
            </w:pPr>
          </w:p>
        </w:tc>
        <w:tc>
          <w:tcPr>
            <w:tcW w:w="2330" w:type="pct"/>
          </w:tcPr>
          <w:p w:rsidR="005B1F40" w:rsidRPr="00201A3F" w:rsidRDefault="005B1F40" w:rsidP="005B1F40">
            <w:pPr>
              <w:jc w:val="both"/>
              <w:rPr>
                <w:rFonts w:eastAsia="Calibri"/>
                <w:sz w:val="20"/>
                <w:lang w:val="fr-CA"/>
              </w:rPr>
            </w:pPr>
            <w:r w:rsidRPr="00201A3F">
              <w:rPr>
                <w:rFonts w:eastAsia="Calibri"/>
                <w:sz w:val="20"/>
                <w:lang w:val="fr-CA"/>
              </w:rPr>
              <w:t>Rejet de l’appel.</w:t>
            </w:r>
          </w:p>
        </w:tc>
      </w:tr>
      <w:tr w:rsidR="005B1F40" w:rsidRPr="00DC2D1F" w:rsidTr="00C4561E">
        <w:trPr>
          <w:cantSplit/>
        </w:trPr>
        <w:tc>
          <w:tcPr>
            <w:tcW w:w="2427" w:type="pct"/>
          </w:tcPr>
          <w:p w:rsidR="005B1F40" w:rsidRPr="00201A3F" w:rsidRDefault="005B1F40" w:rsidP="005B1F40">
            <w:pPr>
              <w:jc w:val="both"/>
              <w:rPr>
                <w:rFonts w:eastAsia="Calibri"/>
                <w:sz w:val="20"/>
                <w:lang w:val="fr-CA"/>
              </w:rPr>
            </w:pPr>
            <w:r w:rsidRPr="00201A3F">
              <w:rPr>
                <w:rFonts w:eastAsia="Calibri"/>
                <w:sz w:val="20"/>
                <w:lang w:val="fr-CA"/>
              </w:rPr>
              <w:t>Le 12 septembre 2012</w:t>
            </w:r>
          </w:p>
          <w:p w:rsidR="005B1F40" w:rsidRPr="00201A3F" w:rsidRDefault="005B1F40" w:rsidP="005B1F40">
            <w:pPr>
              <w:jc w:val="both"/>
              <w:rPr>
                <w:rFonts w:eastAsia="Calibri"/>
                <w:sz w:val="20"/>
                <w:lang w:val="fr-FR"/>
              </w:rPr>
            </w:pPr>
            <w:r w:rsidRPr="00201A3F">
              <w:rPr>
                <w:rFonts w:eastAsia="Calibri"/>
                <w:sz w:val="20"/>
                <w:lang w:val="fr-CA"/>
              </w:rPr>
              <w:t>Cour suprême du Canada</w:t>
            </w:r>
          </w:p>
        </w:tc>
        <w:tc>
          <w:tcPr>
            <w:tcW w:w="243" w:type="pct"/>
          </w:tcPr>
          <w:p w:rsidR="005B1F40" w:rsidRPr="00201A3F" w:rsidRDefault="005B1F40" w:rsidP="005B1F40">
            <w:pPr>
              <w:jc w:val="both"/>
              <w:rPr>
                <w:rFonts w:eastAsia="Calibri"/>
                <w:sz w:val="20"/>
                <w:lang w:val="fr-FR"/>
              </w:rPr>
            </w:pPr>
          </w:p>
        </w:tc>
        <w:tc>
          <w:tcPr>
            <w:tcW w:w="2330" w:type="pct"/>
          </w:tcPr>
          <w:p w:rsidR="005B1F40" w:rsidRPr="00201A3F" w:rsidRDefault="005B1F40" w:rsidP="005B1F40">
            <w:pPr>
              <w:jc w:val="both"/>
              <w:rPr>
                <w:rFonts w:eastAsia="Calibri"/>
                <w:sz w:val="20"/>
                <w:lang w:val="fr-CA"/>
              </w:rPr>
            </w:pPr>
            <w:r w:rsidRPr="00201A3F">
              <w:rPr>
                <w:rFonts w:eastAsia="Calibri"/>
                <w:sz w:val="20"/>
                <w:lang w:val="fr-CA"/>
              </w:rPr>
              <w:t>Dépôt de la demande d'autorisation d'appel.</w:t>
            </w:r>
          </w:p>
          <w:p w:rsidR="005B1F40" w:rsidRPr="00201A3F" w:rsidRDefault="005B1F40" w:rsidP="005B1F40">
            <w:pPr>
              <w:jc w:val="both"/>
              <w:rPr>
                <w:rFonts w:eastAsia="Calibri"/>
                <w:sz w:val="20"/>
                <w:lang w:val="fr-CA"/>
              </w:rPr>
            </w:pPr>
          </w:p>
        </w:tc>
      </w:tr>
    </w:tbl>
    <w:p w:rsidR="00A740D1" w:rsidRPr="005B1F40" w:rsidRDefault="00A740D1" w:rsidP="00A740D1">
      <w:pPr>
        <w:rPr>
          <w:sz w:val="20"/>
          <w:szCs w:val="20"/>
          <w:lang w:val="fr-CA"/>
        </w:rPr>
      </w:pPr>
    </w:p>
    <w:p w:rsidR="00A740D1" w:rsidRDefault="00BF3B03" w:rsidP="00A740D1">
      <w:pPr>
        <w:rPr>
          <w:sz w:val="20"/>
          <w:szCs w:val="20"/>
        </w:rPr>
      </w:pPr>
      <w:r w:rsidRPr="00BF3B03">
        <w:rPr>
          <w:sz w:val="20"/>
          <w:szCs w:val="20"/>
          <w:lang w:val="fr-CA"/>
        </w:rPr>
        <w:pict>
          <v:rect id="_x0000_i1081"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561E" w:rsidRPr="00DC2D1F" w:rsidTr="007A1180">
        <w:trPr>
          <w:cantSplit/>
        </w:trPr>
        <w:tc>
          <w:tcPr>
            <w:tcW w:w="1458" w:type="dxa"/>
          </w:tcPr>
          <w:p w:rsidR="00C4561E" w:rsidRPr="00B83D51" w:rsidRDefault="00C4561E" w:rsidP="007A1180">
            <w:pPr>
              <w:rPr>
                <w:sz w:val="20"/>
                <w:szCs w:val="20"/>
              </w:rPr>
            </w:pPr>
            <w:r w:rsidRPr="00B83D51">
              <w:rPr>
                <w:rStyle w:val="SCCFileNumberChar"/>
                <w:sz w:val="20"/>
                <w:szCs w:val="20"/>
              </w:rPr>
              <w:t>34972</w:t>
            </w:r>
          </w:p>
          <w:p w:rsidR="00C4561E" w:rsidRPr="00B83D51" w:rsidRDefault="00C4561E" w:rsidP="007A1180">
            <w:pPr>
              <w:rPr>
                <w:b/>
                <w:sz w:val="20"/>
                <w:szCs w:val="20"/>
                <w:lang w:val="fr-CA"/>
              </w:rPr>
            </w:pPr>
          </w:p>
        </w:tc>
        <w:tc>
          <w:tcPr>
            <w:tcW w:w="8118" w:type="dxa"/>
          </w:tcPr>
          <w:p w:rsidR="00C4561E" w:rsidRPr="00B83D51" w:rsidRDefault="00C4561E" w:rsidP="007A1180">
            <w:pPr>
              <w:jc w:val="both"/>
              <w:rPr>
                <w:sz w:val="20"/>
                <w:szCs w:val="20"/>
                <w:lang w:val="fr-CA"/>
              </w:rPr>
            </w:pPr>
            <w:r w:rsidRPr="00B83D51">
              <w:rPr>
                <w:rStyle w:val="SCCLsocChar"/>
                <w:sz w:val="20"/>
                <w:szCs w:val="20"/>
              </w:rPr>
              <w:t>Gilles Patenaude c. Ville de Longueuil</w:t>
            </w:r>
            <w:r w:rsidR="00EB5134">
              <w:rPr>
                <w:rStyle w:val="SCCLsocChar"/>
                <w:sz w:val="20"/>
                <w:szCs w:val="20"/>
              </w:rPr>
              <w:t xml:space="preserve"> et</w:t>
            </w:r>
            <w:r w:rsidRPr="00B83D51">
              <w:rPr>
                <w:rStyle w:val="SCCLsocChar"/>
                <w:sz w:val="20"/>
                <w:szCs w:val="20"/>
              </w:rPr>
              <w:t xml:space="preserve"> Procureur général du Québec</w:t>
            </w:r>
            <w:r w:rsidRPr="00B83D51">
              <w:rPr>
                <w:sz w:val="20"/>
                <w:szCs w:val="20"/>
                <w:lang w:val="fr-CA"/>
              </w:rPr>
              <w:t xml:space="preserve"> (Qc) (Civile) (Autorisation)</w:t>
            </w:r>
          </w:p>
          <w:p w:rsidR="00C4561E" w:rsidRPr="00B83D51" w:rsidRDefault="00C4561E" w:rsidP="007A1180">
            <w:pPr>
              <w:rPr>
                <w:sz w:val="20"/>
                <w:szCs w:val="20"/>
                <w:lang w:val="fr-CA"/>
              </w:rPr>
            </w:pPr>
          </w:p>
        </w:tc>
      </w:tr>
      <w:tr w:rsidR="00C4561E" w:rsidRPr="00DC2D1F" w:rsidTr="007A1180">
        <w:trPr>
          <w:cantSplit/>
        </w:trPr>
        <w:tc>
          <w:tcPr>
            <w:tcW w:w="1458" w:type="dxa"/>
          </w:tcPr>
          <w:p w:rsidR="00C4561E" w:rsidRPr="00B83D51" w:rsidRDefault="00C4561E" w:rsidP="007A1180">
            <w:pPr>
              <w:rPr>
                <w:sz w:val="20"/>
                <w:szCs w:val="20"/>
              </w:rPr>
            </w:pPr>
            <w:r w:rsidRPr="00B83D51">
              <w:rPr>
                <w:sz w:val="20"/>
                <w:szCs w:val="20"/>
              </w:rPr>
              <w:t>Coram :</w:t>
            </w:r>
          </w:p>
        </w:tc>
        <w:tc>
          <w:tcPr>
            <w:tcW w:w="8118" w:type="dxa"/>
          </w:tcPr>
          <w:p w:rsidR="00C4561E" w:rsidRPr="00B83D51" w:rsidRDefault="00C4561E" w:rsidP="007A1180">
            <w:pPr>
              <w:rPr>
                <w:sz w:val="20"/>
                <w:szCs w:val="20"/>
                <w:lang w:val="fr-CA"/>
              </w:rPr>
            </w:pPr>
            <w:r w:rsidRPr="00B83D51">
              <w:rPr>
                <w:rStyle w:val="SCCCoramChar"/>
                <w:sz w:val="20"/>
                <w:szCs w:val="20"/>
              </w:rPr>
              <w:t>Les juges LeBel, Abella et Cromwell</w:t>
            </w:r>
          </w:p>
          <w:p w:rsidR="00C4561E" w:rsidRPr="00B83D51" w:rsidRDefault="00C4561E" w:rsidP="007A1180">
            <w:pPr>
              <w:rPr>
                <w:sz w:val="20"/>
                <w:szCs w:val="20"/>
                <w:u w:val="single"/>
                <w:lang w:val="fr-CA"/>
              </w:rPr>
            </w:pPr>
          </w:p>
        </w:tc>
      </w:tr>
      <w:tr w:rsidR="00C4561E" w:rsidRPr="00B83D51" w:rsidTr="007A1180">
        <w:trPr>
          <w:cantSplit/>
        </w:trPr>
        <w:tc>
          <w:tcPr>
            <w:tcW w:w="9576" w:type="dxa"/>
            <w:gridSpan w:val="2"/>
          </w:tcPr>
          <w:p w:rsidR="00C4561E" w:rsidRPr="00B83D51" w:rsidRDefault="00C4561E" w:rsidP="007A1180">
            <w:pPr>
              <w:pStyle w:val="SCCShortJudgment"/>
              <w:rPr>
                <w:szCs w:val="20"/>
                <w:lang w:val="fr-CA"/>
              </w:rPr>
            </w:pPr>
            <w:r w:rsidRPr="00B83D51">
              <w:rPr>
                <w:szCs w:val="20"/>
                <w:lang w:val="fr-CA"/>
              </w:rPr>
              <w:t>La demande d’autorisation d’appel de l’arrêt de la Cour d’appel du Québec (Montréal), numéro 500-10-005204-126, 2012 QCCA 1410, daté du 8 août 2012, est rejetée sans dépens.</w:t>
            </w:r>
          </w:p>
          <w:p w:rsidR="00C4561E" w:rsidRPr="00B83D51" w:rsidRDefault="00C4561E" w:rsidP="007A1180">
            <w:pPr>
              <w:pStyle w:val="SCCShortJudgment"/>
              <w:ind w:firstLine="0"/>
              <w:rPr>
                <w:szCs w:val="20"/>
                <w:lang w:val="fr-CA"/>
              </w:rPr>
            </w:pPr>
          </w:p>
          <w:p w:rsidR="00C4561E" w:rsidRPr="00B83D51" w:rsidRDefault="00C4561E" w:rsidP="007A1180">
            <w:pPr>
              <w:pStyle w:val="SCCShortJudgment"/>
              <w:rPr>
                <w:szCs w:val="20"/>
              </w:rPr>
            </w:pPr>
            <w:r w:rsidRPr="00B83D51">
              <w:rPr>
                <w:szCs w:val="20"/>
              </w:rPr>
              <w:t>The application for leave to appeal from the judgment of the Court of Appeal of Quebec (Montréal), Number 500-10-005204-126, 2012 QCCA 1410, dated August 8, 2012, is dismissed without costs.</w:t>
            </w:r>
          </w:p>
        </w:tc>
      </w:tr>
    </w:tbl>
    <w:p w:rsidR="00A740D1" w:rsidRDefault="00A740D1" w:rsidP="00A740D1">
      <w:pPr>
        <w:rPr>
          <w:sz w:val="20"/>
          <w:szCs w:val="20"/>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4B640C" w:rsidRPr="00201A3F" w:rsidTr="00D43A9E">
        <w:tc>
          <w:tcPr>
            <w:tcW w:w="5000" w:type="pct"/>
            <w:gridSpan w:val="3"/>
          </w:tcPr>
          <w:p w:rsidR="004B640C" w:rsidRPr="00201A3F" w:rsidRDefault="004B640C" w:rsidP="00D43A9E">
            <w:pPr>
              <w:jc w:val="both"/>
              <w:rPr>
                <w:rFonts w:eastAsia="Calibri"/>
                <w:sz w:val="20"/>
              </w:rPr>
            </w:pPr>
            <w:r w:rsidRPr="00201A3F">
              <w:rPr>
                <w:rFonts w:eastAsia="Calibri"/>
                <w:sz w:val="20"/>
              </w:rPr>
              <w:t>Civil procedure — Leave to appeal — Motion for leave to appeal dismissed — Whether courts below should have dealt with constitutional objection raised by applicant.</w:t>
            </w:r>
          </w:p>
        </w:tc>
      </w:tr>
      <w:tr w:rsidR="004B640C" w:rsidRPr="00201A3F" w:rsidTr="00D43A9E">
        <w:tc>
          <w:tcPr>
            <w:tcW w:w="5000" w:type="pct"/>
            <w:gridSpan w:val="3"/>
          </w:tcPr>
          <w:p w:rsidR="004B640C" w:rsidRPr="00201A3F" w:rsidRDefault="004B640C" w:rsidP="00D43A9E">
            <w:pPr>
              <w:jc w:val="both"/>
              <w:rPr>
                <w:rFonts w:eastAsia="Calibri"/>
                <w:sz w:val="20"/>
              </w:rPr>
            </w:pPr>
          </w:p>
        </w:tc>
      </w:tr>
      <w:tr w:rsidR="004B640C" w:rsidRPr="00201A3F" w:rsidTr="00D43A9E">
        <w:tc>
          <w:tcPr>
            <w:tcW w:w="5000" w:type="pct"/>
            <w:gridSpan w:val="3"/>
          </w:tcPr>
          <w:p w:rsidR="004B640C" w:rsidRPr="00201A3F" w:rsidRDefault="004B640C" w:rsidP="00D43A9E">
            <w:pPr>
              <w:jc w:val="both"/>
              <w:rPr>
                <w:rFonts w:eastAsia="Calibri"/>
                <w:sz w:val="20"/>
              </w:rPr>
            </w:pPr>
            <w:r w:rsidRPr="00201A3F">
              <w:rPr>
                <w:rFonts w:eastAsia="Calibri"/>
                <w:sz w:val="20"/>
              </w:rPr>
              <w:t xml:space="preserve">Mr. Patenaude was convicted of an offence under the </w:t>
            </w:r>
            <w:r w:rsidRPr="00201A3F">
              <w:rPr>
                <w:rFonts w:eastAsia="Calibri"/>
                <w:i/>
                <w:sz w:val="20"/>
              </w:rPr>
              <w:t>Highway Safety Code</w:t>
            </w:r>
            <w:r w:rsidRPr="00201A3F">
              <w:rPr>
                <w:rFonts w:eastAsia="Calibri"/>
                <w:sz w:val="20"/>
              </w:rPr>
              <w:t xml:space="preserve"> (s. 482).  On appeal to the Superior Court, the Attorney General of Quebec moved to dismiss the appeal, arguing essentially that Mr. Patenaude’s application for a declaration that the legislative provision at issue was contrary to the spirit and letter of s. 15(2) of the </w:t>
            </w:r>
            <w:r w:rsidRPr="00201A3F">
              <w:rPr>
                <w:rFonts w:eastAsia="Calibri"/>
                <w:i/>
                <w:sz w:val="20"/>
              </w:rPr>
              <w:t>Canadian Charter of Rights and Freedoms</w:t>
            </w:r>
            <w:r w:rsidRPr="00201A3F">
              <w:rPr>
                <w:rFonts w:eastAsia="Calibri"/>
                <w:sz w:val="20"/>
              </w:rPr>
              <w:t xml:space="preserve"> was unfounded in light of the case law relating to s. 15(1) and (2) of the </w:t>
            </w:r>
            <w:r w:rsidRPr="00201A3F">
              <w:rPr>
                <w:rFonts w:eastAsia="Calibri"/>
                <w:i/>
                <w:sz w:val="20"/>
              </w:rPr>
              <w:t>Charter</w:t>
            </w:r>
            <w:r w:rsidRPr="00201A3F">
              <w:rPr>
                <w:rFonts w:eastAsia="Calibri"/>
                <w:sz w:val="20"/>
              </w:rPr>
              <w:t>.  The Superior Court allowed the motion to dismiss the appeal.</w:t>
            </w:r>
          </w:p>
          <w:p w:rsidR="004B640C" w:rsidRPr="00201A3F" w:rsidRDefault="004B640C" w:rsidP="00D43A9E">
            <w:pPr>
              <w:jc w:val="both"/>
              <w:rPr>
                <w:rFonts w:eastAsia="Calibri"/>
                <w:sz w:val="20"/>
              </w:rPr>
            </w:pPr>
          </w:p>
          <w:p w:rsidR="004B640C" w:rsidRPr="00201A3F" w:rsidRDefault="004B640C" w:rsidP="00D43A9E">
            <w:pPr>
              <w:jc w:val="both"/>
              <w:rPr>
                <w:rFonts w:eastAsia="Calibri"/>
                <w:sz w:val="20"/>
              </w:rPr>
            </w:pPr>
            <w:r w:rsidRPr="00201A3F">
              <w:rPr>
                <w:rFonts w:eastAsia="Calibri"/>
                <w:sz w:val="20"/>
              </w:rPr>
              <w:t>Dufresne J.A. of the Court of Appeal refused leave to appeal on the ground that the questions of law raised by Mr. Patenaude had no chance of success.  Mr. Patenaude was arguing that the Superior Court had to make a declaratory ruling on the constitutional challenge before it.</w:t>
            </w:r>
          </w:p>
          <w:p w:rsidR="004B640C" w:rsidRPr="00201A3F" w:rsidRDefault="004B640C" w:rsidP="00D43A9E">
            <w:pPr>
              <w:jc w:val="both"/>
              <w:rPr>
                <w:rFonts w:eastAsia="Calibri"/>
                <w:sz w:val="20"/>
              </w:rPr>
            </w:pPr>
          </w:p>
        </w:tc>
      </w:tr>
      <w:tr w:rsidR="004B640C" w:rsidRPr="00201A3F" w:rsidTr="00D43A9E">
        <w:tc>
          <w:tcPr>
            <w:tcW w:w="2427" w:type="pct"/>
          </w:tcPr>
          <w:p w:rsidR="004B640C" w:rsidRPr="00201A3F" w:rsidRDefault="004B640C" w:rsidP="00D43A9E">
            <w:pPr>
              <w:jc w:val="both"/>
              <w:rPr>
                <w:rFonts w:eastAsia="Calibri"/>
                <w:sz w:val="20"/>
              </w:rPr>
            </w:pPr>
            <w:r w:rsidRPr="00201A3F">
              <w:rPr>
                <w:rFonts w:eastAsia="Calibri"/>
                <w:sz w:val="20"/>
              </w:rPr>
              <w:t>May 31, 2012</w:t>
            </w:r>
          </w:p>
          <w:p w:rsidR="004B640C" w:rsidRPr="00201A3F" w:rsidRDefault="004B640C" w:rsidP="00D43A9E">
            <w:pPr>
              <w:jc w:val="both"/>
              <w:rPr>
                <w:rFonts w:eastAsia="Calibri"/>
                <w:sz w:val="20"/>
              </w:rPr>
            </w:pPr>
            <w:r w:rsidRPr="00201A3F">
              <w:rPr>
                <w:rFonts w:eastAsia="Calibri"/>
                <w:sz w:val="20"/>
              </w:rPr>
              <w:t>Quebec Superior Court</w:t>
            </w:r>
          </w:p>
          <w:p w:rsidR="004B640C" w:rsidRPr="00201A3F" w:rsidRDefault="004B640C" w:rsidP="00D43A9E">
            <w:pPr>
              <w:jc w:val="both"/>
              <w:rPr>
                <w:rFonts w:eastAsia="Calibri"/>
                <w:sz w:val="20"/>
              </w:rPr>
            </w:pPr>
            <w:r w:rsidRPr="00201A3F">
              <w:rPr>
                <w:rFonts w:eastAsia="Calibri"/>
                <w:sz w:val="20"/>
              </w:rPr>
              <w:t>(Stober J.)</w:t>
            </w:r>
          </w:p>
          <w:p w:rsidR="004B640C" w:rsidRPr="00201A3F" w:rsidRDefault="004B640C" w:rsidP="00D43A9E">
            <w:pPr>
              <w:jc w:val="both"/>
              <w:rPr>
                <w:rFonts w:eastAsia="Calibri"/>
                <w:sz w:val="20"/>
              </w:rPr>
            </w:pP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rPr>
            </w:pPr>
            <w:r w:rsidRPr="00201A3F">
              <w:rPr>
                <w:rFonts w:eastAsia="Calibri"/>
                <w:sz w:val="20"/>
              </w:rPr>
              <w:t>Motion to dismiss appeal from Municipal Court decision allowed; appeal dismissed</w:t>
            </w:r>
          </w:p>
          <w:p w:rsidR="004B640C" w:rsidRPr="00201A3F" w:rsidRDefault="004B640C" w:rsidP="00D43A9E">
            <w:pPr>
              <w:jc w:val="both"/>
              <w:rPr>
                <w:rFonts w:eastAsia="Calibri"/>
                <w:sz w:val="20"/>
              </w:rPr>
            </w:pPr>
          </w:p>
        </w:tc>
      </w:tr>
      <w:tr w:rsidR="004B640C" w:rsidRPr="00201A3F" w:rsidTr="00D43A9E">
        <w:tc>
          <w:tcPr>
            <w:tcW w:w="2427" w:type="pct"/>
          </w:tcPr>
          <w:p w:rsidR="004B640C" w:rsidRPr="00201A3F" w:rsidRDefault="004B640C" w:rsidP="00D43A9E">
            <w:pPr>
              <w:jc w:val="both"/>
              <w:rPr>
                <w:rFonts w:eastAsia="Calibri"/>
                <w:sz w:val="20"/>
              </w:rPr>
            </w:pPr>
            <w:r w:rsidRPr="00201A3F">
              <w:rPr>
                <w:rFonts w:eastAsia="Calibri"/>
                <w:sz w:val="20"/>
              </w:rPr>
              <w:t>August 8, 2012</w:t>
            </w:r>
          </w:p>
          <w:p w:rsidR="004B640C" w:rsidRPr="00201A3F" w:rsidRDefault="004B640C" w:rsidP="00D43A9E">
            <w:pPr>
              <w:jc w:val="both"/>
              <w:rPr>
                <w:rFonts w:eastAsia="Calibri"/>
                <w:sz w:val="20"/>
              </w:rPr>
            </w:pPr>
            <w:r w:rsidRPr="00201A3F">
              <w:rPr>
                <w:rFonts w:eastAsia="Calibri"/>
                <w:sz w:val="20"/>
              </w:rPr>
              <w:t>Quebec Court of Appeal (Montréal)</w:t>
            </w:r>
          </w:p>
          <w:p w:rsidR="004B640C" w:rsidRPr="00201A3F" w:rsidRDefault="004B640C" w:rsidP="00D43A9E">
            <w:pPr>
              <w:jc w:val="both"/>
              <w:rPr>
                <w:rFonts w:eastAsia="Calibri"/>
                <w:sz w:val="20"/>
              </w:rPr>
            </w:pPr>
            <w:r w:rsidRPr="00201A3F">
              <w:rPr>
                <w:rFonts w:eastAsia="Calibri"/>
                <w:sz w:val="20"/>
              </w:rPr>
              <w:t>(Dufresne J.A.)</w:t>
            </w:r>
          </w:p>
          <w:p w:rsidR="004B640C" w:rsidRPr="00201A3F" w:rsidRDefault="004B640C" w:rsidP="00D43A9E">
            <w:pPr>
              <w:jc w:val="both"/>
              <w:rPr>
                <w:rFonts w:eastAsia="Calibri"/>
                <w:sz w:val="20"/>
              </w:rPr>
            </w:pPr>
            <w:r w:rsidRPr="00201A3F">
              <w:rPr>
                <w:rFonts w:eastAsia="Calibri"/>
                <w:sz w:val="20"/>
              </w:rPr>
              <w:t>2012 QCCA 1410; 500-10-005204-126</w:t>
            </w:r>
          </w:p>
          <w:p w:rsidR="004B640C" w:rsidRPr="00201A3F" w:rsidRDefault="004B640C" w:rsidP="00D43A9E">
            <w:pPr>
              <w:jc w:val="both"/>
              <w:rPr>
                <w:rFonts w:eastAsia="Calibri"/>
                <w:sz w:val="20"/>
              </w:rPr>
            </w:pP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rPr>
            </w:pPr>
            <w:r w:rsidRPr="00201A3F">
              <w:rPr>
                <w:rFonts w:eastAsia="Calibri"/>
                <w:sz w:val="20"/>
              </w:rPr>
              <w:t>Motion for leave to appeal dismissed</w:t>
            </w:r>
          </w:p>
          <w:p w:rsidR="004B640C" w:rsidRPr="00201A3F" w:rsidRDefault="004B640C" w:rsidP="00D43A9E">
            <w:pPr>
              <w:jc w:val="both"/>
              <w:rPr>
                <w:rFonts w:eastAsia="Calibri"/>
                <w:sz w:val="20"/>
              </w:rPr>
            </w:pPr>
          </w:p>
        </w:tc>
      </w:tr>
      <w:tr w:rsidR="004B640C" w:rsidRPr="00201A3F" w:rsidTr="00D43A9E">
        <w:tc>
          <w:tcPr>
            <w:tcW w:w="2427" w:type="pct"/>
          </w:tcPr>
          <w:p w:rsidR="004B640C" w:rsidRPr="00201A3F" w:rsidRDefault="004B640C" w:rsidP="00D43A9E">
            <w:pPr>
              <w:jc w:val="both"/>
              <w:rPr>
                <w:rFonts w:eastAsia="Calibri"/>
                <w:sz w:val="20"/>
              </w:rPr>
            </w:pPr>
            <w:r w:rsidRPr="00201A3F">
              <w:rPr>
                <w:rFonts w:eastAsia="Calibri"/>
                <w:sz w:val="20"/>
              </w:rPr>
              <w:t>August 22, 2012</w:t>
            </w:r>
          </w:p>
          <w:p w:rsidR="004B640C" w:rsidRPr="00201A3F" w:rsidRDefault="004B640C" w:rsidP="00D43A9E">
            <w:pPr>
              <w:jc w:val="both"/>
              <w:rPr>
                <w:rFonts w:eastAsia="Calibri"/>
                <w:sz w:val="20"/>
              </w:rPr>
            </w:pPr>
            <w:r w:rsidRPr="00201A3F">
              <w:rPr>
                <w:rFonts w:eastAsia="Calibri"/>
                <w:sz w:val="20"/>
              </w:rPr>
              <w:t>Supreme Court of Canada</w:t>
            </w: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rPr>
            </w:pPr>
            <w:r w:rsidRPr="00201A3F">
              <w:rPr>
                <w:rFonts w:eastAsia="Calibri"/>
                <w:sz w:val="20"/>
              </w:rPr>
              <w:t>Application for leave to appeal filed</w:t>
            </w:r>
          </w:p>
          <w:p w:rsidR="004B640C" w:rsidRPr="00201A3F" w:rsidRDefault="004B640C" w:rsidP="00D43A9E">
            <w:pPr>
              <w:jc w:val="both"/>
              <w:rPr>
                <w:rFonts w:eastAsia="Calibri"/>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82" style="width:2in;height:1pt" o:hrpct="0" o:hralign="center" o:hrstd="t" o:hrnoshade="t" o:hr="t" fillcolor="black [3213]" stroked="f"/>
        </w:pict>
      </w:r>
    </w:p>
    <w:p w:rsidR="00A740D1" w:rsidRPr="001B157C" w:rsidRDefault="00A740D1" w:rsidP="00A740D1">
      <w:pPr>
        <w:rPr>
          <w:sz w:val="20"/>
          <w:szCs w:val="20"/>
          <w:u w:val="single"/>
          <w:lang w:val="fr-CA"/>
        </w:rPr>
      </w:pPr>
      <w:r w:rsidRPr="001B157C">
        <w:rPr>
          <w:sz w:val="20"/>
          <w:szCs w:val="20"/>
          <w:u w:val="single"/>
          <w:lang w:val="fr-CA"/>
        </w:rPr>
        <w:lastRenderedPageBreak/>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4B640C" w:rsidRPr="00DC2D1F" w:rsidTr="00D43A9E">
        <w:tc>
          <w:tcPr>
            <w:tcW w:w="5000" w:type="pct"/>
            <w:gridSpan w:val="3"/>
          </w:tcPr>
          <w:p w:rsidR="004B640C" w:rsidRPr="00201A3F" w:rsidRDefault="004B640C" w:rsidP="00D43A9E">
            <w:pPr>
              <w:jc w:val="both"/>
              <w:rPr>
                <w:rFonts w:eastAsia="Calibri"/>
                <w:sz w:val="20"/>
                <w:lang w:val="fr-CA"/>
              </w:rPr>
            </w:pPr>
            <w:r w:rsidRPr="00201A3F">
              <w:rPr>
                <w:rFonts w:eastAsia="Calibri"/>
                <w:sz w:val="20"/>
                <w:lang w:val="fr-CA"/>
              </w:rPr>
              <w:t>Procédure civile — Permission d’appel — Requête pour permission d’appeler rejetée — Les instances inférieures auraient</w:t>
            </w:r>
            <w:r w:rsidRPr="00201A3F">
              <w:rPr>
                <w:rFonts w:eastAsia="Calibri"/>
                <w:sz w:val="20"/>
                <w:lang w:val="fr-CA"/>
              </w:rPr>
              <w:noBreakHyphen/>
              <w:t>elles dû se prononcer sur une objection constitutionnelle soulevée par le demandeur?</w:t>
            </w:r>
          </w:p>
        </w:tc>
      </w:tr>
      <w:tr w:rsidR="004B640C" w:rsidRPr="00DC2D1F" w:rsidTr="00D43A9E">
        <w:tc>
          <w:tcPr>
            <w:tcW w:w="5000" w:type="pct"/>
            <w:gridSpan w:val="3"/>
          </w:tcPr>
          <w:p w:rsidR="004B640C" w:rsidRPr="00201A3F" w:rsidRDefault="004B640C" w:rsidP="00D43A9E">
            <w:pPr>
              <w:jc w:val="both"/>
              <w:rPr>
                <w:rFonts w:eastAsia="Calibri"/>
                <w:sz w:val="20"/>
                <w:lang w:val="fr-CA"/>
              </w:rPr>
            </w:pPr>
          </w:p>
        </w:tc>
      </w:tr>
      <w:tr w:rsidR="004B640C" w:rsidRPr="00DC2D1F" w:rsidTr="00D43A9E">
        <w:tc>
          <w:tcPr>
            <w:tcW w:w="5000" w:type="pct"/>
            <w:gridSpan w:val="3"/>
          </w:tcPr>
          <w:p w:rsidR="004B640C" w:rsidRPr="00201A3F" w:rsidRDefault="004B640C" w:rsidP="00D43A9E">
            <w:pPr>
              <w:jc w:val="both"/>
              <w:rPr>
                <w:rFonts w:eastAsia="Calibri"/>
                <w:sz w:val="20"/>
                <w:lang w:val="fr-CA"/>
              </w:rPr>
            </w:pPr>
            <w:r w:rsidRPr="00201A3F">
              <w:rPr>
                <w:rFonts w:eastAsia="Calibri"/>
                <w:sz w:val="20"/>
                <w:lang w:val="fr-CA"/>
              </w:rPr>
              <w:t xml:space="preserve">M. Patenaude a été déclaré coupable d’une infraction au </w:t>
            </w:r>
            <w:r w:rsidRPr="00201A3F">
              <w:rPr>
                <w:rFonts w:eastAsia="Calibri"/>
                <w:i/>
                <w:sz w:val="20"/>
                <w:lang w:val="fr-CA"/>
              </w:rPr>
              <w:t>Code de la sécurité routière</w:t>
            </w:r>
            <w:r w:rsidRPr="00201A3F">
              <w:rPr>
                <w:rFonts w:eastAsia="Calibri"/>
                <w:sz w:val="20"/>
                <w:lang w:val="fr-CA"/>
              </w:rPr>
              <w:t xml:space="preserve"> (art. 482). Au stade de l’appel devant la Cour supérieure, le Procureur général du Québec a présenté une requête en rejet d’appel, faisant valoir, pour l’essentiel, que la demande de M. Patenaude pour une déclaration selon laquelle la disposition législative en cause ne respectait pas l’esprit et la lettre du par. 15(2) de la </w:t>
            </w:r>
            <w:r w:rsidRPr="00201A3F">
              <w:rPr>
                <w:rFonts w:eastAsia="Calibri"/>
                <w:i/>
                <w:sz w:val="20"/>
                <w:lang w:val="fr-CA"/>
              </w:rPr>
              <w:t>Charte canadienne des droits et libertés</w:t>
            </w:r>
            <w:r w:rsidRPr="00201A3F">
              <w:rPr>
                <w:rFonts w:eastAsia="Calibri"/>
                <w:sz w:val="20"/>
                <w:lang w:val="fr-CA"/>
              </w:rPr>
              <w:t xml:space="preserve"> était mal fondée vu la jurisprudence relative aux par. 15(1) et (2) de la </w:t>
            </w:r>
            <w:r w:rsidRPr="00201A3F">
              <w:rPr>
                <w:rFonts w:eastAsia="Calibri"/>
                <w:i/>
                <w:sz w:val="20"/>
                <w:lang w:val="fr-CA"/>
              </w:rPr>
              <w:t>Charte</w:t>
            </w:r>
            <w:r w:rsidRPr="00201A3F">
              <w:rPr>
                <w:rFonts w:eastAsia="Calibri"/>
                <w:sz w:val="20"/>
                <w:lang w:val="fr-CA"/>
              </w:rPr>
              <w:t xml:space="preserve">.  La Cour supérieure a fait </w:t>
            </w:r>
            <w:proofErr w:type="gramStart"/>
            <w:r w:rsidRPr="00201A3F">
              <w:rPr>
                <w:rFonts w:eastAsia="Calibri"/>
                <w:sz w:val="20"/>
                <w:lang w:val="fr-CA"/>
              </w:rPr>
              <w:t>droit</w:t>
            </w:r>
            <w:proofErr w:type="gramEnd"/>
            <w:r w:rsidRPr="00201A3F">
              <w:rPr>
                <w:rFonts w:eastAsia="Calibri"/>
                <w:sz w:val="20"/>
                <w:lang w:val="fr-CA"/>
              </w:rPr>
              <w:t xml:space="preserve"> à la requête en rejet d’appel.</w:t>
            </w:r>
          </w:p>
          <w:p w:rsidR="004B640C" w:rsidRPr="00201A3F" w:rsidRDefault="004B640C" w:rsidP="00D43A9E">
            <w:pPr>
              <w:jc w:val="both"/>
              <w:rPr>
                <w:rFonts w:eastAsia="Calibri"/>
                <w:sz w:val="20"/>
                <w:lang w:val="fr-CA"/>
              </w:rPr>
            </w:pPr>
          </w:p>
          <w:p w:rsidR="004B640C" w:rsidRPr="00201A3F" w:rsidRDefault="004B640C" w:rsidP="00D43A9E">
            <w:pPr>
              <w:jc w:val="both"/>
              <w:rPr>
                <w:rFonts w:eastAsia="Calibri"/>
                <w:sz w:val="20"/>
                <w:lang w:val="fr-CA"/>
              </w:rPr>
            </w:pPr>
            <w:r w:rsidRPr="00201A3F">
              <w:rPr>
                <w:rFonts w:eastAsia="Calibri"/>
                <w:sz w:val="20"/>
                <w:lang w:val="fr-CA"/>
              </w:rPr>
              <w:t>Le juge Dufresne de la Cour d’appel a refusé de permettre un appel, au motif que les questions de droit soulevées par M. Patenaude n’avaient aucune chance de succès.  M. Patenaude plaidait que la Cour supérieure devait statuer « de manière déclaratoire sur la contestation constitutionnelle présentée devant elle ».</w:t>
            </w:r>
          </w:p>
          <w:p w:rsidR="004B640C" w:rsidRPr="00201A3F" w:rsidRDefault="004B640C" w:rsidP="00D43A9E">
            <w:pPr>
              <w:jc w:val="both"/>
              <w:rPr>
                <w:rFonts w:eastAsia="Calibri"/>
                <w:sz w:val="20"/>
                <w:lang w:val="fr-CA"/>
              </w:rPr>
            </w:pPr>
          </w:p>
        </w:tc>
      </w:tr>
      <w:tr w:rsidR="004B640C" w:rsidRPr="00DC2D1F" w:rsidTr="00D43A9E">
        <w:tc>
          <w:tcPr>
            <w:tcW w:w="2427" w:type="pct"/>
          </w:tcPr>
          <w:p w:rsidR="004B640C" w:rsidRPr="00201A3F" w:rsidRDefault="004B640C" w:rsidP="00D43A9E">
            <w:pPr>
              <w:jc w:val="both"/>
              <w:rPr>
                <w:rFonts w:eastAsia="Calibri"/>
                <w:sz w:val="20"/>
                <w:lang w:val="fr-CA"/>
              </w:rPr>
            </w:pPr>
            <w:r w:rsidRPr="00201A3F">
              <w:rPr>
                <w:rFonts w:eastAsia="Calibri"/>
                <w:sz w:val="20"/>
                <w:lang w:val="fr-CA"/>
              </w:rPr>
              <w:t>Le 31 mai 2012</w:t>
            </w:r>
          </w:p>
          <w:p w:rsidR="004B640C" w:rsidRPr="00201A3F" w:rsidRDefault="004B640C" w:rsidP="00D43A9E">
            <w:pPr>
              <w:jc w:val="both"/>
              <w:rPr>
                <w:rFonts w:eastAsia="Calibri"/>
                <w:sz w:val="20"/>
                <w:lang w:val="fr-CA"/>
              </w:rPr>
            </w:pPr>
            <w:r w:rsidRPr="00201A3F">
              <w:rPr>
                <w:rFonts w:eastAsia="Calibri"/>
                <w:sz w:val="20"/>
                <w:lang w:val="fr-CA"/>
              </w:rPr>
              <w:t>Cour supérieure du Québec</w:t>
            </w:r>
          </w:p>
          <w:p w:rsidR="004B640C" w:rsidRPr="00201A3F" w:rsidRDefault="004B640C" w:rsidP="00D43A9E">
            <w:pPr>
              <w:jc w:val="both"/>
              <w:rPr>
                <w:rFonts w:eastAsia="Calibri"/>
                <w:sz w:val="20"/>
                <w:lang w:val="fr-CA"/>
              </w:rPr>
            </w:pPr>
            <w:r w:rsidRPr="00201A3F">
              <w:rPr>
                <w:rFonts w:eastAsia="Calibri"/>
                <w:sz w:val="20"/>
                <w:lang w:val="fr-CA"/>
              </w:rPr>
              <w:t>(Le juge Stober)</w:t>
            </w:r>
          </w:p>
          <w:p w:rsidR="004B640C" w:rsidRPr="00201A3F" w:rsidRDefault="004B640C" w:rsidP="00D43A9E">
            <w:pPr>
              <w:jc w:val="both"/>
              <w:rPr>
                <w:rFonts w:eastAsia="Calibri"/>
                <w:sz w:val="20"/>
              </w:rPr>
            </w:pP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lang w:val="fr-CA"/>
              </w:rPr>
            </w:pPr>
            <w:r w:rsidRPr="00201A3F">
              <w:rPr>
                <w:rFonts w:eastAsia="Calibri"/>
                <w:sz w:val="20"/>
                <w:lang w:val="fr-CA"/>
              </w:rPr>
              <w:t>Requête en rejet d’appel d’une décision de la Cour municipale accueillie; appel rejeté</w:t>
            </w:r>
          </w:p>
          <w:p w:rsidR="004B640C" w:rsidRPr="00201A3F" w:rsidRDefault="004B640C" w:rsidP="00D43A9E">
            <w:pPr>
              <w:jc w:val="both"/>
              <w:rPr>
                <w:rFonts w:eastAsia="Calibri"/>
                <w:sz w:val="20"/>
                <w:lang w:val="fr-CA"/>
              </w:rPr>
            </w:pPr>
          </w:p>
        </w:tc>
      </w:tr>
      <w:tr w:rsidR="004B640C" w:rsidRPr="00201A3F" w:rsidTr="00D43A9E">
        <w:tc>
          <w:tcPr>
            <w:tcW w:w="2427" w:type="pct"/>
          </w:tcPr>
          <w:p w:rsidR="004B640C" w:rsidRPr="00201A3F" w:rsidRDefault="004B640C" w:rsidP="00D43A9E">
            <w:pPr>
              <w:jc w:val="both"/>
              <w:rPr>
                <w:rFonts w:eastAsia="Calibri"/>
                <w:sz w:val="20"/>
                <w:lang w:val="fr-CA"/>
              </w:rPr>
            </w:pPr>
            <w:r w:rsidRPr="00201A3F">
              <w:rPr>
                <w:rFonts w:eastAsia="Calibri"/>
                <w:sz w:val="20"/>
                <w:lang w:val="fr-CA"/>
              </w:rPr>
              <w:t>Le 8 août 2012</w:t>
            </w:r>
          </w:p>
          <w:p w:rsidR="004B640C" w:rsidRPr="00201A3F" w:rsidRDefault="004B640C" w:rsidP="00D43A9E">
            <w:pPr>
              <w:jc w:val="both"/>
              <w:rPr>
                <w:rFonts w:eastAsia="Calibri"/>
                <w:sz w:val="20"/>
                <w:lang w:val="fr-CA"/>
              </w:rPr>
            </w:pPr>
            <w:r w:rsidRPr="00201A3F">
              <w:rPr>
                <w:rFonts w:eastAsia="Calibri"/>
                <w:sz w:val="20"/>
                <w:lang w:val="fr-CA"/>
              </w:rPr>
              <w:t>Cour d’appel du Québec (Montréal)</w:t>
            </w:r>
          </w:p>
          <w:p w:rsidR="004B640C" w:rsidRPr="00201A3F" w:rsidRDefault="004B640C" w:rsidP="00D43A9E">
            <w:pPr>
              <w:jc w:val="both"/>
              <w:rPr>
                <w:rFonts w:eastAsia="Calibri"/>
                <w:sz w:val="20"/>
                <w:lang w:val="fr-CA"/>
              </w:rPr>
            </w:pPr>
            <w:r w:rsidRPr="00201A3F">
              <w:rPr>
                <w:rFonts w:eastAsia="Calibri"/>
                <w:sz w:val="20"/>
                <w:lang w:val="fr-CA"/>
              </w:rPr>
              <w:t>(Le juge Dufresne)</w:t>
            </w:r>
          </w:p>
          <w:p w:rsidR="004B640C" w:rsidRPr="00201A3F" w:rsidRDefault="004B640C" w:rsidP="00D43A9E">
            <w:pPr>
              <w:jc w:val="both"/>
              <w:rPr>
                <w:rFonts w:eastAsia="Calibri"/>
                <w:sz w:val="20"/>
                <w:lang w:val="fr-CA"/>
              </w:rPr>
            </w:pPr>
            <w:r w:rsidRPr="00201A3F">
              <w:rPr>
                <w:rFonts w:eastAsia="Calibri"/>
                <w:sz w:val="20"/>
                <w:lang w:val="fr-CA"/>
              </w:rPr>
              <w:t>2012 QCCA 1410; 500</w:t>
            </w:r>
            <w:r w:rsidRPr="00201A3F">
              <w:rPr>
                <w:rFonts w:eastAsia="Calibri"/>
                <w:sz w:val="20"/>
                <w:lang w:val="fr-CA"/>
              </w:rPr>
              <w:noBreakHyphen/>
              <w:t>10</w:t>
            </w:r>
            <w:r w:rsidRPr="00201A3F">
              <w:rPr>
                <w:rFonts w:eastAsia="Calibri"/>
                <w:sz w:val="20"/>
                <w:lang w:val="fr-CA"/>
              </w:rPr>
              <w:noBreakHyphen/>
              <w:t>005204</w:t>
            </w:r>
            <w:r w:rsidRPr="00201A3F">
              <w:rPr>
                <w:rFonts w:eastAsia="Calibri"/>
                <w:sz w:val="20"/>
                <w:lang w:val="fr-CA"/>
              </w:rPr>
              <w:noBreakHyphen/>
              <w:t>126</w:t>
            </w:r>
          </w:p>
          <w:p w:rsidR="004B640C" w:rsidRPr="00201A3F" w:rsidRDefault="004B640C" w:rsidP="00D43A9E">
            <w:pPr>
              <w:jc w:val="both"/>
              <w:rPr>
                <w:rFonts w:eastAsia="Calibri"/>
                <w:sz w:val="20"/>
              </w:rPr>
            </w:pP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lang w:val="fr-CA"/>
              </w:rPr>
            </w:pPr>
            <w:r w:rsidRPr="00201A3F">
              <w:rPr>
                <w:rFonts w:eastAsia="Calibri"/>
                <w:sz w:val="20"/>
                <w:lang w:val="fr-CA"/>
              </w:rPr>
              <w:t>Requête pour permission d’appeler rejetée</w:t>
            </w:r>
          </w:p>
          <w:p w:rsidR="004B640C" w:rsidRPr="00201A3F" w:rsidRDefault="004B640C" w:rsidP="00D43A9E">
            <w:pPr>
              <w:jc w:val="both"/>
              <w:rPr>
                <w:rFonts w:eastAsia="Calibri"/>
                <w:sz w:val="20"/>
                <w:lang w:val="fr-CA"/>
              </w:rPr>
            </w:pPr>
          </w:p>
        </w:tc>
      </w:tr>
      <w:tr w:rsidR="004B640C" w:rsidRPr="00201A3F" w:rsidTr="00D43A9E">
        <w:tc>
          <w:tcPr>
            <w:tcW w:w="2427" w:type="pct"/>
          </w:tcPr>
          <w:p w:rsidR="004B640C" w:rsidRPr="00201A3F" w:rsidRDefault="004B640C" w:rsidP="00D43A9E">
            <w:pPr>
              <w:jc w:val="both"/>
              <w:rPr>
                <w:rFonts w:eastAsia="Calibri"/>
                <w:sz w:val="20"/>
                <w:lang w:val="fr-CA"/>
              </w:rPr>
            </w:pPr>
            <w:r w:rsidRPr="00201A3F">
              <w:rPr>
                <w:rFonts w:eastAsia="Calibri"/>
                <w:sz w:val="20"/>
                <w:lang w:val="fr-CA"/>
              </w:rPr>
              <w:t>Le 22 août 2012</w:t>
            </w:r>
          </w:p>
          <w:p w:rsidR="004B640C" w:rsidRPr="00201A3F" w:rsidRDefault="004B640C" w:rsidP="00D43A9E">
            <w:pPr>
              <w:jc w:val="both"/>
              <w:rPr>
                <w:rFonts w:eastAsia="Calibri"/>
                <w:sz w:val="20"/>
                <w:lang w:val="fr-CA"/>
              </w:rPr>
            </w:pPr>
            <w:r w:rsidRPr="00201A3F">
              <w:rPr>
                <w:rFonts w:eastAsia="Calibri"/>
                <w:sz w:val="20"/>
                <w:lang w:val="fr-CA"/>
              </w:rPr>
              <w:t>Cour suprême du Canada</w:t>
            </w:r>
          </w:p>
        </w:tc>
        <w:tc>
          <w:tcPr>
            <w:tcW w:w="243" w:type="pct"/>
          </w:tcPr>
          <w:p w:rsidR="004B640C" w:rsidRPr="00201A3F" w:rsidRDefault="004B640C" w:rsidP="00D43A9E">
            <w:pPr>
              <w:jc w:val="both"/>
              <w:rPr>
                <w:rFonts w:eastAsia="Calibri"/>
                <w:sz w:val="20"/>
                <w:lang w:val="fr-CA"/>
              </w:rPr>
            </w:pPr>
          </w:p>
        </w:tc>
        <w:tc>
          <w:tcPr>
            <w:tcW w:w="2330" w:type="pct"/>
          </w:tcPr>
          <w:p w:rsidR="004B640C" w:rsidRPr="00201A3F" w:rsidRDefault="004B640C" w:rsidP="00D43A9E">
            <w:pPr>
              <w:jc w:val="both"/>
              <w:rPr>
                <w:rFonts w:eastAsia="Calibri"/>
                <w:sz w:val="20"/>
                <w:lang w:val="fr-CA"/>
              </w:rPr>
            </w:pPr>
            <w:r w:rsidRPr="00201A3F">
              <w:rPr>
                <w:rFonts w:eastAsia="Calibri"/>
                <w:sz w:val="20"/>
                <w:lang w:val="fr-CA"/>
              </w:rPr>
              <w:t>Demande d'autorisation d'appel déposée</w:t>
            </w:r>
          </w:p>
          <w:p w:rsidR="004B640C" w:rsidRPr="00201A3F" w:rsidRDefault="004B640C" w:rsidP="00D43A9E">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83" style="width:2in;height:1pt" o:hrpct="0" o:hralign="center" o:hrstd="t" o:hrnoshade="t" o:hr="t" fillcolor="black [3213]" stroked="f"/>
        </w:pict>
      </w:r>
    </w:p>
    <w:p w:rsidR="00A740D1" w:rsidRDefault="00A740D1" w:rsidP="00A740D1">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C4561E" w:rsidRPr="00DC2D1F" w:rsidTr="007A1180">
        <w:trPr>
          <w:cantSplit/>
        </w:trPr>
        <w:tc>
          <w:tcPr>
            <w:tcW w:w="1458" w:type="dxa"/>
          </w:tcPr>
          <w:p w:rsidR="00C4561E" w:rsidRPr="00B83D51" w:rsidRDefault="00C4561E" w:rsidP="007A1180">
            <w:pPr>
              <w:rPr>
                <w:sz w:val="20"/>
                <w:szCs w:val="20"/>
              </w:rPr>
            </w:pPr>
            <w:r w:rsidRPr="00B83D51">
              <w:rPr>
                <w:rStyle w:val="SCCFileNumberChar"/>
                <w:sz w:val="20"/>
                <w:szCs w:val="20"/>
              </w:rPr>
              <w:t>34974</w:t>
            </w:r>
          </w:p>
          <w:p w:rsidR="00C4561E" w:rsidRPr="00B83D51" w:rsidRDefault="00C4561E" w:rsidP="007A1180">
            <w:pPr>
              <w:rPr>
                <w:b/>
                <w:sz w:val="20"/>
                <w:szCs w:val="20"/>
                <w:lang w:val="fr-CA"/>
              </w:rPr>
            </w:pPr>
          </w:p>
        </w:tc>
        <w:tc>
          <w:tcPr>
            <w:tcW w:w="8118" w:type="dxa"/>
          </w:tcPr>
          <w:p w:rsidR="00C4561E" w:rsidRPr="00B83D51" w:rsidRDefault="00C4561E" w:rsidP="007A1180">
            <w:pPr>
              <w:jc w:val="both"/>
              <w:rPr>
                <w:sz w:val="20"/>
                <w:szCs w:val="20"/>
                <w:lang w:val="fr-CA"/>
              </w:rPr>
            </w:pPr>
            <w:r w:rsidRPr="00B83D51">
              <w:rPr>
                <w:rStyle w:val="SCCLsocChar"/>
                <w:sz w:val="20"/>
                <w:szCs w:val="20"/>
              </w:rPr>
              <w:t>Gilles Patenaude c. Ville de Montréal</w:t>
            </w:r>
            <w:r w:rsidR="00312CAC">
              <w:rPr>
                <w:rStyle w:val="SCCLsocChar"/>
                <w:sz w:val="20"/>
                <w:szCs w:val="20"/>
              </w:rPr>
              <w:t xml:space="preserve"> et</w:t>
            </w:r>
            <w:r w:rsidRPr="00B83D51">
              <w:rPr>
                <w:rStyle w:val="SCCLsocChar"/>
                <w:sz w:val="20"/>
                <w:szCs w:val="20"/>
              </w:rPr>
              <w:t xml:space="preserve"> Procureur général du Québec</w:t>
            </w:r>
            <w:r w:rsidRPr="00B83D51">
              <w:rPr>
                <w:sz w:val="20"/>
                <w:szCs w:val="20"/>
                <w:lang w:val="fr-CA"/>
              </w:rPr>
              <w:t xml:space="preserve"> (Qc) (Civile) (Autorisation)</w:t>
            </w:r>
          </w:p>
          <w:p w:rsidR="00C4561E" w:rsidRPr="00B83D51" w:rsidRDefault="00C4561E" w:rsidP="007A1180">
            <w:pPr>
              <w:jc w:val="both"/>
              <w:rPr>
                <w:sz w:val="20"/>
                <w:szCs w:val="20"/>
                <w:lang w:val="fr-CA"/>
              </w:rPr>
            </w:pPr>
          </w:p>
        </w:tc>
      </w:tr>
      <w:tr w:rsidR="00C4561E" w:rsidRPr="00DC2D1F" w:rsidTr="007A1180">
        <w:trPr>
          <w:cantSplit/>
        </w:trPr>
        <w:tc>
          <w:tcPr>
            <w:tcW w:w="1458" w:type="dxa"/>
          </w:tcPr>
          <w:p w:rsidR="00C4561E" w:rsidRPr="00B83D51" w:rsidRDefault="00C4561E" w:rsidP="007A1180">
            <w:pPr>
              <w:rPr>
                <w:sz w:val="20"/>
                <w:szCs w:val="20"/>
              </w:rPr>
            </w:pPr>
            <w:r w:rsidRPr="00B83D51">
              <w:rPr>
                <w:sz w:val="20"/>
                <w:szCs w:val="20"/>
              </w:rPr>
              <w:t>Coram :</w:t>
            </w:r>
          </w:p>
        </w:tc>
        <w:tc>
          <w:tcPr>
            <w:tcW w:w="8118" w:type="dxa"/>
          </w:tcPr>
          <w:p w:rsidR="00C4561E" w:rsidRPr="00B83D51" w:rsidRDefault="00C4561E" w:rsidP="007A1180">
            <w:pPr>
              <w:rPr>
                <w:sz w:val="20"/>
                <w:szCs w:val="20"/>
                <w:lang w:val="fr-CA"/>
              </w:rPr>
            </w:pPr>
            <w:r w:rsidRPr="00B83D51">
              <w:rPr>
                <w:rStyle w:val="SCCCoramChar"/>
                <w:sz w:val="20"/>
                <w:szCs w:val="20"/>
              </w:rPr>
              <w:t>Les juges LeBel, Abella et Cromwell</w:t>
            </w:r>
          </w:p>
          <w:p w:rsidR="00C4561E" w:rsidRPr="00B83D51" w:rsidRDefault="00C4561E" w:rsidP="007A1180">
            <w:pPr>
              <w:rPr>
                <w:sz w:val="20"/>
                <w:szCs w:val="20"/>
                <w:u w:val="single"/>
                <w:lang w:val="fr-CA"/>
              </w:rPr>
            </w:pPr>
          </w:p>
        </w:tc>
      </w:tr>
      <w:tr w:rsidR="00C4561E" w:rsidRPr="00B83D51" w:rsidTr="007A1180">
        <w:trPr>
          <w:cantSplit/>
        </w:trPr>
        <w:tc>
          <w:tcPr>
            <w:tcW w:w="9576" w:type="dxa"/>
            <w:gridSpan w:val="2"/>
          </w:tcPr>
          <w:p w:rsidR="00C4561E" w:rsidRPr="00B83D51" w:rsidRDefault="00C4561E" w:rsidP="007A1180">
            <w:pPr>
              <w:pStyle w:val="SCCShortJudgment"/>
              <w:rPr>
                <w:szCs w:val="20"/>
                <w:lang w:val="fr-CA"/>
              </w:rPr>
            </w:pPr>
            <w:r w:rsidRPr="00B83D51">
              <w:rPr>
                <w:szCs w:val="20"/>
                <w:lang w:val="fr-CA"/>
              </w:rPr>
              <w:t>La demande d’autorisation d’appel de l’arrêt de la Cour d’appel du Québec (Montréal), numéro 500-10-005143-126, 2012 QCCA 1404, daté du 8 août 2012, est rejetée sans dépens.</w:t>
            </w:r>
          </w:p>
          <w:p w:rsidR="00C4561E" w:rsidRPr="00B83D51" w:rsidRDefault="00C4561E" w:rsidP="007A1180">
            <w:pPr>
              <w:pStyle w:val="SCCShortJudgment"/>
              <w:ind w:firstLine="0"/>
              <w:rPr>
                <w:szCs w:val="20"/>
                <w:lang w:val="fr-CA"/>
              </w:rPr>
            </w:pPr>
          </w:p>
          <w:p w:rsidR="00C4561E" w:rsidRPr="00B83D51" w:rsidRDefault="00C4561E" w:rsidP="007A1180">
            <w:pPr>
              <w:pStyle w:val="SCCShortJudgment"/>
              <w:rPr>
                <w:szCs w:val="20"/>
              </w:rPr>
            </w:pPr>
            <w:r w:rsidRPr="00B83D51">
              <w:rPr>
                <w:szCs w:val="20"/>
              </w:rPr>
              <w:t>The application for leave to appeal from the judgment of the Court of Appeal of Quebec (Montréal), Number 500-10-005143-126, 2012 QCCA 1404, dated August 8, 2012, is dismissed without costs.</w:t>
            </w:r>
          </w:p>
        </w:tc>
      </w:tr>
    </w:tbl>
    <w:p w:rsidR="00A740D1" w:rsidRDefault="00A740D1" w:rsidP="00A740D1">
      <w:pPr>
        <w:rPr>
          <w:sz w:val="20"/>
          <w:szCs w:val="20"/>
        </w:rPr>
      </w:pPr>
    </w:p>
    <w:p w:rsidR="00A740D1" w:rsidRPr="001B157C" w:rsidRDefault="00A740D1" w:rsidP="00A740D1">
      <w:pPr>
        <w:rPr>
          <w:sz w:val="20"/>
          <w:szCs w:val="20"/>
          <w:u w:val="single"/>
        </w:rPr>
      </w:pPr>
      <w:r w:rsidRPr="001B157C">
        <w:rPr>
          <w:sz w:val="20"/>
          <w:szCs w:val="20"/>
          <w:u w:val="single"/>
        </w:rPr>
        <w:t>CASE SUMMARY</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4B640C" w:rsidRPr="00201A3F" w:rsidTr="00D43A9E">
        <w:tc>
          <w:tcPr>
            <w:tcW w:w="5000" w:type="pct"/>
            <w:gridSpan w:val="3"/>
          </w:tcPr>
          <w:p w:rsidR="004B640C" w:rsidRPr="00201A3F" w:rsidRDefault="004B640C" w:rsidP="00D43A9E">
            <w:pPr>
              <w:jc w:val="both"/>
              <w:rPr>
                <w:rFonts w:eastAsia="Calibri"/>
                <w:sz w:val="20"/>
              </w:rPr>
            </w:pPr>
            <w:r w:rsidRPr="00201A3F">
              <w:rPr>
                <w:rFonts w:eastAsia="Calibri"/>
                <w:sz w:val="20"/>
              </w:rPr>
              <w:t>Civil procedure — Leave to appeal — Motion for leave to appeal dismissed — Whether courts below should have dealt with constitutional objection raised by applicant.</w:t>
            </w:r>
          </w:p>
        </w:tc>
      </w:tr>
      <w:tr w:rsidR="004B640C" w:rsidRPr="00201A3F" w:rsidTr="00D43A9E">
        <w:tc>
          <w:tcPr>
            <w:tcW w:w="5000" w:type="pct"/>
            <w:gridSpan w:val="3"/>
          </w:tcPr>
          <w:p w:rsidR="004B640C" w:rsidRPr="00201A3F" w:rsidRDefault="004B640C" w:rsidP="00D43A9E">
            <w:pPr>
              <w:jc w:val="both"/>
              <w:rPr>
                <w:rFonts w:eastAsia="Calibri"/>
                <w:sz w:val="20"/>
              </w:rPr>
            </w:pPr>
          </w:p>
        </w:tc>
      </w:tr>
      <w:tr w:rsidR="004B640C" w:rsidRPr="00201A3F" w:rsidTr="00D43A9E">
        <w:tc>
          <w:tcPr>
            <w:tcW w:w="5000" w:type="pct"/>
            <w:gridSpan w:val="3"/>
          </w:tcPr>
          <w:p w:rsidR="004B640C" w:rsidRPr="00201A3F" w:rsidRDefault="004B640C" w:rsidP="00D43A9E">
            <w:pPr>
              <w:jc w:val="both"/>
              <w:rPr>
                <w:rFonts w:eastAsia="Calibri"/>
                <w:sz w:val="20"/>
              </w:rPr>
            </w:pPr>
            <w:r w:rsidRPr="00201A3F">
              <w:rPr>
                <w:rFonts w:eastAsia="Calibri"/>
                <w:sz w:val="20"/>
              </w:rPr>
              <w:t xml:space="preserve">Mr. Patenaude was convicted of certain offences under the </w:t>
            </w:r>
            <w:r w:rsidRPr="00201A3F">
              <w:rPr>
                <w:rFonts w:eastAsia="Calibri"/>
                <w:i/>
                <w:sz w:val="20"/>
              </w:rPr>
              <w:t xml:space="preserve">Highway Safety Code </w:t>
            </w:r>
            <w:r w:rsidRPr="00201A3F">
              <w:rPr>
                <w:rFonts w:eastAsia="Calibri"/>
                <w:sz w:val="20"/>
              </w:rPr>
              <w:t xml:space="preserve">(s. 396) and the City of Montréal’s </w:t>
            </w:r>
            <w:r w:rsidRPr="00201A3F">
              <w:rPr>
                <w:rFonts w:eastAsia="Calibri"/>
                <w:i/>
                <w:sz w:val="20"/>
              </w:rPr>
              <w:t>By</w:t>
            </w:r>
            <w:r w:rsidRPr="00201A3F">
              <w:rPr>
                <w:rFonts w:eastAsia="Calibri"/>
                <w:i/>
                <w:sz w:val="20"/>
              </w:rPr>
              <w:noBreakHyphen/>
              <w:t>law concerning traffic and parking</w:t>
            </w:r>
            <w:r w:rsidRPr="00201A3F">
              <w:rPr>
                <w:rFonts w:eastAsia="Calibri"/>
                <w:sz w:val="20"/>
              </w:rPr>
              <w:t xml:space="preserve"> (art. 55).  In his defence in the Municipal Court, he had argued that he was not a member [</w:t>
            </w:r>
            <w:r w:rsidRPr="00201A3F">
              <w:rPr>
                <w:rFonts w:eastAsia="Calibri"/>
                <w:smallCaps/>
                <w:sz w:val="20"/>
              </w:rPr>
              <w:t>translation</w:t>
            </w:r>
            <w:r w:rsidRPr="00201A3F">
              <w:rPr>
                <w:rFonts w:eastAsia="Calibri"/>
                <w:sz w:val="20"/>
              </w:rPr>
              <w:t xml:space="preserve">] “of a disadvantaged group that would need this type of legislation to attain equality”. </w:t>
            </w:r>
          </w:p>
          <w:p w:rsidR="004B640C" w:rsidRPr="00201A3F" w:rsidRDefault="004B640C" w:rsidP="00D43A9E">
            <w:pPr>
              <w:jc w:val="both"/>
              <w:rPr>
                <w:rFonts w:eastAsia="Calibri"/>
                <w:sz w:val="20"/>
              </w:rPr>
            </w:pPr>
          </w:p>
          <w:p w:rsidR="004B640C" w:rsidRPr="00201A3F" w:rsidRDefault="004B640C" w:rsidP="00D43A9E">
            <w:pPr>
              <w:jc w:val="both"/>
              <w:rPr>
                <w:rFonts w:eastAsia="Calibri"/>
                <w:sz w:val="20"/>
              </w:rPr>
            </w:pPr>
            <w:r w:rsidRPr="00201A3F">
              <w:rPr>
                <w:rFonts w:eastAsia="Calibri"/>
                <w:sz w:val="20"/>
              </w:rPr>
              <w:lastRenderedPageBreak/>
              <w:t>On appeal to the Superior Court, the Attorney General of Quebec and the City of Montréal moved to dismiss the appeals, arguing essentially that Mr. Patenaude’s application for a declaration that the legislative and by</w:t>
            </w:r>
            <w:r w:rsidRPr="00201A3F">
              <w:rPr>
                <w:rFonts w:eastAsia="Calibri"/>
                <w:sz w:val="20"/>
              </w:rPr>
              <w:noBreakHyphen/>
              <w:t xml:space="preserve">law provisions at issue were contrary to the spirit and letter of s. 15(2) of the </w:t>
            </w:r>
            <w:r w:rsidRPr="00201A3F">
              <w:rPr>
                <w:rFonts w:eastAsia="Calibri"/>
                <w:i/>
                <w:sz w:val="20"/>
              </w:rPr>
              <w:t>Canadian Charter of Rights and Freedoms</w:t>
            </w:r>
            <w:r w:rsidRPr="00201A3F">
              <w:rPr>
                <w:rFonts w:eastAsia="Calibri"/>
                <w:sz w:val="20"/>
              </w:rPr>
              <w:t xml:space="preserve"> was unfounded in light of the case law relating to s. 15(1) and (2) of the </w:t>
            </w:r>
            <w:r w:rsidRPr="00201A3F">
              <w:rPr>
                <w:rFonts w:eastAsia="Calibri"/>
                <w:i/>
                <w:sz w:val="20"/>
              </w:rPr>
              <w:t>Charter</w:t>
            </w:r>
            <w:r w:rsidRPr="00201A3F">
              <w:rPr>
                <w:rFonts w:eastAsia="Calibri"/>
                <w:sz w:val="20"/>
              </w:rPr>
              <w:t>.  The Superior Court allowed the motions to dismiss the appeals.</w:t>
            </w:r>
          </w:p>
          <w:p w:rsidR="004B640C" w:rsidRPr="00201A3F" w:rsidRDefault="004B640C" w:rsidP="00D43A9E">
            <w:pPr>
              <w:jc w:val="both"/>
              <w:rPr>
                <w:rFonts w:eastAsia="Calibri"/>
                <w:sz w:val="20"/>
              </w:rPr>
            </w:pPr>
          </w:p>
          <w:p w:rsidR="004B640C" w:rsidRPr="00201A3F" w:rsidRDefault="004B640C" w:rsidP="00D43A9E">
            <w:pPr>
              <w:jc w:val="both"/>
              <w:rPr>
                <w:rFonts w:eastAsia="Calibri"/>
                <w:sz w:val="20"/>
              </w:rPr>
            </w:pPr>
            <w:r w:rsidRPr="00201A3F">
              <w:rPr>
                <w:rFonts w:eastAsia="Calibri"/>
                <w:sz w:val="20"/>
              </w:rPr>
              <w:t xml:space="preserve">Dufresne J.A. of the Court of Appeal refused leave to appeal on the ground that the questions of law raised by Mr. Patenaude had no chance of success.  Mr. Patenaude was arguing that the Superior Court had to make a declaratory ruling on the constitutional challenge before it. </w:t>
            </w:r>
          </w:p>
          <w:p w:rsidR="004B640C" w:rsidRPr="00201A3F" w:rsidRDefault="004B640C" w:rsidP="00D43A9E">
            <w:pPr>
              <w:jc w:val="both"/>
              <w:rPr>
                <w:rFonts w:eastAsia="Calibri"/>
                <w:sz w:val="20"/>
              </w:rPr>
            </w:pPr>
          </w:p>
        </w:tc>
      </w:tr>
      <w:tr w:rsidR="004B640C" w:rsidRPr="00201A3F" w:rsidTr="00D43A9E">
        <w:tc>
          <w:tcPr>
            <w:tcW w:w="2427" w:type="pct"/>
          </w:tcPr>
          <w:p w:rsidR="004B640C" w:rsidRPr="00201A3F" w:rsidRDefault="004B640C" w:rsidP="00D43A9E">
            <w:pPr>
              <w:jc w:val="both"/>
              <w:rPr>
                <w:rFonts w:eastAsia="Calibri"/>
                <w:sz w:val="20"/>
              </w:rPr>
            </w:pPr>
            <w:r w:rsidRPr="00201A3F">
              <w:rPr>
                <w:rFonts w:eastAsia="Calibri"/>
                <w:sz w:val="20"/>
              </w:rPr>
              <w:lastRenderedPageBreak/>
              <w:t>April 10, 2012</w:t>
            </w:r>
          </w:p>
          <w:p w:rsidR="004B640C" w:rsidRPr="00201A3F" w:rsidRDefault="004B640C" w:rsidP="00D43A9E">
            <w:pPr>
              <w:jc w:val="both"/>
              <w:rPr>
                <w:rFonts w:eastAsia="Calibri"/>
                <w:sz w:val="20"/>
              </w:rPr>
            </w:pPr>
            <w:r w:rsidRPr="00201A3F">
              <w:rPr>
                <w:rFonts w:eastAsia="Calibri"/>
                <w:sz w:val="20"/>
              </w:rPr>
              <w:t>Quebec Superior Court</w:t>
            </w:r>
          </w:p>
          <w:p w:rsidR="004B640C" w:rsidRPr="00201A3F" w:rsidRDefault="004B640C" w:rsidP="00D43A9E">
            <w:pPr>
              <w:jc w:val="both"/>
              <w:rPr>
                <w:rFonts w:eastAsia="Calibri"/>
                <w:sz w:val="20"/>
              </w:rPr>
            </w:pPr>
            <w:r w:rsidRPr="00201A3F">
              <w:rPr>
                <w:rFonts w:eastAsia="Calibri"/>
                <w:sz w:val="20"/>
              </w:rPr>
              <w:t>(Paul J.)</w:t>
            </w:r>
          </w:p>
          <w:p w:rsidR="004B640C" w:rsidRPr="00201A3F" w:rsidRDefault="004B640C" w:rsidP="00D43A9E">
            <w:pPr>
              <w:jc w:val="both"/>
              <w:rPr>
                <w:rFonts w:eastAsia="Calibri"/>
                <w:sz w:val="20"/>
              </w:rPr>
            </w:pP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rPr>
            </w:pPr>
            <w:r w:rsidRPr="00201A3F">
              <w:rPr>
                <w:rFonts w:eastAsia="Calibri"/>
                <w:sz w:val="20"/>
              </w:rPr>
              <w:t>Motions to dismiss appeals from Municipal Court decisions allowed; appeals dismissed</w:t>
            </w:r>
          </w:p>
          <w:p w:rsidR="004B640C" w:rsidRPr="00201A3F" w:rsidRDefault="004B640C" w:rsidP="00D43A9E">
            <w:pPr>
              <w:jc w:val="both"/>
              <w:rPr>
                <w:rFonts w:eastAsia="Calibri"/>
                <w:sz w:val="20"/>
              </w:rPr>
            </w:pPr>
          </w:p>
        </w:tc>
      </w:tr>
      <w:tr w:rsidR="004B640C" w:rsidRPr="00201A3F" w:rsidTr="00D43A9E">
        <w:tc>
          <w:tcPr>
            <w:tcW w:w="2427" w:type="pct"/>
          </w:tcPr>
          <w:p w:rsidR="004B640C" w:rsidRPr="00201A3F" w:rsidRDefault="004B640C" w:rsidP="00D43A9E">
            <w:pPr>
              <w:jc w:val="both"/>
              <w:rPr>
                <w:rFonts w:eastAsia="Calibri"/>
                <w:sz w:val="20"/>
              </w:rPr>
            </w:pPr>
            <w:r w:rsidRPr="00201A3F">
              <w:rPr>
                <w:rFonts w:eastAsia="Calibri"/>
                <w:sz w:val="20"/>
              </w:rPr>
              <w:t>August 8, 2012</w:t>
            </w:r>
          </w:p>
          <w:p w:rsidR="004B640C" w:rsidRPr="00201A3F" w:rsidRDefault="004B640C" w:rsidP="00D43A9E">
            <w:pPr>
              <w:jc w:val="both"/>
              <w:rPr>
                <w:rFonts w:eastAsia="Calibri"/>
                <w:sz w:val="20"/>
              </w:rPr>
            </w:pPr>
            <w:r w:rsidRPr="00201A3F">
              <w:rPr>
                <w:rFonts w:eastAsia="Calibri"/>
                <w:sz w:val="20"/>
              </w:rPr>
              <w:t>Quebec Court of Appeal (Montréal)</w:t>
            </w:r>
          </w:p>
          <w:p w:rsidR="004B640C" w:rsidRPr="00201A3F" w:rsidRDefault="004B640C" w:rsidP="00D43A9E">
            <w:pPr>
              <w:jc w:val="both"/>
              <w:rPr>
                <w:rFonts w:eastAsia="Calibri"/>
                <w:sz w:val="20"/>
              </w:rPr>
            </w:pPr>
            <w:r w:rsidRPr="00201A3F">
              <w:rPr>
                <w:rFonts w:eastAsia="Calibri"/>
                <w:sz w:val="20"/>
              </w:rPr>
              <w:t>(Dufresne J.A.)</w:t>
            </w:r>
          </w:p>
          <w:p w:rsidR="004B640C" w:rsidRPr="00201A3F" w:rsidRDefault="004B640C" w:rsidP="00D43A9E">
            <w:pPr>
              <w:jc w:val="both"/>
              <w:rPr>
                <w:rFonts w:eastAsia="Calibri"/>
                <w:sz w:val="20"/>
              </w:rPr>
            </w:pPr>
            <w:r w:rsidRPr="00201A3F">
              <w:rPr>
                <w:rFonts w:eastAsia="Calibri"/>
                <w:sz w:val="20"/>
              </w:rPr>
              <w:t>2012 QCCA 1404; 500-10-005143-126</w:t>
            </w:r>
          </w:p>
          <w:p w:rsidR="004B640C" w:rsidRPr="00201A3F" w:rsidRDefault="004B640C" w:rsidP="00D43A9E">
            <w:pPr>
              <w:jc w:val="both"/>
              <w:rPr>
                <w:rFonts w:eastAsia="Calibri"/>
                <w:sz w:val="20"/>
              </w:rPr>
            </w:pP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rPr>
            </w:pPr>
            <w:r w:rsidRPr="00201A3F">
              <w:rPr>
                <w:rFonts w:eastAsia="Calibri"/>
                <w:sz w:val="20"/>
              </w:rPr>
              <w:t>Motion for leave to appeal dismissed</w:t>
            </w:r>
          </w:p>
          <w:p w:rsidR="004B640C" w:rsidRPr="00201A3F" w:rsidRDefault="004B640C" w:rsidP="00D43A9E">
            <w:pPr>
              <w:jc w:val="both"/>
              <w:rPr>
                <w:rFonts w:eastAsia="Calibri"/>
                <w:sz w:val="20"/>
              </w:rPr>
            </w:pPr>
          </w:p>
        </w:tc>
      </w:tr>
      <w:tr w:rsidR="004B640C" w:rsidRPr="00201A3F" w:rsidTr="00D43A9E">
        <w:tc>
          <w:tcPr>
            <w:tcW w:w="2427" w:type="pct"/>
          </w:tcPr>
          <w:p w:rsidR="004B640C" w:rsidRPr="00201A3F" w:rsidRDefault="004B640C" w:rsidP="00D43A9E">
            <w:pPr>
              <w:jc w:val="both"/>
              <w:rPr>
                <w:rFonts w:eastAsia="Calibri"/>
                <w:sz w:val="20"/>
              </w:rPr>
            </w:pPr>
            <w:r w:rsidRPr="00201A3F">
              <w:rPr>
                <w:rFonts w:eastAsia="Calibri"/>
                <w:sz w:val="20"/>
              </w:rPr>
              <w:t>August 22, 2012</w:t>
            </w:r>
          </w:p>
          <w:p w:rsidR="004B640C" w:rsidRPr="00201A3F" w:rsidRDefault="004B640C" w:rsidP="00D43A9E">
            <w:pPr>
              <w:jc w:val="both"/>
              <w:rPr>
                <w:rFonts w:eastAsia="Calibri"/>
                <w:sz w:val="20"/>
              </w:rPr>
            </w:pPr>
            <w:r w:rsidRPr="00201A3F">
              <w:rPr>
                <w:rFonts w:eastAsia="Calibri"/>
                <w:sz w:val="20"/>
              </w:rPr>
              <w:t>Supreme Court of Canada</w:t>
            </w: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rPr>
            </w:pPr>
            <w:r w:rsidRPr="00201A3F">
              <w:rPr>
                <w:rFonts w:eastAsia="Calibri"/>
                <w:sz w:val="20"/>
              </w:rPr>
              <w:t>Application for leave to appeal filed</w:t>
            </w:r>
          </w:p>
          <w:p w:rsidR="004B640C" w:rsidRPr="00201A3F" w:rsidRDefault="004B640C" w:rsidP="00D43A9E">
            <w:pPr>
              <w:jc w:val="both"/>
              <w:rPr>
                <w:rFonts w:eastAsia="Calibri"/>
                <w:sz w:val="20"/>
              </w:rPr>
            </w:pPr>
          </w:p>
        </w:tc>
      </w:tr>
    </w:tbl>
    <w:p w:rsidR="00A740D1" w:rsidRDefault="00A740D1" w:rsidP="00A740D1">
      <w:pPr>
        <w:rPr>
          <w:sz w:val="20"/>
          <w:szCs w:val="20"/>
        </w:rPr>
      </w:pPr>
    </w:p>
    <w:p w:rsidR="00A740D1" w:rsidRPr="00C50A5C" w:rsidRDefault="00BF3B03" w:rsidP="00A740D1">
      <w:pPr>
        <w:rPr>
          <w:sz w:val="20"/>
          <w:szCs w:val="20"/>
        </w:rPr>
      </w:pPr>
      <w:r w:rsidRPr="00BF3B03">
        <w:rPr>
          <w:sz w:val="20"/>
          <w:szCs w:val="20"/>
          <w:lang w:val="fr-CA"/>
        </w:rPr>
        <w:pict>
          <v:rect id="_x0000_i1084" style="width:2in;height:1pt" o:hrpct="0" o:hralign="center" o:hrstd="t" o:hrnoshade="t" o:hr="t" fillcolor="black [3213]" stroked="f"/>
        </w:pict>
      </w:r>
    </w:p>
    <w:p w:rsidR="00A740D1" w:rsidRDefault="00A740D1" w:rsidP="00A740D1">
      <w:pPr>
        <w:rPr>
          <w:sz w:val="20"/>
          <w:szCs w:val="20"/>
        </w:rPr>
      </w:pPr>
    </w:p>
    <w:p w:rsidR="00A740D1" w:rsidRPr="001B157C" w:rsidRDefault="00A740D1" w:rsidP="00A740D1">
      <w:pPr>
        <w:rPr>
          <w:sz w:val="20"/>
          <w:szCs w:val="20"/>
          <w:u w:val="single"/>
          <w:lang w:val="fr-CA"/>
        </w:rPr>
      </w:pPr>
      <w:r w:rsidRPr="001B157C">
        <w:rPr>
          <w:sz w:val="20"/>
          <w:szCs w:val="20"/>
          <w:u w:val="single"/>
          <w:lang w:val="fr-CA"/>
        </w:rPr>
        <w:t>RÉSUMÉ DE L’AFFAIRE</w:t>
      </w:r>
    </w:p>
    <w:p w:rsidR="00A740D1" w:rsidRDefault="00A740D1" w:rsidP="00A740D1">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4B640C" w:rsidRPr="00DC2D1F" w:rsidTr="00D43A9E">
        <w:tc>
          <w:tcPr>
            <w:tcW w:w="5000" w:type="pct"/>
            <w:gridSpan w:val="3"/>
          </w:tcPr>
          <w:p w:rsidR="004B640C" w:rsidRPr="00201A3F" w:rsidRDefault="004B640C" w:rsidP="00D43A9E">
            <w:pPr>
              <w:jc w:val="both"/>
              <w:rPr>
                <w:rFonts w:eastAsia="Calibri"/>
                <w:sz w:val="20"/>
                <w:lang w:val="fr-CA"/>
              </w:rPr>
            </w:pPr>
            <w:r w:rsidRPr="00201A3F">
              <w:rPr>
                <w:rFonts w:eastAsia="Calibri"/>
                <w:sz w:val="20"/>
                <w:lang w:val="fr-CA"/>
              </w:rPr>
              <w:t>Procédure civile — Permission d’appel — Requête pour permission d’appeler rejetée — Les instances inférieures auraient</w:t>
            </w:r>
            <w:r w:rsidRPr="00201A3F">
              <w:rPr>
                <w:rFonts w:eastAsia="Calibri"/>
                <w:sz w:val="20"/>
                <w:lang w:val="fr-CA"/>
              </w:rPr>
              <w:noBreakHyphen/>
              <w:t>elles dû se prononcer sur une objection constitutionnelle soulevée par le demandeur?</w:t>
            </w:r>
          </w:p>
        </w:tc>
      </w:tr>
      <w:tr w:rsidR="004B640C" w:rsidRPr="00DC2D1F" w:rsidTr="00D43A9E">
        <w:tc>
          <w:tcPr>
            <w:tcW w:w="5000" w:type="pct"/>
            <w:gridSpan w:val="3"/>
          </w:tcPr>
          <w:p w:rsidR="004B640C" w:rsidRPr="00201A3F" w:rsidRDefault="004B640C" w:rsidP="00D43A9E">
            <w:pPr>
              <w:jc w:val="both"/>
              <w:rPr>
                <w:rFonts w:eastAsia="Calibri"/>
                <w:sz w:val="20"/>
                <w:lang w:val="fr-CA"/>
              </w:rPr>
            </w:pPr>
          </w:p>
        </w:tc>
      </w:tr>
      <w:tr w:rsidR="004B640C" w:rsidRPr="00DC2D1F" w:rsidTr="00D43A9E">
        <w:tc>
          <w:tcPr>
            <w:tcW w:w="5000" w:type="pct"/>
            <w:gridSpan w:val="3"/>
          </w:tcPr>
          <w:p w:rsidR="004B640C" w:rsidRPr="00201A3F" w:rsidRDefault="004B640C" w:rsidP="00D43A9E">
            <w:pPr>
              <w:jc w:val="both"/>
              <w:rPr>
                <w:rFonts w:eastAsia="Calibri"/>
                <w:sz w:val="20"/>
                <w:lang w:val="fr-CA"/>
              </w:rPr>
            </w:pPr>
            <w:r w:rsidRPr="00201A3F">
              <w:rPr>
                <w:rFonts w:eastAsia="Calibri"/>
                <w:sz w:val="20"/>
                <w:lang w:val="fr-CA"/>
              </w:rPr>
              <w:t xml:space="preserve">M. Patenaude a été déclaré coupable de certaines infractions au </w:t>
            </w:r>
            <w:r w:rsidRPr="00201A3F">
              <w:rPr>
                <w:rFonts w:eastAsia="Calibri"/>
                <w:i/>
                <w:sz w:val="20"/>
                <w:lang w:val="fr-CA"/>
              </w:rPr>
              <w:t>Code de la sécurité routière</w:t>
            </w:r>
            <w:r w:rsidRPr="00201A3F">
              <w:rPr>
                <w:rFonts w:eastAsia="Calibri"/>
                <w:sz w:val="20"/>
                <w:lang w:val="fr-CA"/>
              </w:rPr>
              <w:t xml:space="preserve"> (art. 396) et au </w:t>
            </w:r>
            <w:r w:rsidRPr="00201A3F">
              <w:rPr>
                <w:rFonts w:eastAsia="Calibri"/>
                <w:i/>
                <w:sz w:val="20"/>
                <w:lang w:val="fr-CA"/>
              </w:rPr>
              <w:t>Règlement sur la circulation et le stationnement</w:t>
            </w:r>
            <w:r w:rsidRPr="00201A3F">
              <w:rPr>
                <w:rFonts w:eastAsia="Calibri"/>
                <w:sz w:val="20"/>
                <w:lang w:val="fr-CA"/>
              </w:rPr>
              <w:t xml:space="preserve"> de la Ville de Montréal (art. 55). Dans sa défense en Cour municipale, M. Patenaude avait soutenu ne pas faire partie « d’un groupe défavorisé qui aurait besoin de ce genre de législation pour accéder à l’égalité ». </w:t>
            </w:r>
          </w:p>
          <w:p w:rsidR="004B640C" w:rsidRPr="00201A3F" w:rsidRDefault="004B640C" w:rsidP="00D43A9E">
            <w:pPr>
              <w:jc w:val="both"/>
              <w:rPr>
                <w:rFonts w:eastAsia="Calibri"/>
                <w:sz w:val="20"/>
                <w:lang w:val="fr-CA"/>
              </w:rPr>
            </w:pPr>
          </w:p>
          <w:p w:rsidR="004B640C" w:rsidRPr="00201A3F" w:rsidRDefault="004B640C" w:rsidP="00D43A9E">
            <w:pPr>
              <w:jc w:val="both"/>
              <w:rPr>
                <w:rFonts w:eastAsia="Calibri"/>
                <w:sz w:val="20"/>
                <w:lang w:val="fr-CA"/>
              </w:rPr>
            </w:pPr>
            <w:r w:rsidRPr="00201A3F">
              <w:rPr>
                <w:rFonts w:eastAsia="Calibri"/>
                <w:sz w:val="20"/>
                <w:lang w:val="fr-CA"/>
              </w:rPr>
              <w:t xml:space="preserve">Au stade de l’appel devant la Cour supérieure, le procureur général du Québec et la Ville de Montréal ont présenté des requêtes en rejet d’appel, faisant valoir, pour l’essentiel, que la demande de M. Patenaude pour une déclaration selon laquelle les dispositions législative et réglementaire en cause ne respectaient pas l’esprit et la lettre du par. 15(2) de la </w:t>
            </w:r>
            <w:r w:rsidRPr="00201A3F">
              <w:rPr>
                <w:rFonts w:eastAsia="Calibri"/>
                <w:i/>
                <w:sz w:val="20"/>
                <w:lang w:val="fr-CA"/>
              </w:rPr>
              <w:t>Charte canadienne des droits et libertés</w:t>
            </w:r>
            <w:r w:rsidRPr="00201A3F">
              <w:rPr>
                <w:rFonts w:eastAsia="Calibri"/>
                <w:sz w:val="20"/>
                <w:lang w:val="fr-CA"/>
              </w:rPr>
              <w:t xml:space="preserve"> était mal fondée vu la jurisprudence relative aux par. 15(1) et (2) de la </w:t>
            </w:r>
            <w:r w:rsidRPr="00201A3F">
              <w:rPr>
                <w:rFonts w:eastAsia="Calibri"/>
                <w:i/>
                <w:sz w:val="20"/>
                <w:lang w:val="fr-CA"/>
              </w:rPr>
              <w:t>Charte</w:t>
            </w:r>
            <w:r w:rsidRPr="00201A3F">
              <w:rPr>
                <w:rFonts w:eastAsia="Calibri"/>
                <w:sz w:val="20"/>
                <w:lang w:val="fr-CA"/>
              </w:rPr>
              <w:t xml:space="preserve">.  La Cour supérieure a fait </w:t>
            </w:r>
            <w:proofErr w:type="gramStart"/>
            <w:r w:rsidRPr="00201A3F">
              <w:rPr>
                <w:rFonts w:eastAsia="Calibri"/>
                <w:sz w:val="20"/>
                <w:lang w:val="fr-CA"/>
              </w:rPr>
              <w:t>droit</w:t>
            </w:r>
            <w:proofErr w:type="gramEnd"/>
            <w:r w:rsidRPr="00201A3F">
              <w:rPr>
                <w:rFonts w:eastAsia="Calibri"/>
                <w:sz w:val="20"/>
                <w:lang w:val="fr-CA"/>
              </w:rPr>
              <w:t xml:space="preserve"> aux requêtes en rejet d’appel.</w:t>
            </w:r>
          </w:p>
          <w:p w:rsidR="004B640C" w:rsidRPr="00201A3F" w:rsidRDefault="004B640C" w:rsidP="00D43A9E">
            <w:pPr>
              <w:jc w:val="both"/>
              <w:rPr>
                <w:rFonts w:eastAsia="Calibri"/>
                <w:sz w:val="20"/>
                <w:lang w:val="fr-CA"/>
              </w:rPr>
            </w:pPr>
          </w:p>
          <w:p w:rsidR="004B640C" w:rsidRPr="00201A3F" w:rsidRDefault="004B640C" w:rsidP="00D43A9E">
            <w:pPr>
              <w:jc w:val="both"/>
              <w:rPr>
                <w:rFonts w:eastAsia="Calibri"/>
                <w:sz w:val="20"/>
                <w:lang w:val="fr-CA"/>
              </w:rPr>
            </w:pPr>
            <w:r w:rsidRPr="00201A3F">
              <w:rPr>
                <w:rFonts w:eastAsia="Calibri"/>
                <w:sz w:val="20"/>
                <w:lang w:val="fr-CA"/>
              </w:rPr>
              <w:t xml:space="preserve">Le juge Dufresne de la Cour d’appel a refusé de permettre un appel, au motif que les questions de droit soulevées par M. Patenaude n’avaient aucune chance de succès.  M. Patenaude plaidait que la Cour supérieure devait statuer « de manière déclaratoire sur la contestation constitutionnelle présentée devant elle ». </w:t>
            </w:r>
          </w:p>
          <w:p w:rsidR="004B640C" w:rsidRPr="00201A3F" w:rsidRDefault="004B640C" w:rsidP="00D43A9E">
            <w:pPr>
              <w:jc w:val="both"/>
              <w:rPr>
                <w:rFonts w:eastAsia="Calibri"/>
                <w:sz w:val="20"/>
                <w:lang w:val="fr-CA"/>
              </w:rPr>
            </w:pPr>
          </w:p>
        </w:tc>
      </w:tr>
      <w:tr w:rsidR="004B640C" w:rsidRPr="00DC2D1F" w:rsidTr="00D43A9E">
        <w:tc>
          <w:tcPr>
            <w:tcW w:w="2427" w:type="pct"/>
          </w:tcPr>
          <w:p w:rsidR="004B640C" w:rsidRPr="00201A3F" w:rsidRDefault="004B640C" w:rsidP="00D43A9E">
            <w:pPr>
              <w:jc w:val="both"/>
              <w:rPr>
                <w:rFonts w:eastAsia="Calibri"/>
                <w:sz w:val="20"/>
                <w:lang w:val="fr-CA"/>
              </w:rPr>
            </w:pPr>
            <w:r w:rsidRPr="00201A3F">
              <w:rPr>
                <w:rFonts w:eastAsia="Calibri"/>
                <w:sz w:val="20"/>
                <w:lang w:val="fr-CA"/>
              </w:rPr>
              <w:t>Le 10 avril 2012</w:t>
            </w:r>
          </w:p>
          <w:p w:rsidR="004B640C" w:rsidRPr="00201A3F" w:rsidRDefault="004B640C" w:rsidP="00D43A9E">
            <w:pPr>
              <w:jc w:val="both"/>
              <w:rPr>
                <w:rFonts w:eastAsia="Calibri"/>
                <w:sz w:val="20"/>
                <w:lang w:val="fr-CA"/>
              </w:rPr>
            </w:pPr>
            <w:r w:rsidRPr="00201A3F">
              <w:rPr>
                <w:rFonts w:eastAsia="Calibri"/>
                <w:sz w:val="20"/>
                <w:lang w:val="fr-CA"/>
              </w:rPr>
              <w:t>Cour supérieure du Québec</w:t>
            </w:r>
          </w:p>
          <w:p w:rsidR="004B640C" w:rsidRPr="00201A3F" w:rsidRDefault="004B640C" w:rsidP="00D43A9E">
            <w:pPr>
              <w:jc w:val="both"/>
              <w:rPr>
                <w:rFonts w:eastAsia="Calibri"/>
                <w:sz w:val="20"/>
                <w:lang w:val="fr-CA"/>
              </w:rPr>
            </w:pPr>
            <w:r w:rsidRPr="00201A3F">
              <w:rPr>
                <w:rFonts w:eastAsia="Calibri"/>
                <w:sz w:val="20"/>
                <w:lang w:val="fr-CA"/>
              </w:rPr>
              <w:t>(Le juge Paul)</w:t>
            </w:r>
          </w:p>
          <w:p w:rsidR="004B640C" w:rsidRPr="00201A3F" w:rsidRDefault="004B640C" w:rsidP="00D43A9E">
            <w:pPr>
              <w:jc w:val="both"/>
              <w:rPr>
                <w:rFonts w:eastAsia="Calibri"/>
                <w:sz w:val="20"/>
              </w:rPr>
            </w:pP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lang w:val="fr-CA"/>
              </w:rPr>
            </w:pPr>
            <w:r w:rsidRPr="00201A3F">
              <w:rPr>
                <w:rFonts w:eastAsia="Calibri"/>
                <w:sz w:val="20"/>
                <w:lang w:val="fr-CA"/>
              </w:rPr>
              <w:t>Requêtes en rejet d’appel de décisions de la Cour municipale accueillies; appels rejetés</w:t>
            </w:r>
          </w:p>
          <w:p w:rsidR="004B640C" w:rsidRPr="00201A3F" w:rsidRDefault="004B640C" w:rsidP="00D43A9E">
            <w:pPr>
              <w:jc w:val="both"/>
              <w:rPr>
                <w:rFonts w:eastAsia="Calibri"/>
                <w:sz w:val="20"/>
                <w:lang w:val="fr-CA"/>
              </w:rPr>
            </w:pPr>
          </w:p>
        </w:tc>
      </w:tr>
      <w:tr w:rsidR="004B640C" w:rsidRPr="00201A3F" w:rsidTr="003F697D">
        <w:trPr>
          <w:cantSplit/>
        </w:trPr>
        <w:tc>
          <w:tcPr>
            <w:tcW w:w="2427" w:type="pct"/>
          </w:tcPr>
          <w:p w:rsidR="004B640C" w:rsidRPr="00201A3F" w:rsidRDefault="004B640C" w:rsidP="00D43A9E">
            <w:pPr>
              <w:jc w:val="both"/>
              <w:rPr>
                <w:rFonts w:eastAsia="Calibri"/>
                <w:sz w:val="20"/>
                <w:lang w:val="fr-CA"/>
              </w:rPr>
            </w:pPr>
            <w:r w:rsidRPr="00201A3F">
              <w:rPr>
                <w:rFonts w:eastAsia="Calibri"/>
                <w:sz w:val="20"/>
                <w:lang w:val="fr-CA"/>
              </w:rPr>
              <w:lastRenderedPageBreak/>
              <w:t>Le 8 août 2012</w:t>
            </w:r>
          </w:p>
          <w:p w:rsidR="004B640C" w:rsidRPr="00201A3F" w:rsidRDefault="004B640C" w:rsidP="00D43A9E">
            <w:pPr>
              <w:jc w:val="both"/>
              <w:rPr>
                <w:rFonts w:eastAsia="Calibri"/>
                <w:sz w:val="20"/>
                <w:lang w:val="fr-CA"/>
              </w:rPr>
            </w:pPr>
            <w:r w:rsidRPr="00201A3F">
              <w:rPr>
                <w:rFonts w:eastAsia="Calibri"/>
                <w:sz w:val="20"/>
                <w:lang w:val="fr-CA"/>
              </w:rPr>
              <w:t>Cour d’appel du Québec (Montréal)</w:t>
            </w:r>
          </w:p>
          <w:p w:rsidR="004B640C" w:rsidRPr="00201A3F" w:rsidRDefault="004B640C" w:rsidP="00D43A9E">
            <w:pPr>
              <w:jc w:val="both"/>
              <w:rPr>
                <w:rFonts w:eastAsia="Calibri"/>
                <w:sz w:val="20"/>
                <w:lang w:val="fr-CA"/>
              </w:rPr>
            </w:pPr>
            <w:r w:rsidRPr="00201A3F">
              <w:rPr>
                <w:rFonts w:eastAsia="Calibri"/>
                <w:sz w:val="20"/>
                <w:lang w:val="fr-CA"/>
              </w:rPr>
              <w:t>(Le juge Dufresne)</w:t>
            </w:r>
          </w:p>
          <w:p w:rsidR="004B640C" w:rsidRPr="00201A3F" w:rsidRDefault="004B640C" w:rsidP="00D43A9E">
            <w:pPr>
              <w:jc w:val="both"/>
              <w:rPr>
                <w:rFonts w:eastAsia="Calibri"/>
                <w:sz w:val="20"/>
                <w:lang w:val="fr-CA"/>
              </w:rPr>
            </w:pPr>
            <w:r w:rsidRPr="00201A3F">
              <w:rPr>
                <w:rFonts w:eastAsia="Calibri"/>
                <w:sz w:val="20"/>
                <w:lang w:val="fr-CA"/>
              </w:rPr>
              <w:t>2012 QCCA 1404; 500</w:t>
            </w:r>
            <w:r w:rsidRPr="00201A3F">
              <w:rPr>
                <w:rFonts w:eastAsia="Calibri"/>
                <w:sz w:val="20"/>
                <w:lang w:val="fr-CA"/>
              </w:rPr>
              <w:noBreakHyphen/>
              <w:t>10</w:t>
            </w:r>
            <w:r w:rsidRPr="00201A3F">
              <w:rPr>
                <w:rFonts w:eastAsia="Calibri"/>
                <w:sz w:val="20"/>
                <w:lang w:val="fr-CA"/>
              </w:rPr>
              <w:noBreakHyphen/>
              <w:t>005143</w:t>
            </w:r>
            <w:r w:rsidRPr="00201A3F">
              <w:rPr>
                <w:rFonts w:eastAsia="Calibri"/>
                <w:sz w:val="20"/>
                <w:lang w:val="fr-CA"/>
              </w:rPr>
              <w:noBreakHyphen/>
              <w:t>126</w:t>
            </w:r>
          </w:p>
          <w:p w:rsidR="004B640C" w:rsidRPr="00201A3F" w:rsidRDefault="004B640C" w:rsidP="00D43A9E">
            <w:pPr>
              <w:jc w:val="both"/>
              <w:rPr>
                <w:rFonts w:eastAsia="Calibri"/>
                <w:sz w:val="20"/>
              </w:rPr>
            </w:pPr>
          </w:p>
        </w:tc>
        <w:tc>
          <w:tcPr>
            <w:tcW w:w="243" w:type="pct"/>
          </w:tcPr>
          <w:p w:rsidR="004B640C" w:rsidRPr="00201A3F" w:rsidRDefault="004B640C" w:rsidP="00D43A9E">
            <w:pPr>
              <w:jc w:val="both"/>
              <w:rPr>
                <w:rFonts w:eastAsia="Calibri"/>
                <w:sz w:val="20"/>
              </w:rPr>
            </w:pPr>
          </w:p>
        </w:tc>
        <w:tc>
          <w:tcPr>
            <w:tcW w:w="2330" w:type="pct"/>
          </w:tcPr>
          <w:p w:rsidR="004B640C" w:rsidRPr="00201A3F" w:rsidRDefault="004B640C" w:rsidP="00D43A9E">
            <w:pPr>
              <w:jc w:val="both"/>
              <w:rPr>
                <w:rFonts w:eastAsia="Calibri"/>
                <w:sz w:val="20"/>
                <w:lang w:val="fr-CA"/>
              </w:rPr>
            </w:pPr>
            <w:r w:rsidRPr="00201A3F">
              <w:rPr>
                <w:rFonts w:eastAsia="Calibri"/>
                <w:sz w:val="20"/>
                <w:lang w:val="fr-CA"/>
              </w:rPr>
              <w:t>Requête pour permission d’appeler rejetée</w:t>
            </w:r>
          </w:p>
          <w:p w:rsidR="004B640C" w:rsidRPr="00201A3F" w:rsidRDefault="004B640C" w:rsidP="00D43A9E">
            <w:pPr>
              <w:jc w:val="both"/>
              <w:rPr>
                <w:rFonts w:eastAsia="Calibri"/>
                <w:sz w:val="20"/>
                <w:lang w:val="fr-CA"/>
              </w:rPr>
            </w:pPr>
          </w:p>
        </w:tc>
      </w:tr>
      <w:tr w:rsidR="004B640C" w:rsidRPr="00201A3F" w:rsidTr="003F697D">
        <w:trPr>
          <w:cantSplit/>
        </w:trPr>
        <w:tc>
          <w:tcPr>
            <w:tcW w:w="2427" w:type="pct"/>
          </w:tcPr>
          <w:p w:rsidR="004B640C" w:rsidRPr="00201A3F" w:rsidRDefault="004B640C" w:rsidP="00D43A9E">
            <w:pPr>
              <w:jc w:val="both"/>
              <w:rPr>
                <w:rFonts w:eastAsia="Calibri"/>
                <w:sz w:val="20"/>
                <w:lang w:val="fr-CA"/>
              </w:rPr>
            </w:pPr>
            <w:r w:rsidRPr="00201A3F">
              <w:rPr>
                <w:rFonts w:eastAsia="Calibri"/>
                <w:sz w:val="20"/>
                <w:lang w:val="fr-CA"/>
              </w:rPr>
              <w:t>Le 22 août 2012</w:t>
            </w:r>
          </w:p>
          <w:p w:rsidR="004B640C" w:rsidRPr="00201A3F" w:rsidRDefault="004B640C" w:rsidP="00D43A9E">
            <w:pPr>
              <w:jc w:val="both"/>
              <w:rPr>
                <w:rFonts w:eastAsia="Calibri"/>
                <w:sz w:val="20"/>
                <w:lang w:val="fr-CA"/>
              </w:rPr>
            </w:pPr>
            <w:r w:rsidRPr="00201A3F">
              <w:rPr>
                <w:rFonts w:eastAsia="Calibri"/>
                <w:sz w:val="20"/>
                <w:lang w:val="fr-CA"/>
              </w:rPr>
              <w:t>Cour suprême du Canada</w:t>
            </w:r>
          </w:p>
        </w:tc>
        <w:tc>
          <w:tcPr>
            <w:tcW w:w="243" w:type="pct"/>
          </w:tcPr>
          <w:p w:rsidR="004B640C" w:rsidRPr="00201A3F" w:rsidRDefault="004B640C" w:rsidP="00D43A9E">
            <w:pPr>
              <w:jc w:val="both"/>
              <w:rPr>
                <w:rFonts w:eastAsia="Calibri"/>
                <w:sz w:val="20"/>
                <w:lang w:val="fr-CA"/>
              </w:rPr>
            </w:pPr>
          </w:p>
        </w:tc>
        <w:tc>
          <w:tcPr>
            <w:tcW w:w="2330" w:type="pct"/>
          </w:tcPr>
          <w:p w:rsidR="004B640C" w:rsidRPr="00201A3F" w:rsidRDefault="004B640C" w:rsidP="00D43A9E">
            <w:pPr>
              <w:jc w:val="both"/>
              <w:rPr>
                <w:rFonts w:eastAsia="Calibri"/>
                <w:sz w:val="20"/>
                <w:lang w:val="fr-CA"/>
              </w:rPr>
            </w:pPr>
            <w:r w:rsidRPr="00201A3F">
              <w:rPr>
                <w:rFonts w:eastAsia="Calibri"/>
                <w:sz w:val="20"/>
                <w:lang w:val="fr-CA"/>
              </w:rPr>
              <w:t>Demande d'autorisation d'appel déposée</w:t>
            </w:r>
          </w:p>
          <w:p w:rsidR="004B640C" w:rsidRPr="00201A3F" w:rsidRDefault="004B640C" w:rsidP="00D43A9E">
            <w:pPr>
              <w:jc w:val="both"/>
              <w:rPr>
                <w:rFonts w:eastAsia="Calibri"/>
                <w:sz w:val="20"/>
                <w:lang w:val="fr-CA"/>
              </w:rPr>
            </w:pPr>
          </w:p>
        </w:tc>
      </w:tr>
    </w:tbl>
    <w:p w:rsidR="00A740D1" w:rsidRDefault="00A740D1" w:rsidP="00A740D1">
      <w:pPr>
        <w:rPr>
          <w:sz w:val="20"/>
          <w:szCs w:val="20"/>
        </w:rPr>
      </w:pPr>
    </w:p>
    <w:p w:rsidR="00A740D1" w:rsidRDefault="00BF3B03" w:rsidP="00A740D1">
      <w:pPr>
        <w:rPr>
          <w:sz w:val="20"/>
          <w:szCs w:val="20"/>
        </w:rPr>
      </w:pPr>
      <w:r w:rsidRPr="00BF3B03">
        <w:rPr>
          <w:sz w:val="20"/>
          <w:szCs w:val="20"/>
          <w:lang w:val="fr-CA"/>
        </w:rPr>
        <w:pict>
          <v:rect id="_x0000_i1085" style="width:2in;height:1pt" o:hrpct="0" o:hralign="center" o:hrstd="t" o:hrnoshade="t" o:hr="t" fillcolor="black [3213]" stroked="f"/>
        </w:pict>
      </w:r>
    </w:p>
    <w:p w:rsidR="00A740D1" w:rsidRDefault="00A740D1" w:rsidP="00A740D1">
      <w:pPr>
        <w:rPr>
          <w:sz w:val="20"/>
          <w:szCs w:val="20"/>
        </w:rPr>
      </w:pPr>
    </w:p>
    <w:p w:rsidR="00A740D1" w:rsidRPr="00A740D1" w:rsidRDefault="00A740D1" w:rsidP="008D292F">
      <w:pPr>
        <w:rPr>
          <w:sz w:val="20"/>
          <w:szCs w:val="20"/>
        </w:rPr>
      </w:pPr>
    </w:p>
    <w:p w:rsidR="008D292F" w:rsidRPr="00C50A5C" w:rsidRDefault="008D292F" w:rsidP="008D292F">
      <w:pPr>
        <w:rPr>
          <w:sz w:val="20"/>
          <w:szCs w:val="20"/>
          <w:lang w:val="fr-CA"/>
        </w:rPr>
      </w:pPr>
    </w:p>
    <w:p w:rsidR="00890FEB" w:rsidRPr="00C50A5C" w:rsidRDefault="00890FEB" w:rsidP="008D292F">
      <w:pPr>
        <w:rPr>
          <w:sz w:val="20"/>
          <w:szCs w:val="20"/>
          <w:lang w:val="fr-CA"/>
        </w:rPr>
      </w:pPr>
    </w:p>
    <w:p w:rsidR="00890FEB" w:rsidRPr="00C50A5C" w:rsidRDefault="00890FEB" w:rsidP="008D292F">
      <w:pPr>
        <w:rPr>
          <w:b/>
          <w:sz w:val="20"/>
          <w:szCs w:val="20"/>
          <w:lang w:val="fr-CA"/>
        </w:rPr>
        <w:sectPr w:rsidR="00890FEB" w:rsidRPr="00C50A5C" w:rsidSect="008D292F">
          <w:headerReference w:type="even" r:id="rId29"/>
          <w:headerReference w:type="default" r:id="rId30"/>
          <w:footerReference w:type="even" r:id="rId31"/>
          <w:footerReference w:type="default" r:id="rId32"/>
          <w:headerReference w:type="first" r:id="rId33"/>
          <w:footerReference w:type="first" r:id="rId34"/>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lastRenderedPageBreak/>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Pr="00C50A5C" w:rsidRDefault="00890FEB" w:rsidP="00890FEB">
      <w:pPr>
        <w:rPr>
          <w:sz w:val="20"/>
          <w:szCs w:val="20"/>
        </w:rPr>
      </w:pPr>
    </w:p>
    <w:p w:rsidR="00890FEB" w:rsidRPr="00C50A5C" w:rsidRDefault="00890FEB" w:rsidP="00890FEB">
      <w:pPr>
        <w:tabs>
          <w:tab w:val="left" w:pos="-1440"/>
          <w:tab w:val="left" w:pos="-720"/>
        </w:tabs>
        <w:spacing w:line="-19" w:lineRule="auto"/>
        <w:jc w:val="both"/>
        <w:rPr>
          <w:sz w:val="20"/>
          <w:szCs w:val="20"/>
        </w:rPr>
      </w:pPr>
    </w:p>
    <w:p w:rsidR="00E823AA" w:rsidRPr="00E823AA" w:rsidRDefault="00E823AA" w:rsidP="00E823AA">
      <w:pPr>
        <w:tabs>
          <w:tab w:val="left" w:pos="-1440"/>
          <w:tab w:val="left" w:pos="-720"/>
        </w:tabs>
        <w:jc w:val="both"/>
        <w:rPr>
          <w:sz w:val="20"/>
          <w:szCs w:val="20"/>
          <w:lang w:val="fr-CA"/>
        </w:rPr>
      </w:pPr>
      <w:r w:rsidRPr="00E823AA">
        <w:rPr>
          <w:sz w:val="20"/>
          <w:szCs w:val="20"/>
          <w:lang w:val="fr-CA"/>
        </w:rPr>
        <w:t>31.10.2012</w:t>
      </w:r>
    </w:p>
    <w:p w:rsidR="00E823AA" w:rsidRPr="00E823AA" w:rsidRDefault="00E823AA" w:rsidP="00E823AA">
      <w:pPr>
        <w:tabs>
          <w:tab w:val="left" w:pos="-1440"/>
          <w:tab w:val="left" w:pos="-720"/>
        </w:tabs>
        <w:jc w:val="both"/>
        <w:rPr>
          <w:sz w:val="20"/>
          <w:szCs w:val="20"/>
          <w:lang w:val="fr-CA"/>
        </w:rPr>
      </w:pPr>
    </w:p>
    <w:p w:rsidR="00E823AA" w:rsidRPr="00E823AA" w:rsidRDefault="00E823AA" w:rsidP="00E823AA">
      <w:pPr>
        <w:tabs>
          <w:tab w:val="left" w:pos="-1440"/>
          <w:tab w:val="left" w:pos="-720"/>
        </w:tabs>
        <w:jc w:val="both"/>
        <w:rPr>
          <w:sz w:val="20"/>
          <w:szCs w:val="20"/>
          <w:lang w:val="fr-CA"/>
        </w:rPr>
      </w:pPr>
      <w:r w:rsidRPr="00E823AA">
        <w:rPr>
          <w:sz w:val="20"/>
          <w:szCs w:val="20"/>
          <w:lang w:val="fr-CA"/>
        </w:rPr>
        <w:t>Before / Devant :   THE REGISTRAR / LE REGISTRAIRE</w:t>
      </w:r>
    </w:p>
    <w:p w:rsidR="00E823AA" w:rsidRPr="00E823AA" w:rsidRDefault="00E823AA" w:rsidP="00E823AA">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E823AA" w:rsidRPr="00DC2D1F" w:rsidTr="0077555D">
        <w:tc>
          <w:tcPr>
            <w:tcW w:w="4338" w:type="dxa"/>
          </w:tcPr>
          <w:p w:rsidR="00E823AA" w:rsidRPr="00E823AA" w:rsidRDefault="00BF3B03" w:rsidP="0077555D">
            <w:pPr>
              <w:tabs>
                <w:tab w:val="left" w:pos="-1440"/>
                <w:tab w:val="left" w:pos="-720"/>
              </w:tabs>
              <w:jc w:val="both"/>
              <w:rPr>
                <w:b/>
                <w:sz w:val="20"/>
                <w:szCs w:val="20"/>
              </w:rPr>
            </w:pPr>
            <w:r w:rsidRPr="00E823AA">
              <w:rPr>
                <w:sz w:val="20"/>
                <w:szCs w:val="20"/>
              </w:rPr>
              <w:fldChar w:fldCharType="begin"/>
            </w:r>
            <w:r w:rsidR="00E823AA" w:rsidRPr="00E823AA">
              <w:rPr>
                <w:sz w:val="20"/>
                <w:szCs w:val="20"/>
              </w:rPr>
              <w:instrText xml:space="preserve"> SEQ CHAPTER \h \r 1</w:instrText>
            </w:r>
            <w:r w:rsidRPr="00E823AA">
              <w:rPr>
                <w:sz w:val="20"/>
                <w:szCs w:val="20"/>
              </w:rPr>
              <w:fldChar w:fldCharType="end"/>
            </w:r>
            <w:r w:rsidRPr="00E823AA">
              <w:rPr>
                <w:sz w:val="20"/>
                <w:szCs w:val="20"/>
              </w:rPr>
              <w:fldChar w:fldCharType="begin"/>
            </w:r>
            <w:r w:rsidR="00E823AA" w:rsidRPr="00E823AA">
              <w:rPr>
                <w:sz w:val="20"/>
                <w:szCs w:val="20"/>
              </w:rPr>
              <w:instrText xml:space="preserve"> SEQ CHAPTER \h \r 1</w:instrText>
            </w:r>
            <w:r w:rsidRPr="00E823AA">
              <w:rPr>
                <w:sz w:val="20"/>
                <w:szCs w:val="20"/>
              </w:rPr>
              <w:fldChar w:fldCharType="end"/>
            </w:r>
            <w:r w:rsidR="00E823AA" w:rsidRPr="00E823AA">
              <w:rPr>
                <w:b/>
                <w:bCs/>
                <w:sz w:val="20"/>
                <w:szCs w:val="20"/>
              </w:rPr>
              <w:t>Motion to extend the time to serve and file the applicant’s reply to October 18, 2012</w:t>
            </w:r>
          </w:p>
        </w:tc>
        <w:tc>
          <w:tcPr>
            <w:tcW w:w="1170" w:type="dxa"/>
          </w:tcPr>
          <w:p w:rsidR="00E823AA" w:rsidRPr="00E823AA" w:rsidRDefault="00E823AA" w:rsidP="0077555D">
            <w:pPr>
              <w:tabs>
                <w:tab w:val="left" w:pos="-1440"/>
                <w:tab w:val="left" w:pos="-720"/>
              </w:tabs>
              <w:jc w:val="both"/>
              <w:rPr>
                <w:sz w:val="20"/>
                <w:szCs w:val="20"/>
              </w:rPr>
            </w:pPr>
          </w:p>
          <w:p w:rsidR="00E823AA" w:rsidRPr="00E823AA" w:rsidRDefault="00E823AA" w:rsidP="0077555D">
            <w:pPr>
              <w:tabs>
                <w:tab w:val="left" w:pos="-1440"/>
                <w:tab w:val="left" w:pos="-720"/>
              </w:tabs>
              <w:jc w:val="both"/>
              <w:rPr>
                <w:sz w:val="20"/>
                <w:szCs w:val="20"/>
              </w:rPr>
            </w:pPr>
          </w:p>
          <w:p w:rsidR="00E823AA" w:rsidRPr="00E823AA" w:rsidRDefault="00E823AA" w:rsidP="0077555D">
            <w:pPr>
              <w:tabs>
                <w:tab w:val="left" w:pos="-1440"/>
                <w:tab w:val="left" w:pos="-720"/>
              </w:tabs>
              <w:jc w:val="both"/>
              <w:rPr>
                <w:sz w:val="20"/>
                <w:szCs w:val="20"/>
              </w:rPr>
            </w:pPr>
          </w:p>
          <w:p w:rsidR="00E823AA" w:rsidRPr="00E823AA" w:rsidRDefault="00E823AA" w:rsidP="0077555D">
            <w:pPr>
              <w:tabs>
                <w:tab w:val="left" w:pos="-1440"/>
                <w:tab w:val="left" w:pos="-720"/>
              </w:tabs>
              <w:jc w:val="both"/>
              <w:rPr>
                <w:sz w:val="20"/>
                <w:szCs w:val="20"/>
              </w:rPr>
            </w:pPr>
          </w:p>
        </w:tc>
        <w:tc>
          <w:tcPr>
            <w:tcW w:w="4327" w:type="dxa"/>
          </w:tcPr>
          <w:p w:rsidR="00E823AA" w:rsidRPr="00E823AA" w:rsidRDefault="00BF3B03" w:rsidP="0077555D">
            <w:pPr>
              <w:tabs>
                <w:tab w:val="left" w:pos="-1440"/>
                <w:tab w:val="left" w:pos="-720"/>
              </w:tabs>
              <w:jc w:val="both"/>
              <w:rPr>
                <w:sz w:val="20"/>
                <w:szCs w:val="20"/>
                <w:lang w:val="fr-CA"/>
              </w:rPr>
            </w:pPr>
            <w:r w:rsidRPr="00E823AA">
              <w:rPr>
                <w:sz w:val="20"/>
                <w:szCs w:val="20"/>
              </w:rPr>
              <w:fldChar w:fldCharType="begin"/>
            </w:r>
            <w:r w:rsidR="00E823AA" w:rsidRPr="00E823AA">
              <w:rPr>
                <w:sz w:val="20"/>
                <w:szCs w:val="20"/>
                <w:lang w:val="fr-CA"/>
              </w:rPr>
              <w:instrText xml:space="preserve"> SEQ CHAPTER \h \r 1</w:instrText>
            </w:r>
            <w:r w:rsidRPr="00E823AA">
              <w:rPr>
                <w:sz w:val="20"/>
                <w:szCs w:val="20"/>
              </w:rPr>
              <w:fldChar w:fldCharType="end"/>
            </w:r>
            <w:r w:rsidRPr="00E823AA">
              <w:rPr>
                <w:sz w:val="20"/>
                <w:szCs w:val="20"/>
              </w:rPr>
              <w:fldChar w:fldCharType="begin"/>
            </w:r>
            <w:r w:rsidR="00E823AA" w:rsidRPr="00E823AA">
              <w:rPr>
                <w:sz w:val="20"/>
                <w:szCs w:val="20"/>
                <w:lang w:val="fr-CA"/>
              </w:rPr>
              <w:instrText xml:space="preserve"> SEQ CHAPTER \h \r 1</w:instrText>
            </w:r>
            <w:r w:rsidRPr="00E823AA">
              <w:rPr>
                <w:sz w:val="20"/>
                <w:szCs w:val="20"/>
              </w:rPr>
              <w:fldChar w:fldCharType="end"/>
            </w:r>
            <w:r w:rsidR="00E823AA" w:rsidRPr="00E823AA">
              <w:rPr>
                <w:b/>
                <w:bCs/>
                <w:sz w:val="20"/>
                <w:szCs w:val="20"/>
                <w:lang w:val="fr-CA"/>
              </w:rPr>
              <w:t>Requête en prorogation du délai de signification et de dépôt de la réplique de la demanderesse jusqu’au 18 octobre 2012</w:t>
            </w:r>
            <w:r w:rsidR="00E823AA" w:rsidRPr="00E823AA">
              <w:rPr>
                <w:sz w:val="20"/>
                <w:szCs w:val="20"/>
                <w:lang w:val="fr-CA"/>
              </w:rPr>
              <w:t xml:space="preserve"> </w:t>
            </w:r>
            <w:r w:rsidRPr="00E823AA">
              <w:rPr>
                <w:sz w:val="20"/>
                <w:szCs w:val="20"/>
              </w:rPr>
              <w:fldChar w:fldCharType="begin"/>
            </w:r>
            <w:r w:rsidR="00E823AA" w:rsidRPr="00E823AA">
              <w:rPr>
                <w:sz w:val="20"/>
                <w:szCs w:val="20"/>
                <w:lang w:val="fr-CA"/>
              </w:rPr>
              <w:instrText xml:space="preserve"> SEQ CHAPTER \h \r 1</w:instrText>
            </w:r>
            <w:r w:rsidRPr="00E823AA">
              <w:rPr>
                <w:sz w:val="20"/>
                <w:szCs w:val="20"/>
              </w:rPr>
              <w:fldChar w:fldCharType="end"/>
            </w:r>
            <w:r w:rsidRPr="00E823AA">
              <w:rPr>
                <w:sz w:val="20"/>
                <w:szCs w:val="20"/>
              </w:rPr>
              <w:fldChar w:fldCharType="begin"/>
            </w:r>
            <w:r w:rsidR="00E823AA" w:rsidRPr="00E823AA">
              <w:rPr>
                <w:sz w:val="20"/>
                <w:szCs w:val="20"/>
                <w:lang w:val="fr-CA"/>
              </w:rPr>
              <w:instrText xml:space="preserve"> SEQ CHAPTER \h \r 1</w:instrText>
            </w:r>
            <w:r w:rsidRPr="00E823AA">
              <w:rPr>
                <w:sz w:val="20"/>
                <w:szCs w:val="20"/>
              </w:rPr>
              <w:fldChar w:fldCharType="end"/>
            </w:r>
          </w:p>
        </w:tc>
      </w:tr>
      <w:tr w:rsidR="00E823AA" w:rsidRPr="00E823AA" w:rsidTr="0077555D">
        <w:tc>
          <w:tcPr>
            <w:tcW w:w="4338" w:type="dxa"/>
          </w:tcPr>
          <w:p w:rsidR="00E823AA" w:rsidRPr="00E823AA" w:rsidRDefault="00E823AA" w:rsidP="0077555D">
            <w:pPr>
              <w:tabs>
                <w:tab w:val="left" w:pos="-1440"/>
                <w:tab w:val="left" w:pos="-720"/>
              </w:tabs>
              <w:jc w:val="both"/>
              <w:rPr>
                <w:sz w:val="20"/>
                <w:szCs w:val="20"/>
              </w:rPr>
            </w:pPr>
            <w:r w:rsidRPr="00E823AA">
              <w:rPr>
                <w:sz w:val="20"/>
                <w:szCs w:val="20"/>
              </w:rPr>
              <w:t>Her Majesty the Queen</w:t>
            </w:r>
          </w:p>
          <w:p w:rsidR="00E823AA" w:rsidRPr="00E823AA" w:rsidRDefault="00E823AA" w:rsidP="0077555D">
            <w:pPr>
              <w:tabs>
                <w:tab w:val="left" w:pos="-1440"/>
                <w:tab w:val="left" w:pos="-720"/>
              </w:tabs>
              <w:jc w:val="both"/>
              <w:rPr>
                <w:sz w:val="20"/>
                <w:szCs w:val="20"/>
              </w:rPr>
            </w:pPr>
          </w:p>
          <w:p w:rsidR="00E823AA" w:rsidRPr="00E823AA" w:rsidRDefault="00E823AA" w:rsidP="0077555D">
            <w:pPr>
              <w:tabs>
                <w:tab w:val="left" w:pos="-1440"/>
                <w:tab w:val="left" w:pos="-720"/>
              </w:tabs>
              <w:jc w:val="both"/>
              <w:rPr>
                <w:sz w:val="20"/>
                <w:szCs w:val="20"/>
              </w:rPr>
            </w:pPr>
            <w:r w:rsidRPr="00E823AA">
              <w:rPr>
                <w:sz w:val="20"/>
                <w:szCs w:val="20"/>
              </w:rPr>
              <w:tab/>
              <w:t>v. (34953)</w:t>
            </w:r>
          </w:p>
          <w:p w:rsidR="00E823AA" w:rsidRPr="00E823AA" w:rsidRDefault="00E823AA" w:rsidP="0077555D">
            <w:pPr>
              <w:tabs>
                <w:tab w:val="left" w:pos="-1440"/>
                <w:tab w:val="left" w:pos="-720"/>
              </w:tabs>
              <w:jc w:val="both"/>
              <w:rPr>
                <w:sz w:val="20"/>
                <w:szCs w:val="20"/>
              </w:rPr>
            </w:pPr>
          </w:p>
          <w:p w:rsidR="00E823AA" w:rsidRPr="00E823AA" w:rsidRDefault="00E823AA" w:rsidP="0077555D">
            <w:pPr>
              <w:tabs>
                <w:tab w:val="left" w:pos="-1440"/>
                <w:tab w:val="left" w:pos="-720"/>
              </w:tabs>
              <w:jc w:val="both"/>
              <w:rPr>
                <w:sz w:val="20"/>
                <w:szCs w:val="20"/>
                <w:lang w:val="fr-CA"/>
              </w:rPr>
            </w:pPr>
            <w:r w:rsidRPr="00E823AA">
              <w:rPr>
                <w:sz w:val="20"/>
                <w:szCs w:val="20"/>
                <w:lang w:val="fr-CA"/>
              </w:rPr>
              <w:t>Mackenzie McDonald (Crim.) (Ont.)</w:t>
            </w:r>
          </w:p>
        </w:tc>
        <w:tc>
          <w:tcPr>
            <w:tcW w:w="1170" w:type="dxa"/>
          </w:tcPr>
          <w:p w:rsidR="00E823AA" w:rsidRPr="00E823AA" w:rsidRDefault="00E823AA" w:rsidP="0077555D">
            <w:pPr>
              <w:tabs>
                <w:tab w:val="left" w:pos="-1440"/>
                <w:tab w:val="left" w:pos="-720"/>
              </w:tabs>
              <w:jc w:val="both"/>
              <w:rPr>
                <w:sz w:val="20"/>
                <w:szCs w:val="20"/>
                <w:lang w:val="fr-CA"/>
              </w:rPr>
            </w:pPr>
          </w:p>
        </w:tc>
        <w:tc>
          <w:tcPr>
            <w:tcW w:w="4327" w:type="dxa"/>
          </w:tcPr>
          <w:p w:rsidR="00E823AA" w:rsidRPr="00E823AA" w:rsidRDefault="00E823AA" w:rsidP="0077555D">
            <w:pPr>
              <w:tabs>
                <w:tab w:val="left" w:pos="-1440"/>
                <w:tab w:val="left" w:pos="-720"/>
              </w:tabs>
              <w:jc w:val="both"/>
              <w:rPr>
                <w:sz w:val="20"/>
                <w:szCs w:val="20"/>
                <w:lang w:val="fr-CA"/>
              </w:rPr>
            </w:pPr>
          </w:p>
        </w:tc>
      </w:tr>
    </w:tbl>
    <w:p w:rsidR="00E823AA" w:rsidRPr="00E823AA" w:rsidRDefault="00E823AA" w:rsidP="00E823AA">
      <w:pPr>
        <w:tabs>
          <w:tab w:val="left" w:pos="-1440"/>
          <w:tab w:val="left" w:pos="-720"/>
        </w:tabs>
        <w:jc w:val="both"/>
        <w:rPr>
          <w:sz w:val="20"/>
          <w:szCs w:val="20"/>
          <w:lang w:val="fr-CA"/>
        </w:rPr>
      </w:pPr>
    </w:p>
    <w:p w:rsidR="00E823AA" w:rsidRPr="00E823AA" w:rsidRDefault="00E823AA" w:rsidP="00E823AA">
      <w:pPr>
        <w:tabs>
          <w:tab w:val="left" w:pos="-1440"/>
          <w:tab w:val="left" w:pos="-720"/>
        </w:tabs>
        <w:jc w:val="both"/>
        <w:rPr>
          <w:b/>
          <w:sz w:val="20"/>
          <w:szCs w:val="20"/>
          <w:lang w:val="fr-CA"/>
        </w:rPr>
      </w:pPr>
      <w:r w:rsidRPr="00E823AA">
        <w:rPr>
          <w:b/>
          <w:sz w:val="20"/>
          <w:szCs w:val="20"/>
          <w:lang w:val="fr-CA"/>
        </w:rPr>
        <w:t>GRANTED / ACCORDÉE</w:t>
      </w:r>
    </w:p>
    <w:p w:rsidR="00E823AA" w:rsidRPr="00E823AA" w:rsidRDefault="00E823AA" w:rsidP="00E823AA">
      <w:pPr>
        <w:tabs>
          <w:tab w:val="left" w:pos="-1440"/>
          <w:tab w:val="left" w:pos="-720"/>
        </w:tabs>
        <w:jc w:val="both"/>
        <w:rPr>
          <w:sz w:val="20"/>
          <w:szCs w:val="20"/>
          <w:lang w:val="fr-CA"/>
        </w:rPr>
      </w:pPr>
    </w:p>
    <w:p w:rsidR="00E823AA" w:rsidRPr="00E823AA" w:rsidRDefault="00BF3B03" w:rsidP="00E823AA">
      <w:pPr>
        <w:tabs>
          <w:tab w:val="left" w:pos="-1440"/>
          <w:tab w:val="left" w:pos="-720"/>
        </w:tabs>
        <w:jc w:val="both"/>
        <w:rPr>
          <w:sz w:val="20"/>
          <w:szCs w:val="20"/>
          <w:lang w:val="fr-CA"/>
        </w:rPr>
      </w:pPr>
      <w:r w:rsidRPr="00BF3B03">
        <w:rPr>
          <w:sz w:val="20"/>
          <w:szCs w:val="20"/>
          <w:lang w:val="fr-CA"/>
        </w:rPr>
        <w:pict>
          <v:rect id="_x0000_i1088" style="width:2in;height:1pt" o:hrpct="0" o:hralign="center" o:hrstd="t" o:hrnoshade="t" o:hr="t" fillcolor="black [3213]" stroked="f"/>
        </w:pict>
      </w:r>
    </w:p>
    <w:p w:rsidR="00E823AA" w:rsidRPr="00E823AA" w:rsidRDefault="00E823AA" w:rsidP="00E823AA">
      <w:pPr>
        <w:tabs>
          <w:tab w:val="left" w:pos="-1440"/>
          <w:tab w:val="left" w:pos="-720"/>
        </w:tabs>
        <w:jc w:val="both"/>
        <w:rPr>
          <w:sz w:val="20"/>
          <w:szCs w:val="20"/>
          <w:lang w:val="fr-CA"/>
        </w:rPr>
      </w:pPr>
    </w:p>
    <w:p w:rsidR="00E823AA" w:rsidRPr="00E823AA" w:rsidRDefault="00E823AA" w:rsidP="00E823AA">
      <w:pPr>
        <w:tabs>
          <w:tab w:val="left" w:pos="-1440"/>
          <w:tab w:val="left" w:pos="-720"/>
        </w:tabs>
        <w:jc w:val="both"/>
        <w:rPr>
          <w:sz w:val="20"/>
          <w:szCs w:val="20"/>
          <w:lang w:val="fr-CA"/>
        </w:rPr>
      </w:pPr>
      <w:r w:rsidRPr="00E823AA">
        <w:rPr>
          <w:sz w:val="20"/>
          <w:szCs w:val="20"/>
          <w:lang w:val="fr-CA"/>
        </w:rPr>
        <w:t>31.10.2012</w:t>
      </w:r>
    </w:p>
    <w:p w:rsidR="00E823AA" w:rsidRPr="00E823AA" w:rsidRDefault="00E823AA" w:rsidP="00E823AA">
      <w:pPr>
        <w:tabs>
          <w:tab w:val="left" w:pos="-1440"/>
          <w:tab w:val="left" w:pos="-720"/>
        </w:tabs>
        <w:jc w:val="both"/>
        <w:rPr>
          <w:sz w:val="20"/>
          <w:szCs w:val="20"/>
          <w:lang w:val="fr-CA"/>
        </w:rPr>
      </w:pPr>
    </w:p>
    <w:p w:rsidR="00E823AA" w:rsidRPr="00E823AA" w:rsidRDefault="00E823AA" w:rsidP="00E823AA">
      <w:pPr>
        <w:tabs>
          <w:tab w:val="left" w:pos="-1440"/>
          <w:tab w:val="left" w:pos="-720"/>
        </w:tabs>
        <w:jc w:val="both"/>
        <w:rPr>
          <w:sz w:val="20"/>
          <w:szCs w:val="20"/>
          <w:lang w:val="fr-CA"/>
        </w:rPr>
      </w:pPr>
      <w:r w:rsidRPr="00E823AA">
        <w:rPr>
          <w:sz w:val="20"/>
          <w:szCs w:val="20"/>
          <w:lang w:val="fr-CA"/>
        </w:rPr>
        <w:t>Before / Devant :   THE REGISTRAR / LE REGISTRAIRE</w:t>
      </w:r>
    </w:p>
    <w:p w:rsidR="00E823AA" w:rsidRPr="00E823AA" w:rsidRDefault="00E823AA" w:rsidP="00E823AA">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E823AA" w:rsidRPr="00DC2D1F" w:rsidTr="0077555D">
        <w:tc>
          <w:tcPr>
            <w:tcW w:w="4338" w:type="dxa"/>
          </w:tcPr>
          <w:p w:rsidR="00E823AA" w:rsidRPr="00E823AA" w:rsidRDefault="00BF3B03" w:rsidP="0077555D">
            <w:pPr>
              <w:tabs>
                <w:tab w:val="left" w:pos="-1440"/>
                <w:tab w:val="left" w:pos="-720"/>
              </w:tabs>
              <w:jc w:val="both"/>
              <w:rPr>
                <w:b/>
                <w:sz w:val="20"/>
                <w:szCs w:val="20"/>
              </w:rPr>
            </w:pPr>
            <w:r w:rsidRPr="00E823AA">
              <w:rPr>
                <w:sz w:val="20"/>
                <w:szCs w:val="20"/>
              </w:rPr>
              <w:fldChar w:fldCharType="begin"/>
            </w:r>
            <w:r w:rsidR="00E823AA" w:rsidRPr="00E823AA">
              <w:rPr>
                <w:sz w:val="20"/>
                <w:szCs w:val="20"/>
              </w:rPr>
              <w:instrText xml:space="preserve"> SEQ CHAPTER \h \r 1</w:instrText>
            </w:r>
            <w:r w:rsidRPr="00E823AA">
              <w:rPr>
                <w:sz w:val="20"/>
                <w:szCs w:val="20"/>
              </w:rPr>
              <w:fldChar w:fldCharType="end"/>
            </w:r>
            <w:r w:rsidRPr="00E823AA">
              <w:rPr>
                <w:sz w:val="20"/>
                <w:szCs w:val="20"/>
              </w:rPr>
              <w:fldChar w:fldCharType="begin"/>
            </w:r>
            <w:r w:rsidR="00E823AA" w:rsidRPr="00E823AA">
              <w:rPr>
                <w:sz w:val="20"/>
                <w:szCs w:val="20"/>
              </w:rPr>
              <w:instrText xml:space="preserve"> SEQ CHAPTER \h \r 1</w:instrText>
            </w:r>
            <w:r w:rsidRPr="00E823AA">
              <w:rPr>
                <w:sz w:val="20"/>
                <w:szCs w:val="20"/>
              </w:rPr>
              <w:fldChar w:fldCharType="end"/>
            </w:r>
            <w:r w:rsidR="00E823AA" w:rsidRPr="00E823AA">
              <w:rPr>
                <w:b/>
                <w:bCs/>
                <w:sz w:val="20"/>
                <w:szCs w:val="20"/>
              </w:rPr>
              <w:t>Motion to extend the time to file the applicant’s reply</w:t>
            </w:r>
          </w:p>
        </w:tc>
        <w:tc>
          <w:tcPr>
            <w:tcW w:w="1170" w:type="dxa"/>
          </w:tcPr>
          <w:p w:rsidR="00E823AA" w:rsidRPr="00E823AA" w:rsidRDefault="00E823AA" w:rsidP="0077555D">
            <w:pPr>
              <w:tabs>
                <w:tab w:val="left" w:pos="-1440"/>
                <w:tab w:val="left" w:pos="-720"/>
              </w:tabs>
              <w:jc w:val="both"/>
              <w:rPr>
                <w:sz w:val="20"/>
                <w:szCs w:val="20"/>
              </w:rPr>
            </w:pPr>
          </w:p>
          <w:p w:rsidR="00E823AA" w:rsidRPr="00E823AA" w:rsidRDefault="00E823AA" w:rsidP="0077555D">
            <w:pPr>
              <w:tabs>
                <w:tab w:val="left" w:pos="-1440"/>
                <w:tab w:val="left" w:pos="-720"/>
              </w:tabs>
              <w:jc w:val="both"/>
              <w:rPr>
                <w:sz w:val="20"/>
                <w:szCs w:val="20"/>
              </w:rPr>
            </w:pPr>
          </w:p>
          <w:p w:rsidR="00E823AA" w:rsidRPr="00E823AA" w:rsidRDefault="00E823AA" w:rsidP="0077555D">
            <w:pPr>
              <w:tabs>
                <w:tab w:val="left" w:pos="-1440"/>
                <w:tab w:val="left" w:pos="-720"/>
              </w:tabs>
              <w:jc w:val="both"/>
              <w:rPr>
                <w:sz w:val="20"/>
                <w:szCs w:val="20"/>
              </w:rPr>
            </w:pPr>
          </w:p>
        </w:tc>
        <w:tc>
          <w:tcPr>
            <w:tcW w:w="4327" w:type="dxa"/>
          </w:tcPr>
          <w:p w:rsidR="00E823AA" w:rsidRPr="00E823AA" w:rsidRDefault="00BF3B03" w:rsidP="0077555D">
            <w:pPr>
              <w:tabs>
                <w:tab w:val="left" w:pos="-1440"/>
                <w:tab w:val="left" w:pos="-720"/>
              </w:tabs>
              <w:jc w:val="both"/>
              <w:rPr>
                <w:sz w:val="20"/>
                <w:szCs w:val="20"/>
                <w:lang w:val="fr-CA"/>
              </w:rPr>
            </w:pPr>
            <w:r w:rsidRPr="00E823AA">
              <w:rPr>
                <w:sz w:val="20"/>
                <w:szCs w:val="20"/>
              </w:rPr>
              <w:fldChar w:fldCharType="begin"/>
            </w:r>
            <w:r w:rsidR="00E823AA" w:rsidRPr="00E823AA">
              <w:rPr>
                <w:sz w:val="20"/>
                <w:szCs w:val="20"/>
                <w:lang w:val="fr-CA"/>
              </w:rPr>
              <w:instrText xml:space="preserve"> SEQ CHAPTER \h \r 1</w:instrText>
            </w:r>
            <w:r w:rsidRPr="00E823AA">
              <w:rPr>
                <w:sz w:val="20"/>
                <w:szCs w:val="20"/>
              </w:rPr>
              <w:fldChar w:fldCharType="end"/>
            </w:r>
            <w:r w:rsidRPr="00E823AA">
              <w:rPr>
                <w:sz w:val="20"/>
                <w:szCs w:val="20"/>
              </w:rPr>
              <w:fldChar w:fldCharType="begin"/>
            </w:r>
            <w:r w:rsidR="00E823AA" w:rsidRPr="00E823AA">
              <w:rPr>
                <w:sz w:val="20"/>
                <w:szCs w:val="20"/>
                <w:lang w:val="fr-CA"/>
              </w:rPr>
              <w:instrText xml:space="preserve"> SEQ CHAPTER \h \r 1</w:instrText>
            </w:r>
            <w:r w:rsidRPr="00E823AA">
              <w:rPr>
                <w:sz w:val="20"/>
                <w:szCs w:val="20"/>
              </w:rPr>
              <w:fldChar w:fldCharType="end"/>
            </w:r>
            <w:r w:rsidR="00E823AA" w:rsidRPr="00E823AA">
              <w:rPr>
                <w:b/>
                <w:bCs/>
                <w:sz w:val="20"/>
                <w:szCs w:val="20"/>
                <w:lang w:val="fr-CA"/>
              </w:rPr>
              <w:t>Requête en prorogation du délai imparti au demandeur pour déposer une réplique</w:t>
            </w:r>
            <w:r w:rsidRPr="00E823AA">
              <w:rPr>
                <w:sz w:val="20"/>
                <w:szCs w:val="20"/>
              </w:rPr>
              <w:fldChar w:fldCharType="begin"/>
            </w:r>
            <w:r w:rsidR="00E823AA" w:rsidRPr="00E823AA">
              <w:rPr>
                <w:sz w:val="20"/>
                <w:szCs w:val="20"/>
                <w:lang w:val="fr-CA"/>
              </w:rPr>
              <w:instrText xml:space="preserve"> SEQ CHAPTER \h \r 1</w:instrText>
            </w:r>
            <w:r w:rsidRPr="00E823AA">
              <w:rPr>
                <w:sz w:val="20"/>
                <w:szCs w:val="20"/>
              </w:rPr>
              <w:fldChar w:fldCharType="end"/>
            </w:r>
            <w:r w:rsidRPr="00E823AA">
              <w:rPr>
                <w:sz w:val="20"/>
                <w:szCs w:val="20"/>
              </w:rPr>
              <w:fldChar w:fldCharType="begin"/>
            </w:r>
            <w:r w:rsidR="00E823AA" w:rsidRPr="00E823AA">
              <w:rPr>
                <w:sz w:val="20"/>
                <w:szCs w:val="20"/>
                <w:lang w:val="fr-CA"/>
              </w:rPr>
              <w:instrText xml:space="preserve"> SEQ CHAPTER \h \r 1</w:instrText>
            </w:r>
            <w:r w:rsidRPr="00E823AA">
              <w:rPr>
                <w:sz w:val="20"/>
                <w:szCs w:val="20"/>
              </w:rPr>
              <w:fldChar w:fldCharType="end"/>
            </w:r>
          </w:p>
        </w:tc>
      </w:tr>
      <w:tr w:rsidR="00E823AA" w:rsidRPr="00E823AA" w:rsidTr="0077555D">
        <w:tc>
          <w:tcPr>
            <w:tcW w:w="4338" w:type="dxa"/>
          </w:tcPr>
          <w:p w:rsidR="00E823AA" w:rsidRPr="00E823AA" w:rsidRDefault="00E823AA" w:rsidP="0077555D">
            <w:pPr>
              <w:tabs>
                <w:tab w:val="left" w:pos="-1440"/>
                <w:tab w:val="left" w:pos="-720"/>
              </w:tabs>
              <w:jc w:val="both"/>
              <w:rPr>
                <w:sz w:val="20"/>
                <w:szCs w:val="20"/>
              </w:rPr>
            </w:pPr>
            <w:r w:rsidRPr="00E823AA">
              <w:rPr>
                <w:sz w:val="20"/>
                <w:szCs w:val="20"/>
              </w:rPr>
              <w:t>Emrah Bulatci</w:t>
            </w:r>
          </w:p>
          <w:p w:rsidR="00E823AA" w:rsidRPr="00E823AA" w:rsidRDefault="00E823AA" w:rsidP="0077555D">
            <w:pPr>
              <w:tabs>
                <w:tab w:val="left" w:pos="-1440"/>
                <w:tab w:val="left" w:pos="-720"/>
              </w:tabs>
              <w:jc w:val="both"/>
              <w:rPr>
                <w:sz w:val="20"/>
                <w:szCs w:val="20"/>
              </w:rPr>
            </w:pPr>
          </w:p>
          <w:p w:rsidR="00E823AA" w:rsidRPr="00E823AA" w:rsidRDefault="00E823AA" w:rsidP="0077555D">
            <w:pPr>
              <w:tabs>
                <w:tab w:val="left" w:pos="-1440"/>
                <w:tab w:val="left" w:pos="-720"/>
              </w:tabs>
              <w:jc w:val="both"/>
              <w:rPr>
                <w:sz w:val="20"/>
                <w:szCs w:val="20"/>
              </w:rPr>
            </w:pPr>
            <w:r w:rsidRPr="00E823AA">
              <w:rPr>
                <w:sz w:val="20"/>
                <w:szCs w:val="20"/>
              </w:rPr>
              <w:tab/>
              <w:t>v. (34910)</w:t>
            </w:r>
          </w:p>
          <w:p w:rsidR="00E823AA" w:rsidRPr="00E823AA" w:rsidRDefault="00E823AA" w:rsidP="0077555D">
            <w:pPr>
              <w:tabs>
                <w:tab w:val="left" w:pos="-1440"/>
                <w:tab w:val="left" w:pos="-720"/>
              </w:tabs>
              <w:jc w:val="both"/>
              <w:rPr>
                <w:sz w:val="20"/>
                <w:szCs w:val="20"/>
              </w:rPr>
            </w:pPr>
          </w:p>
          <w:p w:rsidR="00E823AA" w:rsidRPr="00E823AA" w:rsidRDefault="00E823AA" w:rsidP="0077555D">
            <w:pPr>
              <w:tabs>
                <w:tab w:val="left" w:pos="-1440"/>
                <w:tab w:val="left" w:pos="-720"/>
              </w:tabs>
              <w:jc w:val="both"/>
              <w:rPr>
                <w:sz w:val="20"/>
                <w:szCs w:val="20"/>
              </w:rPr>
            </w:pPr>
            <w:r w:rsidRPr="00E823AA">
              <w:rPr>
                <w:sz w:val="20"/>
                <w:szCs w:val="20"/>
              </w:rPr>
              <w:t>Her Majesty the Queen (Crim.) (N.W.T.)</w:t>
            </w:r>
          </w:p>
        </w:tc>
        <w:tc>
          <w:tcPr>
            <w:tcW w:w="1170" w:type="dxa"/>
          </w:tcPr>
          <w:p w:rsidR="00E823AA" w:rsidRPr="00E823AA" w:rsidRDefault="00E823AA" w:rsidP="0077555D">
            <w:pPr>
              <w:tabs>
                <w:tab w:val="left" w:pos="-1440"/>
                <w:tab w:val="left" w:pos="-720"/>
              </w:tabs>
              <w:jc w:val="both"/>
              <w:rPr>
                <w:sz w:val="20"/>
                <w:szCs w:val="20"/>
              </w:rPr>
            </w:pPr>
          </w:p>
        </w:tc>
        <w:tc>
          <w:tcPr>
            <w:tcW w:w="4327" w:type="dxa"/>
          </w:tcPr>
          <w:p w:rsidR="00E823AA" w:rsidRPr="00E823AA" w:rsidRDefault="00E823AA" w:rsidP="0077555D">
            <w:pPr>
              <w:tabs>
                <w:tab w:val="left" w:pos="-1440"/>
                <w:tab w:val="left" w:pos="-720"/>
              </w:tabs>
              <w:jc w:val="both"/>
              <w:rPr>
                <w:sz w:val="20"/>
                <w:szCs w:val="20"/>
              </w:rPr>
            </w:pPr>
          </w:p>
        </w:tc>
      </w:tr>
    </w:tbl>
    <w:p w:rsidR="00E823AA" w:rsidRPr="00E823AA" w:rsidRDefault="00E823AA" w:rsidP="00E823AA">
      <w:pPr>
        <w:tabs>
          <w:tab w:val="left" w:pos="-1440"/>
          <w:tab w:val="left" w:pos="-720"/>
        </w:tabs>
        <w:jc w:val="both"/>
        <w:rPr>
          <w:sz w:val="20"/>
          <w:szCs w:val="20"/>
        </w:rPr>
      </w:pPr>
    </w:p>
    <w:p w:rsidR="00E823AA" w:rsidRPr="00E823AA" w:rsidRDefault="00E823AA" w:rsidP="00E823AA">
      <w:pPr>
        <w:tabs>
          <w:tab w:val="left" w:pos="-1440"/>
          <w:tab w:val="left" w:pos="-720"/>
        </w:tabs>
        <w:jc w:val="both"/>
        <w:rPr>
          <w:b/>
          <w:sz w:val="20"/>
          <w:szCs w:val="20"/>
          <w:lang w:val="fr-CA"/>
        </w:rPr>
      </w:pPr>
      <w:r w:rsidRPr="00E823AA">
        <w:rPr>
          <w:b/>
          <w:sz w:val="20"/>
          <w:szCs w:val="20"/>
          <w:lang w:val="fr-CA"/>
        </w:rPr>
        <w:t>GRANTED / ACCORDÉE</w:t>
      </w:r>
    </w:p>
    <w:p w:rsidR="00E823AA" w:rsidRPr="00E823AA" w:rsidRDefault="00E823AA" w:rsidP="00E823AA">
      <w:pPr>
        <w:tabs>
          <w:tab w:val="left" w:pos="-1440"/>
          <w:tab w:val="left" w:pos="-720"/>
        </w:tabs>
        <w:jc w:val="both"/>
        <w:rPr>
          <w:sz w:val="20"/>
          <w:szCs w:val="20"/>
          <w:lang w:val="fr-CA"/>
        </w:rPr>
      </w:pPr>
    </w:p>
    <w:p w:rsidR="00E823AA" w:rsidRPr="00E823AA" w:rsidRDefault="00E823AA" w:rsidP="00E823AA">
      <w:pPr>
        <w:pStyle w:val="BodyText"/>
        <w:spacing w:after="0"/>
        <w:jc w:val="both"/>
        <w:rPr>
          <w:sz w:val="20"/>
          <w:szCs w:val="20"/>
          <w:lang w:val="en-US"/>
        </w:rPr>
      </w:pPr>
      <w:r w:rsidRPr="00E823AA">
        <w:rPr>
          <w:b/>
          <w:sz w:val="20"/>
          <w:szCs w:val="20"/>
          <w:lang w:val="en-US"/>
        </w:rPr>
        <w:t>UPON APPLICATION</w:t>
      </w:r>
      <w:r w:rsidRPr="00E823AA">
        <w:rPr>
          <w:sz w:val="20"/>
          <w:szCs w:val="20"/>
          <w:lang w:val="en-US"/>
        </w:rPr>
        <w:t xml:space="preserve"> by counsel on behalf of the applicant, for an order extending the time within which to file its reply to September 21, 2012.</w:t>
      </w:r>
    </w:p>
    <w:p w:rsidR="00E823AA" w:rsidRPr="00E823AA" w:rsidRDefault="00E823AA" w:rsidP="00E823AA">
      <w:pPr>
        <w:pStyle w:val="BodyText"/>
        <w:spacing w:after="0"/>
        <w:jc w:val="both"/>
        <w:rPr>
          <w:b/>
          <w:sz w:val="20"/>
          <w:szCs w:val="20"/>
          <w:lang w:val="en-US"/>
        </w:rPr>
      </w:pPr>
    </w:p>
    <w:p w:rsidR="00E823AA" w:rsidRPr="00E823AA" w:rsidRDefault="00E823AA" w:rsidP="00E823AA">
      <w:pPr>
        <w:pStyle w:val="BodyText"/>
        <w:spacing w:after="0"/>
        <w:jc w:val="both"/>
        <w:rPr>
          <w:sz w:val="20"/>
          <w:szCs w:val="20"/>
          <w:lang w:val="en-US"/>
        </w:rPr>
      </w:pPr>
      <w:r w:rsidRPr="00E823AA">
        <w:rPr>
          <w:b/>
          <w:sz w:val="20"/>
          <w:szCs w:val="20"/>
          <w:lang w:val="en-US"/>
        </w:rPr>
        <w:t>IT IS ORDERED</w:t>
      </w:r>
      <w:r w:rsidRPr="00E823AA">
        <w:rPr>
          <w:sz w:val="20"/>
          <w:szCs w:val="20"/>
          <w:lang w:val="en-US"/>
        </w:rPr>
        <w:t xml:space="preserve"> that the motion is granted.</w:t>
      </w:r>
    </w:p>
    <w:p w:rsidR="00E823AA" w:rsidRPr="00E823AA" w:rsidRDefault="00E823AA" w:rsidP="00E823AA">
      <w:pPr>
        <w:tabs>
          <w:tab w:val="left" w:pos="-1440"/>
          <w:tab w:val="left" w:pos="-720"/>
        </w:tabs>
        <w:jc w:val="both"/>
        <w:rPr>
          <w:sz w:val="20"/>
          <w:szCs w:val="20"/>
        </w:rPr>
      </w:pPr>
    </w:p>
    <w:p w:rsidR="00E823AA" w:rsidRPr="00E823AA" w:rsidRDefault="00E823AA" w:rsidP="00E823AA">
      <w:pPr>
        <w:tabs>
          <w:tab w:val="left" w:pos="-1440"/>
          <w:tab w:val="left" w:pos="-720"/>
        </w:tabs>
        <w:jc w:val="both"/>
        <w:rPr>
          <w:sz w:val="20"/>
          <w:szCs w:val="20"/>
        </w:rPr>
      </w:pPr>
    </w:p>
    <w:p w:rsidR="00E823AA" w:rsidRPr="00E823AA" w:rsidRDefault="00E823AA" w:rsidP="00E823AA">
      <w:pPr>
        <w:tabs>
          <w:tab w:val="left" w:pos="-1440"/>
          <w:tab w:val="left" w:pos="-720"/>
        </w:tabs>
        <w:jc w:val="both"/>
        <w:rPr>
          <w:sz w:val="20"/>
          <w:szCs w:val="20"/>
        </w:rPr>
      </w:pPr>
    </w:p>
    <w:p w:rsidR="00E823AA" w:rsidRPr="00E823AA" w:rsidRDefault="00E823AA" w:rsidP="00E823AA">
      <w:pPr>
        <w:spacing w:line="233" w:lineRule="auto"/>
        <w:jc w:val="both"/>
        <w:rPr>
          <w:rFonts w:cs="Times New Roman"/>
          <w:sz w:val="20"/>
          <w:szCs w:val="20"/>
          <w:lang w:val="fr-CA"/>
        </w:rPr>
      </w:pPr>
      <w:r w:rsidRPr="00E823AA">
        <w:rPr>
          <w:rFonts w:cs="Times New Roman"/>
          <w:b/>
          <w:sz w:val="20"/>
          <w:szCs w:val="20"/>
          <w:lang w:val="fr-CA"/>
        </w:rPr>
        <w:t>À LA SUITE DE LA DEMANDE</w:t>
      </w:r>
      <w:r w:rsidRPr="00E823AA">
        <w:rPr>
          <w:rFonts w:cs="Times New Roman"/>
          <w:sz w:val="20"/>
          <w:szCs w:val="20"/>
          <w:lang w:val="fr-CA"/>
        </w:rPr>
        <w:t xml:space="preserve"> présentée au nom du demandeur en prorogation du délai de dépôt de sa réplique jusqu’au 21 septembre 2012. </w:t>
      </w:r>
    </w:p>
    <w:p w:rsidR="00E823AA" w:rsidRPr="00E823AA" w:rsidRDefault="00E823AA" w:rsidP="00E823AA">
      <w:pPr>
        <w:spacing w:line="233" w:lineRule="auto"/>
        <w:jc w:val="both"/>
        <w:rPr>
          <w:rFonts w:cs="Times New Roman"/>
          <w:sz w:val="20"/>
          <w:szCs w:val="20"/>
          <w:lang w:val="fr-CA"/>
        </w:rPr>
      </w:pPr>
    </w:p>
    <w:p w:rsidR="00E823AA" w:rsidRPr="00E823AA" w:rsidRDefault="00E823AA" w:rsidP="00E823AA">
      <w:pPr>
        <w:spacing w:line="233" w:lineRule="auto"/>
        <w:jc w:val="both"/>
        <w:rPr>
          <w:rFonts w:cs="Times New Roman"/>
          <w:sz w:val="20"/>
          <w:szCs w:val="20"/>
          <w:lang w:val="fr-CA"/>
        </w:rPr>
      </w:pPr>
      <w:r w:rsidRPr="00E823AA">
        <w:rPr>
          <w:rFonts w:cs="Times New Roman"/>
          <w:b/>
          <w:sz w:val="20"/>
          <w:szCs w:val="20"/>
          <w:lang w:val="fr-CA"/>
        </w:rPr>
        <w:t>IL EST ORDONNÉ</w:t>
      </w:r>
      <w:r w:rsidRPr="00E823AA">
        <w:rPr>
          <w:rFonts w:cs="Times New Roman"/>
          <w:sz w:val="20"/>
          <w:szCs w:val="20"/>
          <w:lang w:val="fr-CA"/>
        </w:rPr>
        <w:t xml:space="preserve"> que la requête </w:t>
      </w:r>
      <w:proofErr w:type="gramStart"/>
      <w:r w:rsidRPr="00E823AA">
        <w:rPr>
          <w:rFonts w:cs="Times New Roman"/>
          <w:sz w:val="20"/>
          <w:szCs w:val="20"/>
          <w:lang w:val="fr-CA"/>
        </w:rPr>
        <w:t>est</w:t>
      </w:r>
      <w:proofErr w:type="gramEnd"/>
      <w:r w:rsidRPr="00E823AA">
        <w:rPr>
          <w:rFonts w:cs="Times New Roman"/>
          <w:sz w:val="20"/>
          <w:szCs w:val="20"/>
          <w:lang w:val="fr-CA"/>
        </w:rPr>
        <w:t xml:space="preserve"> accueillie.</w:t>
      </w:r>
    </w:p>
    <w:p w:rsidR="00E823AA" w:rsidRPr="00E823AA" w:rsidRDefault="00E823AA" w:rsidP="00E823AA">
      <w:pPr>
        <w:spacing w:line="233" w:lineRule="auto"/>
        <w:jc w:val="both"/>
        <w:rPr>
          <w:rFonts w:cs="Times New Roman"/>
          <w:sz w:val="20"/>
          <w:szCs w:val="20"/>
          <w:lang w:val="fr-CA"/>
        </w:rPr>
      </w:pPr>
    </w:p>
    <w:p w:rsidR="00E823AA" w:rsidRPr="00E823AA" w:rsidRDefault="00E823AA" w:rsidP="00E823AA">
      <w:pPr>
        <w:tabs>
          <w:tab w:val="left" w:pos="-1440"/>
          <w:tab w:val="left" w:pos="-720"/>
        </w:tabs>
        <w:jc w:val="both"/>
        <w:rPr>
          <w:sz w:val="20"/>
          <w:szCs w:val="20"/>
          <w:lang w:val="fr-CA"/>
        </w:rPr>
      </w:pPr>
    </w:p>
    <w:p w:rsidR="00E823AA" w:rsidRPr="00E823AA" w:rsidRDefault="00BF3B03" w:rsidP="00E823AA">
      <w:pPr>
        <w:tabs>
          <w:tab w:val="left" w:pos="-1440"/>
          <w:tab w:val="left" w:pos="-720"/>
        </w:tabs>
        <w:jc w:val="both"/>
        <w:rPr>
          <w:sz w:val="20"/>
          <w:szCs w:val="20"/>
          <w:lang w:val="fr-CA"/>
        </w:rPr>
      </w:pPr>
      <w:r w:rsidRPr="00BF3B03">
        <w:rPr>
          <w:sz w:val="20"/>
          <w:szCs w:val="20"/>
          <w:lang w:val="fr-CA"/>
        </w:rPr>
        <w:pict>
          <v:rect id="_x0000_i1089" style="width:2in;height:1pt" o:hrpct="0" o:hralign="center" o:hrstd="t" o:hrnoshade="t" o:hr="t" fillcolor="black [3213]" stroked="f"/>
        </w:pict>
      </w:r>
    </w:p>
    <w:p w:rsidR="00E823AA" w:rsidRPr="00E823AA" w:rsidRDefault="00E823AA" w:rsidP="00E823AA">
      <w:pPr>
        <w:tabs>
          <w:tab w:val="left" w:pos="-1440"/>
          <w:tab w:val="left" w:pos="-720"/>
        </w:tabs>
        <w:jc w:val="both"/>
        <w:rPr>
          <w:sz w:val="20"/>
          <w:szCs w:val="20"/>
          <w:lang w:val="fr-CA"/>
        </w:rPr>
      </w:pPr>
    </w:p>
    <w:p w:rsidR="00E823AA" w:rsidRPr="00E823AA" w:rsidRDefault="00E823AA" w:rsidP="00E823AA">
      <w:pPr>
        <w:rPr>
          <w:sz w:val="20"/>
          <w:szCs w:val="20"/>
          <w:lang w:val="fr-CA"/>
        </w:rPr>
      </w:pPr>
      <w:r w:rsidRPr="00E823AA">
        <w:rPr>
          <w:sz w:val="20"/>
          <w:szCs w:val="20"/>
          <w:lang w:val="fr-CA"/>
        </w:rPr>
        <w:br w:type="page"/>
      </w:r>
    </w:p>
    <w:p w:rsidR="00E823AA" w:rsidRPr="00E823AA" w:rsidRDefault="00E823AA" w:rsidP="00E823AA">
      <w:pPr>
        <w:tabs>
          <w:tab w:val="left" w:pos="-1440"/>
          <w:tab w:val="left" w:pos="-720"/>
        </w:tabs>
        <w:jc w:val="both"/>
        <w:rPr>
          <w:sz w:val="20"/>
          <w:szCs w:val="20"/>
          <w:lang w:val="fr-CA"/>
        </w:rPr>
      </w:pPr>
      <w:r w:rsidRPr="00E823AA">
        <w:rPr>
          <w:sz w:val="20"/>
          <w:szCs w:val="20"/>
          <w:lang w:val="fr-CA"/>
        </w:rPr>
        <w:lastRenderedPageBreak/>
        <w:t>02.11.2012</w:t>
      </w:r>
    </w:p>
    <w:p w:rsidR="00E823AA" w:rsidRPr="00E823AA" w:rsidRDefault="00E823AA" w:rsidP="00E823AA">
      <w:pPr>
        <w:tabs>
          <w:tab w:val="left" w:pos="-1440"/>
          <w:tab w:val="left" w:pos="-720"/>
        </w:tabs>
        <w:jc w:val="both"/>
        <w:rPr>
          <w:sz w:val="20"/>
          <w:szCs w:val="20"/>
          <w:lang w:val="fr-CA"/>
        </w:rPr>
      </w:pPr>
    </w:p>
    <w:p w:rsidR="00E823AA" w:rsidRPr="00E823AA" w:rsidRDefault="00E823AA" w:rsidP="00E823AA">
      <w:pPr>
        <w:tabs>
          <w:tab w:val="left" w:pos="-1440"/>
          <w:tab w:val="left" w:pos="-720"/>
        </w:tabs>
        <w:jc w:val="both"/>
        <w:rPr>
          <w:sz w:val="20"/>
          <w:szCs w:val="20"/>
          <w:lang w:val="fr-CA"/>
        </w:rPr>
      </w:pPr>
      <w:r w:rsidRPr="00E823AA">
        <w:rPr>
          <w:sz w:val="20"/>
          <w:szCs w:val="20"/>
          <w:lang w:val="fr-CA"/>
        </w:rPr>
        <w:t>Before / Devant :   LEBEL J. / LE JUGE LEBEL</w:t>
      </w:r>
    </w:p>
    <w:p w:rsidR="00E823AA" w:rsidRPr="00E823AA" w:rsidRDefault="00E823AA" w:rsidP="00E823AA">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E823AA" w:rsidRPr="00E823AA" w:rsidTr="0077555D">
        <w:tc>
          <w:tcPr>
            <w:tcW w:w="4338" w:type="dxa"/>
            <w:gridSpan w:val="2"/>
          </w:tcPr>
          <w:p w:rsidR="00E823AA" w:rsidRPr="00E823AA" w:rsidRDefault="00E823AA" w:rsidP="0077555D">
            <w:pPr>
              <w:rPr>
                <w:b/>
                <w:sz w:val="20"/>
                <w:szCs w:val="20"/>
              </w:rPr>
            </w:pPr>
            <w:r w:rsidRPr="00E823AA">
              <w:rPr>
                <w:b/>
                <w:sz w:val="20"/>
                <w:szCs w:val="20"/>
              </w:rPr>
              <w:t>Motion for leave to intervene</w:t>
            </w:r>
            <w:r w:rsidRPr="00E823AA">
              <w:rPr>
                <w:sz w:val="20"/>
                <w:szCs w:val="20"/>
              </w:rPr>
              <w:t xml:space="preserve"> </w:t>
            </w:r>
            <w:r w:rsidR="00BF3B03" w:rsidRPr="00E823AA">
              <w:rPr>
                <w:sz w:val="20"/>
                <w:szCs w:val="20"/>
              </w:rPr>
              <w:fldChar w:fldCharType="begin"/>
            </w:r>
            <w:r w:rsidRPr="00E823AA">
              <w:rPr>
                <w:sz w:val="20"/>
                <w:szCs w:val="20"/>
              </w:rPr>
              <w:instrText xml:space="preserve"> SEQ CHAPTER \h \r 1</w:instrText>
            </w:r>
            <w:r w:rsidR="00BF3B03" w:rsidRPr="00E823AA">
              <w:rPr>
                <w:sz w:val="20"/>
                <w:szCs w:val="20"/>
              </w:rPr>
              <w:fldChar w:fldCharType="end"/>
            </w:r>
          </w:p>
        </w:tc>
        <w:tc>
          <w:tcPr>
            <w:tcW w:w="1170" w:type="dxa"/>
          </w:tcPr>
          <w:p w:rsidR="00E823AA" w:rsidRPr="00E823AA" w:rsidRDefault="00E823AA" w:rsidP="0077555D">
            <w:pPr>
              <w:rPr>
                <w:sz w:val="20"/>
                <w:szCs w:val="20"/>
              </w:rPr>
            </w:pPr>
          </w:p>
          <w:p w:rsidR="00E823AA" w:rsidRPr="00E823AA" w:rsidRDefault="00E823AA" w:rsidP="0077555D">
            <w:pPr>
              <w:rPr>
                <w:sz w:val="20"/>
                <w:szCs w:val="20"/>
              </w:rPr>
            </w:pPr>
          </w:p>
        </w:tc>
        <w:tc>
          <w:tcPr>
            <w:tcW w:w="4327" w:type="dxa"/>
          </w:tcPr>
          <w:p w:rsidR="00E823AA" w:rsidRPr="00E823AA" w:rsidRDefault="00E823AA" w:rsidP="0077555D">
            <w:pPr>
              <w:rPr>
                <w:b/>
                <w:sz w:val="20"/>
                <w:szCs w:val="20"/>
              </w:rPr>
            </w:pPr>
            <w:r w:rsidRPr="00E823AA">
              <w:rPr>
                <w:b/>
                <w:bCs/>
                <w:sz w:val="20"/>
                <w:szCs w:val="20"/>
                <w:lang w:val="fr-CA"/>
              </w:rPr>
              <w:t>Requête en autorisation d’intervenir</w:t>
            </w:r>
            <w:r w:rsidRPr="00E823AA">
              <w:rPr>
                <w:sz w:val="20"/>
                <w:szCs w:val="20"/>
              </w:rPr>
              <w:t xml:space="preserve"> </w:t>
            </w:r>
            <w:r w:rsidR="00BF3B03" w:rsidRPr="00E823AA">
              <w:rPr>
                <w:sz w:val="20"/>
                <w:szCs w:val="20"/>
              </w:rPr>
              <w:fldChar w:fldCharType="begin"/>
            </w:r>
            <w:r w:rsidRPr="00E823AA">
              <w:rPr>
                <w:sz w:val="20"/>
                <w:szCs w:val="20"/>
              </w:rPr>
              <w:instrText xml:space="preserve"> SEQ CHAPTER \h \r 1</w:instrText>
            </w:r>
            <w:r w:rsidR="00BF3B03" w:rsidRPr="00E823AA">
              <w:rPr>
                <w:sz w:val="20"/>
                <w:szCs w:val="20"/>
              </w:rPr>
              <w:fldChar w:fldCharType="end"/>
            </w:r>
          </w:p>
        </w:tc>
      </w:tr>
      <w:tr w:rsidR="00E823AA" w:rsidRPr="00E823AA" w:rsidTr="0077555D">
        <w:tc>
          <w:tcPr>
            <w:tcW w:w="1368" w:type="dxa"/>
          </w:tcPr>
          <w:p w:rsidR="00E823AA" w:rsidRPr="00E823AA" w:rsidRDefault="00E823AA" w:rsidP="0077555D">
            <w:pPr>
              <w:rPr>
                <w:sz w:val="20"/>
                <w:szCs w:val="20"/>
              </w:rPr>
            </w:pPr>
            <w:r w:rsidRPr="00E823AA">
              <w:rPr>
                <w:sz w:val="20"/>
                <w:szCs w:val="20"/>
              </w:rPr>
              <w:t>BY / PAR</w:t>
            </w:r>
          </w:p>
        </w:tc>
        <w:tc>
          <w:tcPr>
            <w:tcW w:w="2970" w:type="dxa"/>
          </w:tcPr>
          <w:p w:rsidR="00E823AA" w:rsidRPr="00E823AA" w:rsidRDefault="00E823AA" w:rsidP="0077555D">
            <w:pPr>
              <w:rPr>
                <w:sz w:val="20"/>
                <w:szCs w:val="20"/>
              </w:rPr>
            </w:pPr>
            <w:r w:rsidRPr="00E823AA">
              <w:rPr>
                <w:sz w:val="20"/>
                <w:szCs w:val="20"/>
              </w:rPr>
              <w:t>Workers' Compensation Board of British Columbia</w:t>
            </w:r>
          </w:p>
        </w:tc>
        <w:tc>
          <w:tcPr>
            <w:tcW w:w="1170" w:type="dxa"/>
          </w:tcPr>
          <w:p w:rsidR="00E823AA" w:rsidRPr="00E823AA" w:rsidRDefault="00E823AA" w:rsidP="0077555D">
            <w:pPr>
              <w:rPr>
                <w:sz w:val="20"/>
                <w:szCs w:val="20"/>
              </w:rPr>
            </w:pPr>
          </w:p>
        </w:tc>
        <w:tc>
          <w:tcPr>
            <w:tcW w:w="4327" w:type="dxa"/>
          </w:tcPr>
          <w:p w:rsidR="00E823AA" w:rsidRPr="00E823AA" w:rsidRDefault="00E823AA" w:rsidP="0077555D">
            <w:pPr>
              <w:rPr>
                <w:sz w:val="20"/>
                <w:szCs w:val="20"/>
              </w:rPr>
            </w:pPr>
          </w:p>
        </w:tc>
      </w:tr>
      <w:tr w:rsidR="00E823AA" w:rsidRPr="00E823AA" w:rsidTr="0077555D">
        <w:tc>
          <w:tcPr>
            <w:tcW w:w="1368" w:type="dxa"/>
          </w:tcPr>
          <w:p w:rsidR="00E823AA" w:rsidRPr="00E823AA" w:rsidRDefault="00E823AA" w:rsidP="0077555D">
            <w:pPr>
              <w:rPr>
                <w:sz w:val="20"/>
                <w:szCs w:val="20"/>
              </w:rPr>
            </w:pPr>
          </w:p>
        </w:tc>
        <w:tc>
          <w:tcPr>
            <w:tcW w:w="2970" w:type="dxa"/>
          </w:tcPr>
          <w:p w:rsidR="00E823AA" w:rsidRPr="00E823AA" w:rsidRDefault="00E823AA" w:rsidP="0077555D">
            <w:pPr>
              <w:rPr>
                <w:sz w:val="20"/>
                <w:szCs w:val="20"/>
              </w:rPr>
            </w:pPr>
          </w:p>
        </w:tc>
        <w:tc>
          <w:tcPr>
            <w:tcW w:w="1170" w:type="dxa"/>
          </w:tcPr>
          <w:p w:rsidR="00E823AA" w:rsidRPr="00E823AA" w:rsidRDefault="00E823AA" w:rsidP="0077555D">
            <w:pPr>
              <w:rPr>
                <w:sz w:val="20"/>
                <w:szCs w:val="20"/>
              </w:rPr>
            </w:pPr>
          </w:p>
        </w:tc>
        <w:tc>
          <w:tcPr>
            <w:tcW w:w="4327" w:type="dxa"/>
          </w:tcPr>
          <w:p w:rsidR="00E823AA" w:rsidRPr="00E823AA" w:rsidRDefault="00E823AA" w:rsidP="0077555D">
            <w:pPr>
              <w:rPr>
                <w:sz w:val="20"/>
                <w:szCs w:val="20"/>
              </w:rPr>
            </w:pPr>
          </w:p>
        </w:tc>
      </w:tr>
      <w:tr w:rsidR="00E823AA" w:rsidRPr="00DC2D1F" w:rsidTr="0077555D">
        <w:tc>
          <w:tcPr>
            <w:tcW w:w="1368" w:type="dxa"/>
          </w:tcPr>
          <w:p w:rsidR="00E823AA" w:rsidRPr="00E823AA" w:rsidRDefault="00E823AA" w:rsidP="0077555D">
            <w:pPr>
              <w:rPr>
                <w:sz w:val="20"/>
                <w:szCs w:val="20"/>
              </w:rPr>
            </w:pPr>
            <w:r w:rsidRPr="00E823AA">
              <w:rPr>
                <w:sz w:val="20"/>
                <w:szCs w:val="20"/>
              </w:rPr>
              <w:t>IN / DANS :</w:t>
            </w:r>
          </w:p>
        </w:tc>
        <w:tc>
          <w:tcPr>
            <w:tcW w:w="2970" w:type="dxa"/>
          </w:tcPr>
          <w:p w:rsidR="00E823AA" w:rsidRPr="00E823AA" w:rsidRDefault="00E823AA" w:rsidP="0077555D">
            <w:pPr>
              <w:rPr>
                <w:sz w:val="20"/>
                <w:szCs w:val="20"/>
                <w:lang w:val="fr-CA"/>
              </w:rPr>
            </w:pPr>
            <w:r w:rsidRPr="00E823AA">
              <w:rPr>
                <w:sz w:val="20"/>
                <w:szCs w:val="20"/>
                <w:lang w:val="fr-CA"/>
              </w:rPr>
              <w:t>Marine Services International Limited et al.</w:t>
            </w:r>
          </w:p>
          <w:p w:rsidR="00E823AA" w:rsidRPr="00E823AA" w:rsidRDefault="00E823AA" w:rsidP="0077555D">
            <w:pPr>
              <w:rPr>
                <w:sz w:val="20"/>
                <w:szCs w:val="20"/>
                <w:lang w:val="fr-CA"/>
              </w:rPr>
            </w:pPr>
          </w:p>
        </w:tc>
        <w:tc>
          <w:tcPr>
            <w:tcW w:w="1170" w:type="dxa"/>
          </w:tcPr>
          <w:p w:rsidR="00E823AA" w:rsidRPr="00E823AA" w:rsidRDefault="00E823AA" w:rsidP="0077555D">
            <w:pPr>
              <w:rPr>
                <w:sz w:val="20"/>
                <w:szCs w:val="20"/>
                <w:lang w:val="fr-CA"/>
              </w:rPr>
            </w:pPr>
          </w:p>
        </w:tc>
        <w:tc>
          <w:tcPr>
            <w:tcW w:w="4327" w:type="dxa"/>
          </w:tcPr>
          <w:p w:rsidR="00E823AA" w:rsidRPr="00E823AA" w:rsidRDefault="00E823AA" w:rsidP="0077555D">
            <w:pPr>
              <w:rPr>
                <w:sz w:val="20"/>
                <w:szCs w:val="20"/>
                <w:lang w:val="fr-CA"/>
              </w:rPr>
            </w:pPr>
          </w:p>
        </w:tc>
      </w:tr>
      <w:tr w:rsidR="00E823AA" w:rsidRPr="00E823AA" w:rsidTr="0077555D">
        <w:tc>
          <w:tcPr>
            <w:tcW w:w="1368" w:type="dxa"/>
          </w:tcPr>
          <w:p w:rsidR="00E823AA" w:rsidRPr="00E823AA" w:rsidRDefault="00E823AA" w:rsidP="0077555D">
            <w:pPr>
              <w:rPr>
                <w:sz w:val="20"/>
                <w:szCs w:val="20"/>
                <w:lang w:val="fr-CA"/>
              </w:rPr>
            </w:pPr>
          </w:p>
        </w:tc>
        <w:tc>
          <w:tcPr>
            <w:tcW w:w="2970" w:type="dxa"/>
          </w:tcPr>
          <w:p w:rsidR="00E823AA" w:rsidRPr="00E823AA" w:rsidRDefault="00E823AA" w:rsidP="0077555D">
            <w:pPr>
              <w:rPr>
                <w:sz w:val="20"/>
                <w:szCs w:val="20"/>
              </w:rPr>
            </w:pPr>
            <w:r w:rsidRPr="00E823AA">
              <w:rPr>
                <w:sz w:val="20"/>
                <w:szCs w:val="20"/>
                <w:lang w:val="fr-CA"/>
              </w:rPr>
              <w:tab/>
            </w:r>
            <w:r w:rsidRPr="00E823AA">
              <w:rPr>
                <w:sz w:val="20"/>
                <w:szCs w:val="20"/>
              </w:rPr>
              <w:t>v. (34429)</w:t>
            </w:r>
          </w:p>
          <w:p w:rsidR="00E823AA" w:rsidRPr="00E823AA" w:rsidRDefault="00E823AA" w:rsidP="0077555D">
            <w:pPr>
              <w:rPr>
                <w:sz w:val="20"/>
                <w:szCs w:val="20"/>
              </w:rPr>
            </w:pPr>
          </w:p>
        </w:tc>
        <w:tc>
          <w:tcPr>
            <w:tcW w:w="1170" w:type="dxa"/>
          </w:tcPr>
          <w:p w:rsidR="00E823AA" w:rsidRPr="00E823AA" w:rsidRDefault="00E823AA" w:rsidP="0077555D">
            <w:pPr>
              <w:rPr>
                <w:sz w:val="20"/>
                <w:szCs w:val="20"/>
              </w:rPr>
            </w:pPr>
          </w:p>
        </w:tc>
        <w:tc>
          <w:tcPr>
            <w:tcW w:w="4327" w:type="dxa"/>
          </w:tcPr>
          <w:p w:rsidR="00E823AA" w:rsidRPr="00E823AA" w:rsidRDefault="00E823AA" w:rsidP="0077555D">
            <w:pPr>
              <w:rPr>
                <w:sz w:val="20"/>
                <w:szCs w:val="20"/>
              </w:rPr>
            </w:pPr>
          </w:p>
        </w:tc>
      </w:tr>
      <w:tr w:rsidR="00E823AA" w:rsidRPr="00E823AA" w:rsidTr="0077555D">
        <w:tc>
          <w:tcPr>
            <w:tcW w:w="1368" w:type="dxa"/>
          </w:tcPr>
          <w:p w:rsidR="00E823AA" w:rsidRPr="00E823AA" w:rsidRDefault="00E823AA" w:rsidP="0077555D">
            <w:pPr>
              <w:rPr>
                <w:sz w:val="20"/>
                <w:szCs w:val="20"/>
              </w:rPr>
            </w:pPr>
          </w:p>
        </w:tc>
        <w:tc>
          <w:tcPr>
            <w:tcW w:w="2970" w:type="dxa"/>
          </w:tcPr>
          <w:p w:rsidR="00E823AA" w:rsidRPr="00E823AA" w:rsidRDefault="00E823AA" w:rsidP="0077555D">
            <w:pPr>
              <w:jc w:val="both"/>
              <w:rPr>
                <w:sz w:val="20"/>
                <w:szCs w:val="20"/>
              </w:rPr>
            </w:pPr>
            <w:r w:rsidRPr="00E823AA">
              <w:rPr>
                <w:sz w:val="20"/>
                <w:szCs w:val="20"/>
              </w:rPr>
              <w:t>Estate of Joseph Ryan, by its Administratrix, Yvonne Ryan et al. (N.L.)</w:t>
            </w:r>
          </w:p>
        </w:tc>
        <w:tc>
          <w:tcPr>
            <w:tcW w:w="1170" w:type="dxa"/>
          </w:tcPr>
          <w:p w:rsidR="00E823AA" w:rsidRPr="00E823AA" w:rsidRDefault="00E823AA" w:rsidP="0077555D">
            <w:pPr>
              <w:rPr>
                <w:sz w:val="20"/>
                <w:szCs w:val="20"/>
              </w:rPr>
            </w:pPr>
          </w:p>
        </w:tc>
        <w:tc>
          <w:tcPr>
            <w:tcW w:w="4327" w:type="dxa"/>
          </w:tcPr>
          <w:p w:rsidR="00E823AA" w:rsidRPr="00E823AA" w:rsidRDefault="00E823AA" w:rsidP="0077555D">
            <w:pPr>
              <w:rPr>
                <w:sz w:val="20"/>
                <w:szCs w:val="20"/>
              </w:rPr>
            </w:pPr>
          </w:p>
        </w:tc>
      </w:tr>
    </w:tbl>
    <w:p w:rsidR="00E823AA" w:rsidRPr="00E823AA" w:rsidRDefault="00E823AA" w:rsidP="00E823AA">
      <w:pPr>
        <w:tabs>
          <w:tab w:val="left" w:pos="-1440"/>
          <w:tab w:val="left" w:pos="-720"/>
        </w:tabs>
        <w:jc w:val="both"/>
        <w:rPr>
          <w:sz w:val="20"/>
          <w:szCs w:val="20"/>
        </w:rPr>
      </w:pPr>
    </w:p>
    <w:p w:rsidR="00E823AA" w:rsidRPr="00E823AA" w:rsidRDefault="00E823AA" w:rsidP="00E823AA">
      <w:pPr>
        <w:tabs>
          <w:tab w:val="left" w:pos="-1440"/>
          <w:tab w:val="left" w:pos="-720"/>
        </w:tabs>
        <w:jc w:val="both"/>
        <w:rPr>
          <w:sz w:val="20"/>
          <w:szCs w:val="20"/>
        </w:rPr>
      </w:pPr>
      <w:r w:rsidRPr="00E823AA">
        <w:rPr>
          <w:b/>
          <w:sz w:val="20"/>
          <w:szCs w:val="20"/>
        </w:rPr>
        <w:t>GRANTED / ACCORDÉE</w:t>
      </w:r>
    </w:p>
    <w:p w:rsidR="00E823AA" w:rsidRPr="00E823AA" w:rsidRDefault="00E823AA" w:rsidP="00E823AA">
      <w:pPr>
        <w:tabs>
          <w:tab w:val="left" w:pos="-1440"/>
          <w:tab w:val="left" w:pos="-720"/>
        </w:tabs>
        <w:jc w:val="both"/>
        <w:rPr>
          <w:sz w:val="20"/>
          <w:szCs w:val="20"/>
        </w:rPr>
      </w:pPr>
    </w:p>
    <w:p w:rsidR="00E823AA" w:rsidRPr="00E823AA" w:rsidRDefault="00E823AA" w:rsidP="00E823AA">
      <w:pPr>
        <w:spacing w:line="233" w:lineRule="auto"/>
        <w:jc w:val="both"/>
        <w:rPr>
          <w:sz w:val="20"/>
          <w:szCs w:val="20"/>
        </w:rPr>
      </w:pPr>
      <w:r w:rsidRPr="00E823AA">
        <w:rPr>
          <w:b/>
          <w:bCs/>
          <w:sz w:val="20"/>
          <w:szCs w:val="20"/>
        </w:rPr>
        <w:t xml:space="preserve">UPON APPLICATION </w:t>
      </w:r>
      <w:r w:rsidRPr="00E823AA">
        <w:rPr>
          <w:sz w:val="20"/>
          <w:szCs w:val="20"/>
        </w:rPr>
        <w:t>by the Workers' Compensation Board of British Columbia for leave to intervene in the above appeal;</w:t>
      </w:r>
    </w:p>
    <w:p w:rsidR="00E823AA" w:rsidRPr="00E823AA" w:rsidRDefault="00E823AA" w:rsidP="00E823AA">
      <w:pPr>
        <w:spacing w:line="233" w:lineRule="auto"/>
        <w:jc w:val="both"/>
        <w:rPr>
          <w:sz w:val="20"/>
          <w:szCs w:val="20"/>
        </w:rPr>
      </w:pPr>
    </w:p>
    <w:p w:rsidR="00E823AA" w:rsidRPr="00E823AA" w:rsidRDefault="00E823AA" w:rsidP="00E823AA">
      <w:pPr>
        <w:spacing w:line="233" w:lineRule="auto"/>
        <w:jc w:val="both"/>
        <w:rPr>
          <w:sz w:val="20"/>
          <w:szCs w:val="20"/>
        </w:rPr>
      </w:pPr>
      <w:r w:rsidRPr="00E823AA">
        <w:rPr>
          <w:b/>
          <w:bCs/>
          <w:sz w:val="20"/>
          <w:szCs w:val="20"/>
        </w:rPr>
        <w:t>AND THE MATERIAL FILED</w:t>
      </w:r>
      <w:r w:rsidRPr="00E823AA">
        <w:rPr>
          <w:sz w:val="20"/>
          <w:szCs w:val="20"/>
        </w:rPr>
        <w:t xml:space="preserve"> having been read;</w:t>
      </w:r>
    </w:p>
    <w:p w:rsidR="00E823AA" w:rsidRPr="00E823AA" w:rsidRDefault="00E823AA" w:rsidP="00E823AA">
      <w:pPr>
        <w:spacing w:line="233" w:lineRule="auto"/>
        <w:jc w:val="both"/>
        <w:rPr>
          <w:sz w:val="20"/>
          <w:szCs w:val="20"/>
        </w:rPr>
      </w:pPr>
    </w:p>
    <w:p w:rsidR="00E823AA" w:rsidRPr="00E823AA" w:rsidRDefault="00E823AA" w:rsidP="00E823AA">
      <w:pPr>
        <w:spacing w:line="233" w:lineRule="auto"/>
        <w:jc w:val="both"/>
        <w:rPr>
          <w:sz w:val="20"/>
          <w:szCs w:val="20"/>
        </w:rPr>
      </w:pPr>
      <w:r w:rsidRPr="00E823AA">
        <w:rPr>
          <w:b/>
          <w:bCs/>
          <w:sz w:val="20"/>
          <w:szCs w:val="20"/>
        </w:rPr>
        <w:t>IT IS HEREBY ORDERED THAT:</w:t>
      </w:r>
    </w:p>
    <w:p w:rsidR="00E823AA" w:rsidRPr="00E823AA" w:rsidRDefault="00E823AA" w:rsidP="00E823AA">
      <w:pPr>
        <w:spacing w:line="233" w:lineRule="auto"/>
        <w:jc w:val="both"/>
        <w:rPr>
          <w:sz w:val="20"/>
          <w:szCs w:val="20"/>
        </w:rPr>
      </w:pPr>
    </w:p>
    <w:p w:rsidR="00E823AA" w:rsidRPr="00E823AA" w:rsidRDefault="00E823AA" w:rsidP="00E823AA">
      <w:pPr>
        <w:spacing w:line="233" w:lineRule="auto"/>
        <w:jc w:val="both"/>
        <w:rPr>
          <w:sz w:val="20"/>
          <w:szCs w:val="20"/>
        </w:rPr>
      </w:pPr>
      <w:r w:rsidRPr="00E823AA">
        <w:rPr>
          <w:sz w:val="20"/>
          <w:szCs w:val="20"/>
        </w:rPr>
        <w:t>The motion for leave to intervene of the Workers' Compensation Board of British Columbia is granted and the said intervener shall be entitled to serve and file a factum not to exceed 10 pages in length on or before December 18, 2012.</w:t>
      </w:r>
    </w:p>
    <w:p w:rsidR="00E823AA" w:rsidRPr="00E823AA" w:rsidRDefault="00E823AA" w:rsidP="00E823AA">
      <w:pPr>
        <w:spacing w:line="233" w:lineRule="auto"/>
        <w:jc w:val="both"/>
        <w:rPr>
          <w:sz w:val="20"/>
          <w:szCs w:val="20"/>
        </w:rPr>
      </w:pPr>
    </w:p>
    <w:p w:rsidR="00E823AA" w:rsidRPr="00E823AA" w:rsidRDefault="00E823AA" w:rsidP="00E823AA">
      <w:pPr>
        <w:spacing w:line="233" w:lineRule="auto"/>
        <w:jc w:val="both"/>
        <w:rPr>
          <w:sz w:val="20"/>
          <w:szCs w:val="20"/>
        </w:rPr>
      </w:pPr>
      <w:r w:rsidRPr="00E823AA">
        <w:rPr>
          <w:sz w:val="20"/>
          <w:szCs w:val="20"/>
        </w:rPr>
        <w:t>The request to present oral argument is deferred to a date following receipt and consideration of the written arguments of the parties and the intervener.</w:t>
      </w:r>
    </w:p>
    <w:p w:rsidR="00E823AA" w:rsidRPr="00E823AA" w:rsidRDefault="00E823AA" w:rsidP="00E823AA">
      <w:pPr>
        <w:spacing w:line="233" w:lineRule="auto"/>
        <w:jc w:val="both"/>
        <w:rPr>
          <w:sz w:val="20"/>
          <w:szCs w:val="20"/>
        </w:rPr>
      </w:pPr>
    </w:p>
    <w:p w:rsidR="00E823AA" w:rsidRPr="00E823AA" w:rsidRDefault="00E823AA" w:rsidP="00E823AA">
      <w:pPr>
        <w:spacing w:line="233" w:lineRule="auto"/>
        <w:jc w:val="both"/>
        <w:rPr>
          <w:sz w:val="20"/>
          <w:szCs w:val="20"/>
        </w:rPr>
      </w:pPr>
      <w:r w:rsidRPr="00E823AA">
        <w:rPr>
          <w:sz w:val="20"/>
          <w:szCs w:val="20"/>
        </w:rPr>
        <w:t>The intervener is not entitled to raise new issues or to adduce further evidence or otherwise to supplement the record of the parties.</w:t>
      </w:r>
    </w:p>
    <w:p w:rsidR="00E823AA" w:rsidRPr="00E823AA" w:rsidRDefault="00E823AA" w:rsidP="00E823AA">
      <w:pPr>
        <w:spacing w:line="233" w:lineRule="auto"/>
        <w:jc w:val="both"/>
        <w:rPr>
          <w:sz w:val="20"/>
          <w:szCs w:val="20"/>
        </w:rPr>
      </w:pPr>
    </w:p>
    <w:p w:rsidR="00E823AA" w:rsidRPr="00E823AA" w:rsidRDefault="00E823AA" w:rsidP="00E823AA">
      <w:pPr>
        <w:spacing w:line="233" w:lineRule="auto"/>
        <w:jc w:val="both"/>
        <w:rPr>
          <w:sz w:val="20"/>
          <w:szCs w:val="20"/>
        </w:rPr>
      </w:pPr>
      <w:r w:rsidRPr="00E823AA">
        <w:rPr>
          <w:sz w:val="20"/>
          <w:szCs w:val="20"/>
        </w:rPr>
        <w:t>Pursuant to Rule 59(1</w:t>
      </w:r>
      <w:proofErr w:type="gramStart"/>
      <w:r w:rsidRPr="00E823AA">
        <w:rPr>
          <w:sz w:val="20"/>
          <w:szCs w:val="20"/>
        </w:rPr>
        <w:t>)(</w:t>
      </w:r>
      <w:proofErr w:type="gramEnd"/>
      <w:r w:rsidRPr="00E823AA">
        <w:rPr>
          <w:i/>
          <w:iCs/>
          <w:sz w:val="20"/>
          <w:szCs w:val="20"/>
        </w:rPr>
        <w:t>a</w:t>
      </w:r>
      <w:r w:rsidRPr="00E823AA">
        <w:rPr>
          <w:sz w:val="20"/>
          <w:szCs w:val="20"/>
        </w:rPr>
        <w:t xml:space="preserve">) of the </w:t>
      </w:r>
      <w:r w:rsidRPr="00E823AA">
        <w:rPr>
          <w:i/>
          <w:iCs/>
          <w:sz w:val="20"/>
          <w:szCs w:val="20"/>
        </w:rPr>
        <w:t>Rules of the Supreme Court of Canada</w:t>
      </w:r>
      <w:r w:rsidRPr="00E823AA">
        <w:rPr>
          <w:sz w:val="20"/>
          <w:szCs w:val="20"/>
        </w:rPr>
        <w:t xml:space="preserve">, the intervener shall pay to the appellants and respondents any additional disbursements occasioned to the appellants and respondents by its intervention. </w:t>
      </w:r>
    </w:p>
    <w:p w:rsidR="00E823AA" w:rsidRPr="00E823AA" w:rsidRDefault="00E823AA" w:rsidP="00E823AA">
      <w:pPr>
        <w:tabs>
          <w:tab w:val="left" w:pos="-1440"/>
          <w:tab w:val="left" w:pos="-720"/>
        </w:tabs>
        <w:jc w:val="both"/>
        <w:rPr>
          <w:sz w:val="20"/>
          <w:szCs w:val="20"/>
        </w:rPr>
      </w:pPr>
    </w:p>
    <w:p w:rsidR="00E823AA" w:rsidRPr="00E823AA" w:rsidRDefault="00E823AA" w:rsidP="00E823AA">
      <w:pPr>
        <w:tabs>
          <w:tab w:val="left" w:pos="-1440"/>
          <w:tab w:val="left" w:pos="-720"/>
        </w:tabs>
        <w:jc w:val="both"/>
        <w:rPr>
          <w:sz w:val="20"/>
          <w:szCs w:val="20"/>
        </w:rPr>
      </w:pPr>
    </w:p>
    <w:p w:rsidR="00E823AA" w:rsidRPr="00E823AA" w:rsidRDefault="00E823AA" w:rsidP="00E823AA">
      <w:pPr>
        <w:tabs>
          <w:tab w:val="left" w:pos="-1440"/>
          <w:tab w:val="left" w:pos="-720"/>
        </w:tabs>
        <w:jc w:val="both"/>
        <w:rPr>
          <w:sz w:val="20"/>
          <w:szCs w:val="20"/>
        </w:rPr>
      </w:pPr>
    </w:p>
    <w:p w:rsidR="00E823AA" w:rsidRPr="00E823AA" w:rsidRDefault="00E823AA" w:rsidP="00E823AA">
      <w:pPr>
        <w:jc w:val="both"/>
        <w:rPr>
          <w:rFonts w:cs="Times New Roman"/>
          <w:bCs/>
          <w:sz w:val="20"/>
          <w:szCs w:val="20"/>
          <w:lang w:val="fr-CA"/>
        </w:rPr>
      </w:pPr>
      <w:r w:rsidRPr="00E823AA">
        <w:rPr>
          <w:rFonts w:cs="Times New Roman"/>
          <w:b/>
          <w:bCs/>
          <w:sz w:val="20"/>
          <w:szCs w:val="20"/>
          <w:lang w:val="fr-CA"/>
        </w:rPr>
        <w:t>À LA SUITE DE LA DEMANDE</w:t>
      </w:r>
      <w:r w:rsidRPr="00E823AA">
        <w:rPr>
          <w:rFonts w:cs="Times New Roman"/>
          <w:bCs/>
          <w:sz w:val="20"/>
          <w:szCs w:val="20"/>
          <w:lang w:val="fr-CA"/>
        </w:rPr>
        <w:t xml:space="preserve"> présentée par la </w:t>
      </w:r>
      <w:r w:rsidRPr="00E823AA">
        <w:rPr>
          <w:rFonts w:cs="Times New Roman"/>
          <w:sz w:val="20"/>
          <w:szCs w:val="20"/>
          <w:lang w:val="fr-CA"/>
        </w:rPr>
        <w:t xml:space="preserve">Workers' Compensation Board of British Columbia </w:t>
      </w:r>
      <w:r w:rsidRPr="00E823AA">
        <w:rPr>
          <w:rFonts w:cs="Times New Roman"/>
          <w:bCs/>
          <w:sz w:val="20"/>
          <w:szCs w:val="20"/>
          <w:lang w:val="fr-CA"/>
        </w:rPr>
        <w:t>en autorisation d'intervenir dans l'appel;</w:t>
      </w:r>
    </w:p>
    <w:p w:rsidR="00E823AA" w:rsidRPr="00E823AA" w:rsidRDefault="00E823AA" w:rsidP="00E823AA">
      <w:pPr>
        <w:jc w:val="both"/>
        <w:rPr>
          <w:rFonts w:cs="Times New Roman"/>
          <w:bCs/>
          <w:sz w:val="20"/>
          <w:szCs w:val="20"/>
          <w:lang w:val="fr-CA"/>
        </w:rPr>
      </w:pPr>
    </w:p>
    <w:p w:rsidR="00E823AA" w:rsidRPr="00E823AA" w:rsidRDefault="00E823AA" w:rsidP="00E823AA">
      <w:pPr>
        <w:jc w:val="both"/>
        <w:rPr>
          <w:rFonts w:cs="Times New Roman"/>
          <w:bCs/>
          <w:sz w:val="20"/>
          <w:szCs w:val="20"/>
          <w:lang w:val="fr-CA"/>
        </w:rPr>
      </w:pPr>
      <w:r w:rsidRPr="00E823AA">
        <w:rPr>
          <w:rFonts w:cs="Times New Roman"/>
          <w:b/>
          <w:bCs/>
          <w:sz w:val="20"/>
          <w:szCs w:val="20"/>
          <w:lang w:val="fr-CA"/>
        </w:rPr>
        <w:t>ET APRÈS EXAMEN</w:t>
      </w:r>
      <w:r w:rsidRPr="00E823AA">
        <w:rPr>
          <w:rFonts w:cs="Times New Roman"/>
          <w:bCs/>
          <w:sz w:val="20"/>
          <w:szCs w:val="20"/>
          <w:lang w:val="fr-CA"/>
        </w:rPr>
        <w:t xml:space="preserve"> des documents déposés; </w:t>
      </w:r>
    </w:p>
    <w:p w:rsidR="00E823AA" w:rsidRPr="00E823AA" w:rsidRDefault="00E823AA" w:rsidP="00E823AA">
      <w:pPr>
        <w:jc w:val="both"/>
        <w:rPr>
          <w:rFonts w:cs="Times New Roman"/>
          <w:bCs/>
          <w:sz w:val="20"/>
          <w:szCs w:val="20"/>
          <w:lang w:val="fr-CA"/>
        </w:rPr>
      </w:pPr>
    </w:p>
    <w:p w:rsidR="00E823AA" w:rsidRPr="00E823AA" w:rsidRDefault="00E823AA" w:rsidP="00E823AA">
      <w:pPr>
        <w:jc w:val="both"/>
        <w:rPr>
          <w:rFonts w:cs="Times New Roman"/>
          <w:b/>
          <w:bCs/>
          <w:sz w:val="20"/>
          <w:szCs w:val="20"/>
          <w:lang w:val="fr-CA"/>
        </w:rPr>
      </w:pPr>
      <w:r w:rsidRPr="00E823AA">
        <w:rPr>
          <w:rFonts w:cs="Times New Roman"/>
          <w:b/>
          <w:bCs/>
          <w:sz w:val="20"/>
          <w:szCs w:val="20"/>
          <w:lang w:val="fr-CA"/>
        </w:rPr>
        <w:t xml:space="preserve">IL EST ORDONNÉ CE QUI SUIT : </w:t>
      </w:r>
    </w:p>
    <w:p w:rsidR="00E823AA" w:rsidRPr="00E823AA" w:rsidRDefault="00E823AA" w:rsidP="00E823AA">
      <w:pPr>
        <w:jc w:val="both"/>
        <w:rPr>
          <w:rFonts w:cs="Times New Roman"/>
          <w:bCs/>
          <w:sz w:val="20"/>
          <w:szCs w:val="20"/>
          <w:lang w:val="fr-CA"/>
        </w:rPr>
      </w:pPr>
    </w:p>
    <w:p w:rsidR="00E823AA" w:rsidRPr="00E823AA" w:rsidRDefault="00E823AA" w:rsidP="00E823AA">
      <w:pPr>
        <w:jc w:val="both"/>
        <w:rPr>
          <w:rFonts w:cs="Times New Roman"/>
          <w:bCs/>
          <w:sz w:val="20"/>
          <w:szCs w:val="20"/>
          <w:lang w:val="fr-CA"/>
        </w:rPr>
      </w:pPr>
      <w:r w:rsidRPr="00E823AA">
        <w:rPr>
          <w:rFonts w:cs="Times New Roman"/>
          <w:bCs/>
          <w:sz w:val="20"/>
          <w:szCs w:val="20"/>
          <w:lang w:val="fr-CA"/>
        </w:rPr>
        <w:t xml:space="preserve">La requête en autorisation d'intervenir présentée par la </w:t>
      </w:r>
      <w:r w:rsidRPr="00E823AA">
        <w:rPr>
          <w:rFonts w:cs="Times New Roman"/>
          <w:sz w:val="20"/>
          <w:szCs w:val="20"/>
          <w:lang w:val="fr-CA"/>
        </w:rPr>
        <w:t>Workers' Compensation Board of British Columbia</w:t>
      </w:r>
      <w:r w:rsidRPr="00E823AA">
        <w:rPr>
          <w:rFonts w:cs="Times New Roman"/>
          <w:bCs/>
          <w:sz w:val="20"/>
          <w:szCs w:val="20"/>
          <w:lang w:val="fr-CA"/>
        </w:rPr>
        <w:t xml:space="preserve"> est accordée et la requérante pourra signifier et déposer un mémoire d'au plus dix (10) pages au plus tard le 18 décembre 2012. </w:t>
      </w:r>
    </w:p>
    <w:p w:rsidR="00E823AA" w:rsidRPr="00E823AA" w:rsidRDefault="00E823AA" w:rsidP="00E823AA">
      <w:pPr>
        <w:jc w:val="both"/>
        <w:rPr>
          <w:rFonts w:cs="Times New Roman"/>
          <w:bCs/>
          <w:sz w:val="20"/>
          <w:szCs w:val="20"/>
          <w:lang w:val="fr-CA"/>
        </w:rPr>
      </w:pPr>
    </w:p>
    <w:p w:rsidR="00E823AA" w:rsidRPr="00E823AA" w:rsidRDefault="00E823AA" w:rsidP="00E823AA">
      <w:pPr>
        <w:jc w:val="both"/>
        <w:rPr>
          <w:rFonts w:cs="Times New Roman"/>
          <w:bCs/>
          <w:sz w:val="20"/>
          <w:szCs w:val="20"/>
          <w:lang w:val="fr-CA"/>
        </w:rPr>
      </w:pPr>
      <w:r w:rsidRPr="00E823AA">
        <w:rPr>
          <w:rFonts w:cs="Times New Roman"/>
          <w:bCs/>
          <w:sz w:val="20"/>
          <w:szCs w:val="20"/>
          <w:lang w:val="fr-CA"/>
        </w:rPr>
        <w:t xml:space="preserve">La décision sur la demande en vue de présenter une plaidoirie orale sera rendue après réception et examen des arguments écrits des parties et de l'intervenante. </w:t>
      </w:r>
    </w:p>
    <w:p w:rsidR="00E823AA" w:rsidRPr="00E823AA" w:rsidRDefault="00E823AA" w:rsidP="00E823AA">
      <w:pPr>
        <w:jc w:val="both"/>
        <w:rPr>
          <w:rFonts w:cs="Times New Roman"/>
          <w:b/>
          <w:bCs/>
          <w:sz w:val="20"/>
          <w:szCs w:val="20"/>
          <w:lang w:val="fr-CA"/>
        </w:rPr>
      </w:pPr>
    </w:p>
    <w:p w:rsidR="00E823AA" w:rsidRPr="00E823AA" w:rsidRDefault="00E823AA" w:rsidP="00E823AA">
      <w:pPr>
        <w:jc w:val="both"/>
        <w:rPr>
          <w:rFonts w:cs="Times New Roman"/>
          <w:bCs/>
          <w:sz w:val="20"/>
          <w:szCs w:val="20"/>
          <w:lang w:val="fr-CA"/>
        </w:rPr>
      </w:pPr>
      <w:r w:rsidRPr="00E823AA">
        <w:rPr>
          <w:rFonts w:cs="Times New Roman"/>
          <w:bCs/>
          <w:sz w:val="20"/>
          <w:szCs w:val="20"/>
          <w:lang w:val="fr-CA"/>
        </w:rPr>
        <w:t>L'intervenante n'a pas le droit de soulever de nouvelles questions, de produire d'autres éléments de preuve ni de compléter de quelque autre façon le dossier des parties.</w:t>
      </w:r>
    </w:p>
    <w:p w:rsidR="00E823AA" w:rsidRPr="00E823AA" w:rsidRDefault="00E823AA" w:rsidP="00E823AA">
      <w:pPr>
        <w:jc w:val="both"/>
        <w:rPr>
          <w:rFonts w:cs="Times New Roman"/>
          <w:b/>
          <w:bCs/>
          <w:sz w:val="20"/>
          <w:szCs w:val="20"/>
          <w:lang w:val="fr-CA"/>
        </w:rPr>
      </w:pPr>
    </w:p>
    <w:p w:rsidR="00E823AA" w:rsidRPr="00E823AA" w:rsidRDefault="00E823AA" w:rsidP="00E823AA">
      <w:pPr>
        <w:jc w:val="both"/>
        <w:rPr>
          <w:rFonts w:cs="Times New Roman"/>
          <w:bCs/>
          <w:sz w:val="20"/>
          <w:szCs w:val="20"/>
          <w:lang w:val="fr-CA"/>
        </w:rPr>
      </w:pPr>
      <w:r w:rsidRPr="00E823AA">
        <w:rPr>
          <w:rFonts w:cs="Times New Roman"/>
          <w:bCs/>
          <w:sz w:val="20"/>
          <w:szCs w:val="20"/>
          <w:lang w:val="fr-CA"/>
        </w:rPr>
        <w:t>Conformément à l'alinéa 59(1)</w:t>
      </w:r>
      <w:r w:rsidRPr="00E823AA">
        <w:rPr>
          <w:rFonts w:cs="Times New Roman"/>
          <w:bCs/>
          <w:i/>
          <w:sz w:val="20"/>
          <w:szCs w:val="20"/>
          <w:lang w:val="fr-CA"/>
        </w:rPr>
        <w:t>a</w:t>
      </w:r>
      <w:r w:rsidRPr="00E823AA">
        <w:rPr>
          <w:rFonts w:cs="Times New Roman"/>
          <w:bCs/>
          <w:sz w:val="20"/>
          <w:szCs w:val="20"/>
          <w:lang w:val="fr-CA"/>
        </w:rPr>
        <w:t xml:space="preserve">) des </w:t>
      </w:r>
      <w:r w:rsidRPr="00E823AA">
        <w:rPr>
          <w:rFonts w:cs="Times New Roman"/>
          <w:bCs/>
          <w:i/>
          <w:sz w:val="20"/>
          <w:szCs w:val="20"/>
          <w:lang w:val="fr-CA"/>
        </w:rPr>
        <w:t>Règles de la Cour suprême du Canada</w:t>
      </w:r>
      <w:r w:rsidRPr="00E823AA">
        <w:rPr>
          <w:rFonts w:cs="Times New Roman"/>
          <w:bCs/>
          <w:sz w:val="20"/>
          <w:szCs w:val="20"/>
          <w:lang w:val="fr-CA"/>
        </w:rPr>
        <w:t>, l'intervenante paiera aux appelants et aux intimés tous débours supplémentaires résultant de son intervention.</w:t>
      </w:r>
    </w:p>
    <w:p w:rsidR="00E823AA" w:rsidRPr="00E823AA" w:rsidRDefault="00E823AA" w:rsidP="0010587F">
      <w:pPr>
        <w:tabs>
          <w:tab w:val="left" w:pos="-1440"/>
          <w:tab w:val="left" w:pos="-720"/>
        </w:tabs>
        <w:jc w:val="both"/>
        <w:rPr>
          <w:sz w:val="20"/>
          <w:szCs w:val="20"/>
          <w:lang w:val="fr-CA"/>
        </w:rPr>
      </w:pPr>
    </w:p>
    <w:p w:rsidR="0010587F" w:rsidRPr="003B3977" w:rsidRDefault="00BF3B03" w:rsidP="0010587F">
      <w:pPr>
        <w:tabs>
          <w:tab w:val="left" w:pos="-1440"/>
          <w:tab w:val="left" w:pos="-720"/>
        </w:tabs>
        <w:jc w:val="both"/>
        <w:rPr>
          <w:sz w:val="20"/>
          <w:szCs w:val="20"/>
          <w:lang w:val="fr-CA"/>
        </w:rPr>
      </w:pPr>
      <w:r w:rsidRPr="00BF3B03">
        <w:rPr>
          <w:sz w:val="20"/>
          <w:szCs w:val="20"/>
          <w:lang w:val="fr-CA"/>
        </w:rPr>
        <w:pict>
          <v:rect id="_x0000_i1090" style="width:2in;height:1pt" o:hrpct="0" o:hralign="center" o:hrstd="t" o:hrnoshade="t" o:hr="t" fillcolor="black [3213]" stroked="f"/>
        </w:pict>
      </w:r>
    </w:p>
    <w:p w:rsidR="0010587F" w:rsidRPr="003B3977" w:rsidRDefault="0010587F" w:rsidP="0010587F">
      <w:pPr>
        <w:tabs>
          <w:tab w:val="left" w:pos="-1440"/>
          <w:tab w:val="left" w:pos="-720"/>
        </w:tabs>
        <w:jc w:val="both"/>
        <w:rPr>
          <w:sz w:val="20"/>
          <w:szCs w:val="20"/>
          <w:lang w:val="fr-CA"/>
        </w:rPr>
      </w:pPr>
    </w:p>
    <w:p w:rsidR="00890FEB" w:rsidRPr="00C50A5C" w:rsidRDefault="00890FEB" w:rsidP="00831CA9">
      <w:pPr>
        <w:jc w:val="both"/>
        <w:rPr>
          <w:sz w:val="20"/>
          <w:szCs w:val="20"/>
          <w:lang w:val="fr-CA"/>
        </w:rPr>
      </w:pPr>
    </w:p>
    <w:p w:rsidR="00831CA9" w:rsidRPr="00C50A5C" w:rsidRDefault="00831CA9" w:rsidP="00831CA9">
      <w:pPr>
        <w:jc w:val="both"/>
        <w:rPr>
          <w:sz w:val="20"/>
          <w:szCs w:val="20"/>
          <w:lang w:val="fr-CA"/>
        </w:rPr>
        <w:sectPr w:rsidR="00831CA9" w:rsidRPr="00C50A5C" w:rsidSect="00831CA9">
          <w:headerReference w:type="even" r:id="rId35"/>
          <w:headerReference w:type="default" r:id="rId36"/>
          <w:footerReference w:type="even" r:id="rId37"/>
          <w:footerReference w:type="default" r:id="rId38"/>
          <w:headerReference w:type="first" r:id="rId39"/>
          <w:footerReference w:type="first" r:id="rId40"/>
          <w:pgSz w:w="12240" w:h="15840"/>
          <w:pgMar w:top="720" w:right="965" w:bottom="1080" w:left="1656" w:header="720" w:footer="965" w:gutter="0"/>
          <w:cols w:space="720"/>
          <w:titlePg/>
          <w:docGrid w:linePitch="326"/>
        </w:sectPr>
      </w:pPr>
    </w:p>
    <w:tbl>
      <w:tblPr>
        <w:tblW w:w="9720" w:type="dxa"/>
        <w:tblBorders>
          <w:bottom w:val="single" w:sz="8" w:space="0" w:color="auto"/>
        </w:tblBorders>
        <w:tblLayout w:type="fixed"/>
        <w:tblCellMar>
          <w:left w:w="0" w:type="dxa"/>
          <w:right w:w="0" w:type="dxa"/>
        </w:tblCellMar>
        <w:tblLook w:val="0000"/>
      </w:tblPr>
      <w:tblGrid>
        <w:gridCol w:w="4230"/>
        <w:gridCol w:w="1080"/>
        <w:gridCol w:w="4410"/>
      </w:tblGrid>
      <w:tr w:rsidR="00802863" w:rsidRPr="00DC2D1F" w:rsidTr="0085476B">
        <w:tc>
          <w:tcPr>
            <w:tcW w:w="4230" w:type="dxa"/>
            <w:shd w:val="clear" w:color="auto" w:fill="auto"/>
            <w:tcMar>
              <w:left w:w="0" w:type="dxa"/>
              <w:right w:w="0" w:type="dxa"/>
            </w:tcMar>
          </w:tcPr>
          <w:p w:rsidR="00802863" w:rsidRPr="00C1697B" w:rsidRDefault="00802863" w:rsidP="00697C62">
            <w:pPr>
              <w:rPr>
                <w:b/>
                <w:szCs w:val="24"/>
              </w:rPr>
            </w:pPr>
            <w:r w:rsidRPr="00C1697B">
              <w:rPr>
                <w:b/>
                <w:szCs w:val="24"/>
              </w:rPr>
              <w:lastRenderedPageBreak/>
              <w:t>NOTICES OF DISCONTINUANCE FILED SINCE LAST ISSUE</w:t>
            </w:r>
          </w:p>
        </w:tc>
        <w:tc>
          <w:tcPr>
            <w:tcW w:w="1080" w:type="dxa"/>
            <w:shd w:val="clear" w:color="auto" w:fill="auto"/>
            <w:tcMar>
              <w:left w:w="0" w:type="dxa"/>
              <w:right w:w="0" w:type="dxa"/>
            </w:tcMar>
          </w:tcPr>
          <w:p w:rsidR="00802863" w:rsidRPr="00C1697B" w:rsidRDefault="00802863" w:rsidP="00802863">
            <w:pPr>
              <w:jc w:val="center"/>
              <w:rPr>
                <w:b/>
                <w:szCs w:val="24"/>
              </w:rPr>
            </w:pPr>
          </w:p>
          <w:p w:rsidR="00802863" w:rsidRPr="00C1697B" w:rsidRDefault="00802863" w:rsidP="00802863">
            <w:pPr>
              <w:jc w:val="center"/>
              <w:rPr>
                <w:b/>
                <w:szCs w:val="24"/>
              </w:rPr>
            </w:pPr>
          </w:p>
          <w:p w:rsidR="00802863" w:rsidRPr="00C1697B" w:rsidRDefault="00802863" w:rsidP="00802863">
            <w:pPr>
              <w:jc w:val="center"/>
              <w:rPr>
                <w:b/>
                <w:szCs w:val="24"/>
              </w:rPr>
            </w:pPr>
          </w:p>
        </w:tc>
        <w:tc>
          <w:tcPr>
            <w:tcW w:w="4410" w:type="dxa"/>
            <w:shd w:val="clear" w:color="auto" w:fill="auto"/>
            <w:tcMar>
              <w:left w:w="0" w:type="dxa"/>
              <w:right w:w="0" w:type="dxa"/>
            </w:tcMar>
          </w:tcPr>
          <w:p w:rsidR="00802863" w:rsidRPr="00C1697B" w:rsidRDefault="00802863" w:rsidP="00697C62">
            <w:pPr>
              <w:rPr>
                <w:b/>
                <w:szCs w:val="24"/>
                <w:lang w:val="fr-CA"/>
              </w:rPr>
            </w:pPr>
            <w:r w:rsidRPr="00C1697B">
              <w:rPr>
                <w:b/>
                <w:szCs w:val="24"/>
                <w:lang w:val="fr-CA"/>
              </w:rPr>
              <w:t>AVIS DE DÉSISTEMENT DÉPOSÉS DEPUIS LA DERNIÈRE PARUTION</w:t>
            </w:r>
          </w:p>
        </w:tc>
      </w:tr>
    </w:tbl>
    <w:p w:rsidR="00802863" w:rsidRPr="00C50A5C" w:rsidRDefault="00802863" w:rsidP="00802863">
      <w:pPr>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080"/>
        <w:gridCol w:w="4417"/>
      </w:tblGrid>
      <w:tr w:rsidR="00802863" w:rsidRPr="00C50A5C" w:rsidTr="00C1697B">
        <w:trPr>
          <w:cantSplit/>
        </w:trPr>
        <w:tc>
          <w:tcPr>
            <w:tcW w:w="4338" w:type="dxa"/>
            <w:shd w:val="clear" w:color="auto" w:fill="auto"/>
          </w:tcPr>
          <w:p w:rsidR="00C1697B" w:rsidRPr="003C4E56" w:rsidRDefault="009B199B" w:rsidP="00C1697B">
            <w:pPr>
              <w:rPr>
                <w:sz w:val="20"/>
                <w:szCs w:val="20"/>
                <w:lang w:val="fr-CA"/>
              </w:rPr>
            </w:pPr>
            <w:r w:rsidRPr="003C4E56">
              <w:rPr>
                <w:sz w:val="20"/>
                <w:szCs w:val="20"/>
                <w:lang w:val="fr-CA"/>
              </w:rPr>
              <w:t>30</w:t>
            </w:r>
            <w:r w:rsidR="00C1697B" w:rsidRPr="003C4E56">
              <w:rPr>
                <w:sz w:val="20"/>
                <w:szCs w:val="20"/>
                <w:lang w:val="fr-CA"/>
              </w:rPr>
              <w:t>.</w:t>
            </w:r>
            <w:r w:rsidRPr="003C4E56">
              <w:rPr>
                <w:sz w:val="20"/>
                <w:szCs w:val="20"/>
                <w:lang w:val="fr-CA"/>
              </w:rPr>
              <w:t>1</w:t>
            </w:r>
            <w:r w:rsidR="00C1697B" w:rsidRPr="003C4E56">
              <w:rPr>
                <w:sz w:val="20"/>
                <w:szCs w:val="20"/>
                <w:lang w:val="fr-CA"/>
              </w:rPr>
              <w:t>0.201</w:t>
            </w:r>
            <w:r w:rsidRPr="003C4E56">
              <w:rPr>
                <w:sz w:val="20"/>
                <w:szCs w:val="20"/>
                <w:lang w:val="fr-CA"/>
              </w:rPr>
              <w:t>2</w:t>
            </w:r>
          </w:p>
          <w:p w:rsidR="00C1697B" w:rsidRPr="003C4E56" w:rsidRDefault="00C1697B" w:rsidP="00C1697B">
            <w:pPr>
              <w:rPr>
                <w:sz w:val="20"/>
                <w:szCs w:val="20"/>
                <w:lang w:val="fr-CA"/>
              </w:rPr>
            </w:pPr>
          </w:p>
          <w:p w:rsidR="00C1697B" w:rsidRPr="009B199B" w:rsidRDefault="009B199B" w:rsidP="00C1697B">
            <w:pPr>
              <w:rPr>
                <w:b/>
                <w:sz w:val="20"/>
                <w:szCs w:val="20"/>
                <w:lang w:val="fr-CA"/>
              </w:rPr>
            </w:pPr>
            <w:r w:rsidRPr="009B199B">
              <w:rPr>
                <w:b/>
                <w:sz w:val="20"/>
                <w:szCs w:val="20"/>
                <w:lang w:val="fr-CA"/>
              </w:rPr>
              <w:t>SNC-Lavalin E</w:t>
            </w:r>
            <w:r w:rsidR="00C1697B" w:rsidRPr="009B199B">
              <w:rPr>
                <w:b/>
                <w:sz w:val="20"/>
                <w:szCs w:val="20"/>
                <w:lang w:val="fr-CA"/>
              </w:rPr>
              <w:t>n</w:t>
            </w:r>
            <w:r w:rsidRPr="009B199B">
              <w:rPr>
                <w:b/>
                <w:sz w:val="20"/>
                <w:szCs w:val="20"/>
                <w:lang w:val="fr-CA"/>
              </w:rPr>
              <w:t>vironnemen</w:t>
            </w:r>
            <w:r w:rsidR="00C1697B" w:rsidRPr="009B199B">
              <w:rPr>
                <w:b/>
                <w:sz w:val="20"/>
                <w:szCs w:val="20"/>
                <w:lang w:val="fr-CA"/>
              </w:rPr>
              <w:t>t</w:t>
            </w:r>
            <w:r w:rsidRPr="009B199B">
              <w:rPr>
                <w:b/>
                <w:sz w:val="20"/>
                <w:szCs w:val="20"/>
                <w:lang w:val="fr-CA"/>
              </w:rPr>
              <w:t xml:space="preserve"> i</w:t>
            </w:r>
            <w:r w:rsidR="00C1697B" w:rsidRPr="009B199B">
              <w:rPr>
                <w:b/>
                <w:sz w:val="20"/>
                <w:szCs w:val="20"/>
                <w:lang w:val="fr-CA"/>
              </w:rPr>
              <w:t>nc.</w:t>
            </w:r>
            <w:r w:rsidRPr="009B199B">
              <w:rPr>
                <w:b/>
                <w:sz w:val="20"/>
                <w:szCs w:val="20"/>
                <w:lang w:val="fr-CA"/>
              </w:rPr>
              <w:t xml:space="preserve"> et autre</w:t>
            </w:r>
          </w:p>
          <w:p w:rsidR="00C1697B" w:rsidRPr="009B199B" w:rsidRDefault="00C1697B" w:rsidP="00C1697B">
            <w:pPr>
              <w:rPr>
                <w:b/>
                <w:sz w:val="20"/>
                <w:szCs w:val="20"/>
                <w:lang w:val="fr-CA"/>
              </w:rPr>
            </w:pPr>
          </w:p>
          <w:p w:rsidR="00C1697B" w:rsidRPr="003C4E56" w:rsidRDefault="00C1697B" w:rsidP="00C1697B">
            <w:pPr>
              <w:rPr>
                <w:b/>
                <w:sz w:val="20"/>
                <w:szCs w:val="20"/>
                <w:lang w:val="fr-CA"/>
              </w:rPr>
            </w:pPr>
            <w:r w:rsidRPr="009B199B">
              <w:rPr>
                <w:b/>
                <w:sz w:val="20"/>
                <w:szCs w:val="20"/>
                <w:lang w:val="fr-CA"/>
              </w:rPr>
              <w:tab/>
            </w:r>
            <w:r w:rsidR="009B199B" w:rsidRPr="003C4E56">
              <w:rPr>
                <w:b/>
                <w:sz w:val="20"/>
                <w:szCs w:val="20"/>
                <w:lang w:val="fr-CA"/>
              </w:rPr>
              <w:t>c</w:t>
            </w:r>
            <w:r w:rsidRPr="003C4E56">
              <w:rPr>
                <w:b/>
                <w:sz w:val="20"/>
                <w:szCs w:val="20"/>
                <w:lang w:val="fr-CA"/>
              </w:rPr>
              <w:t>. (3</w:t>
            </w:r>
            <w:r w:rsidR="009B199B" w:rsidRPr="003C4E56">
              <w:rPr>
                <w:b/>
                <w:sz w:val="20"/>
                <w:szCs w:val="20"/>
                <w:lang w:val="fr-CA"/>
              </w:rPr>
              <w:t>5</w:t>
            </w:r>
            <w:r w:rsidRPr="003C4E56">
              <w:rPr>
                <w:b/>
                <w:sz w:val="20"/>
                <w:szCs w:val="20"/>
                <w:lang w:val="fr-CA"/>
              </w:rPr>
              <w:t>0</w:t>
            </w:r>
            <w:r w:rsidR="009B199B" w:rsidRPr="003C4E56">
              <w:rPr>
                <w:b/>
                <w:sz w:val="20"/>
                <w:szCs w:val="20"/>
                <w:lang w:val="fr-CA"/>
              </w:rPr>
              <w:t>04</w:t>
            </w:r>
            <w:r w:rsidRPr="003C4E56">
              <w:rPr>
                <w:b/>
                <w:sz w:val="20"/>
                <w:szCs w:val="20"/>
                <w:lang w:val="fr-CA"/>
              </w:rPr>
              <w:t>)</w:t>
            </w:r>
          </w:p>
          <w:p w:rsidR="00C1697B" w:rsidRPr="003C4E56" w:rsidRDefault="00C1697B" w:rsidP="00C1697B">
            <w:pPr>
              <w:rPr>
                <w:b/>
                <w:sz w:val="20"/>
                <w:szCs w:val="20"/>
                <w:lang w:val="fr-CA"/>
              </w:rPr>
            </w:pPr>
          </w:p>
          <w:p w:rsidR="00C1697B" w:rsidRPr="009B199B" w:rsidRDefault="009B199B" w:rsidP="00C1697B">
            <w:pPr>
              <w:rPr>
                <w:b/>
                <w:sz w:val="20"/>
                <w:szCs w:val="20"/>
                <w:lang w:val="fr-CA"/>
              </w:rPr>
            </w:pPr>
            <w:r w:rsidRPr="009B199B">
              <w:rPr>
                <w:b/>
                <w:sz w:val="20"/>
                <w:szCs w:val="20"/>
                <w:lang w:val="fr-CA"/>
              </w:rPr>
              <w:t>Laf</w:t>
            </w:r>
            <w:r w:rsidR="00C1697B" w:rsidRPr="009B199B">
              <w:rPr>
                <w:b/>
                <w:sz w:val="20"/>
                <w:szCs w:val="20"/>
                <w:lang w:val="fr-CA"/>
              </w:rPr>
              <w:t>a</w:t>
            </w:r>
            <w:r w:rsidRPr="009B199B">
              <w:rPr>
                <w:b/>
                <w:sz w:val="20"/>
                <w:szCs w:val="20"/>
                <w:lang w:val="fr-CA"/>
              </w:rPr>
              <w:t>rge Ca</w:t>
            </w:r>
            <w:r w:rsidR="00C1697B" w:rsidRPr="009B199B">
              <w:rPr>
                <w:b/>
                <w:sz w:val="20"/>
                <w:szCs w:val="20"/>
                <w:lang w:val="fr-CA"/>
              </w:rPr>
              <w:t>n</w:t>
            </w:r>
            <w:r w:rsidRPr="009B199B">
              <w:rPr>
                <w:b/>
                <w:sz w:val="20"/>
                <w:szCs w:val="20"/>
                <w:lang w:val="fr-CA"/>
              </w:rPr>
              <w:t>ada inc. et autres</w:t>
            </w:r>
            <w:r w:rsidR="00C1697B" w:rsidRPr="009B199B">
              <w:rPr>
                <w:b/>
                <w:sz w:val="20"/>
                <w:szCs w:val="20"/>
                <w:lang w:val="fr-CA"/>
              </w:rPr>
              <w:t xml:space="preserve"> (</w:t>
            </w:r>
            <w:r w:rsidRPr="009B199B">
              <w:rPr>
                <w:b/>
                <w:sz w:val="20"/>
                <w:szCs w:val="20"/>
                <w:lang w:val="fr-CA"/>
              </w:rPr>
              <w:t>Qc</w:t>
            </w:r>
            <w:r w:rsidR="00C1697B" w:rsidRPr="009B199B">
              <w:rPr>
                <w:b/>
                <w:sz w:val="20"/>
                <w:szCs w:val="20"/>
                <w:lang w:val="fr-CA"/>
              </w:rPr>
              <w:t xml:space="preserve">) </w:t>
            </w:r>
          </w:p>
          <w:p w:rsidR="00C1697B" w:rsidRPr="009B199B" w:rsidRDefault="00C1697B" w:rsidP="00C1697B">
            <w:pPr>
              <w:rPr>
                <w:sz w:val="20"/>
                <w:szCs w:val="20"/>
                <w:lang w:val="fr-CA"/>
              </w:rPr>
            </w:pPr>
          </w:p>
          <w:p w:rsidR="00C1697B" w:rsidRPr="00C50A5C" w:rsidRDefault="00C1697B" w:rsidP="00C1697B">
            <w:pPr>
              <w:rPr>
                <w:sz w:val="20"/>
                <w:szCs w:val="20"/>
              </w:rPr>
            </w:pPr>
            <w:r w:rsidRPr="00C50A5C">
              <w:rPr>
                <w:sz w:val="20"/>
                <w:szCs w:val="20"/>
              </w:rPr>
              <w:t>(</w:t>
            </w:r>
            <w:r w:rsidR="009B199B">
              <w:rPr>
                <w:sz w:val="20"/>
                <w:szCs w:val="20"/>
              </w:rPr>
              <w:t>Autorisation</w:t>
            </w:r>
            <w:r w:rsidRPr="00C50A5C">
              <w:rPr>
                <w:sz w:val="20"/>
                <w:szCs w:val="20"/>
              </w:rPr>
              <w:t>)</w:t>
            </w:r>
          </w:p>
          <w:p w:rsidR="00802863" w:rsidRPr="00C50A5C" w:rsidRDefault="00802863" w:rsidP="00697C62">
            <w:pPr>
              <w:rPr>
                <w:sz w:val="20"/>
                <w:szCs w:val="20"/>
              </w:rPr>
            </w:pPr>
          </w:p>
          <w:p w:rsidR="00802863" w:rsidRPr="009B199B" w:rsidRDefault="00BF3B03" w:rsidP="00697C62">
            <w:pPr>
              <w:rPr>
                <w:sz w:val="20"/>
                <w:szCs w:val="20"/>
              </w:rPr>
            </w:pPr>
            <w:r w:rsidRPr="00BF3B03">
              <w:rPr>
                <w:sz w:val="20"/>
                <w:szCs w:val="20"/>
                <w:lang w:val="fr-CA"/>
              </w:rPr>
              <w:pict>
                <v:rect id="_x0000_i1093" style="width:108pt;height:1pt" o:hrpct="0" o:hralign="center" o:hrstd="t" o:hrnoshade="t" o:hr="t" fillcolor="black [3213]" stroked="f"/>
              </w:pict>
            </w:r>
          </w:p>
        </w:tc>
        <w:tc>
          <w:tcPr>
            <w:tcW w:w="1080" w:type="dxa"/>
            <w:shd w:val="clear" w:color="auto" w:fill="auto"/>
          </w:tcPr>
          <w:p w:rsidR="00802863" w:rsidRPr="009B199B" w:rsidRDefault="00802863"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p w:rsidR="003B3977" w:rsidRPr="009B199B" w:rsidRDefault="003B3977" w:rsidP="00802863">
            <w:pPr>
              <w:jc w:val="center"/>
              <w:rPr>
                <w:sz w:val="20"/>
                <w:szCs w:val="20"/>
              </w:rPr>
            </w:pPr>
          </w:p>
        </w:tc>
        <w:tc>
          <w:tcPr>
            <w:tcW w:w="4417" w:type="dxa"/>
            <w:shd w:val="clear" w:color="auto" w:fill="auto"/>
          </w:tcPr>
          <w:p w:rsidR="00802863" w:rsidRPr="009B199B" w:rsidRDefault="00802863" w:rsidP="00802863">
            <w:pPr>
              <w:rPr>
                <w:sz w:val="20"/>
                <w:szCs w:val="20"/>
              </w:rPr>
            </w:pPr>
          </w:p>
        </w:tc>
      </w:tr>
    </w:tbl>
    <w:p w:rsidR="00802863" w:rsidRPr="00C50A5C" w:rsidRDefault="00802863" w:rsidP="00802863">
      <w:pPr>
        <w:rPr>
          <w:sz w:val="20"/>
          <w:szCs w:val="20"/>
          <w:lang w:val="fr-CA"/>
        </w:rPr>
      </w:pPr>
    </w:p>
    <w:p w:rsidR="00802863" w:rsidRPr="00C50A5C" w:rsidRDefault="00802863" w:rsidP="00802863">
      <w:pPr>
        <w:rPr>
          <w:sz w:val="20"/>
          <w:szCs w:val="20"/>
        </w:rPr>
      </w:pPr>
    </w:p>
    <w:p w:rsidR="00802863" w:rsidRPr="00C50A5C" w:rsidRDefault="00802863" w:rsidP="00831CA9">
      <w:pPr>
        <w:jc w:val="both"/>
        <w:rPr>
          <w:sz w:val="20"/>
          <w:szCs w:val="20"/>
        </w:rPr>
        <w:sectPr w:rsidR="00802863" w:rsidRPr="00C50A5C" w:rsidSect="00802863">
          <w:headerReference w:type="even" r:id="rId41"/>
          <w:headerReference w:type="default" r:id="rId42"/>
          <w:footerReference w:type="even" r:id="rId43"/>
          <w:footerReference w:type="default" r:id="rId44"/>
          <w:headerReference w:type="first" r:id="rId45"/>
          <w:footerReference w:type="first" r:id="rId46"/>
          <w:pgSz w:w="12240" w:h="15840"/>
          <w:pgMar w:top="720" w:right="965" w:bottom="1080" w:left="1656" w:header="720" w:footer="965" w:gutter="0"/>
          <w:cols w:space="720"/>
          <w:titlePg/>
          <w:docGrid w:linePitch="272"/>
        </w:sectPr>
      </w:pPr>
    </w:p>
    <w:tbl>
      <w:tblPr>
        <w:tblW w:w="0" w:type="auto"/>
        <w:tblBorders>
          <w:bottom w:val="single" w:sz="8" w:space="0" w:color="auto"/>
        </w:tblBorders>
        <w:tblLayout w:type="fixed"/>
        <w:tblCellMar>
          <w:left w:w="0" w:type="dxa"/>
          <w:right w:w="0" w:type="dxa"/>
        </w:tblCellMar>
        <w:tblLook w:val="0000"/>
      </w:tblPr>
      <w:tblGrid>
        <w:gridCol w:w="4410"/>
        <w:gridCol w:w="720"/>
        <w:gridCol w:w="4350"/>
      </w:tblGrid>
      <w:tr w:rsidR="00732DB7" w:rsidRPr="00DC2D1F" w:rsidTr="0085476B">
        <w:trPr>
          <w:cantSplit/>
        </w:trPr>
        <w:tc>
          <w:tcPr>
            <w:tcW w:w="4410" w:type="dxa"/>
            <w:tcMar>
              <w:left w:w="0" w:type="dxa"/>
              <w:right w:w="0" w:type="dxa"/>
            </w:tcMar>
          </w:tcPr>
          <w:p w:rsidR="00C1697B" w:rsidRDefault="00732DB7" w:rsidP="00697C62">
            <w:pPr>
              <w:keepNext/>
              <w:keepLines/>
              <w:widowControl w:val="0"/>
              <w:jc w:val="both"/>
              <w:rPr>
                <w:b/>
                <w:szCs w:val="24"/>
              </w:rPr>
            </w:pPr>
            <w:r w:rsidRPr="00C1697B">
              <w:rPr>
                <w:b/>
                <w:szCs w:val="24"/>
              </w:rPr>
              <w:lastRenderedPageBreak/>
              <w:t>APPEALS HEARD SINCE LAST ISSUE AND DISPOSITION</w:t>
            </w:r>
          </w:p>
          <w:p w:rsidR="00732DB7" w:rsidRPr="00C1697B" w:rsidRDefault="00732DB7" w:rsidP="00C1697B">
            <w:pPr>
              <w:tabs>
                <w:tab w:val="left" w:pos="1116"/>
              </w:tabs>
              <w:rPr>
                <w:szCs w:val="24"/>
              </w:rPr>
            </w:pPr>
          </w:p>
        </w:tc>
        <w:tc>
          <w:tcPr>
            <w:tcW w:w="720" w:type="dxa"/>
            <w:tcMar>
              <w:left w:w="0" w:type="dxa"/>
              <w:right w:w="0" w:type="dxa"/>
            </w:tcMar>
          </w:tcPr>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tc>
        <w:tc>
          <w:tcPr>
            <w:tcW w:w="4350" w:type="dxa"/>
            <w:tcMar>
              <w:left w:w="0" w:type="dxa"/>
              <w:right w:w="0" w:type="dxa"/>
            </w:tcMar>
          </w:tcPr>
          <w:p w:rsidR="00732DB7" w:rsidRPr="00C1697B" w:rsidRDefault="00732DB7" w:rsidP="00697C62">
            <w:pPr>
              <w:keepNext/>
              <w:keepLines/>
              <w:widowControl w:val="0"/>
              <w:jc w:val="both"/>
              <w:rPr>
                <w:b/>
                <w:szCs w:val="24"/>
                <w:lang w:val="fr-CA"/>
              </w:rPr>
            </w:pPr>
            <w:r w:rsidRPr="00C1697B">
              <w:rPr>
                <w:b/>
                <w:szCs w:val="24"/>
                <w:lang w:val="fr-CA"/>
              </w:rPr>
              <w:t>APPELS ENTENDUS DEPUIS LA DERNIÈRE PARUTION ET RÉSULTAT</w:t>
            </w:r>
          </w:p>
        </w:tc>
      </w:tr>
    </w:tbl>
    <w:p w:rsidR="00732DB7" w:rsidRPr="00C50A5C" w:rsidRDefault="00732DB7" w:rsidP="00732DB7">
      <w:pPr>
        <w:widowControl w:val="0"/>
        <w:rPr>
          <w:sz w:val="20"/>
          <w:szCs w:val="20"/>
          <w:lang w:val="fr-CA"/>
        </w:rPr>
      </w:pPr>
    </w:p>
    <w:p w:rsidR="00732DB7" w:rsidRPr="00C50A5C" w:rsidRDefault="00B670AC" w:rsidP="00732DB7">
      <w:pPr>
        <w:widowControl w:val="0"/>
        <w:rPr>
          <w:sz w:val="20"/>
          <w:szCs w:val="20"/>
        </w:rPr>
      </w:pPr>
      <w:r>
        <w:rPr>
          <w:sz w:val="20"/>
          <w:szCs w:val="20"/>
        </w:rPr>
        <w:t>06</w:t>
      </w:r>
      <w:r w:rsidR="00732DB7" w:rsidRPr="00C50A5C">
        <w:rPr>
          <w:sz w:val="20"/>
          <w:szCs w:val="20"/>
        </w:rPr>
        <w:t>.</w:t>
      </w:r>
      <w:r>
        <w:rPr>
          <w:sz w:val="20"/>
          <w:szCs w:val="20"/>
        </w:rPr>
        <w:t>11</w:t>
      </w:r>
      <w:r w:rsidR="00732DB7" w:rsidRPr="00C50A5C">
        <w:rPr>
          <w:sz w:val="20"/>
          <w:szCs w:val="20"/>
        </w:rPr>
        <w:t>.201</w:t>
      </w:r>
      <w:r>
        <w:rPr>
          <w:sz w:val="20"/>
          <w:szCs w:val="20"/>
        </w:rPr>
        <w:t>2</w:t>
      </w:r>
    </w:p>
    <w:p w:rsidR="00732DB7" w:rsidRDefault="00732DB7" w:rsidP="00732DB7">
      <w:pPr>
        <w:widowControl w:val="0"/>
        <w:rPr>
          <w:sz w:val="20"/>
          <w:szCs w:val="20"/>
        </w:rPr>
      </w:pPr>
    </w:p>
    <w:p w:rsidR="00D8701C" w:rsidRPr="001637CA" w:rsidRDefault="00D8701C" w:rsidP="00D8701C">
      <w:pPr>
        <w:widowControl w:val="0"/>
        <w:tabs>
          <w:tab w:val="left" w:pos="720"/>
          <w:tab w:val="left" w:pos="1110"/>
          <w:tab w:val="left" w:pos="2851"/>
          <w:tab w:val="left" w:pos="4320"/>
          <w:tab w:val="left" w:pos="10224"/>
          <w:tab w:val="left" w:pos="11376"/>
        </w:tabs>
        <w:ind w:left="1110" w:hanging="1110"/>
        <w:rPr>
          <w:rFonts w:eastAsia="Calibri" w:cs="Times New Roman"/>
          <w:sz w:val="20"/>
          <w:szCs w:val="20"/>
        </w:rPr>
      </w:pPr>
      <w:r w:rsidRPr="001637CA">
        <w:rPr>
          <w:rFonts w:eastAsia="Calibri" w:cs="Times New Roman"/>
          <w:sz w:val="20"/>
          <w:szCs w:val="20"/>
        </w:rPr>
        <w:t xml:space="preserve">Coram: </w:t>
      </w:r>
      <w:r w:rsidRPr="001637CA">
        <w:rPr>
          <w:rFonts w:eastAsia="Calibri" w:cs="Times New Roman"/>
          <w:sz w:val="20"/>
          <w:szCs w:val="20"/>
        </w:rPr>
        <w:tab/>
      </w:r>
      <w:r w:rsidRPr="001637CA">
        <w:rPr>
          <w:rFonts w:eastAsia="Calibri" w:cs="Times New Roman"/>
          <w:sz w:val="20"/>
          <w:szCs w:val="20"/>
          <w:u w:val="single"/>
        </w:rPr>
        <w:t>McLachlin C.J. and LeBel, Abella, Rothstein, Cromwell, Moldaver and Karakatsanis JJ.</w:t>
      </w:r>
    </w:p>
    <w:p w:rsidR="00732DB7" w:rsidRPr="00C50A5C" w:rsidRDefault="00732DB7" w:rsidP="00732DB7">
      <w:pPr>
        <w:widowControl w:val="0"/>
        <w:rPr>
          <w:b/>
          <w:sz w:val="20"/>
          <w:szCs w:val="20"/>
        </w:rPr>
      </w:pPr>
    </w:p>
    <w:tbl>
      <w:tblPr>
        <w:tblW w:w="0" w:type="auto"/>
        <w:tblLayout w:type="fixed"/>
        <w:tblCellMar>
          <w:left w:w="0" w:type="dxa"/>
          <w:right w:w="0" w:type="dxa"/>
        </w:tblCellMar>
        <w:tblLook w:val="0000"/>
      </w:tblPr>
      <w:tblGrid>
        <w:gridCol w:w="4380"/>
        <w:gridCol w:w="720"/>
        <w:gridCol w:w="4380"/>
      </w:tblGrid>
      <w:tr w:rsidR="00732DB7" w:rsidRPr="00C50A5C" w:rsidTr="00697C62">
        <w:tc>
          <w:tcPr>
            <w:tcW w:w="4380" w:type="dxa"/>
            <w:tcMar>
              <w:left w:w="0" w:type="dxa"/>
              <w:right w:w="0" w:type="dxa"/>
            </w:tcMar>
          </w:tcPr>
          <w:p w:rsidR="00732DB7" w:rsidRPr="00C50A5C" w:rsidRDefault="00B670AC" w:rsidP="00C1697B">
            <w:pPr>
              <w:widowControl w:val="0"/>
              <w:jc w:val="both"/>
              <w:rPr>
                <w:b/>
                <w:sz w:val="20"/>
                <w:szCs w:val="20"/>
              </w:rPr>
            </w:pPr>
            <w:r>
              <w:rPr>
                <w:b/>
                <w:sz w:val="20"/>
                <w:szCs w:val="20"/>
              </w:rPr>
              <w:t>Attorney General of Canada</w:t>
            </w:r>
          </w:p>
          <w:p w:rsidR="00732DB7" w:rsidRPr="00C50A5C" w:rsidRDefault="00732DB7" w:rsidP="00C1697B">
            <w:pPr>
              <w:widowControl w:val="0"/>
              <w:jc w:val="both"/>
              <w:rPr>
                <w:b/>
                <w:sz w:val="20"/>
                <w:szCs w:val="20"/>
              </w:rPr>
            </w:pPr>
          </w:p>
          <w:p w:rsidR="00732DB7" w:rsidRPr="00C50A5C" w:rsidRDefault="00732DB7" w:rsidP="00C1697B">
            <w:pPr>
              <w:widowControl w:val="0"/>
              <w:tabs>
                <w:tab w:val="left" w:pos="736"/>
              </w:tabs>
              <w:jc w:val="both"/>
              <w:rPr>
                <w:b/>
                <w:sz w:val="20"/>
                <w:szCs w:val="20"/>
              </w:rPr>
            </w:pPr>
            <w:r w:rsidRPr="00C50A5C">
              <w:rPr>
                <w:b/>
                <w:sz w:val="20"/>
                <w:szCs w:val="20"/>
              </w:rPr>
              <w:tab/>
              <w:t>v. (3</w:t>
            </w:r>
            <w:r w:rsidR="00B670AC">
              <w:rPr>
                <w:b/>
                <w:sz w:val="20"/>
                <w:szCs w:val="20"/>
              </w:rPr>
              <w:t>4147</w:t>
            </w:r>
            <w:r w:rsidRPr="00C50A5C">
              <w:rPr>
                <w:b/>
                <w:sz w:val="20"/>
                <w:szCs w:val="20"/>
              </w:rPr>
              <w:t>)</w:t>
            </w:r>
          </w:p>
          <w:p w:rsidR="00732DB7" w:rsidRPr="00C50A5C" w:rsidRDefault="00732DB7" w:rsidP="00C1697B">
            <w:pPr>
              <w:widowControl w:val="0"/>
              <w:jc w:val="both"/>
              <w:rPr>
                <w:b/>
                <w:sz w:val="20"/>
                <w:szCs w:val="20"/>
              </w:rPr>
            </w:pPr>
          </w:p>
          <w:p w:rsidR="00732DB7" w:rsidRPr="00B670AC" w:rsidRDefault="00B670AC" w:rsidP="00B670AC">
            <w:pPr>
              <w:widowControl w:val="0"/>
              <w:jc w:val="both"/>
              <w:rPr>
                <w:sz w:val="20"/>
                <w:szCs w:val="20"/>
              </w:rPr>
            </w:pPr>
            <w:r>
              <w:rPr>
                <w:b/>
                <w:sz w:val="20"/>
                <w:szCs w:val="20"/>
              </w:rPr>
              <w:t xml:space="preserve">Robert Kane </w:t>
            </w:r>
            <w:r w:rsidR="00732DB7" w:rsidRPr="00C50A5C">
              <w:rPr>
                <w:b/>
                <w:sz w:val="20"/>
                <w:szCs w:val="20"/>
              </w:rPr>
              <w:t>(</w:t>
            </w:r>
            <w:r>
              <w:rPr>
                <w:b/>
                <w:sz w:val="20"/>
                <w:szCs w:val="20"/>
              </w:rPr>
              <w:t>F</w:t>
            </w:r>
            <w:r w:rsidR="00732DB7" w:rsidRPr="00C50A5C">
              <w:rPr>
                <w:b/>
                <w:sz w:val="20"/>
                <w:szCs w:val="20"/>
              </w:rPr>
              <w:t>.C.) (Civil) (By Leave)</w:t>
            </w:r>
          </w:p>
        </w:tc>
        <w:tc>
          <w:tcPr>
            <w:tcW w:w="720" w:type="dxa"/>
            <w:tcMar>
              <w:left w:w="0" w:type="dxa"/>
              <w:right w:w="0" w:type="dxa"/>
            </w:tcMar>
          </w:tcPr>
          <w:p w:rsidR="00732DB7" w:rsidRPr="00B670AC" w:rsidRDefault="00732DB7" w:rsidP="00732DB7">
            <w:pPr>
              <w:widowControl w:val="0"/>
              <w:jc w:val="center"/>
              <w:rPr>
                <w:sz w:val="20"/>
                <w:szCs w:val="20"/>
              </w:rPr>
            </w:pPr>
          </w:p>
        </w:tc>
        <w:tc>
          <w:tcPr>
            <w:tcW w:w="4380" w:type="dxa"/>
            <w:tcMar>
              <w:left w:w="0" w:type="dxa"/>
              <w:right w:w="0" w:type="dxa"/>
            </w:tcMar>
          </w:tcPr>
          <w:p w:rsidR="00D8701C" w:rsidRPr="00601BB3" w:rsidRDefault="00D8701C" w:rsidP="00D8701C">
            <w:pPr>
              <w:tabs>
                <w:tab w:val="left" w:pos="-2970"/>
              </w:tabs>
              <w:jc w:val="both"/>
              <w:rPr>
                <w:sz w:val="20"/>
                <w:szCs w:val="20"/>
                <w:lang w:val="en-US"/>
              </w:rPr>
            </w:pPr>
            <w:r w:rsidRPr="00601BB3">
              <w:rPr>
                <w:sz w:val="20"/>
                <w:szCs w:val="20"/>
                <w:lang w:val="en-US"/>
              </w:rPr>
              <w:t>Christopher Rupar</w:t>
            </w:r>
            <w:r>
              <w:rPr>
                <w:sz w:val="20"/>
                <w:szCs w:val="20"/>
                <w:lang w:val="en-US"/>
              </w:rPr>
              <w:t xml:space="preserve"> and </w:t>
            </w:r>
            <w:r w:rsidRPr="00601BB3">
              <w:rPr>
                <w:sz w:val="20"/>
                <w:szCs w:val="20"/>
                <w:lang w:val="en-US"/>
              </w:rPr>
              <w:t>Fran</w:t>
            </w:r>
            <w:r w:rsidRPr="00601BB3">
              <w:rPr>
                <w:sz w:val="20"/>
                <w:szCs w:val="20"/>
              </w:rPr>
              <w:t>çois Joyal f</w:t>
            </w:r>
            <w:r w:rsidRPr="00601BB3">
              <w:rPr>
                <w:sz w:val="20"/>
                <w:szCs w:val="20"/>
                <w:lang w:val="en-US"/>
              </w:rPr>
              <w:t xml:space="preserve">or the </w:t>
            </w:r>
            <w:r>
              <w:rPr>
                <w:sz w:val="20"/>
                <w:szCs w:val="20"/>
                <w:lang w:val="en-US"/>
              </w:rPr>
              <w:t>a</w:t>
            </w:r>
            <w:r w:rsidRPr="00601BB3">
              <w:rPr>
                <w:sz w:val="20"/>
                <w:szCs w:val="20"/>
                <w:lang w:val="en-US"/>
              </w:rPr>
              <w:t>ppellant.</w:t>
            </w:r>
          </w:p>
          <w:p w:rsidR="00D8701C" w:rsidRPr="00601BB3" w:rsidRDefault="00D8701C" w:rsidP="00D8701C">
            <w:pPr>
              <w:tabs>
                <w:tab w:val="left" w:pos="-2970"/>
              </w:tabs>
              <w:jc w:val="both"/>
              <w:rPr>
                <w:sz w:val="20"/>
                <w:szCs w:val="20"/>
              </w:rPr>
            </w:pPr>
          </w:p>
          <w:p w:rsidR="00732DB7" w:rsidRPr="00C50A5C" w:rsidRDefault="00D8701C" w:rsidP="00D8701C">
            <w:pPr>
              <w:widowControl w:val="0"/>
              <w:jc w:val="both"/>
              <w:rPr>
                <w:sz w:val="20"/>
                <w:szCs w:val="20"/>
              </w:rPr>
            </w:pPr>
            <w:r w:rsidRPr="00601BB3">
              <w:rPr>
                <w:sz w:val="20"/>
                <w:szCs w:val="20"/>
                <w:lang w:val="en-US"/>
              </w:rPr>
              <w:t>Andrew Raven</w:t>
            </w:r>
            <w:r>
              <w:rPr>
                <w:sz w:val="20"/>
                <w:szCs w:val="20"/>
                <w:lang w:val="en-US"/>
              </w:rPr>
              <w:t xml:space="preserve"> and </w:t>
            </w:r>
            <w:r w:rsidRPr="00601BB3">
              <w:rPr>
                <w:sz w:val="20"/>
                <w:szCs w:val="20"/>
                <w:lang w:val="en-US"/>
              </w:rPr>
              <w:t>Andrew A</w:t>
            </w:r>
            <w:r w:rsidR="00AF31B3">
              <w:rPr>
                <w:sz w:val="20"/>
                <w:szCs w:val="20"/>
                <w:lang w:val="en-US"/>
              </w:rPr>
              <w:t>s</w:t>
            </w:r>
            <w:r w:rsidRPr="00601BB3">
              <w:rPr>
                <w:sz w:val="20"/>
                <w:szCs w:val="20"/>
                <w:lang w:val="en-US"/>
              </w:rPr>
              <w:t>tritis</w:t>
            </w:r>
            <w:r>
              <w:rPr>
                <w:sz w:val="20"/>
                <w:szCs w:val="20"/>
                <w:lang w:val="en-US"/>
              </w:rPr>
              <w:t xml:space="preserve"> f</w:t>
            </w:r>
            <w:r w:rsidRPr="00601BB3">
              <w:rPr>
                <w:sz w:val="20"/>
                <w:szCs w:val="20"/>
                <w:lang w:val="en-US"/>
              </w:rPr>
              <w:t xml:space="preserve">or the </w:t>
            </w:r>
            <w:r>
              <w:rPr>
                <w:sz w:val="20"/>
                <w:szCs w:val="20"/>
                <w:lang w:val="en-US"/>
              </w:rPr>
              <w:t>r</w:t>
            </w:r>
            <w:r w:rsidRPr="00601BB3">
              <w:rPr>
                <w:sz w:val="20"/>
                <w:szCs w:val="20"/>
                <w:lang w:val="en-US"/>
              </w:rPr>
              <w:t>espondent</w:t>
            </w:r>
            <w:r>
              <w:rPr>
                <w:sz w:val="20"/>
                <w:szCs w:val="20"/>
                <w:lang w:val="en-US"/>
              </w:rPr>
              <w:t>.</w:t>
            </w:r>
          </w:p>
        </w:tc>
      </w:tr>
    </w:tbl>
    <w:p w:rsidR="00C1697B" w:rsidRDefault="00C1697B" w:rsidP="00C1697B">
      <w:pPr>
        <w:widowControl w:val="0"/>
      </w:pPr>
    </w:p>
    <w:p w:rsidR="00C1697B" w:rsidRPr="0085476B" w:rsidRDefault="00C1697B" w:rsidP="00C1697B">
      <w:pPr>
        <w:widowControl w:val="0"/>
        <w:rPr>
          <w:sz w:val="20"/>
          <w:szCs w:val="20"/>
        </w:rPr>
      </w:pPr>
      <w:r w:rsidRPr="0085476B">
        <w:rPr>
          <w:b/>
          <w:sz w:val="20"/>
          <w:szCs w:val="20"/>
        </w:rPr>
        <w:t xml:space="preserve">RESERVED / </w:t>
      </w:r>
      <w:r w:rsidRPr="0085476B">
        <w:rPr>
          <w:b/>
          <w:sz w:val="20"/>
          <w:szCs w:val="20"/>
          <w:lang w:val="fr-CA"/>
        </w:rPr>
        <w:t>EN DÉLIBÉRÉ</w:t>
      </w:r>
    </w:p>
    <w:p w:rsidR="00C1697B" w:rsidRDefault="00C1697B"/>
    <w:tbl>
      <w:tblPr>
        <w:tblW w:w="0" w:type="auto"/>
        <w:tblLayout w:type="fixed"/>
        <w:tblCellMar>
          <w:left w:w="0" w:type="dxa"/>
          <w:right w:w="0" w:type="dxa"/>
        </w:tblCellMar>
        <w:tblLook w:val="0000"/>
      </w:tblPr>
      <w:tblGrid>
        <w:gridCol w:w="4380"/>
        <w:gridCol w:w="720"/>
        <w:gridCol w:w="4380"/>
      </w:tblGrid>
      <w:tr w:rsidR="00C1697B" w:rsidRPr="00DC2D1F" w:rsidTr="00C1697B">
        <w:tc>
          <w:tcPr>
            <w:tcW w:w="4380" w:type="dxa"/>
            <w:tcMar>
              <w:left w:w="0" w:type="dxa"/>
              <w:right w:w="0" w:type="dxa"/>
            </w:tcMar>
          </w:tcPr>
          <w:p w:rsidR="00C1697B" w:rsidRPr="00CC4D84" w:rsidRDefault="00C1697B" w:rsidP="00C1697B">
            <w:pPr>
              <w:widowControl w:val="0"/>
              <w:jc w:val="both"/>
              <w:rPr>
                <w:b/>
                <w:sz w:val="20"/>
                <w:szCs w:val="20"/>
                <w:u w:val="single"/>
              </w:rPr>
            </w:pPr>
            <w:r w:rsidRPr="00CC4D84">
              <w:rPr>
                <w:b/>
                <w:sz w:val="20"/>
                <w:szCs w:val="20"/>
                <w:u w:val="single"/>
              </w:rPr>
              <w:t>Nature of the case:</w:t>
            </w:r>
          </w:p>
          <w:p w:rsidR="00C1697B" w:rsidRPr="00C1697B" w:rsidRDefault="00C1697B" w:rsidP="00C1697B">
            <w:pPr>
              <w:widowControl w:val="0"/>
              <w:jc w:val="both"/>
              <w:rPr>
                <w:b/>
                <w:sz w:val="20"/>
                <w:szCs w:val="20"/>
              </w:rPr>
            </w:pPr>
          </w:p>
          <w:p w:rsidR="00C1697B" w:rsidRPr="00C1697B" w:rsidRDefault="000851FB" w:rsidP="000851FB">
            <w:pPr>
              <w:widowControl w:val="0"/>
              <w:jc w:val="both"/>
              <w:rPr>
                <w:b/>
                <w:sz w:val="20"/>
                <w:szCs w:val="20"/>
              </w:rPr>
            </w:pPr>
            <w:r w:rsidRPr="00E00139">
              <w:rPr>
                <w:sz w:val="20"/>
                <w:szCs w:val="20"/>
              </w:rPr>
              <w:t xml:space="preserve">Administrative law </w:t>
            </w:r>
            <w:r w:rsidRPr="00E00139">
              <w:rPr>
                <w:sz w:val="20"/>
                <w:szCs w:val="20"/>
              </w:rPr>
              <w:noBreakHyphen/>
              <w:t xml:space="preserve"> Standard of review </w:t>
            </w:r>
            <w:r w:rsidRPr="00E00139">
              <w:rPr>
                <w:sz w:val="20"/>
                <w:szCs w:val="20"/>
              </w:rPr>
              <w:noBreakHyphen/>
              <w:t xml:space="preserve"> Whether the Court of Appeal failed to provide proper deference to the Tribunal’s decision that there was no abuse of authority </w:t>
            </w:r>
            <w:r w:rsidRPr="00E00139">
              <w:rPr>
                <w:sz w:val="20"/>
                <w:szCs w:val="20"/>
              </w:rPr>
              <w:noBreakHyphen/>
              <w:t xml:space="preserve"> Whether the Court of Appeal erred in broadly interpreting and applying the term “abuse of authority” as found in para. 77(1</w:t>
            </w:r>
            <w:proofErr w:type="gramStart"/>
            <w:r w:rsidRPr="00E00139">
              <w:rPr>
                <w:sz w:val="20"/>
                <w:szCs w:val="20"/>
              </w:rPr>
              <w:t>)(</w:t>
            </w:r>
            <w:proofErr w:type="gramEnd"/>
            <w:r w:rsidRPr="00E00139">
              <w:rPr>
                <w:sz w:val="20"/>
                <w:szCs w:val="20"/>
              </w:rPr>
              <w:t xml:space="preserve">b) of the </w:t>
            </w:r>
            <w:r w:rsidRPr="00E00139">
              <w:rPr>
                <w:i/>
                <w:sz w:val="20"/>
                <w:szCs w:val="20"/>
              </w:rPr>
              <w:t>Public Service Employment Act</w:t>
            </w:r>
            <w:r w:rsidRPr="00E00139">
              <w:rPr>
                <w:sz w:val="20"/>
                <w:szCs w:val="20"/>
              </w:rPr>
              <w:t xml:space="preserve">. </w:t>
            </w:r>
          </w:p>
        </w:tc>
        <w:tc>
          <w:tcPr>
            <w:tcW w:w="720" w:type="dxa"/>
            <w:tcMar>
              <w:left w:w="0" w:type="dxa"/>
              <w:right w:w="0" w:type="dxa"/>
            </w:tcMar>
          </w:tcPr>
          <w:p w:rsidR="00C1697B" w:rsidRPr="00C1697B" w:rsidRDefault="00C1697B" w:rsidP="00C1697B">
            <w:pPr>
              <w:widowControl w:val="0"/>
              <w:jc w:val="center"/>
              <w:rPr>
                <w:sz w:val="20"/>
                <w:szCs w:val="20"/>
              </w:rPr>
            </w:pPr>
          </w:p>
        </w:tc>
        <w:tc>
          <w:tcPr>
            <w:tcW w:w="4380" w:type="dxa"/>
            <w:tcMar>
              <w:left w:w="0" w:type="dxa"/>
              <w:right w:w="0" w:type="dxa"/>
            </w:tcMar>
          </w:tcPr>
          <w:p w:rsidR="00C1697B" w:rsidRPr="00CC4D84" w:rsidRDefault="00C1697B" w:rsidP="00C1697B">
            <w:pPr>
              <w:widowControl w:val="0"/>
              <w:jc w:val="both"/>
              <w:rPr>
                <w:b/>
                <w:sz w:val="20"/>
                <w:szCs w:val="20"/>
                <w:u w:val="single"/>
                <w:lang w:val="fr-CA"/>
              </w:rPr>
            </w:pPr>
            <w:r w:rsidRPr="00CC4D84">
              <w:rPr>
                <w:b/>
                <w:sz w:val="20"/>
                <w:szCs w:val="20"/>
                <w:u w:val="single"/>
                <w:lang w:val="fr-CA"/>
              </w:rPr>
              <w:t>Nature de la cause :</w:t>
            </w:r>
          </w:p>
          <w:p w:rsidR="00C1697B" w:rsidRPr="00C1697B" w:rsidRDefault="00C1697B" w:rsidP="00C1697B">
            <w:pPr>
              <w:widowControl w:val="0"/>
              <w:jc w:val="both"/>
              <w:rPr>
                <w:sz w:val="20"/>
                <w:szCs w:val="20"/>
                <w:lang w:val="fr-CA"/>
              </w:rPr>
            </w:pPr>
          </w:p>
          <w:p w:rsidR="00C1697B" w:rsidRPr="00C1697B" w:rsidRDefault="000851FB" w:rsidP="000851FB">
            <w:pPr>
              <w:widowControl w:val="0"/>
              <w:jc w:val="both"/>
              <w:rPr>
                <w:sz w:val="20"/>
                <w:szCs w:val="20"/>
                <w:lang w:val="fr-CA"/>
              </w:rPr>
            </w:pPr>
            <w:r w:rsidRPr="00E934C0">
              <w:rPr>
                <w:sz w:val="20"/>
                <w:szCs w:val="20"/>
                <w:lang w:val="fr-CA"/>
              </w:rPr>
              <w:t xml:space="preserve">Droit administratif </w:t>
            </w:r>
            <w:r w:rsidRPr="00E934C0">
              <w:rPr>
                <w:sz w:val="20"/>
                <w:szCs w:val="20"/>
                <w:lang w:val="fr-CA"/>
              </w:rPr>
              <w:noBreakHyphen/>
              <w:t xml:space="preserve"> Norme de contrôle </w:t>
            </w:r>
            <w:r w:rsidRPr="00E934C0">
              <w:rPr>
                <w:sz w:val="20"/>
                <w:szCs w:val="20"/>
                <w:lang w:val="fr-CA"/>
              </w:rPr>
              <w:noBreakHyphen/>
              <w:t xml:space="preserve"> La Cour d’appel a</w:t>
            </w:r>
            <w:r w:rsidRPr="00E934C0">
              <w:rPr>
                <w:sz w:val="20"/>
                <w:szCs w:val="20"/>
                <w:lang w:val="fr-CA"/>
              </w:rPr>
              <w:noBreakHyphen/>
              <w:t>t</w:t>
            </w:r>
            <w:r w:rsidRPr="00E934C0">
              <w:rPr>
                <w:sz w:val="20"/>
                <w:szCs w:val="20"/>
                <w:lang w:val="fr-CA"/>
              </w:rPr>
              <w:noBreakHyphen/>
              <w:t xml:space="preserve">elle omis de faire preuve de déférence à l’égard de la décision du Tribunal selon laquelle il n’y avait pas eu d’abus de pouvoir? </w:t>
            </w:r>
            <w:r w:rsidRPr="00E934C0">
              <w:rPr>
                <w:sz w:val="20"/>
                <w:szCs w:val="20"/>
                <w:lang w:val="fr-CA"/>
              </w:rPr>
              <w:noBreakHyphen/>
              <w:t xml:space="preserve"> La Cour d’appel a</w:t>
            </w:r>
            <w:r w:rsidRPr="00E934C0">
              <w:rPr>
                <w:sz w:val="20"/>
                <w:szCs w:val="20"/>
                <w:lang w:val="fr-CA"/>
              </w:rPr>
              <w:noBreakHyphen/>
              <w:t>t</w:t>
            </w:r>
            <w:r w:rsidRPr="00E934C0">
              <w:rPr>
                <w:sz w:val="20"/>
                <w:szCs w:val="20"/>
                <w:lang w:val="fr-CA"/>
              </w:rPr>
              <w:noBreakHyphen/>
              <w:t xml:space="preserve">elle commis une erreur en interprétant et en appliquant libéralement l’expression « abus de pouvoir » prévue à l’al. 77(1)b) de la </w:t>
            </w:r>
            <w:r w:rsidRPr="00E934C0">
              <w:rPr>
                <w:i/>
                <w:sz w:val="20"/>
                <w:szCs w:val="20"/>
                <w:lang w:val="fr-CA"/>
              </w:rPr>
              <w:t>Loi sur l’emploi dans la fonction publique</w:t>
            </w:r>
            <w:r w:rsidRPr="00E934C0">
              <w:rPr>
                <w:sz w:val="20"/>
                <w:szCs w:val="20"/>
                <w:lang w:val="fr-CA"/>
              </w:rPr>
              <w:t xml:space="preserve">? </w:t>
            </w:r>
          </w:p>
        </w:tc>
      </w:tr>
    </w:tbl>
    <w:p w:rsidR="00732DB7" w:rsidRDefault="00732DB7" w:rsidP="00732DB7">
      <w:pPr>
        <w:widowControl w:val="0"/>
        <w:rPr>
          <w:sz w:val="20"/>
          <w:szCs w:val="20"/>
          <w:lang w:val="fr-CA"/>
        </w:rPr>
      </w:pPr>
    </w:p>
    <w:p w:rsidR="002A27D1" w:rsidRDefault="00BF3B03" w:rsidP="002A27D1">
      <w:pPr>
        <w:widowControl w:val="0"/>
        <w:rPr>
          <w:sz w:val="20"/>
          <w:szCs w:val="20"/>
        </w:rPr>
      </w:pPr>
      <w:r w:rsidRPr="00BF3B03">
        <w:rPr>
          <w:sz w:val="20"/>
          <w:szCs w:val="20"/>
          <w:lang w:val="fr-CA"/>
        </w:rPr>
        <w:pict>
          <v:rect id="_x0000_i1096" style="width:2in;height:1pt" o:hrpct="0" o:hralign="center" o:hrstd="t" o:hrnoshade="t" o:hr="t" fillcolor="black [3213]" stroked="f"/>
        </w:pict>
      </w:r>
    </w:p>
    <w:p w:rsidR="002A27D1" w:rsidRDefault="002A27D1" w:rsidP="002A27D1">
      <w:pPr>
        <w:widowControl w:val="0"/>
        <w:rPr>
          <w:sz w:val="20"/>
          <w:szCs w:val="20"/>
        </w:rPr>
      </w:pPr>
    </w:p>
    <w:p w:rsidR="00B670AC" w:rsidRPr="00C50A5C" w:rsidRDefault="00B670AC" w:rsidP="00B670AC">
      <w:pPr>
        <w:widowControl w:val="0"/>
        <w:rPr>
          <w:sz w:val="20"/>
          <w:szCs w:val="20"/>
        </w:rPr>
      </w:pPr>
      <w:r>
        <w:rPr>
          <w:sz w:val="20"/>
          <w:szCs w:val="20"/>
        </w:rPr>
        <w:t>07</w:t>
      </w:r>
      <w:r w:rsidRPr="00C50A5C">
        <w:rPr>
          <w:sz w:val="20"/>
          <w:szCs w:val="20"/>
        </w:rPr>
        <w:t>.</w:t>
      </w:r>
      <w:r>
        <w:rPr>
          <w:sz w:val="20"/>
          <w:szCs w:val="20"/>
        </w:rPr>
        <w:t>11</w:t>
      </w:r>
      <w:r w:rsidRPr="00C50A5C">
        <w:rPr>
          <w:sz w:val="20"/>
          <w:szCs w:val="20"/>
        </w:rPr>
        <w:t>.201</w:t>
      </w:r>
      <w:r>
        <w:rPr>
          <w:sz w:val="20"/>
          <w:szCs w:val="20"/>
        </w:rPr>
        <w:t>2</w:t>
      </w:r>
    </w:p>
    <w:p w:rsidR="00B670AC" w:rsidRDefault="00B670AC" w:rsidP="00B670AC">
      <w:pPr>
        <w:widowControl w:val="0"/>
        <w:rPr>
          <w:sz w:val="20"/>
          <w:szCs w:val="20"/>
        </w:rPr>
      </w:pPr>
    </w:p>
    <w:p w:rsidR="00D8701C" w:rsidRPr="00B0645D" w:rsidRDefault="00D8701C" w:rsidP="00D8701C">
      <w:pPr>
        <w:widowControl w:val="0"/>
        <w:tabs>
          <w:tab w:val="left" w:pos="720"/>
          <w:tab w:val="left" w:pos="1110"/>
          <w:tab w:val="left" w:pos="2851"/>
          <w:tab w:val="left" w:pos="4320"/>
          <w:tab w:val="left" w:pos="10224"/>
          <w:tab w:val="left" w:pos="11376"/>
        </w:tabs>
        <w:ind w:left="1110" w:hanging="1110"/>
        <w:rPr>
          <w:rFonts w:eastAsia="Calibri" w:cs="Times New Roman"/>
          <w:sz w:val="20"/>
          <w:szCs w:val="20"/>
        </w:rPr>
      </w:pPr>
      <w:r w:rsidRPr="00B0645D">
        <w:rPr>
          <w:rFonts w:eastAsia="Calibri" w:cs="Times New Roman"/>
          <w:sz w:val="20"/>
          <w:szCs w:val="20"/>
        </w:rPr>
        <w:t xml:space="preserve">Coram: </w:t>
      </w:r>
      <w:r w:rsidRPr="00B0645D">
        <w:rPr>
          <w:rFonts w:eastAsia="Calibri" w:cs="Times New Roman"/>
          <w:sz w:val="20"/>
          <w:szCs w:val="20"/>
        </w:rPr>
        <w:tab/>
      </w:r>
      <w:r w:rsidRPr="00B0645D">
        <w:rPr>
          <w:rFonts w:eastAsia="Calibri" w:cs="Times New Roman"/>
          <w:sz w:val="20"/>
          <w:szCs w:val="20"/>
          <w:u w:val="single"/>
        </w:rPr>
        <w:t>McLachlin C.J. and LeBel, Fish, Abella, Rothstein, Cromwell, Moldaver, Karakatsanis and Wagner JJ.</w:t>
      </w:r>
    </w:p>
    <w:p w:rsidR="00B670AC" w:rsidRPr="00C50A5C" w:rsidRDefault="00B670AC" w:rsidP="00B670AC">
      <w:pPr>
        <w:widowControl w:val="0"/>
        <w:rPr>
          <w:b/>
          <w:sz w:val="20"/>
          <w:szCs w:val="20"/>
        </w:rPr>
      </w:pPr>
    </w:p>
    <w:tbl>
      <w:tblPr>
        <w:tblW w:w="0" w:type="auto"/>
        <w:tblLayout w:type="fixed"/>
        <w:tblCellMar>
          <w:left w:w="0" w:type="dxa"/>
          <w:right w:w="0" w:type="dxa"/>
        </w:tblCellMar>
        <w:tblLook w:val="0000"/>
      </w:tblPr>
      <w:tblGrid>
        <w:gridCol w:w="4380"/>
        <w:gridCol w:w="720"/>
        <w:gridCol w:w="4380"/>
      </w:tblGrid>
      <w:tr w:rsidR="00B670AC" w:rsidRPr="00C50A5C" w:rsidTr="00B670AC">
        <w:tc>
          <w:tcPr>
            <w:tcW w:w="4380" w:type="dxa"/>
            <w:tcMar>
              <w:left w:w="0" w:type="dxa"/>
              <w:right w:w="0" w:type="dxa"/>
            </w:tcMar>
          </w:tcPr>
          <w:p w:rsidR="00B670AC" w:rsidRPr="00C50A5C" w:rsidRDefault="00B670AC" w:rsidP="00B670AC">
            <w:pPr>
              <w:widowControl w:val="0"/>
              <w:jc w:val="both"/>
              <w:rPr>
                <w:b/>
                <w:sz w:val="20"/>
                <w:szCs w:val="20"/>
              </w:rPr>
            </w:pPr>
            <w:r>
              <w:rPr>
                <w:b/>
                <w:sz w:val="20"/>
                <w:szCs w:val="20"/>
              </w:rPr>
              <w:t>Her Majesty the Queen</w:t>
            </w:r>
          </w:p>
          <w:p w:rsidR="00B670AC" w:rsidRPr="00C50A5C" w:rsidRDefault="00B670AC" w:rsidP="00B670AC">
            <w:pPr>
              <w:widowControl w:val="0"/>
              <w:jc w:val="both"/>
              <w:rPr>
                <w:b/>
                <w:sz w:val="20"/>
                <w:szCs w:val="20"/>
              </w:rPr>
            </w:pPr>
          </w:p>
          <w:p w:rsidR="00B670AC" w:rsidRPr="00C50A5C" w:rsidRDefault="00B670AC" w:rsidP="00B670AC">
            <w:pPr>
              <w:widowControl w:val="0"/>
              <w:tabs>
                <w:tab w:val="left" w:pos="736"/>
              </w:tabs>
              <w:jc w:val="both"/>
              <w:rPr>
                <w:b/>
                <w:sz w:val="20"/>
                <w:szCs w:val="20"/>
              </w:rPr>
            </w:pPr>
            <w:r w:rsidRPr="00C50A5C">
              <w:rPr>
                <w:b/>
                <w:sz w:val="20"/>
                <w:szCs w:val="20"/>
              </w:rPr>
              <w:tab/>
              <w:t>v. (3</w:t>
            </w:r>
            <w:r>
              <w:rPr>
                <w:b/>
                <w:sz w:val="20"/>
                <w:szCs w:val="20"/>
              </w:rPr>
              <w:t>4754</w:t>
            </w:r>
            <w:r w:rsidRPr="00C50A5C">
              <w:rPr>
                <w:b/>
                <w:sz w:val="20"/>
                <w:szCs w:val="20"/>
              </w:rPr>
              <w:t>)</w:t>
            </w:r>
          </w:p>
          <w:p w:rsidR="00B670AC" w:rsidRPr="00C50A5C" w:rsidRDefault="00B670AC" w:rsidP="00B670AC">
            <w:pPr>
              <w:widowControl w:val="0"/>
              <w:jc w:val="both"/>
              <w:rPr>
                <w:b/>
                <w:sz w:val="20"/>
                <w:szCs w:val="20"/>
              </w:rPr>
            </w:pPr>
          </w:p>
          <w:p w:rsidR="00516FD5" w:rsidRDefault="00B670AC" w:rsidP="00516FD5">
            <w:pPr>
              <w:widowControl w:val="0"/>
              <w:jc w:val="both"/>
              <w:rPr>
                <w:b/>
                <w:sz w:val="20"/>
                <w:szCs w:val="20"/>
              </w:rPr>
            </w:pPr>
            <w:r>
              <w:rPr>
                <w:b/>
                <w:sz w:val="20"/>
                <w:szCs w:val="20"/>
              </w:rPr>
              <w:t xml:space="preserve">Christopher Baldree </w:t>
            </w:r>
            <w:r w:rsidRPr="00C50A5C">
              <w:rPr>
                <w:b/>
                <w:sz w:val="20"/>
                <w:szCs w:val="20"/>
              </w:rPr>
              <w:t>(</w:t>
            </w:r>
            <w:r w:rsidR="00516FD5">
              <w:rPr>
                <w:b/>
                <w:sz w:val="20"/>
                <w:szCs w:val="20"/>
              </w:rPr>
              <w:t>Ont</w:t>
            </w:r>
            <w:r w:rsidRPr="00C50A5C">
              <w:rPr>
                <w:b/>
                <w:sz w:val="20"/>
                <w:szCs w:val="20"/>
              </w:rPr>
              <w:t>.) (</w:t>
            </w:r>
            <w:r w:rsidR="00516FD5">
              <w:rPr>
                <w:b/>
                <w:sz w:val="20"/>
                <w:szCs w:val="20"/>
              </w:rPr>
              <w:t>Crim</w:t>
            </w:r>
            <w:r w:rsidRPr="00C50A5C">
              <w:rPr>
                <w:b/>
                <w:sz w:val="20"/>
                <w:szCs w:val="20"/>
              </w:rPr>
              <w:t>i</w:t>
            </w:r>
            <w:r w:rsidR="00516FD5">
              <w:rPr>
                <w:b/>
                <w:sz w:val="20"/>
                <w:szCs w:val="20"/>
              </w:rPr>
              <w:t>na</w:t>
            </w:r>
            <w:r w:rsidRPr="00C50A5C">
              <w:rPr>
                <w:b/>
                <w:sz w:val="20"/>
                <w:szCs w:val="20"/>
              </w:rPr>
              <w:t>l)</w:t>
            </w:r>
          </w:p>
          <w:p w:rsidR="00B670AC" w:rsidRPr="00B670AC" w:rsidRDefault="00B670AC" w:rsidP="00516FD5">
            <w:pPr>
              <w:widowControl w:val="0"/>
              <w:jc w:val="both"/>
              <w:rPr>
                <w:sz w:val="20"/>
                <w:szCs w:val="20"/>
              </w:rPr>
            </w:pPr>
            <w:r w:rsidRPr="00C50A5C">
              <w:rPr>
                <w:b/>
                <w:sz w:val="20"/>
                <w:szCs w:val="20"/>
              </w:rPr>
              <w:t>(</w:t>
            </w:r>
            <w:r w:rsidR="00516FD5">
              <w:rPr>
                <w:b/>
                <w:sz w:val="20"/>
                <w:szCs w:val="20"/>
              </w:rPr>
              <w:t>As of Right</w:t>
            </w:r>
            <w:r w:rsidRPr="00C50A5C">
              <w:rPr>
                <w:b/>
                <w:sz w:val="20"/>
                <w:szCs w:val="20"/>
              </w:rPr>
              <w:t>)</w:t>
            </w:r>
          </w:p>
        </w:tc>
        <w:tc>
          <w:tcPr>
            <w:tcW w:w="720" w:type="dxa"/>
            <w:tcMar>
              <w:left w:w="0" w:type="dxa"/>
              <w:right w:w="0" w:type="dxa"/>
            </w:tcMar>
          </w:tcPr>
          <w:p w:rsidR="00B670AC" w:rsidRPr="00B670AC" w:rsidRDefault="00B670AC" w:rsidP="00B670AC">
            <w:pPr>
              <w:widowControl w:val="0"/>
              <w:jc w:val="center"/>
              <w:rPr>
                <w:sz w:val="20"/>
                <w:szCs w:val="20"/>
              </w:rPr>
            </w:pPr>
          </w:p>
        </w:tc>
        <w:tc>
          <w:tcPr>
            <w:tcW w:w="4380" w:type="dxa"/>
            <w:tcMar>
              <w:left w:w="0" w:type="dxa"/>
              <w:right w:w="0" w:type="dxa"/>
            </w:tcMar>
          </w:tcPr>
          <w:p w:rsidR="002E1AA8" w:rsidRPr="00973534" w:rsidRDefault="002E1AA8" w:rsidP="002E1AA8">
            <w:pPr>
              <w:jc w:val="both"/>
              <w:rPr>
                <w:sz w:val="20"/>
                <w:szCs w:val="20"/>
              </w:rPr>
            </w:pPr>
            <w:r w:rsidRPr="00973534">
              <w:rPr>
                <w:sz w:val="20"/>
                <w:szCs w:val="20"/>
              </w:rPr>
              <w:t>James Martin</w:t>
            </w:r>
            <w:r>
              <w:rPr>
                <w:sz w:val="20"/>
                <w:szCs w:val="20"/>
              </w:rPr>
              <w:t xml:space="preserve"> and </w:t>
            </w:r>
            <w:r w:rsidRPr="00973534">
              <w:rPr>
                <w:sz w:val="20"/>
                <w:szCs w:val="20"/>
              </w:rPr>
              <w:t>Brian G. Puddington</w:t>
            </w:r>
            <w:r>
              <w:rPr>
                <w:sz w:val="20"/>
                <w:szCs w:val="20"/>
              </w:rPr>
              <w:t xml:space="preserve"> f</w:t>
            </w:r>
            <w:r w:rsidRPr="00973534">
              <w:rPr>
                <w:sz w:val="20"/>
                <w:szCs w:val="20"/>
              </w:rPr>
              <w:t xml:space="preserve">or the </w:t>
            </w:r>
            <w:r>
              <w:rPr>
                <w:sz w:val="20"/>
                <w:szCs w:val="20"/>
              </w:rPr>
              <w:t>a</w:t>
            </w:r>
            <w:r w:rsidRPr="00973534">
              <w:rPr>
                <w:sz w:val="20"/>
                <w:szCs w:val="20"/>
              </w:rPr>
              <w:t>ppellant.</w:t>
            </w:r>
          </w:p>
          <w:p w:rsidR="002E1AA8" w:rsidRPr="00973534" w:rsidRDefault="002E1AA8" w:rsidP="002E1AA8">
            <w:pPr>
              <w:jc w:val="both"/>
              <w:rPr>
                <w:sz w:val="20"/>
                <w:szCs w:val="20"/>
              </w:rPr>
            </w:pPr>
          </w:p>
          <w:p w:rsidR="002E1AA8" w:rsidRPr="00973534" w:rsidRDefault="002E1AA8" w:rsidP="002E1AA8">
            <w:pPr>
              <w:jc w:val="both"/>
              <w:rPr>
                <w:sz w:val="20"/>
                <w:szCs w:val="20"/>
              </w:rPr>
            </w:pPr>
            <w:r w:rsidRPr="00973534">
              <w:rPr>
                <w:sz w:val="20"/>
                <w:szCs w:val="20"/>
              </w:rPr>
              <w:t>John McInnes</w:t>
            </w:r>
            <w:r>
              <w:rPr>
                <w:sz w:val="20"/>
                <w:szCs w:val="20"/>
              </w:rPr>
              <w:t xml:space="preserve"> f</w:t>
            </w:r>
            <w:r w:rsidRPr="00973534">
              <w:rPr>
                <w:sz w:val="20"/>
                <w:szCs w:val="20"/>
              </w:rPr>
              <w:t xml:space="preserve">or the </w:t>
            </w:r>
            <w:r>
              <w:rPr>
                <w:sz w:val="20"/>
                <w:szCs w:val="20"/>
              </w:rPr>
              <w:t>i</w:t>
            </w:r>
            <w:r w:rsidRPr="00973534">
              <w:rPr>
                <w:sz w:val="20"/>
                <w:szCs w:val="20"/>
              </w:rPr>
              <w:t>ntervener</w:t>
            </w:r>
            <w:r>
              <w:rPr>
                <w:sz w:val="20"/>
                <w:szCs w:val="20"/>
              </w:rPr>
              <w:t xml:space="preserve"> </w:t>
            </w:r>
            <w:r w:rsidRPr="00973534">
              <w:rPr>
                <w:sz w:val="20"/>
                <w:szCs w:val="20"/>
              </w:rPr>
              <w:t>Attorney General of Ontario</w:t>
            </w:r>
            <w:r>
              <w:rPr>
                <w:sz w:val="20"/>
                <w:szCs w:val="20"/>
              </w:rPr>
              <w:t>.</w:t>
            </w:r>
          </w:p>
          <w:p w:rsidR="002E1AA8" w:rsidRPr="00973534" w:rsidRDefault="002E1AA8" w:rsidP="002E1AA8">
            <w:pPr>
              <w:jc w:val="both"/>
              <w:rPr>
                <w:sz w:val="20"/>
                <w:szCs w:val="20"/>
              </w:rPr>
            </w:pPr>
          </w:p>
          <w:p w:rsidR="00B670AC" w:rsidRPr="00C50A5C" w:rsidRDefault="002E1AA8" w:rsidP="002E1AA8">
            <w:pPr>
              <w:widowControl w:val="0"/>
              <w:jc w:val="both"/>
              <w:rPr>
                <w:sz w:val="20"/>
                <w:szCs w:val="20"/>
              </w:rPr>
            </w:pPr>
            <w:r w:rsidRPr="00973534">
              <w:rPr>
                <w:sz w:val="20"/>
                <w:szCs w:val="20"/>
              </w:rPr>
              <w:t>Michael Davies</w:t>
            </w:r>
            <w:r>
              <w:rPr>
                <w:sz w:val="20"/>
                <w:szCs w:val="20"/>
              </w:rPr>
              <w:t xml:space="preserve"> and </w:t>
            </w:r>
            <w:r w:rsidRPr="00973534">
              <w:rPr>
                <w:sz w:val="20"/>
                <w:szCs w:val="20"/>
              </w:rPr>
              <w:t>James Foord</w:t>
            </w:r>
            <w:r>
              <w:rPr>
                <w:sz w:val="20"/>
                <w:szCs w:val="20"/>
              </w:rPr>
              <w:t xml:space="preserve"> f</w:t>
            </w:r>
            <w:r w:rsidRPr="00973534">
              <w:rPr>
                <w:sz w:val="20"/>
                <w:szCs w:val="20"/>
              </w:rPr>
              <w:t xml:space="preserve">or the </w:t>
            </w:r>
            <w:r>
              <w:rPr>
                <w:sz w:val="20"/>
                <w:szCs w:val="20"/>
              </w:rPr>
              <w:t>r</w:t>
            </w:r>
            <w:r w:rsidRPr="00973534">
              <w:rPr>
                <w:sz w:val="20"/>
                <w:szCs w:val="20"/>
              </w:rPr>
              <w:t>espondent</w:t>
            </w:r>
            <w:r>
              <w:rPr>
                <w:sz w:val="20"/>
                <w:szCs w:val="20"/>
              </w:rPr>
              <w:t>.</w:t>
            </w:r>
          </w:p>
        </w:tc>
      </w:tr>
    </w:tbl>
    <w:p w:rsidR="00B670AC" w:rsidRDefault="00B670AC" w:rsidP="00B670AC">
      <w:pPr>
        <w:widowControl w:val="0"/>
      </w:pPr>
    </w:p>
    <w:p w:rsidR="00B670AC" w:rsidRPr="0085476B" w:rsidRDefault="00B670AC" w:rsidP="00B670AC">
      <w:pPr>
        <w:widowControl w:val="0"/>
        <w:rPr>
          <w:sz w:val="20"/>
          <w:szCs w:val="20"/>
        </w:rPr>
      </w:pPr>
      <w:r w:rsidRPr="0085476B">
        <w:rPr>
          <w:b/>
          <w:sz w:val="20"/>
          <w:szCs w:val="20"/>
        </w:rPr>
        <w:t xml:space="preserve">RESERVED / </w:t>
      </w:r>
      <w:r w:rsidRPr="0085476B">
        <w:rPr>
          <w:b/>
          <w:sz w:val="20"/>
          <w:szCs w:val="20"/>
          <w:lang w:val="fr-CA"/>
        </w:rPr>
        <w:t>EN DÉLIBÉRÉ</w:t>
      </w:r>
    </w:p>
    <w:p w:rsidR="00B670AC" w:rsidRDefault="00B670AC" w:rsidP="00B670AC"/>
    <w:tbl>
      <w:tblPr>
        <w:tblW w:w="0" w:type="auto"/>
        <w:tblLayout w:type="fixed"/>
        <w:tblCellMar>
          <w:left w:w="0" w:type="dxa"/>
          <w:right w:w="0" w:type="dxa"/>
        </w:tblCellMar>
        <w:tblLook w:val="0000"/>
      </w:tblPr>
      <w:tblGrid>
        <w:gridCol w:w="4380"/>
        <w:gridCol w:w="720"/>
        <w:gridCol w:w="4380"/>
      </w:tblGrid>
      <w:tr w:rsidR="00B670AC" w:rsidRPr="00DC2D1F" w:rsidTr="00B670AC">
        <w:tc>
          <w:tcPr>
            <w:tcW w:w="4380" w:type="dxa"/>
            <w:tcMar>
              <w:left w:w="0" w:type="dxa"/>
              <w:right w:w="0" w:type="dxa"/>
            </w:tcMar>
          </w:tcPr>
          <w:p w:rsidR="00B670AC" w:rsidRPr="00CC4D84" w:rsidRDefault="00B670AC" w:rsidP="00B670AC">
            <w:pPr>
              <w:widowControl w:val="0"/>
              <w:jc w:val="both"/>
              <w:rPr>
                <w:b/>
                <w:sz w:val="20"/>
                <w:szCs w:val="20"/>
                <w:u w:val="single"/>
              </w:rPr>
            </w:pPr>
            <w:r w:rsidRPr="00CC4D84">
              <w:rPr>
                <w:b/>
                <w:sz w:val="20"/>
                <w:szCs w:val="20"/>
                <w:u w:val="single"/>
              </w:rPr>
              <w:t>Nature of the case:</w:t>
            </w:r>
          </w:p>
          <w:p w:rsidR="00B670AC" w:rsidRPr="00C1697B" w:rsidRDefault="00B670AC" w:rsidP="00B670AC">
            <w:pPr>
              <w:widowControl w:val="0"/>
              <w:jc w:val="both"/>
              <w:rPr>
                <w:b/>
                <w:sz w:val="20"/>
                <w:szCs w:val="20"/>
              </w:rPr>
            </w:pPr>
          </w:p>
          <w:p w:rsidR="00B670AC" w:rsidRPr="00C1697B" w:rsidRDefault="00D8701C" w:rsidP="00B670AC">
            <w:pPr>
              <w:widowControl w:val="0"/>
              <w:jc w:val="both"/>
              <w:rPr>
                <w:b/>
                <w:sz w:val="20"/>
                <w:szCs w:val="20"/>
              </w:rPr>
            </w:pPr>
            <w:r w:rsidRPr="003B481A">
              <w:rPr>
                <w:sz w:val="20"/>
                <w:szCs w:val="20"/>
              </w:rPr>
              <w:t xml:space="preserve">Criminal law </w:t>
            </w:r>
            <w:r w:rsidRPr="003B481A">
              <w:rPr>
                <w:sz w:val="20"/>
                <w:szCs w:val="20"/>
              </w:rPr>
              <w:noBreakHyphen/>
              <w:t xml:space="preserve"> Evidence </w:t>
            </w:r>
            <w:r w:rsidRPr="003B481A">
              <w:rPr>
                <w:sz w:val="20"/>
                <w:szCs w:val="20"/>
              </w:rPr>
              <w:noBreakHyphen/>
              <w:t xml:space="preserve"> Admissibility </w:t>
            </w:r>
            <w:r w:rsidRPr="003B481A">
              <w:rPr>
                <w:sz w:val="20"/>
                <w:szCs w:val="20"/>
              </w:rPr>
              <w:noBreakHyphen/>
              <w:t xml:space="preserve"> Hearsay </w:t>
            </w:r>
            <w:r w:rsidRPr="003B481A">
              <w:rPr>
                <w:sz w:val="20"/>
                <w:szCs w:val="20"/>
              </w:rPr>
              <w:noBreakHyphen/>
              <w:t xml:space="preserve"> Drug purchase calls </w:t>
            </w:r>
            <w:r w:rsidRPr="003B481A">
              <w:rPr>
                <w:sz w:val="20"/>
                <w:szCs w:val="20"/>
              </w:rPr>
              <w:noBreakHyphen/>
              <w:t xml:space="preserve"> Whether evidence of the telephone conversation between the police and a caller to the respondent’s cell phone was hearsay and admissible into evidence </w:t>
            </w:r>
            <w:r w:rsidRPr="003B481A">
              <w:rPr>
                <w:sz w:val="20"/>
                <w:szCs w:val="20"/>
              </w:rPr>
              <w:noBreakHyphen/>
              <w:t xml:space="preserve"> Whether the prejudicial effect of the evidence outweighed its probative value.</w:t>
            </w:r>
          </w:p>
        </w:tc>
        <w:tc>
          <w:tcPr>
            <w:tcW w:w="720" w:type="dxa"/>
            <w:tcMar>
              <w:left w:w="0" w:type="dxa"/>
              <w:right w:w="0" w:type="dxa"/>
            </w:tcMar>
          </w:tcPr>
          <w:p w:rsidR="00B670AC" w:rsidRPr="00C1697B" w:rsidRDefault="00B670AC" w:rsidP="00B670AC">
            <w:pPr>
              <w:widowControl w:val="0"/>
              <w:jc w:val="center"/>
              <w:rPr>
                <w:sz w:val="20"/>
                <w:szCs w:val="20"/>
              </w:rPr>
            </w:pPr>
          </w:p>
        </w:tc>
        <w:tc>
          <w:tcPr>
            <w:tcW w:w="4380" w:type="dxa"/>
            <w:tcMar>
              <w:left w:w="0" w:type="dxa"/>
              <w:right w:w="0" w:type="dxa"/>
            </w:tcMar>
          </w:tcPr>
          <w:p w:rsidR="00B670AC" w:rsidRPr="00CC4D84" w:rsidRDefault="00B670AC" w:rsidP="00B670AC">
            <w:pPr>
              <w:widowControl w:val="0"/>
              <w:jc w:val="both"/>
              <w:rPr>
                <w:b/>
                <w:sz w:val="20"/>
                <w:szCs w:val="20"/>
                <w:u w:val="single"/>
                <w:lang w:val="fr-CA"/>
              </w:rPr>
            </w:pPr>
            <w:r w:rsidRPr="00CC4D84">
              <w:rPr>
                <w:b/>
                <w:sz w:val="20"/>
                <w:szCs w:val="20"/>
                <w:u w:val="single"/>
                <w:lang w:val="fr-CA"/>
              </w:rPr>
              <w:t>Nature de la cause :</w:t>
            </w:r>
          </w:p>
          <w:p w:rsidR="00B670AC" w:rsidRPr="00C1697B" w:rsidRDefault="00B670AC" w:rsidP="00B670AC">
            <w:pPr>
              <w:widowControl w:val="0"/>
              <w:jc w:val="both"/>
              <w:rPr>
                <w:sz w:val="20"/>
                <w:szCs w:val="20"/>
                <w:lang w:val="fr-CA"/>
              </w:rPr>
            </w:pPr>
          </w:p>
          <w:p w:rsidR="00B670AC" w:rsidRPr="00C1697B" w:rsidRDefault="00D8701C" w:rsidP="00B670AC">
            <w:pPr>
              <w:widowControl w:val="0"/>
              <w:jc w:val="both"/>
              <w:rPr>
                <w:sz w:val="20"/>
                <w:szCs w:val="20"/>
                <w:lang w:val="fr-CA"/>
              </w:rPr>
            </w:pPr>
            <w:r w:rsidRPr="00F96657">
              <w:rPr>
                <w:sz w:val="20"/>
                <w:szCs w:val="20"/>
                <w:lang w:val="fr-CA"/>
              </w:rPr>
              <w:t xml:space="preserve">Droit criminel </w:t>
            </w:r>
            <w:r w:rsidRPr="00F96657">
              <w:rPr>
                <w:sz w:val="20"/>
                <w:szCs w:val="20"/>
                <w:lang w:val="fr-CA"/>
              </w:rPr>
              <w:noBreakHyphen/>
              <w:t xml:space="preserve"> Preuve </w:t>
            </w:r>
            <w:r w:rsidRPr="00F96657">
              <w:rPr>
                <w:sz w:val="20"/>
                <w:szCs w:val="20"/>
                <w:lang w:val="fr-CA"/>
              </w:rPr>
              <w:noBreakHyphen/>
              <w:t xml:space="preserve"> Admissibilité </w:t>
            </w:r>
            <w:r w:rsidRPr="00F96657">
              <w:rPr>
                <w:sz w:val="20"/>
                <w:szCs w:val="20"/>
                <w:lang w:val="fr-CA"/>
              </w:rPr>
              <w:noBreakHyphen/>
              <w:t xml:space="preserve"> Ouï</w:t>
            </w:r>
            <w:r w:rsidRPr="00F96657">
              <w:rPr>
                <w:sz w:val="20"/>
                <w:szCs w:val="20"/>
                <w:lang w:val="fr-CA"/>
              </w:rPr>
              <w:noBreakHyphen/>
              <w:t xml:space="preserve">dire </w:t>
            </w:r>
            <w:r w:rsidRPr="00F96657">
              <w:rPr>
                <w:sz w:val="20"/>
                <w:szCs w:val="20"/>
                <w:lang w:val="fr-CA"/>
              </w:rPr>
              <w:noBreakHyphen/>
              <w:t xml:space="preserve"> Communications téléphoniques relatives à l’achat de drogue </w:t>
            </w:r>
            <w:r w:rsidRPr="00F96657">
              <w:rPr>
                <w:sz w:val="20"/>
                <w:szCs w:val="20"/>
                <w:lang w:val="fr-CA"/>
              </w:rPr>
              <w:noBreakHyphen/>
              <w:t xml:space="preserve"> La preuve de la conversation téléphonique entre un policier et l’auteur de la communication qui avait joint le téléphone cellulaire de l’intimé était</w:t>
            </w:r>
            <w:r w:rsidRPr="00F96657">
              <w:rPr>
                <w:sz w:val="20"/>
                <w:szCs w:val="20"/>
                <w:lang w:val="fr-CA"/>
              </w:rPr>
              <w:noBreakHyphen/>
              <w:t>elle du ouï</w:t>
            </w:r>
            <w:r w:rsidRPr="00F96657">
              <w:rPr>
                <w:sz w:val="20"/>
                <w:szCs w:val="20"/>
                <w:lang w:val="fr-CA"/>
              </w:rPr>
              <w:noBreakHyphen/>
              <w:t xml:space="preserve">dire et admissible en preuve? </w:t>
            </w:r>
            <w:r w:rsidRPr="00F96657">
              <w:rPr>
                <w:sz w:val="20"/>
                <w:szCs w:val="20"/>
                <w:lang w:val="fr-CA"/>
              </w:rPr>
              <w:noBreakHyphen/>
              <w:t xml:space="preserve"> L’effet préjudiciable de la preuve l’emportait</w:t>
            </w:r>
            <w:r w:rsidRPr="00F96657">
              <w:rPr>
                <w:sz w:val="20"/>
                <w:szCs w:val="20"/>
                <w:lang w:val="fr-CA"/>
              </w:rPr>
              <w:noBreakHyphen/>
              <w:t>il sur sa valeur probante?</w:t>
            </w:r>
          </w:p>
        </w:tc>
      </w:tr>
    </w:tbl>
    <w:p w:rsidR="00B670AC" w:rsidRDefault="00B670AC" w:rsidP="00B670AC">
      <w:pPr>
        <w:widowControl w:val="0"/>
        <w:rPr>
          <w:sz w:val="20"/>
          <w:szCs w:val="20"/>
          <w:lang w:val="fr-CA"/>
        </w:rPr>
      </w:pPr>
    </w:p>
    <w:p w:rsidR="00B670AC" w:rsidRDefault="00BF3B03" w:rsidP="00B670AC">
      <w:pPr>
        <w:widowControl w:val="0"/>
        <w:rPr>
          <w:sz w:val="20"/>
          <w:szCs w:val="20"/>
        </w:rPr>
      </w:pPr>
      <w:r w:rsidRPr="00BF3B03">
        <w:rPr>
          <w:sz w:val="20"/>
          <w:szCs w:val="20"/>
          <w:lang w:val="fr-CA"/>
        </w:rPr>
        <w:pict>
          <v:rect id="_x0000_i1097" style="width:2in;height:1pt" o:hrpct="0" o:hralign="center" o:hrstd="t" o:hrnoshade="t" o:hr="t" fillcolor="black [3213]" stroked="f"/>
        </w:pict>
      </w:r>
    </w:p>
    <w:p w:rsidR="00B670AC" w:rsidRDefault="00B670AC" w:rsidP="00B670AC">
      <w:pPr>
        <w:widowControl w:val="0"/>
        <w:rPr>
          <w:sz w:val="20"/>
          <w:szCs w:val="20"/>
        </w:rPr>
      </w:pPr>
    </w:p>
    <w:p w:rsidR="00B670AC" w:rsidRPr="00676BD5" w:rsidRDefault="00B670AC" w:rsidP="00B670AC">
      <w:pPr>
        <w:widowControl w:val="0"/>
        <w:rPr>
          <w:sz w:val="20"/>
          <w:szCs w:val="20"/>
          <w:lang w:val="fr-CA"/>
        </w:rPr>
      </w:pPr>
      <w:r w:rsidRPr="00676BD5">
        <w:rPr>
          <w:sz w:val="20"/>
          <w:szCs w:val="20"/>
          <w:lang w:val="fr-CA"/>
        </w:rPr>
        <w:lastRenderedPageBreak/>
        <w:t>08.11.2012</w:t>
      </w:r>
    </w:p>
    <w:p w:rsidR="00B670AC" w:rsidRPr="00676BD5" w:rsidRDefault="00B670AC" w:rsidP="00B670AC">
      <w:pPr>
        <w:widowControl w:val="0"/>
        <w:rPr>
          <w:sz w:val="20"/>
          <w:szCs w:val="20"/>
          <w:lang w:val="fr-CA"/>
        </w:rPr>
      </w:pPr>
    </w:p>
    <w:p w:rsidR="0036566A" w:rsidRPr="002535B3" w:rsidRDefault="0036566A" w:rsidP="0036566A">
      <w:pPr>
        <w:widowControl w:val="0"/>
        <w:ind w:left="720" w:hanging="720"/>
        <w:rPr>
          <w:sz w:val="20"/>
          <w:szCs w:val="20"/>
          <w:lang w:val="fr-CA"/>
        </w:rPr>
      </w:pPr>
      <w:r w:rsidRPr="002535B3">
        <w:rPr>
          <w:sz w:val="20"/>
          <w:szCs w:val="20"/>
          <w:lang w:val="fr-CA"/>
        </w:rPr>
        <w:t xml:space="preserve">Coram: </w:t>
      </w:r>
      <w:r w:rsidRPr="002535B3">
        <w:rPr>
          <w:sz w:val="20"/>
          <w:szCs w:val="20"/>
          <w:lang w:val="fr-CA"/>
        </w:rPr>
        <w:tab/>
      </w:r>
      <w:r w:rsidRPr="002535B3">
        <w:rPr>
          <w:sz w:val="20"/>
          <w:szCs w:val="20"/>
          <w:u w:val="single"/>
          <w:lang w:val="fr-CA"/>
        </w:rPr>
        <w:t>La juge en chef McLachlin et les juges LeBel, Fish, Abella, Rothstein, Cromwell et Karakatsanis</w:t>
      </w:r>
    </w:p>
    <w:p w:rsidR="00B670AC" w:rsidRPr="00676BD5" w:rsidRDefault="00B670AC" w:rsidP="00B670AC">
      <w:pPr>
        <w:widowControl w:val="0"/>
        <w:rPr>
          <w:b/>
          <w:sz w:val="20"/>
          <w:szCs w:val="20"/>
          <w:lang w:val="fr-CA"/>
        </w:rPr>
      </w:pPr>
    </w:p>
    <w:tbl>
      <w:tblPr>
        <w:tblW w:w="0" w:type="auto"/>
        <w:tblLayout w:type="fixed"/>
        <w:tblCellMar>
          <w:left w:w="0" w:type="dxa"/>
          <w:right w:w="0" w:type="dxa"/>
        </w:tblCellMar>
        <w:tblLook w:val="0000"/>
      </w:tblPr>
      <w:tblGrid>
        <w:gridCol w:w="4380"/>
        <w:gridCol w:w="720"/>
        <w:gridCol w:w="4380"/>
      </w:tblGrid>
      <w:tr w:rsidR="00B670AC" w:rsidRPr="00DC2D1F" w:rsidTr="00B670AC">
        <w:tc>
          <w:tcPr>
            <w:tcW w:w="4380" w:type="dxa"/>
            <w:tcMar>
              <w:left w:w="0" w:type="dxa"/>
              <w:right w:w="0" w:type="dxa"/>
            </w:tcMar>
          </w:tcPr>
          <w:p w:rsidR="00B670AC" w:rsidRPr="00516FD5" w:rsidRDefault="00516FD5" w:rsidP="00B670AC">
            <w:pPr>
              <w:widowControl w:val="0"/>
              <w:jc w:val="both"/>
              <w:rPr>
                <w:b/>
                <w:sz w:val="20"/>
                <w:szCs w:val="20"/>
                <w:lang w:val="fr-CA"/>
              </w:rPr>
            </w:pPr>
            <w:r w:rsidRPr="00516FD5">
              <w:rPr>
                <w:b/>
                <w:sz w:val="20"/>
                <w:szCs w:val="20"/>
                <w:lang w:val="fr-CA"/>
              </w:rPr>
              <w:t>Agence du Revenu du Québec</w:t>
            </w:r>
            <w:r w:rsidR="0036566A">
              <w:rPr>
                <w:b/>
                <w:sz w:val="20"/>
                <w:szCs w:val="20"/>
                <w:lang w:val="fr-CA"/>
              </w:rPr>
              <w:t xml:space="preserve"> </w:t>
            </w:r>
            <w:r w:rsidR="0036566A" w:rsidRPr="002535B3">
              <w:rPr>
                <w:b/>
                <w:iCs/>
                <w:sz w:val="20"/>
                <w:szCs w:val="20"/>
                <w:lang w:val="fr-CA"/>
              </w:rPr>
              <w:t>(anciennement le Sous-ministre du Revenu du Québec)</w:t>
            </w:r>
          </w:p>
          <w:p w:rsidR="00B670AC" w:rsidRPr="00516FD5" w:rsidRDefault="00B670AC" w:rsidP="00B670AC">
            <w:pPr>
              <w:widowControl w:val="0"/>
              <w:jc w:val="both"/>
              <w:rPr>
                <w:b/>
                <w:sz w:val="20"/>
                <w:szCs w:val="20"/>
                <w:lang w:val="fr-CA"/>
              </w:rPr>
            </w:pPr>
          </w:p>
          <w:p w:rsidR="00B670AC" w:rsidRPr="00516FD5" w:rsidRDefault="00B670AC" w:rsidP="00B670AC">
            <w:pPr>
              <w:widowControl w:val="0"/>
              <w:tabs>
                <w:tab w:val="left" w:pos="736"/>
              </w:tabs>
              <w:jc w:val="both"/>
              <w:rPr>
                <w:b/>
                <w:sz w:val="20"/>
                <w:szCs w:val="20"/>
                <w:lang w:val="fr-CA"/>
              </w:rPr>
            </w:pPr>
            <w:r w:rsidRPr="00516FD5">
              <w:rPr>
                <w:b/>
                <w:sz w:val="20"/>
                <w:szCs w:val="20"/>
                <w:lang w:val="fr-CA"/>
              </w:rPr>
              <w:tab/>
            </w:r>
            <w:r w:rsidR="00516FD5" w:rsidRPr="00516FD5">
              <w:rPr>
                <w:b/>
                <w:sz w:val="20"/>
                <w:szCs w:val="20"/>
                <w:lang w:val="fr-CA"/>
              </w:rPr>
              <w:t>c</w:t>
            </w:r>
            <w:r w:rsidRPr="00516FD5">
              <w:rPr>
                <w:b/>
                <w:sz w:val="20"/>
                <w:szCs w:val="20"/>
                <w:lang w:val="fr-CA"/>
              </w:rPr>
              <w:t>. (34</w:t>
            </w:r>
            <w:r w:rsidR="00516FD5" w:rsidRPr="00516FD5">
              <w:rPr>
                <w:b/>
                <w:sz w:val="20"/>
                <w:szCs w:val="20"/>
                <w:lang w:val="fr-CA"/>
              </w:rPr>
              <w:t>235</w:t>
            </w:r>
            <w:r w:rsidRPr="00516FD5">
              <w:rPr>
                <w:b/>
                <w:sz w:val="20"/>
                <w:szCs w:val="20"/>
                <w:lang w:val="fr-CA"/>
              </w:rPr>
              <w:t>)</w:t>
            </w:r>
          </w:p>
          <w:p w:rsidR="00B670AC" w:rsidRPr="00516FD5" w:rsidRDefault="00B670AC" w:rsidP="00B670AC">
            <w:pPr>
              <w:widowControl w:val="0"/>
              <w:jc w:val="both"/>
              <w:rPr>
                <w:b/>
                <w:sz w:val="20"/>
                <w:szCs w:val="20"/>
                <w:lang w:val="fr-CA"/>
              </w:rPr>
            </w:pPr>
          </w:p>
          <w:p w:rsidR="00B670AC" w:rsidRPr="00516FD5" w:rsidRDefault="00516FD5" w:rsidP="00516FD5">
            <w:pPr>
              <w:widowControl w:val="0"/>
              <w:jc w:val="both"/>
              <w:rPr>
                <w:b/>
                <w:sz w:val="20"/>
                <w:szCs w:val="20"/>
                <w:lang w:val="fr-CA"/>
              </w:rPr>
            </w:pPr>
            <w:r w:rsidRPr="00516FD5">
              <w:rPr>
                <w:b/>
                <w:sz w:val="20"/>
                <w:szCs w:val="20"/>
                <w:lang w:val="fr-CA"/>
              </w:rPr>
              <w:t>Service Environnementaux AES Inc.</w:t>
            </w:r>
            <w:r>
              <w:rPr>
                <w:b/>
                <w:sz w:val="20"/>
                <w:szCs w:val="20"/>
                <w:lang w:val="fr-CA"/>
              </w:rPr>
              <w:t xml:space="preserve"> et autre </w:t>
            </w:r>
            <w:r w:rsidR="00B670AC" w:rsidRPr="00516FD5">
              <w:rPr>
                <w:b/>
                <w:sz w:val="20"/>
                <w:szCs w:val="20"/>
                <w:lang w:val="fr-CA"/>
              </w:rPr>
              <w:t>(</w:t>
            </w:r>
            <w:r>
              <w:rPr>
                <w:b/>
                <w:sz w:val="20"/>
                <w:szCs w:val="20"/>
                <w:lang w:val="fr-CA"/>
              </w:rPr>
              <w:t>Qc</w:t>
            </w:r>
            <w:r w:rsidR="00B670AC" w:rsidRPr="00516FD5">
              <w:rPr>
                <w:b/>
                <w:sz w:val="20"/>
                <w:szCs w:val="20"/>
                <w:lang w:val="fr-CA"/>
              </w:rPr>
              <w:t>) (Civil</w:t>
            </w:r>
            <w:r w:rsidRPr="00516FD5">
              <w:rPr>
                <w:b/>
                <w:sz w:val="20"/>
                <w:szCs w:val="20"/>
                <w:lang w:val="fr-CA"/>
              </w:rPr>
              <w:t>e</w:t>
            </w:r>
            <w:r w:rsidR="00B670AC" w:rsidRPr="00516FD5">
              <w:rPr>
                <w:b/>
                <w:sz w:val="20"/>
                <w:szCs w:val="20"/>
                <w:lang w:val="fr-CA"/>
              </w:rPr>
              <w:t>) (</w:t>
            </w:r>
            <w:r w:rsidRPr="00516FD5">
              <w:rPr>
                <w:b/>
                <w:sz w:val="20"/>
                <w:szCs w:val="20"/>
                <w:lang w:val="fr-CA"/>
              </w:rPr>
              <w:t>Autorisation</w:t>
            </w:r>
            <w:r w:rsidR="00B670AC" w:rsidRPr="00516FD5">
              <w:rPr>
                <w:b/>
                <w:sz w:val="20"/>
                <w:szCs w:val="20"/>
                <w:lang w:val="fr-CA"/>
              </w:rPr>
              <w:t>)</w:t>
            </w:r>
          </w:p>
          <w:p w:rsidR="00516FD5" w:rsidRDefault="00516FD5" w:rsidP="00516FD5">
            <w:pPr>
              <w:widowControl w:val="0"/>
              <w:jc w:val="both"/>
              <w:rPr>
                <w:b/>
                <w:sz w:val="20"/>
                <w:szCs w:val="20"/>
                <w:lang w:val="fr-CA"/>
              </w:rPr>
            </w:pPr>
          </w:p>
          <w:p w:rsidR="00516FD5" w:rsidRDefault="00516FD5" w:rsidP="00516FD5">
            <w:pPr>
              <w:widowControl w:val="0"/>
              <w:jc w:val="both"/>
              <w:rPr>
                <w:b/>
                <w:sz w:val="20"/>
                <w:szCs w:val="20"/>
                <w:lang w:val="fr-CA"/>
              </w:rPr>
            </w:pPr>
            <w:r>
              <w:rPr>
                <w:b/>
                <w:sz w:val="20"/>
                <w:szCs w:val="20"/>
                <w:lang w:val="fr-CA"/>
              </w:rPr>
              <w:t xml:space="preserve">- et entre </w:t>
            </w:r>
            <w:r w:rsidR="003957EF">
              <w:rPr>
                <w:b/>
                <w:sz w:val="20"/>
                <w:szCs w:val="20"/>
                <w:lang w:val="fr-CA"/>
              </w:rPr>
              <w:t>-</w:t>
            </w:r>
          </w:p>
          <w:p w:rsidR="003957EF" w:rsidRDefault="003957EF" w:rsidP="00516FD5">
            <w:pPr>
              <w:widowControl w:val="0"/>
              <w:jc w:val="both"/>
              <w:rPr>
                <w:b/>
                <w:sz w:val="20"/>
                <w:szCs w:val="20"/>
                <w:lang w:val="fr-CA"/>
              </w:rPr>
            </w:pPr>
          </w:p>
          <w:p w:rsidR="003957EF" w:rsidRPr="00516FD5" w:rsidRDefault="003957EF" w:rsidP="003957EF">
            <w:pPr>
              <w:widowControl w:val="0"/>
              <w:jc w:val="both"/>
              <w:rPr>
                <w:b/>
                <w:sz w:val="20"/>
                <w:szCs w:val="20"/>
                <w:lang w:val="fr-CA"/>
              </w:rPr>
            </w:pPr>
            <w:r w:rsidRPr="00516FD5">
              <w:rPr>
                <w:b/>
                <w:sz w:val="20"/>
                <w:szCs w:val="20"/>
                <w:lang w:val="fr-CA"/>
              </w:rPr>
              <w:t>Agence du Revenu du Québec</w:t>
            </w:r>
          </w:p>
          <w:p w:rsidR="003957EF" w:rsidRPr="00516FD5" w:rsidRDefault="003957EF" w:rsidP="003957EF">
            <w:pPr>
              <w:widowControl w:val="0"/>
              <w:jc w:val="both"/>
              <w:rPr>
                <w:b/>
                <w:sz w:val="20"/>
                <w:szCs w:val="20"/>
                <w:lang w:val="fr-CA"/>
              </w:rPr>
            </w:pPr>
          </w:p>
          <w:p w:rsidR="003957EF" w:rsidRPr="00516FD5" w:rsidRDefault="003957EF" w:rsidP="003957EF">
            <w:pPr>
              <w:widowControl w:val="0"/>
              <w:tabs>
                <w:tab w:val="left" w:pos="736"/>
              </w:tabs>
              <w:jc w:val="both"/>
              <w:rPr>
                <w:b/>
                <w:sz w:val="20"/>
                <w:szCs w:val="20"/>
                <w:lang w:val="fr-CA"/>
              </w:rPr>
            </w:pPr>
            <w:r w:rsidRPr="00516FD5">
              <w:rPr>
                <w:b/>
                <w:sz w:val="20"/>
                <w:szCs w:val="20"/>
                <w:lang w:val="fr-CA"/>
              </w:rPr>
              <w:tab/>
              <w:t>c. (343</w:t>
            </w:r>
            <w:r>
              <w:rPr>
                <w:b/>
                <w:sz w:val="20"/>
                <w:szCs w:val="20"/>
                <w:lang w:val="fr-CA"/>
              </w:rPr>
              <w:t>93</w:t>
            </w:r>
            <w:r w:rsidRPr="00516FD5">
              <w:rPr>
                <w:b/>
                <w:sz w:val="20"/>
                <w:szCs w:val="20"/>
                <w:lang w:val="fr-CA"/>
              </w:rPr>
              <w:t>)</w:t>
            </w:r>
          </w:p>
          <w:p w:rsidR="003957EF" w:rsidRPr="00516FD5" w:rsidRDefault="003957EF" w:rsidP="003957EF">
            <w:pPr>
              <w:widowControl w:val="0"/>
              <w:jc w:val="both"/>
              <w:rPr>
                <w:b/>
                <w:sz w:val="20"/>
                <w:szCs w:val="20"/>
                <w:lang w:val="fr-CA"/>
              </w:rPr>
            </w:pPr>
          </w:p>
          <w:p w:rsidR="00516FD5" w:rsidRPr="00516FD5" w:rsidRDefault="003957EF" w:rsidP="003957EF">
            <w:pPr>
              <w:widowControl w:val="0"/>
              <w:jc w:val="both"/>
              <w:rPr>
                <w:sz w:val="20"/>
                <w:szCs w:val="20"/>
                <w:lang w:val="fr-CA"/>
              </w:rPr>
            </w:pPr>
            <w:r>
              <w:rPr>
                <w:b/>
                <w:sz w:val="20"/>
                <w:szCs w:val="20"/>
                <w:lang w:val="fr-CA"/>
              </w:rPr>
              <w:t>J</w:t>
            </w:r>
            <w:r w:rsidRPr="00516FD5">
              <w:rPr>
                <w:b/>
                <w:sz w:val="20"/>
                <w:szCs w:val="20"/>
                <w:lang w:val="fr-CA"/>
              </w:rPr>
              <w:t>e</w:t>
            </w:r>
            <w:r>
              <w:rPr>
                <w:b/>
                <w:sz w:val="20"/>
                <w:szCs w:val="20"/>
                <w:lang w:val="fr-CA"/>
              </w:rPr>
              <w:t>a</w:t>
            </w:r>
            <w:r w:rsidRPr="00516FD5">
              <w:rPr>
                <w:b/>
                <w:sz w:val="20"/>
                <w:szCs w:val="20"/>
                <w:lang w:val="fr-CA"/>
              </w:rPr>
              <w:t>n</w:t>
            </w:r>
            <w:r>
              <w:rPr>
                <w:b/>
                <w:sz w:val="20"/>
                <w:szCs w:val="20"/>
                <w:lang w:val="fr-CA"/>
              </w:rPr>
              <w:t xml:space="preserve"> Riop</w:t>
            </w:r>
            <w:r w:rsidRPr="00516FD5">
              <w:rPr>
                <w:b/>
                <w:sz w:val="20"/>
                <w:szCs w:val="20"/>
                <w:lang w:val="fr-CA"/>
              </w:rPr>
              <w:t>e</w:t>
            </w:r>
            <w:r>
              <w:rPr>
                <w:b/>
                <w:sz w:val="20"/>
                <w:szCs w:val="20"/>
                <w:lang w:val="fr-CA"/>
              </w:rPr>
              <w:t xml:space="preserve">l </w:t>
            </w:r>
            <w:r w:rsidRPr="00516FD5">
              <w:rPr>
                <w:b/>
                <w:sz w:val="20"/>
                <w:szCs w:val="20"/>
                <w:lang w:val="fr-CA"/>
              </w:rPr>
              <w:t>et</w:t>
            </w:r>
            <w:r>
              <w:rPr>
                <w:b/>
                <w:sz w:val="20"/>
                <w:szCs w:val="20"/>
                <w:lang w:val="fr-CA"/>
              </w:rPr>
              <w:t xml:space="preserve"> </w:t>
            </w:r>
            <w:r w:rsidRPr="00516FD5">
              <w:rPr>
                <w:b/>
                <w:sz w:val="20"/>
                <w:szCs w:val="20"/>
                <w:lang w:val="fr-CA"/>
              </w:rPr>
              <w:t>au</w:t>
            </w:r>
            <w:r>
              <w:rPr>
                <w:b/>
                <w:sz w:val="20"/>
                <w:szCs w:val="20"/>
                <w:lang w:val="fr-CA"/>
              </w:rPr>
              <w:t xml:space="preserve">tres </w:t>
            </w:r>
            <w:r w:rsidRPr="00516FD5">
              <w:rPr>
                <w:b/>
                <w:sz w:val="20"/>
                <w:szCs w:val="20"/>
                <w:lang w:val="fr-CA"/>
              </w:rPr>
              <w:t>(</w:t>
            </w:r>
            <w:r>
              <w:rPr>
                <w:b/>
                <w:sz w:val="20"/>
                <w:szCs w:val="20"/>
                <w:lang w:val="fr-CA"/>
              </w:rPr>
              <w:t>Qc</w:t>
            </w:r>
            <w:r w:rsidRPr="00516FD5">
              <w:rPr>
                <w:b/>
                <w:sz w:val="20"/>
                <w:szCs w:val="20"/>
                <w:lang w:val="fr-CA"/>
              </w:rPr>
              <w:t>) (Civile) (Autorisation)</w:t>
            </w:r>
          </w:p>
        </w:tc>
        <w:tc>
          <w:tcPr>
            <w:tcW w:w="720" w:type="dxa"/>
            <w:tcMar>
              <w:left w:w="0" w:type="dxa"/>
              <w:right w:w="0" w:type="dxa"/>
            </w:tcMar>
          </w:tcPr>
          <w:p w:rsidR="00B670AC" w:rsidRPr="00516FD5" w:rsidRDefault="00B670AC" w:rsidP="00B670AC">
            <w:pPr>
              <w:widowControl w:val="0"/>
              <w:jc w:val="center"/>
              <w:rPr>
                <w:sz w:val="20"/>
                <w:szCs w:val="20"/>
                <w:lang w:val="fr-CA"/>
              </w:rPr>
            </w:pPr>
          </w:p>
        </w:tc>
        <w:tc>
          <w:tcPr>
            <w:tcW w:w="4380" w:type="dxa"/>
            <w:tcMar>
              <w:left w:w="0" w:type="dxa"/>
              <w:right w:w="0" w:type="dxa"/>
            </w:tcMar>
          </w:tcPr>
          <w:p w:rsidR="0036566A" w:rsidRPr="0018283C" w:rsidRDefault="0036566A" w:rsidP="0036566A">
            <w:pPr>
              <w:jc w:val="both"/>
              <w:rPr>
                <w:sz w:val="20"/>
                <w:szCs w:val="20"/>
                <w:lang w:val="fr-CA"/>
              </w:rPr>
            </w:pPr>
            <w:r w:rsidRPr="0018283C">
              <w:rPr>
                <w:sz w:val="20"/>
                <w:szCs w:val="20"/>
                <w:lang w:val="fr-CA"/>
              </w:rPr>
              <w:t>Pierre Zemaitis</w:t>
            </w:r>
            <w:r>
              <w:rPr>
                <w:sz w:val="20"/>
                <w:szCs w:val="20"/>
                <w:lang w:val="fr-CA"/>
              </w:rPr>
              <w:t xml:space="preserve">, </w:t>
            </w:r>
            <w:r w:rsidRPr="0018283C">
              <w:rPr>
                <w:sz w:val="20"/>
                <w:szCs w:val="20"/>
                <w:lang w:val="fr-CA"/>
              </w:rPr>
              <w:t>Christian Boutin</w:t>
            </w:r>
            <w:r>
              <w:rPr>
                <w:sz w:val="20"/>
                <w:szCs w:val="20"/>
                <w:lang w:val="fr-CA"/>
              </w:rPr>
              <w:t xml:space="preserve"> and </w:t>
            </w:r>
            <w:r w:rsidRPr="0018283C">
              <w:rPr>
                <w:sz w:val="20"/>
                <w:szCs w:val="20"/>
                <w:lang w:val="fr-CA"/>
              </w:rPr>
              <w:t>Khashayar Haghgouyan</w:t>
            </w:r>
            <w:r>
              <w:rPr>
                <w:sz w:val="20"/>
                <w:szCs w:val="20"/>
                <w:lang w:val="fr-CA"/>
              </w:rPr>
              <w:t xml:space="preserve"> pour </w:t>
            </w:r>
            <w:r w:rsidRPr="0018283C">
              <w:rPr>
                <w:sz w:val="20"/>
                <w:szCs w:val="20"/>
                <w:lang w:val="fr-CA"/>
              </w:rPr>
              <w:t>l’appelante (34235-34393).</w:t>
            </w:r>
          </w:p>
          <w:p w:rsidR="0036566A" w:rsidRPr="0018283C" w:rsidRDefault="0036566A" w:rsidP="0036566A">
            <w:pPr>
              <w:jc w:val="both"/>
              <w:rPr>
                <w:sz w:val="20"/>
                <w:szCs w:val="20"/>
                <w:lang w:val="fr-CA"/>
              </w:rPr>
            </w:pPr>
          </w:p>
          <w:p w:rsidR="0036566A" w:rsidRPr="0018283C" w:rsidRDefault="0036566A" w:rsidP="0036566A">
            <w:pPr>
              <w:jc w:val="both"/>
              <w:rPr>
                <w:sz w:val="20"/>
                <w:szCs w:val="20"/>
                <w:lang w:val="fr-CA"/>
              </w:rPr>
            </w:pPr>
            <w:r w:rsidRPr="0018283C">
              <w:rPr>
                <w:sz w:val="20"/>
                <w:szCs w:val="20"/>
                <w:lang w:val="fr-CA"/>
              </w:rPr>
              <w:t>Pierre Cossette</w:t>
            </w:r>
            <w:r>
              <w:rPr>
                <w:sz w:val="20"/>
                <w:szCs w:val="20"/>
                <w:lang w:val="fr-CA"/>
              </w:rPr>
              <w:t xml:space="preserve"> et </w:t>
            </w:r>
            <w:r w:rsidRPr="0018283C">
              <w:rPr>
                <w:sz w:val="20"/>
                <w:szCs w:val="20"/>
                <w:lang w:val="fr-CA"/>
              </w:rPr>
              <w:t>Susan Shaughnessy</w:t>
            </w:r>
            <w:r>
              <w:rPr>
                <w:sz w:val="20"/>
                <w:szCs w:val="20"/>
                <w:lang w:val="fr-CA"/>
              </w:rPr>
              <w:t xml:space="preserve"> p</w:t>
            </w:r>
            <w:r w:rsidRPr="0018283C">
              <w:rPr>
                <w:sz w:val="20"/>
                <w:szCs w:val="20"/>
                <w:lang w:val="fr-CA"/>
              </w:rPr>
              <w:t>our l’intervenant (34235-34393)</w:t>
            </w:r>
            <w:r>
              <w:rPr>
                <w:sz w:val="20"/>
                <w:szCs w:val="20"/>
                <w:lang w:val="fr-CA"/>
              </w:rPr>
              <w:t>.</w:t>
            </w:r>
          </w:p>
          <w:p w:rsidR="0036566A" w:rsidRPr="0018283C" w:rsidRDefault="0036566A" w:rsidP="0036566A">
            <w:pPr>
              <w:jc w:val="both"/>
              <w:rPr>
                <w:sz w:val="20"/>
                <w:szCs w:val="20"/>
                <w:lang w:val="fr-CA"/>
              </w:rPr>
            </w:pPr>
          </w:p>
          <w:p w:rsidR="0036566A" w:rsidRPr="0018283C" w:rsidRDefault="0036566A" w:rsidP="0036566A">
            <w:pPr>
              <w:jc w:val="both"/>
              <w:rPr>
                <w:sz w:val="20"/>
                <w:szCs w:val="20"/>
                <w:lang w:val="fr-CA"/>
              </w:rPr>
            </w:pPr>
            <w:r w:rsidRPr="0018283C">
              <w:rPr>
                <w:sz w:val="20"/>
                <w:szCs w:val="20"/>
                <w:lang w:val="fr-CA"/>
              </w:rPr>
              <w:t>Dominic Belley</w:t>
            </w:r>
            <w:r>
              <w:rPr>
                <w:sz w:val="20"/>
                <w:szCs w:val="20"/>
                <w:lang w:val="fr-CA"/>
              </w:rPr>
              <w:t xml:space="preserve"> p</w:t>
            </w:r>
            <w:r w:rsidRPr="0018283C">
              <w:rPr>
                <w:sz w:val="20"/>
                <w:szCs w:val="20"/>
                <w:lang w:val="fr-CA"/>
              </w:rPr>
              <w:t>our les intimés (34235).</w:t>
            </w:r>
          </w:p>
          <w:p w:rsidR="0036566A" w:rsidRPr="0018283C" w:rsidRDefault="0036566A" w:rsidP="0036566A">
            <w:pPr>
              <w:jc w:val="both"/>
              <w:rPr>
                <w:sz w:val="20"/>
                <w:szCs w:val="20"/>
                <w:lang w:val="fr-CA"/>
              </w:rPr>
            </w:pPr>
          </w:p>
          <w:p w:rsidR="00B670AC" w:rsidRPr="00516FD5" w:rsidRDefault="0036566A" w:rsidP="0036566A">
            <w:pPr>
              <w:widowControl w:val="0"/>
              <w:jc w:val="both"/>
              <w:rPr>
                <w:sz w:val="20"/>
                <w:szCs w:val="20"/>
                <w:lang w:val="fr-CA"/>
              </w:rPr>
            </w:pPr>
            <w:r w:rsidRPr="0018283C">
              <w:rPr>
                <w:sz w:val="20"/>
                <w:szCs w:val="20"/>
                <w:lang w:val="fr-CA"/>
              </w:rPr>
              <w:t>Bruno Racine</w:t>
            </w:r>
            <w:r>
              <w:rPr>
                <w:sz w:val="20"/>
                <w:szCs w:val="20"/>
                <w:lang w:val="fr-CA"/>
              </w:rPr>
              <w:t xml:space="preserve"> et </w:t>
            </w:r>
            <w:r w:rsidRPr="0018283C">
              <w:rPr>
                <w:sz w:val="20"/>
                <w:szCs w:val="20"/>
                <w:lang w:val="fr-CA"/>
              </w:rPr>
              <w:t>Marc-Antoine St-Pierre</w:t>
            </w:r>
            <w:r>
              <w:rPr>
                <w:sz w:val="20"/>
                <w:szCs w:val="20"/>
                <w:lang w:val="fr-CA"/>
              </w:rPr>
              <w:t xml:space="preserve"> p</w:t>
            </w:r>
            <w:r w:rsidRPr="0018283C">
              <w:rPr>
                <w:sz w:val="20"/>
                <w:szCs w:val="20"/>
                <w:lang w:val="fr-CA"/>
              </w:rPr>
              <w:t>our les intimés (34393).</w:t>
            </w:r>
          </w:p>
        </w:tc>
      </w:tr>
    </w:tbl>
    <w:p w:rsidR="00B670AC" w:rsidRPr="00516FD5" w:rsidRDefault="00B670AC" w:rsidP="00B670AC">
      <w:pPr>
        <w:widowControl w:val="0"/>
        <w:rPr>
          <w:lang w:val="fr-CA"/>
        </w:rPr>
      </w:pPr>
    </w:p>
    <w:p w:rsidR="00B670AC" w:rsidRPr="0085476B" w:rsidRDefault="00B670AC" w:rsidP="00B670AC">
      <w:pPr>
        <w:widowControl w:val="0"/>
        <w:rPr>
          <w:sz w:val="20"/>
          <w:szCs w:val="20"/>
        </w:rPr>
      </w:pPr>
      <w:r w:rsidRPr="0085476B">
        <w:rPr>
          <w:b/>
          <w:sz w:val="20"/>
          <w:szCs w:val="20"/>
        </w:rPr>
        <w:t xml:space="preserve">RESERVED / </w:t>
      </w:r>
      <w:r w:rsidRPr="0085476B">
        <w:rPr>
          <w:b/>
          <w:sz w:val="20"/>
          <w:szCs w:val="20"/>
          <w:lang w:val="fr-CA"/>
        </w:rPr>
        <w:t>EN DÉLIBÉRÉ</w:t>
      </w:r>
    </w:p>
    <w:p w:rsidR="00B670AC" w:rsidRDefault="00B670AC" w:rsidP="00B670AC"/>
    <w:tbl>
      <w:tblPr>
        <w:tblW w:w="0" w:type="auto"/>
        <w:tblLayout w:type="fixed"/>
        <w:tblCellMar>
          <w:left w:w="0" w:type="dxa"/>
          <w:right w:w="0" w:type="dxa"/>
        </w:tblCellMar>
        <w:tblLook w:val="0000"/>
      </w:tblPr>
      <w:tblGrid>
        <w:gridCol w:w="4380"/>
        <w:gridCol w:w="720"/>
        <w:gridCol w:w="4380"/>
      </w:tblGrid>
      <w:tr w:rsidR="00B670AC" w:rsidRPr="005324FE" w:rsidTr="00B670AC">
        <w:tc>
          <w:tcPr>
            <w:tcW w:w="4380" w:type="dxa"/>
            <w:tcMar>
              <w:left w:w="0" w:type="dxa"/>
              <w:right w:w="0" w:type="dxa"/>
            </w:tcMar>
          </w:tcPr>
          <w:p w:rsidR="00B670AC" w:rsidRPr="00CC4D84" w:rsidRDefault="00B670AC" w:rsidP="00B670AC">
            <w:pPr>
              <w:widowControl w:val="0"/>
              <w:jc w:val="both"/>
              <w:rPr>
                <w:b/>
                <w:sz w:val="20"/>
                <w:szCs w:val="20"/>
                <w:u w:val="single"/>
              </w:rPr>
            </w:pPr>
            <w:r w:rsidRPr="00CC4D84">
              <w:rPr>
                <w:b/>
                <w:sz w:val="20"/>
                <w:szCs w:val="20"/>
                <w:u w:val="single"/>
              </w:rPr>
              <w:t>Nature of the case</w:t>
            </w:r>
            <w:r w:rsidR="002C4A64">
              <w:rPr>
                <w:b/>
                <w:sz w:val="20"/>
                <w:szCs w:val="20"/>
                <w:u w:val="single"/>
              </w:rPr>
              <w:t xml:space="preserve"> - 34235</w:t>
            </w:r>
            <w:r w:rsidRPr="00CC4D84">
              <w:rPr>
                <w:b/>
                <w:sz w:val="20"/>
                <w:szCs w:val="20"/>
                <w:u w:val="single"/>
              </w:rPr>
              <w:t>:</w:t>
            </w:r>
          </w:p>
          <w:p w:rsidR="00B670AC" w:rsidRPr="00C1697B" w:rsidRDefault="00B670AC" w:rsidP="00B670AC">
            <w:pPr>
              <w:widowControl w:val="0"/>
              <w:jc w:val="both"/>
              <w:rPr>
                <w:b/>
                <w:sz w:val="20"/>
                <w:szCs w:val="20"/>
              </w:rPr>
            </w:pPr>
          </w:p>
          <w:p w:rsidR="00B670AC" w:rsidRPr="00C1697B" w:rsidRDefault="002C4A64" w:rsidP="00B670AC">
            <w:pPr>
              <w:widowControl w:val="0"/>
              <w:jc w:val="both"/>
              <w:rPr>
                <w:b/>
                <w:sz w:val="20"/>
                <w:szCs w:val="20"/>
              </w:rPr>
            </w:pPr>
            <w:r w:rsidRPr="00E51554">
              <w:rPr>
                <w:sz w:val="20"/>
                <w:szCs w:val="20"/>
              </w:rPr>
              <w:t xml:space="preserve">Contracts </w:t>
            </w:r>
            <w:r w:rsidRPr="00E51554">
              <w:rPr>
                <w:sz w:val="20"/>
                <w:szCs w:val="20"/>
              </w:rPr>
              <w:noBreakHyphen/>
              <w:t xml:space="preserve"> Interpretation </w:t>
            </w:r>
            <w:r w:rsidRPr="00E51554">
              <w:rPr>
                <w:sz w:val="20"/>
                <w:szCs w:val="20"/>
              </w:rPr>
              <w:noBreakHyphen/>
              <w:t xml:space="preserve"> Error </w:t>
            </w:r>
            <w:r w:rsidRPr="00E51554">
              <w:rPr>
                <w:sz w:val="20"/>
                <w:szCs w:val="20"/>
              </w:rPr>
              <w:noBreakHyphen/>
              <w:t xml:space="preserve"> Rectification </w:t>
            </w:r>
            <w:r w:rsidRPr="00E51554">
              <w:rPr>
                <w:sz w:val="20"/>
                <w:szCs w:val="20"/>
              </w:rPr>
              <w:noBreakHyphen/>
              <w:t xml:space="preserve"> Whether, under Quebec civil law, court may rectify or amend written instrument or contractual document because of unforeseen tax consequences </w:t>
            </w:r>
            <w:r w:rsidRPr="00E51554">
              <w:rPr>
                <w:sz w:val="20"/>
                <w:szCs w:val="20"/>
              </w:rPr>
              <w:noBreakHyphen/>
              <w:t xml:space="preserve"> </w:t>
            </w:r>
            <w:r w:rsidRPr="00E51554">
              <w:rPr>
                <w:i/>
                <w:iCs/>
                <w:sz w:val="20"/>
                <w:szCs w:val="20"/>
              </w:rPr>
              <w:t>Civil Code of Québec</w:t>
            </w:r>
            <w:r w:rsidRPr="00E51554">
              <w:rPr>
                <w:sz w:val="20"/>
                <w:szCs w:val="20"/>
              </w:rPr>
              <w:t>, S.Q. 1991, c. 64, art. 1425.</w:t>
            </w:r>
          </w:p>
        </w:tc>
        <w:tc>
          <w:tcPr>
            <w:tcW w:w="720" w:type="dxa"/>
            <w:tcMar>
              <w:left w:w="0" w:type="dxa"/>
              <w:right w:w="0" w:type="dxa"/>
            </w:tcMar>
          </w:tcPr>
          <w:p w:rsidR="00B670AC" w:rsidRPr="00C1697B" w:rsidRDefault="00B670AC" w:rsidP="00B670AC">
            <w:pPr>
              <w:widowControl w:val="0"/>
              <w:jc w:val="center"/>
              <w:rPr>
                <w:sz w:val="20"/>
                <w:szCs w:val="20"/>
              </w:rPr>
            </w:pPr>
          </w:p>
        </w:tc>
        <w:tc>
          <w:tcPr>
            <w:tcW w:w="4380" w:type="dxa"/>
            <w:tcMar>
              <w:left w:w="0" w:type="dxa"/>
              <w:right w:w="0" w:type="dxa"/>
            </w:tcMar>
          </w:tcPr>
          <w:p w:rsidR="00B670AC" w:rsidRPr="00CC4D84" w:rsidRDefault="00B670AC" w:rsidP="00B670AC">
            <w:pPr>
              <w:widowControl w:val="0"/>
              <w:jc w:val="both"/>
              <w:rPr>
                <w:b/>
                <w:sz w:val="20"/>
                <w:szCs w:val="20"/>
                <w:u w:val="single"/>
                <w:lang w:val="fr-CA"/>
              </w:rPr>
            </w:pPr>
            <w:r w:rsidRPr="00CC4D84">
              <w:rPr>
                <w:b/>
                <w:sz w:val="20"/>
                <w:szCs w:val="20"/>
                <w:u w:val="single"/>
                <w:lang w:val="fr-CA"/>
              </w:rPr>
              <w:t xml:space="preserve">Nature de la cause </w:t>
            </w:r>
            <w:r w:rsidR="002C4A64">
              <w:rPr>
                <w:b/>
                <w:sz w:val="20"/>
                <w:szCs w:val="20"/>
                <w:u w:val="single"/>
                <w:lang w:val="fr-CA"/>
              </w:rPr>
              <w:t xml:space="preserve">- 34235 </w:t>
            </w:r>
            <w:r w:rsidRPr="00CC4D84">
              <w:rPr>
                <w:b/>
                <w:sz w:val="20"/>
                <w:szCs w:val="20"/>
                <w:u w:val="single"/>
                <w:lang w:val="fr-CA"/>
              </w:rPr>
              <w:t>:</w:t>
            </w:r>
          </w:p>
          <w:p w:rsidR="00B670AC" w:rsidRPr="00C1697B" w:rsidRDefault="00B670AC" w:rsidP="00B670AC">
            <w:pPr>
              <w:widowControl w:val="0"/>
              <w:jc w:val="both"/>
              <w:rPr>
                <w:sz w:val="20"/>
                <w:szCs w:val="20"/>
                <w:lang w:val="fr-CA"/>
              </w:rPr>
            </w:pPr>
          </w:p>
          <w:p w:rsidR="00B670AC" w:rsidRPr="00C1697B" w:rsidRDefault="002C4A64" w:rsidP="00B670AC">
            <w:pPr>
              <w:widowControl w:val="0"/>
              <w:jc w:val="both"/>
              <w:rPr>
                <w:sz w:val="20"/>
                <w:szCs w:val="20"/>
                <w:lang w:val="fr-CA"/>
              </w:rPr>
            </w:pPr>
            <w:r w:rsidRPr="009D76FA">
              <w:rPr>
                <w:sz w:val="20"/>
                <w:szCs w:val="20"/>
                <w:lang w:val="fr-CA"/>
              </w:rPr>
              <w:t xml:space="preserve">Contrats </w:t>
            </w:r>
            <w:r w:rsidRPr="009D76FA">
              <w:rPr>
                <w:sz w:val="20"/>
                <w:szCs w:val="20"/>
                <w:lang w:val="fr-CA"/>
              </w:rPr>
              <w:noBreakHyphen/>
              <w:t xml:space="preserve"> Interprétation </w:t>
            </w:r>
            <w:r w:rsidRPr="009D76FA">
              <w:rPr>
                <w:sz w:val="20"/>
                <w:szCs w:val="20"/>
                <w:lang w:val="fr-CA"/>
              </w:rPr>
              <w:noBreakHyphen/>
              <w:t xml:space="preserve"> Erreur </w:t>
            </w:r>
            <w:r w:rsidRPr="009D76FA">
              <w:rPr>
                <w:sz w:val="20"/>
                <w:szCs w:val="20"/>
                <w:lang w:val="fr-CA"/>
              </w:rPr>
              <w:noBreakHyphen/>
              <w:t xml:space="preserve"> Rectification </w:t>
            </w:r>
            <w:r w:rsidRPr="009D76FA">
              <w:rPr>
                <w:sz w:val="20"/>
                <w:szCs w:val="20"/>
                <w:lang w:val="fr-CA"/>
              </w:rPr>
              <w:noBreakHyphen/>
              <w:t xml:space="preserve"> Un tribunal peut</w:t>
            </w:r>
            <w:r w:rsidRPr="009D76FA">
              <w:rPr>
                <w:sz w:val="20"/>
                <w:szCs w:val="20"/>
                <w:lang w:val="fr-CA"/>
              </w:rPr>
              <w:noBreakHyphen/>
              <w:t xml:space="preserve">il, en vertu du droit civil québécois, rectifier ou modifier un écrit ou un document contractuel au motif de conséquences fiscales inattendues? </w:t>
            </w:r>
            <w:r w:rsidRPr="009D76FA">
              <w:rPr>
                <w:sz w:val="20"/>
                <w:szCs w:val="20"/>
                <w:lang w:val="fr-CA"/>
              </w:rPr>
              <w:noBreakHyphen/>
              <w:t xml:space="preserve"> </w:t>
            </w:r>
            <w:r w:rsidRPr="009D76FA">
              <w:rPr>
                <w:i/>
                <w:sz w:val="20"/>
                <w:szCs w:val="20"/>
                <w:lang w:val="fr-CA"/>
              </w:rPr>
              <w:t>Code civil du Québec</w:t>
            </w:r>
            <w:r w:rsidRPr="009D76FA">
              <w:rPr>
                <w:sz w:val="20"/>
                <w:szCs w:val="20"/>
                <w:lang w:val="fr-CA"/>
              </w:rPr>
              <w:t>, L.Q. 1991, ch. 64, art. 1425.</w:t>
            </w:r>
          </w:p>
        </w:tc>
      </w:tr>
    </w:tbl>
    <w:p w:rsidR="00B670AC" w:rsidRDefault="00B670AC" w:rsidP="00B670AC">
      <w:pPr>
        <w:widowControl w:val="0"/>
        <w:rPr>
          <w:sz w:val="20"/>
          <w:szCs w:val="20"/>
          <w:lang w:val="fr-CA"/>
        </w:rPr>
      </w:pPr>
    </w:p>
    <w:tbl>
      <w:tblPr>
        <w:tblW w:w="0" w:type="auto"/>
        <w:tblLayout w:type="fixed"/>
        <w:tblCellMar>
          <w:left w:w="0" w:type="dxa"/>
          <w:right w:w="0" w:type="dxa"/>
        </w:tblCellMar>
        <w:tblLook w:val="0000"/>
      </w:tblPr>
      <w:tblGrid>
        <w:gridCol w:w="4380"/>
        <w:gridCol w:w="720"/>
        <w:gridCol w:w="4380"/>
      </w:tblGrid>
      <w:tr w:rsidR="002C4A64" w:rsidRPr="005324FE" w:rsidTr="002C4A64">
        <w:tc>
          <w:tcPr>
            <w:tcW w:w="4380" w:type="dxa"/>
            <w:tcMar>
              <w:left w:w="0" w:type="dxa"/>
              <w:right w:w="0" w:type="dxa"/>
            </w:tcMar>
          </w:tcPr>
          <w:p w:rsidR="002C4A64" w:rsidRPr="00CC4D84" w:rsidRDefault="002C4A64" w:rsidP="002C4A64">
            <w:pPr>
              <w:widowControl w:val="0"/>
              <w:jc w:val="both"/>
              <w:rPr>
                <w:b/>
                <w:sz w:val="20"/>
                <w:szCs w:val="20"/>
                <w:u w:val="single"/>
              </w:rPr>
            </w:pPr>
            <w:r w:rsidRPr="00CC4D84">
              <w:rPr>
                <w:b/>
                <w:sz w:val="20"/>
                <w:szCs w:val="20"/>
                <w:u w:val="single"/>
              </w:rPr>
              <w:t>Nature of the case</w:t>
            </w:r>
            <w:r>
              <w:rPr>
                <w:b/>
                <w:sz w:val="20"/>
                <w:szCs w:val="20"/>
                <w:u w:val="single"/>
              </w:rPr>
              <w:t xml:space="preserve"> - 34393</w:t>
            </w:r>
            <w:r w:rsidRPr="00CC4D84">
              <w:rPr>
                <w:b/>
                <w:sz w:val="20"/>
                <w:szCs w:val="20"/>
                <w:u w:val="single"/>
              </w:rPr>
              <w:t>:</w:t>
            </w:r>
          </w:p>
          <w:p w:rsidR="002C4A64" w:rsidRPr="00C1697B" w:rsidRDefault="002C4A64" w:rsidP="002C4A64">
            <w:pPr>
              <w:widowControl w:val="0"/>
              <w:jc w:val="both"/>
              <w:rPr>
                <w:b/>
                <w:sz w:val="20"/>
                <w:szCs w:val="20"/>
              </w:rPr>
            </w:pPr>
          </w:p>
          <w:p w:rsidR="002C4A64" w:rsidRPr="00C1697B" w:rsidRDefault="002C4A64" w:rsidP="002C4A64">
            <w:pPr>
              <w:widowControl w:val="0"/>
              <w:jc w:val="both"/>
              <w:rPr>
                <w:b/>
                <w:sz w:val="20"/>
                <w:szCs w:val="20"/>
              </w:rPr>
            </w:pPr>
            <w:r w:rsidRPr="009F7D49">
              <w:rPr>
                <w:sz w:val="20"/>
                <w:szCs w:val="20"/>
              </w:rPr>
              <w:t xml:space="preserve">Contracts </w:t>
            </w:r>
            <w:r w:rsidRPr="009F7D49">
              <w:rPr>
                <w:sz w:val="20"/>
                <w:szCs w:val="20"/>
              </w:rPr>
              <w:noBreakHyphen/>
              <w:t xml:space="preserve"> Interpretation </w:t>
            </w:r>
            <w:r w:rsidRPr="009F7D49">
              <w:rPr>
                <w:sz w:val="20"/>
                <w:szCs w:val="20"/>
              </w:rPr>
              <w:noBreakHyphen/>
              <w:t xml:space="preserve"> Error </w:t>
            </w:r>
            <w:r w:rsidRPr="009F7D49">
              <w:rPr>
                <w:sz w:val="20"/>
                <w:szCs w:val="20"/>
              </w:rPr>
              <w:noBreakHyphen/>
              <w:t xml:space="preserve"> Rectification </w:t>
            </w:r>
            <w:r w:rsidRPr="009F7D49">
              <w:rPr>
                <w:sz w:val="20"/>
                <w:szCs w:val="20"/>
              </w:rPr>
              <w:noBreakHyphen/>
              <w:t xml:space="preserve"> Whether, under Quebec civil law, court can rectify or amend contractual document or writing on ground of unintended tax consequences </w:t>
            </w:r>
            <w:r w:rsidRPr="009F7D49">
              <w:rPr>
                <w:sz w:val="20"/>
                <w:szCs w:val="20"/>
              </w:rPr>
              <w:noBreakHyphen/>
              <w:t xml:space="preserve"> Whether, under Quebec civil law, court can annul contractual document or writing on ground of unintended tax consequences </w:t>
            </w:r>
            <w:r w:rsidRPr="009F7D49">
              <w:rPr>
                <w:sz w:val="20"/>
                <w:szCs w:val="20"/>
              </w:rPr>
              <w:noBreakHyphen/>
              <w:t xml:space="preserve"> </w:t>
            </w:r>
            <w:r w:rsidRPr="009F7D49">
              <w:rPr>
                <w:i/>
                <w:sz w:val="20"/>
                <w:szCs w:val="20"/>
              </w:rPr>
              <w:t>Civil Code of Québec</w:t>
            </w:r>
            <w:r w:rsidRPr="009F7D49">
              <w:rPr>
                <w:sz w:val="20"/>
                <w:szCs w:val="20"/>
              </w:rPr>
              <w:t>, S.Q. 1991, c. 91, arts. 1400 and 1425.</w:t>
            </w:r>
          </w:p>
        </w:tc>
        <w:tc>
          <w:tcPr>
            <w:tcW w:w="720" w:type="dxa"/>
            <w:tcMar>
              <w:left w:w="0" w:type="dxa"/>
              <w:right w:w="0" w:type="dxa"/>
            </w:tcMar>
          </w:tcPr>
          <w:p w:rsidR="002C4A64" w:rsidRPr="00C1697B" w:rsidRDefault="002C4A64" w:rsidP="002C4A64">
            <w:pPr>
              <w:widowControl w:val="0"/>
              <w:jc w:val="center"/>
              <w:rPr>
                <w:sz w:val="20"/>
                <w:szCs w:val="20"/>
              </w:rPr>
            </w:pPr>
          </w:p>
        </w:tc>
        <w:tc>
          <w:tcPr>
            <w:tcW w:w="4380" w:type="dxa"/>
            <w:tcMar>
              <w:left w:w="0" w:type="dxa"/>
              <w:right w:w="0" w:type="dxa"/>
            </w:tcMar>
          </w:tcPr>
          <w:p w:rsidR="002C4A64" w:rsidRPr="00CC4D84" w:rsidRDefault="002C4A64" w:rsidP="002C4A64">
            <w:pPr>
              <w:widowControl w:val="0"/>
              <w:jc w:val="both"/>
              <w:rPr>
                <w:b/>
                <w:sz w:val="20"/>
                <w:szCs w:val="20"/>
                <w:u w:val="single"/>
                <w:lang w:val="fr-CA"/>
              </w:rPr>
            </w:pPr>
            <w:r w:rsidRPr="00CC4D84">
              <w:rPr>
                <w:b/>
                <w:sz w:val="20"/>
                <w:szCs w:val="20"/>
                <w:u w:val="single"/>
                <w:lang w:val="fr-CA"/>
              </w:rPr>
              <w:t>Nature de la cause</w:t>
            </w:r>
            <w:r>
              <w:rPr>
                <w:b/>
                <w:sz w:val="20"/>
                <w:szCs w:val="20"/>
                <w:u w:val="single"/>
                <w:lang w:val="fr-CA"/>
              </w:rPr>
              <w:t xml:space="preserve"> -</w:t>
            </w:r>
            <w:r w:rsidRPr="00CC4D84">
              <w:rPr>
                <w:b/>
                <w:sz w:val="20"/>
                <w:szCs w:val="20"/>
                <w:u w:val="single"/>
                <w:lang w:val="fr-CA"/>
              </w:rPr>
              <w:t xml:space="preserve"> </w:t>
            </w:r>
            <w:r>
              <w:rPr>
                <w:b/>
                <w:sz w:val="20"/>
                <w:szCs w:val="20"/>
                <w:u w:val="single"/>
                <w:lang w:val="fr-CA"/>
              </w:rPr>
              <w:t xml:space="preserve">34393 </w:t>
            </w:r>
            <w:r w:rsidRPr="00CC4D84">
              <w:rPr>
                <w:b/>
                <w:sz w:val="20"/>
                <w:szCs w:val="20"/>
                <w:u w:val="single"/>
                <w:lang w:val="fr-CA"/>
              </w:rPr>
              <w:t>:</w:t>
            </w:r>
          </w:p>
          <w:p w:rsidR="002C4A64" w:rsidRPr="00C1697B" w:rsidRDefault="002C4A64" w:rsidP="002C4A64">
            <w:pPr>
              <w:widowControl w:val="0"/>
              <w:jc w:val="both"/>
              <w:rPr>
                <w:sz w:val="20"/>
                <w:szCs w:val="20"/>
                <w:lang w:val="fr-CA"/>
              </w:rPr>
            </w:pPr>
          </w:p>
          <w:p w:rsidR="002C4A64" w:rsidRPr="00C1697B" w:rsidRDefault="002C4A64" w:rsidP="002C4A64">
            <w:pPr>
              <w:widowControl w:val="0"/>
              <w:jc w:val="both"/>
              <w:rPr>
                <w:sz w:val="20"/>
                <w:szCs w:val="20"/>
                <w:lang w:val="fr-CA"/>
              </w:rPr>
            </w:pPr>
            <w:r w:rsidRPr="00366388">
              <w:rPr>
                <w:sz w:val="20"/>
                <w:szCs w:val="20"/>
                <w:lang w:val="fr-CA"/>
              </w:rPr>
              <w:t xml:space="preserve">Contrats </w:t>
            </w:r>
            <w:r w:rsidRPr="00366388">
              <w:rPr>
                <w:sz w:val="20"/>
                <w:szCs w:val="20"/>
                <w:lang w:val="fr-CA"/>
              </w:rPr>
              <w:noBreakHyphen/>
              <w:t xml:space="preserve"> Interprétation </w:t>
            </w:r>
            <w:r w:rsidRPr="00366388">
              <w:rPr>
                <w:sz w:val="20"/>
                <w:szCs w:val="20"/>
                <w:lang w:val="fr-CA"/>
              </w:rPr>
              <w:noBreakHyphen/>
              <w:t xml:space="preserve"> Erreur </w:t>
            </w:r>
            <w:r w:rsidRPr="00366388">
              <w:rPr>
                <w:sz w:val="20"/>
                <w:szCs w:val="20"/>
                <w:lang w:val="fr-CA"/>
              </w:rPr>
              <w:noBreakHyphen/>
              <w:t xml:space="preserve"> Rectification </w:t>
            </w:r>
            <w:r w:rsidRPr="00366388">
              <w:rPr>
                <w:sz w:val="20"/>
                <w:szCs w:val="20"/>
                <w:lang w:val="fr-CA"/>
              </w:rPr>
              <w:noBreakHyphen/>
              <w:t xml:space="preserve"> Un tribunal peut</w:t>
            </w:r>
            <w:r w:rsidRPr="00366388">
              <w:rPr>
                <w:sz w:val="20"/>
                <w:szCs w:val="20"/>
                <w:lang w:val="fr-CA"/>
              </w:rPr>
              <w:noBreakHyphen/>
              <w:t xml:space="preserve">il, en vertu du droit civil québécois, rectifier ou modifier un écrit ou un document contractuel au motif de conséquences fiscales inattendues? </w:t>
            </w:r>
            <w:r w:rsidRPr="00366388">
              <w:rPr>
                <w:sz w:val="20"/>
                <w:szCs w:val="20"/>
                <w:lang w:val="fr-CA"/>
              </w:rPr>
              <w:noBreakHyphen/>
              <w:t xml:space="preserve"> Un tribunal peut</w:t>
            </w:r>
            <w:r w:rsidRPr="00366388">
              <w:rPr>
                <w:sz w:val="20"/>
                <w:szCs w:val="20"/>
                <w:lang w:val="fr-CA"/>
              </w:rPr>
              <w:noBreakHyphen/>
              <w:t xml:space="preserve">il, en vertu du droit civil québécois, annuler un écrit ou un document contractuel au motif de conséquences fiscales inattendues? </w:t>
            </w:r>
            <w:r w:rsidRPr="00366388">
              <w:rPr>
                <w:sz w:val="20"/>
                <w:szCs w:val="20"/>
                <w:lang w:val="fr-CA"/>
              </w:rPr>
              <w:noBreakHyphen/>
              <w:t xml:space="preserve"> </w:t>
            </w:r>
            <w:r w:rsidRPr="00366388">
              <w:rPr>
                <w:i/>
                <w:sz w:val="20"/>
                <w:szCs w:val="20"/>
                <w:lang w:val="fr-CA"/>
              </w:rPr>
              <w:t>Code civil du Québec</w:t>
            </w:r>
            <w:r w:rsidRPr="00366388">
              <w:rPr>
                <w:sz w:val="20"/>
                <w:szCs w:val="20"/>
                <w:lang w:val="fr-CA"/>
              </w:rPr>
              <w:t>, L.Q. 1991, ch. 91, art. 1400 et 1425.</w:t>
            </w:r>
          </w:p>
        </w:tc>
      </w:tr>
    </w:tbl>
    <w:p w:rsidR="002C4A64" w:rsidRDefault="002C4A64" w:rsidP="00B670AC">
      <w:pPr>
        <w:widowControl w:val="0"/>
        <w:rPr>
          <w:sz w:val="20"/>
          <w:szCs w:val="20"/>
          <w:lang w:val="fr-CA"/>
        </w:rPr>
      </w:pPr>
    </w:p>
    <w:p w:rsidR="00B670AC" w:rsidRDefault="00BF3B03" w:rsidP="00B670AC">
      <w:pPr>
        <w:widowControl w:val="0"/>
        <w:rPr>
          <w:sz w:val="20"/>
          <w:szCs w:val="20"/>
        </w:rPr>
      </w:pPr>
      <w:r w:rsidRPr="00BF3B03">
        <w:rPr>
          <w:sz w:val="20"/>
          <w:szCs w:val="20"/>
          <w:lang w:val="fr-CA"/>
        </w:rPr>
        <w:pict>
          <v:rect id="_x0000_i1098" style="width:2in;height:1pt" o:hrpct="0" o:hralign="center" o:hrstd="t" o:hrnoshade="t" o:hr="t" fillcolor="black [3213]" stroked="f"/>
        </w:pict>
      </w:r>
    </w:p>
    <w:p w:rsidR="00B670AC" w:rsidRDefault="00B670AC" w:rsidP="00B670AC">
      <w:pPr>
        <w:widowControl w:val="0"/>
        <w:rPr>
          <w:sz w:val="20"/>
          <w:szCs w:val="20"/>
        </w:rPr>
      </w:pPr>
    </w:p>
    <w:p w:rsidR="00E940EB" w:rsidRPr="00C1697B" w:rsidRDefault="00E940EB" w:rsidP="00732DB7">
      <w:pPr>
        <w:widowControl w:val="0"/>
        <w:rPr>
          <w:sz w:val="20"/>
          <w:szCs w:val="20"/>
          <w:lang w:val="fr-CA"/>
        </w:rPr>
      </w:pPr>
    </w:p>
    <w:p w:rsidR="00732DB7" w:rsidRPr="00C1697B" w:rsidRDefault="00732DB7" w:rsidP="00732DB7">
      <w:pPr>
        <w:widowControl w:val="0"/>
        <w:rPr>
          <w:sz w:val="20"/>
          <w:szCs w:val="20"/>
          <w:lang w:val="fr-CA"/>
        </w:rPr>
      </w:pPr>
    </w:p>
    <w:p w:rsidR="00732DB7" w:rsidRPr="00C1697B" w:rsidRDefault="00732DB7" w:rsidP="00732DB7">
      <w:pPr>
        <w:widowControl w:val="0"/>
        <w:rPr>
          <w:sz w:val="20"/>
          <w:szCs w:val="20"/>
          <w:lang w:val="fr-CA"/>
        </w:rPr>
        <w:sectPr w:rsidR="00732DB7" w:rsidRPr="00C1697B" w:rsidSect="00732DB7">
          <w:headerReference w:type="even" r:id="rId47"/>
          <w:headerReference w:type="default" r:id="rId48"/>
          <w:footerReference w:type="even" r:id="rId49"/>
          <w:footerReference w:type="default" r:id="rId50"/>
          <w:headerReference w:type="first" r:id="rId51"/>
          <w:footerReference w:type="first" r:id="rId52"/>
          <w:pgSz w:w="12240" w:h="15840"/>
          <w:pgMar w:top="720" w:right="965" w:bottom="1080" w:left="1656" w:header="720" w:footer="960"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FF6EEC" w:rsidRPr="00DC2D1F" w:rsidTr="0085476B">
        <w:tc>
          <w:tcPr>
            <w:tcW w:w="4200" w:type="dxa"/>
            <w:tcMar>
              <w:left w:w="0" w:type="dxa"/>
              <w:right w:w="0" w:type="dxa"/>
            </w:tcMar>
          </w:tcPr>
          <w:p w:rsidR="00FF6EEC" w:rsidRPr="00C1697B" w:rsidRDefault="00FF6EEC" w:rsidP="0085476B">
            <w:pPr>
              <w:keepNext/>
              <w:keepLines/>
              <w:tabs>
                <w:tab w:val="left" w:pos="-1440"/>
                <w:tab w:val="left" w:pos="-720"/>
              </w:tabs>
              <w:rPr>
                <w:b/>
                <w:szCs w:val="24"/>
              </w:rPr>
            </w:pPr>
            <w:r w:rsidRPr="00C1697B">
              <w:rPr>
                <w:b/>
                <w:szCs w:val="24"/>
              </w:rPr>
              <w:lastRenderedPageBreak/>
              <w:t>PRONOUNCEMENTS OF APPEALS</w:t>
            </w:r>
            <w:r w:rsidR="0085476B">
              <w:rPr>
                <w:b/>
                <w:szCs w:val="24"/>
              </w:rPr>
              <w:t xml:space="preserve"> </w:t>
            </w:r>
            <w:r w:rsidRPr="00C1697B">
              <w:rPr>
                <w:b/>
                <w:szCs w:val="24"/>
              </w:rPr>
              <w:t>RESERVED</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C1697B">
              <w:rPr>
                <w:b/>
                <w:szCs w:val="24"/>
              </w:rPr>
              <w:t>Reasons for judgment are available</w:t>
            </w:r>
          </w:p>
        </w:tc>
        <w:tc>
          <w:tcPr>
            <w:tcW w:w="1200" w:type="dxa"/>
            <w:tcMar>
              <w:left w:w="0" w:type="dxa"/>
              <w:right w:w="0" w:type="dxa"/>
            </w:tcMar>
          </w:tcPr>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tc>
        <w:tc>
          <w:tcPr>
            <w:tcW w:w="4080" w:type="dxa"/>
            <w:tcMar>
              <w:left w:w="0" w:type="dxa"/>
              <w:right w:w="0" w:type="dxa"/>
            </w:tcMar>
          </w:tcPr>
          <w:p w:rsidR="00FF6EEC" w:rsidRPr="00C1697B" w:rsidRDefault="00FF6EEC" w:rsidP="00FF6EEC">
            <w:pPr>
              <w:keepNext/>
              <w:keepLines/>
              <w:tabs>
                <w:tab w:val="left" w:pos="-1440"/>
                <w:tab w:val="left" w:pos="-720"/>
              </w:tabs>
              <w:rPr>
                <w:b/>
                <w:szCs w:val="24"/>
                <w:lang w:val="fr-CA"/>
              </w:rPr>
            </w:pPr>
            <w:r w:rsidRPr="00C1697B">
              <w:rPr>
                <w:b/>
                <w:szCs w:val="24"/>
                <w:lang w:val="fr-CA"/>
              </w:rPr>
              <w:t>JUGEMENTS RENDUS SUR LES APPELS EN DÉLIBÉRÉ</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C1697B"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1697B">
              <w:rPr>
                <w:b/>
                <w:szCs w:val="24"/>
                <w:lang w:val="fr-CA"/>
              </w:rPr>
              <w:t>Les motifs de jugement sont disponibles</w:t>
            </w:r>
          </w:p>
        </w:tc>
      </w:tr>
    </w:tbl>
    <w:p w:rsidR="00FF6EEC" w:rsidRPr="003B3977" w:rsidRDefault="00FF6EEC" w:rsidP="00FF6EEC">
      <w:pPr>
        <w:rPr>
          <w:b/>
          <w:sz w:val="20"/>
          <w:szCs w:val="20"/>
          <w:lang w:val="fr-CA"/>
        </w:rPr>
      </w:pPr>
    </w:p>
    <w:p w:rsidR="00AF1715" w:rsidRPr="003B3977" w:rsidRDefault="003957EF" w:rsidP="00AF1715">
      <w:pPr>
        <w:rPr>
          <w:b/>
          <w:sz w:val="20"/>
          <w:szCs w:val="20"/>
        </w:rPr>
      </w:pPr>
      <w:r>
        <w:rPr>
          <w:b/>
          <w:sz w:val="20"/>
          <w:szCs w:val="20"/>
        </w:rPr>
        <w:t>NOVEM</w:t>
      </w:r>
      <w:r w:rsidR="00AF1715" w:rsidRPr="003B3977">
        <w:rPr>
          <w:b/>
          <w:sz w:val="20"/>
          <w:szCs w:val="20"/>
        </w:rPr>
        <w:t xml:space="preserve">BER </w:t>
      </w:r>
      <w:r>
        <w:rPr>
          <w:b/>
          <w:sz w:val="20"/>
          <w:szCs w:val="20"/>
        </w:rPr>
        <w:t>7</w:t>
      </w:r>
      <w:r w:rsidR="00AF1715" w:rsidRPr="003B3977">
        <w:rPr>
          <w:b/>
          <w:sz w:val="20"/>
          <w:szCs w:val="20"/>
        </w:rPr>
        <w:t>, 201</w:t>
      </w:r>
      <w:r w:rsidR="004E1E0A">
        <w:rPr>
          <w:b/>
          <w:sz w:val="20"/>
          <w:szCs w:val="20"/>
        </w:rPr>
        <w:t>2</w:t>
      </w:r>
      <w:r w:rsidR="00AF1715" w:rsidRPr="003B3977">
        <w:rPr>
          <w:b/>
          <w:sz w:val="20"/>
          <w:szCs w:val="20"/>
        </w:rPr>
        <w:t xml:space="preserve"> / LE </w:t>
      </w:r>
      <w:r>
        <w:rPr>
          <w:b/>
          <w:sz w:val="20"/>
          <w:szCs w:val="20"/>
        </w:rPr>
        <w:t>7 NOVEM</w:t>
      </w:r>
      <w:r w:rsidR="00AF1715" w:rsidRPr="003B3977">
        <w:rPr>
          <w:b/>
          <w:sz w:val="20"/>
          <w:szCs w:val="20"/>
        </w:rPr>
        <w:t>BRE 201</w:t>
      </w:r>
      <w:r w:rsidR="004E1E0A">
        <w:rPr>
          <w:b/>
          <w:sz w:val="20"/>
          <w:szCs w:val="20"/>
        </w:rPr>
        <w:t>2</w:t>
      </w:r>
    </w:p>
    <w:p w:rsidR="00AF1715" w:rsidRDefault="00AF1715" w:rsidP="00AF1715">
      <w:pPr>
        <w:rPr>
          <w:sz w:val="20"/>
          <w:szCs w:val="20"/>
        </w:rPr>
      </w:pPr>
    </w:p>
    <w:p w:rsidR="00680B0A" w:rsidRPr="00680B0A" w:rsidRDefault="00680B0A" w:rsidP="00680B0A">
      <w:pPr>
        <w:pStyle w:val="SCCLsocParty"/>
        <w:ind w:left="1440" w:hanging="1440"/>
        <w:rPr>
          <w:rStyle w:val="Hyperlink"/>
          <w:i w:val="0"/>
          <w:color w:val="auto"/>
          <w:sz w:val="20"/>
          <w:szCs w:val="20"/>
          <w:lang w:val="en-US"/>
        </w:rPr>
      </w:pPr>
      <w:r w:rsidRPr="00680B0A">
        <w:rPr>
          <w:b/>
          <w:i w:val="0"/>
          <w:sz w:val="20"/>
          <w:szCs w:val="20"/>
          <w:lang w:val="en-US"/>
        </w:rPr>
        <w:t>34228</w:t>
      </w:r>
      <w:r w:rsidRPr="00680B0A">
        <w:rPr>
          <w:b/>
          <w:i w:val="0"/>
          <w:sz w:val="20"/>
          <w:szCs w:val="20"/>
          <w:lang w:val="en-US"/>
        </w:rPr>
        <w:tab/>
      </w:r>
      <w:r w:rsidRPr="00680B0A">
        <w:rPr>
          <w:b/>
          <w:i w:val="0"/>
          <w:sz w:val="20"/>
          <w:szCs w:val="20"/>
          <w:u w:val="single"/>
          <w:lang w:val="en-US"/>
        </w:rPr>
        <w:t xml:space="preserve">Her Majesty </w:t>
      </w:r>
      <w:proofErr w:type="gramStart"/>
      <w:r w:rsidRPr="00680B0A">
        <w:rPr>
          <w:b/>
          <w:i w:val="0"/>
          <w:sz w:val="20"/>
          <w:szCs w:val="20"/>
          <w:u w:val="single"/>
          <w:lang w:val="en-US"/>
        </w:rPr>
        <w:t>The</w:t>
      </w:r>
      <w:proofErr w:type="gramEnd"/>
      <w:r w:rsidRPr="00680B0A">
        <w:rPr>
          <w:b/>
          <w:i w:val="0"/>
          <w:sz w:val="20"/>
          <w:szCs w:val="20"/>
          <w:u w:val="single"/>
          <w:lang w:val="en-US"/>
        </w:rPr>
        <w:t xml:space="preserve"> Queen v. Marius Nedelcu – and – Attorney General of Quebec, Advocates’ Society and Criminal Lawyers’ Association (Ontario)</w:t>
      </w:r>
      <w:r w:rsidRPr="00680B0A">
        <w:rPr>
          <w:b/>
          <w:i w:val="0"/>
          <w:sz w:val="20"/>
          <w:szCs w:val="20"/>
          <w:lang w:val="en-US"/>
        </w:rPr>
        <w:t xml:space="preserve"> </w:t>
      </w:r>
      <w:r w:rsidRPr="00680B0A">
        <w:rPr>
          <w:i w:val="0"/>
          <w:iCs/>
          <w:sz w:val="20"/>
          <w:szCs w:val="20"/>
          <w:lang w:val="en-US"/>
        </w:rPr>
        <w:t xml:space="preserve">(Ont.) </w:t>
      </w:r>
    </w:p>
    <w:p w:rsidR="00680B0A" w:rsidRPr="00B05EBA" w:rsidRDefault="00680B0A" w:rsidP="00680B0A">
      <w:pPr>
        <w:ind w:left="1440"/>
        <w:jc w:val="both"/>
        <w:rPr>
          <w:b/>
          <w:sz w:val="20"/>
          <w:szCs w:val="20"/>
        </w:rPr>
      </w:pPr>
      <w:r w:rsidRPr="00B05EBA">
        <w:rPr>
          <w:b/>
          <w:sz w:val="20"/>
          <w:szCs w:val="20"/>
        </w:rPr>
        <w:t>2012 SCC 59 / 2012 CSC 59</w:t>
      </w:r>
    </w:p>
    <w:p w:rsidR="00680B0A" w:rsidRPr="00B05EBA" w:rsidRDefault="00680B0A" w:rsidP="00680B0A">
      <w:pPr>
        <w:ind w:left="1440" w:hanging="1440"/>
        <w:jc w:val="both"/>
        <w:rPr>
          <w:b/>
          <w:sz w:val="20"/>
          <w:szCs w:val="20"/>
        </w:rPr>
      </w:pPr>
    </w:p>
    <w:p w:rsidR="00680B0A" w:rsidRPr="00B05EBA" w:rsidRDefault="00680B0A" w:rsidP="00680B0A">
      <w:pPr>
        <w:ind w:left="1440" w:hanging="1440"/>
        <w:jc w:val="both"/>
        <w:rPr>
          <w:sz w:val="20"/>
          <w:szCs w:val="20"/>
          <w:u w:val="single"/>
        </w:rPr>
      </w:pPr>
      <w:r w:rsidRPr="00B05EBA">
        <w:rPr>
          <w:sz w:val="20"/>
          <w:szCs w:val="20"/>
        </w:rPr>
        <w:t>Coram:</w:t>
      </w:r>
      <w:r>
        <w:rPr>
          <w:sz w:val="20"/>
          <w:szCs w:val="20"/>
        </w:rPr>
        <w:tab/>
      </w:r>
      <w:r w:rsidRPr="00B05EBA">
        <w:rPr>
          <w:sz w:val="20"/>
          <w:szCs w:val="20"/>
          <w:u w:val="single"/>
        </w:rPr>
        <w:t xml:space="preserve">McLachlin C.J. and LeBel, Deschamps, Fish, Abella, Rothstein, Cromwell, Moldaver and Karakatsanis JJ. </w:t>
      </w:r>
    </w:p>
    <w:p w:rsidR="00680B0A" w:rsidRPr="00B05EBA" w:rsidRDefault="00680B0A" w:rsidP="00680B0A">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szCs w:val="20"/>
        </w:rPr>
      </w:pPr>
    </w:p>
    <w:p w:rsidR="00680B0A" w:rsidRPr="00B05EBA" w:rsidRDefault="00680B0A" w:rsidP="00680B0A">
      <w:pPr>
        <w:jc w:val="both"/>
        <w:rPr>
          <w:sz w:val="20"/>
          <w:szCs w:val="20"/>
          <w:lang w:val="fr-CA"/>
        </w:rPr>
      </w:pPr>
      <w:r w:rsidRPr="00B05EBA">
        <w:rPr>
          <w:sz w:val="20"/>
          <w:szCs w:val="20"/>
        </w:rPr>
        <w:t xml:space="preserve">The appeal from the judgment of the Court of Appeal for Ontario, Number C48500, 2011 ONCA 143, dated February 24, 2011, heard on March 16, 2012, is allowed, the order for a new trial set aside and the guilty verdict on the charge of dangerous driving causing bodily harm restored.  </w:t>
      </w:r>
      <w:r w:rsidRPr="00B05EBA">
        <w:rPr>
          <w:sz w:val="20"/>
          <w:szCs w:val="20"/>
          <w:lang w:val="fr-CA"/>
        </w:rPr>
        <w:t xml:space="preserve">LeBel, Fish and Cromwell JJ. </w:t>
      </w:r>
      <w:proofErr w:type="gramStart"/>
      <w:r w:rsidRPr="00B05EBA">
        <w:rPr>
          <w:sz w:val="20"/>
          <w:szCs w:val="20"/>
          <w:lang w:val="fr-CA"/>
        </w:rPr>
        <w:t>are</w:t>
      </w:r>
      <w:proofErr w:type="gramEnd"/>
      <w:r w:rsidRPr="00B05EBA">
        <w:rPr>
          <w:sz w:val="20"/>
          <w:szCs w:val="20"/>
          <w:lang w:val="fr-CA"/>
        </w:rPr>
        <w:t xml:space="preserve"> dissenting.</w:t>
      </w:r>
    </w:p>
    <w:p w:rsidR="00680B0A" w:rsidRPr="00B05EBA" w:rsidRDefault="00680B0A" w:rsidP="00680B0A">
      <w:pPr>
        <w:jc w:val="both"/>
        <w:rPr>
          <w:sz w:val="20"/>
          <w:szCs w:val="20"/>
          <w:lang w:val="fr-CA"/>
        </w:rPr>
      </w:pPr>
    </w:p>
    <w:p w:rsidR="00680B0A" w:rsidRPr="00B05EBA" w:rsidRDefault="00680B0A" w:rsidP="00680B0A">
      <w:pPr>
        <w:jc w:val="both"/>
        <w:rPr>
          <w:sz w:val="20"/>
          <w:szCs w:val="20"/>
        </w:rPr>
      </w:pPr>
      <w:r w:rsidRPr="00B05EBA">
        <w:rPr>
          <w:sz w:val="20"/>
          <w:szCs w:val="20"/>
          <w:lang w:val="fr-CA"/>
        </w:rPr>
        <w:t>L’appel interjeté contre l’arrêt de la Cour d’appel de l’Ontario, numéro C48500, 2011 ONCA 143, en date du 24 février 2011, entendu le 16 mars 2012, est accueilli, l’ordonnance prescrivant la tenue d’un nouveau procès est annulée, et la déclaration de culpabilité quant au chef de conduite dangereuse causant des lésions corporelles est rétablie.  Les juges LeBel, Fish et Cromwell sont dissidents.</w:t>
      </w:r>
    </w:p>
    <w:p w:rsidR="003957EF" w:rsidRDefault="003957EF" w:rsidP="00AF1715">
      <w:pPr>
        <w:rPr>
          <w:sz w:val="20"/>
          <w:szCs w:val="20"/>
        </w:rPr>
      </w:pPr>
    </w:p>
    <w:p w:rsidR="00AF1715" w:rsidRPr="003B3977" w:rsidRDefault="00BF3B03" w:rsidP="00AF1715">
      <w:pPr>
        <w:spacing w:line="0" w:lineRule="atLeast"/>
        <w:rPr>
          <w:sz w:val="20"/>
          <w:szCs w:val="20"/>
        </w:rPr>
      </w:pPr>
      <w:r w:rsidRPr="00BF3B03">
        <w:rPr>
          <w:b/>
          <w:sz w:val="20"/>
          <w:szCs w:val="20"/>
        </w:rPr>
        <w:pict>
          <v:rect id="_x0000_i1101" style="width:144.3pt;height:1pt" o:hrpct="300" o:hralign="center" o:hrstd="t" o:hrnoshade="t" o:hr="t" fillcolor="black [3213]" stroked="f"/>
        </w:pict>
      </w:r>
    </w:p>
    <w:p w:rsidR="00AF1715" w:rsidRDefault="00AF1715" w:rsidP="00AF1715">
      <w:pPr>
        <w:spacing w:line="0" w:lineRule="atLeast"/>
        <w:rPr>
          <w:sz w:val="20"/>
          <w:szCs w:val="20"/>
        </w:rPr>
      </w:pPr>
    </w:p>
    <w:p w:rsidR="003957EF" w:rsidRPr="003B3977" w:rsidRDefault="003957EF" w:rsidP="003957EF">
      <w:pPr>
        <w:rPr>
          <w:b/>
          <w:sz w:val="20"/>
          <w:szCs w:val="20"/>
        </w:rPr>
      </w:pPr>
      <w:r>
        <w:rPr>
          <w:b/>
          <w:sz w:val="20"/>
          <w:szCs w:val="20"/>
        </w:rPr>
        <w:t>NOVEM</w:t>
      </w:r>
      <w:r w:rsidRPr="003B3977">
        <w:rPr>
          <w:b/>
          <w:sz w:val="20"/>
          <w:szCs w:val="20"/>
        </w:rPr>
        <w:t xml:space="preserve">BER </w:t>
      </w:r>
      <w:r>
        <w:rPr>
          <w:b/>
          <w:sz w:val="20"/>
          <w:szCs w:val="20"/>
        </w:rPr>
        <w:t>8</w:t>
      </w:r>
      <w:r w:rsidRPr="003B3977">
        <w:rPr>
          <w:b/>
          <w:sz w:val="20"/>
          <w:szCs w:val="20"/>
        </w:rPr>
        <w:t>, 201</w:t>
      </w:r>
      <w:r>
        <w:rPr>
          <w:b/>
          <w:sz w:val="20"/>
          <w:szCs w:val="20"/>
        </w:rPr>
        <w:t>2</w:t>
      </w:r>
      <w:r w:rsidRPr="003B3977">
        <w:rPr>
          <w:b/>
          <w:sz w:val="20"/>
          <w:szCs w:val="20"/>
        </w:rPr>
        <w:t xml:space="preserve"> / LE </w:t>
      </w:r>
      <w:r>
        <w:rPr>
          <w:b/>
          <w:sz w:val="20"/>
          <w:szCs w:val="20"/>
        </w:rPr>
        <w:t>8 NOVEM</w:t>
      </w:r>
      <w:r w:rsidRPr="003B3977">
        <w:rPr>
          <w:b/>
          <w:sz w:val="20"/>
          <w:szCs w:val="20"/>
        </w:rPr>
        <w:t>BRE 201</w:t>
      </w:r>
      <w:r>
        <w:rPr>
          <w:b/>
          <w:sz w:val="20"/>
          <w:szCs w:val="20"/>
        </w:rPr>
        <w:t>2</w:t>
      </w:r>
    </w:p>
    <w:p w:rsidR="003957EF" w:rsidRDefault="003957EF" w:rsidP="00AF1715">
      <w:pPr>
        <w:spacing w:line="0" w:lineRule="atLeast"/>
        <w:rPr>
          <w:sz w:val="20"/>
          <w:szCs w:val="20"/>
        </w:rPr>
      </w:pPr>
    </w:p>
    <w:p w:rsidR="00324E42" w:rsidRPr="00324E42" w:rsidRDefault="00324E42" w:rsidP="00324E42">
      <w:pPr>
        <w:pStyle w:val="SCCLsocParty"/>
        <w:ind w:left="1440" w:hanging="1440"/>
        <w:rPr>
          <w:rStyle w:val="Hyperlink"/>
          <w:i w:val="0"/>
          <w:color w:val="auto"/>
          <w:sz w:val="20"/>
          <w:szCs w:val="20"/>
          <w:lang w:val="en-US"/>
        </w:rPr>
      </w:pPr>
      <w:r w:rsidRPr="00324E42">
        <w:rPr>
          <w:b/>
          <w:i w:val="0"/>
          <w:sz w:val="20"/>
          <w:szCs w:val="20"/>
          <w:lang w:val="en-US"/>
        </w:rPr>
        <w:t>33951</w:t>
      </w:r>
      <w:r w:rsidRPr="00324E42">
        <w:rPr>
          <w:b/>
          <w:i w:val="0"/>
          <w:sz w:val="20"/>
          <w:szCs w:val="20"/>
          <w:lang w:val="en-US"/>
        </w:rPr>
        <w:tab/>
      </w:r>
      <w:r w:rsidRPr="00324E42">
        <w:rPr>
          <w:b/>
          <w:bCs/>
          <w:i w:val="0"/>
          <w:sz w:val="20"/>
          <w:szCs w:val="20"/>
          <w:u w:val="single"/>
          <w:lang w:val="en-US"/>
        </w:rPr>
        <w:t>Teva Canada Limited v. Pfizer Canada Inc., Pfizer Inc., Pfizer Ireland Pharmaceuticals, Pfizer Research and Development Company N.V./S.A. and Minister of Health – and – Canadian Generic Pharmaceutical Association and Canada’s Research-Based Pharmaceutical Companies</w:t>
      </w:r>
      <w:r w:rsidRPr="00324E42">
        <w:rPr>
          <w:i w:val="0"/>
          <w:sz w:val="20"/>
          <w:szCs w:val="20"/>
          <w:lang w:val="en-US"/>
        </w:rPr>
        <w:t xml:space="preserve"> (F.C.)</w:t>
      </w:r>
    </w:p>
    <w:p w:rsidR="00324E42" w:rsidRPr="00701F8F" w:rsidRDefault="00324E42" w:rsidP="00324E42">
      <w:pPr>
        <w:ind w:left="1440"/>
        <w:jc w:val="both"/>
        <w:rPr>
          <w:b/>
          <w:sz w:val="20"/>
          <w:szCs w:val="20"/>
        </w:rPr>
      </w:pPr>
      <w:r w:rsidRPr="00701F8F">
        <w:rPr>
          <w:b/>
          <w:sz w:val="20"/>
          <w:szCs w:val="20"/>
        </w:rPr>
        <w:t>2012 SCC 60 / 2012 CSC 60</w:t>
      </w:r>
    </w:p>
    <w:p w:rsidR="00324E42" w:rsidRPr="00701F8F" w:rsidRDefault="00324E42" w:rsidP="00324E42">
      <w:pPr>
        <w:ind w:left="1440" w:hanging="1440"/>
        <w:jc w:val="both"/>
        <w:rPr>
          <w:b/>
          <w:sz w:val="20"/>
          <w:szCs w:val="20"/>
        </w:rPr>
      </w:pPr>
    </w:p>
    <w:p w:rsidR="00324E42" w:rsidRPr="00701F8F" w:rsidRDefault="00324E42" w:rsidP="00324E42">
      <w:pPr>
        <w:ind w:left="1440" w:hanging="1440"/>
        <w:jc w:val="both"/>
        <w:rPr>
          <w:sz w:val="20"/>
          <w:szCs w:val="20"/>
          <w:u w:val="single"/>
        </w:rPr>
      </w:pPr>
      <w:r w:rsidRPr="00701F8F">
        <w:rPr>
          <w:sz w:val="20"/>
          <w:szCs w:val="20"/>
        </w:rPr>
        <w:t>Coram:</w:t>
      </w:r>
      <w:r>
        <w:rPr>
          <w:sz w:val="20"/>
          <w:szCs w:val="20"/>
        </w:rPr>
        <w:tab/>
      </w:r>
      <w:r w:rsidRPr="00701F8F">
        <w:rPr>
          <w:sz w:val="20"/>
          <w:szCs w:val="20"/>
          <w:u w:val="single"/>
        </w:rPr>
        <w:t xml:space="preserve">McLachlin C.J. and LeBel, Deschamps, Abella, Rothstein, Cromwell and Moldaver JJ. </w:t>
      </w:r>
    </w:p>
    <w:p w:rsidR="00324E42" w:rsidRPr="00701F8F" w:rsidRDefault="00324E42" w:rsidP="00324E42">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szCs w:val="20"/>
        </w:rPr>
      </w:pPr>
    </w:p>
    <w:p w:rsidR="00324E42" w:rsidRPr="00701F8F" w:rsidRDefault="00324E42" w:rsidP="00324E42">
      <w:pPr>
        <w:jc w:val="both"/>
        <w:rPr>
          <w:sz w:val="20"/>
          <w:szCs w:val="20"/>
        </w:rPr>
      </w:pPr>
      <w:r w:rsidRPr="00701F8F">
        <w:rPr>
          <w:sz w:val="20"/>
          <w:szCs w:val="20"/>
        </w:rPr>
        <w:t xml:space="preserve">The appeal from the judgment </w:t>
      </w:r>
      <w:bookmarkStart w:id="1" w:name="BM_1_"/>
      <w:bookmarkEnd w:id="1"/>
      <w:r w:rsidRPr="00701F8F">
        <w:rPr>
          <w:sz w:val="20"/>
          <w:szCs w:val="20"/>
        </w:rPr>
        <w:t>of the Federal Court of Appeal, Number A-292-09, 2010 FCA 242, dated September 24, 2010, heard on April 18, 2012, is allowed with costs and Patent 2,163,446 is declared void.</w:t>
      </w:r>
    </w:p>
    <w:p w:rsidR="00324E42" w:rsidRPr="00701F8F" w:rsidRDefault="00324E42" w:rsidP="00324E42">
      <w:pPr>
        <w:jc w:val="both"/>
        <w:rPr>
          <w:sz w:val="20"/>
          <w:szCs w:val="20"/>
        </w:rPr>
      </w:pPr>
    </w:p>
    <w:p w:rsidR="00324E42" w:rsidRPr="00701F8F" w:rsidRDefault="00324E42" w:rsidP="00324E42">
      <w:pPr>
        <w:jc w:val="both"/>
        <w:rPr>
          <w:sz w:val="20"/>
          <w:szCs w:val="20"/>
          <w:lang w:val="fr-CA"/>
        </w:rPr>
      </w:pPr>
      <w:r w:rsidRPr="00701F8F">
        <w:rPr>
          <w:sz w:val="20"/>
          <w:szCs w:val="20"/>
          <w:lang w:val="fr-CA"/>
        </w:rPr>
        <w:t>L’appel interjeté contre l’arrêt de la Cour d’appel fédérale, numéro A-292-09, 2010 CAF 242, en date du 24 septembre 2010, entendu le 18 avril 2012, est accueilli avec dépens et le brevet 2</w:t>
      </w:r>
      <w:proofErr w:type="gramStart"/>
      <w:r w:rsidRPr="00701F8F">
        <w:rPr>
          <w:sz w:val="20"/>
          <w:szCs w:val="20"/>
          <w:lang w:val="fr-CA"/>
        </w:rPr>
        <w:t>,163,446</w:t>
      </w:r>
      <w:proofErr w:type="gramEnd"/>
      <w:r w:rsidRPr="00701F8F">
        <w:rPr>
          <w:sz w:val="20"/>
          <w:szCs w:val="20"/>
          <w:lang w:val="fr-CA"/>
        </w:rPr>
        <w:t xml:space="preserve"> est déclaré nul.</w:t>
      </w:r>
    </w:p>
    <w:p w:rsidR="003957EF" w:rsidRPr="00324E42" w:rsidRDefault="003957EF" w:rsidP="00AF1715">
      <w:pPr>
        <w:spacing w:line="0" w:lineRule="atLeast"/>
        <w:rPr>
          <w:sz w:val="20"/>
          <w:szCs w:val="20"/>
          <w:lang w:val="fr-CA"/>
        </w:rPr>
      </w:pPr>
    </w:p>
    <w:p w:rsidR="00AF1715" w:rsidRPr="006C5F7A" w:rsidRDefault="00BF3B03" w:rsidP="00AF1715">
      <w:pPr>
        <w:spacing w:line="0" w:lineRule="atLeast"/>
        <w:rPr>
          <w:rFonts w:cs="Times New Roman"/>
          <w:b/>
          <w:sz w:val="20"/>
          <w:szCs w:val="20"/>
        </w:rPr>
      </w:pPr>
      <w:r w:rsidRPr="00BF3B03">
        <w:rPr>
          <w:rFonts w:cs="Times New Roman"/>
          <w:b/>
          <w:sz w:val="20"/>
          <w:szCs w:val="20"/>
        </w:rPr>
        <w:pict>
          <v:rect id="_x0000_i1102" style="width:144.3pt;height:1pt" o:hrpct="300" o:hralign="center" o:hrstd="t" o:hrnoshade="t" o:hr="t" fillcolor="black [3213]" stroked="f"/>
        </w:pict>
      </w:r>
    </w:p>
    <w:p w:rsidR="00AF1715" w:rsidRPr="006C5F7A" w:rsidRDefault="00AF1715" w:rsidP="00AF1715">
      <w:pPr>
        <w:spacing w:line="0" w:lineRule="atLeast"/>
        <w:rPr>
          <w:rFonts w:cs="Times New Roman"/>
          <w:b/>
          <w:sz w:val="20"/>
          <w:szCs w:val="20"/>
        </w:rPr>
      </w:pPr>
    </w:p>
    <w:p w:rsidR="008A5889" w:rsidRDefault="008A5889">
      <w:pPr>
        <w:rPr>
          <w:b/>
          <w:sz w:val="20"/>
          <w:szCs w:val="20"/>
        </w:rPr>
      </w:pPr>
      <w:r>
        <w:rPr>
          <w:b/>
          <w:sz w:val="20"/>
          <w:szCs w:val="20"/>
        </w:rPr>
        <w:br w:type="page"/>
      </w:r>
    </w:p>
    <w:p w:rsidR="003957EF" w:rsidRPr="003B3977" w:rsidRDefault="003957EF" w:rsidP="003957EF">
      <w:pPr>
        <w:rPr>
          <w:b/>
          <w:sz w:val="20"/>
          <w:szCs w:val="20"/>
        </w:rPr>
      </w:pPr>
      <w:r>
        <w:rPr>
          <w:b/>
          <w:sz w:val="20"/>
          <w:szCs w:val="20"/>
        </w:rPr>
        <w:lastRenderedPageBreak/>
        <w:t>NOVEM</w:t>
      </w:r>
      <w:r w:rsidRPr="003B3977">
        <w:rPr>
          <w:b/>
          <w:sz w:val="20"/>
          <w:szCs w:val="20"/>
        </w:rPr>
        <w:t xml:space="preserve">BER </w:t>
      </w:r>
      <w:r>
        <w:rPr>
          <w:b/>
          <w:sz w:val="20"/>
          <w:szCs w:val="20"/>
        </w:rPr>
        <w:t>9</w:t>
      </w:r>
      <w:r w:rsidRPr="003B3977">
        <w:rPr>
          <w:b/>
          <w:sz w:val="20"/>
          <w:szCs w:val="20"/>
        </w:rPr>
        <w:t>, 201</w:t>
      </w:r>
      <w:r>
        <w:rPr>
          <w:b/>
          <w:sz w:val="20"/>
          <w:szCs w:val="20"/>
        </w:rPr>
        <w:t>2</w:t>
      </w:r>
      <w:r w:rsidRPr="003B3977">
        <w:rPr>
          <w:b/>
          <w:sz w:val="20"/>
          <w:szCs w:val="20"/>
        </w:rPr>
        <w:t xml:space="preserve"> / LE </w:t>
      </w:r>
      <w:r>
        <w:rPr>
          <w:b/>
          <w:sz w:val="20"/>
          <w:szCs w:val="20"/>
        </w:rPr>
        <w:t>9 NOVEM</w:t>
      </w:r>
      <w:r w:rsidRPr="003B3977">
        <w:rPr>
          <w:b/>
          <w:sz w:val="20"/>
          <w:szCs w:val="20"/>
        </w:rPr>
        <w:t>BRE 201</w:t>
      </w:r>
      <w:r>
        <w:rPr>
          <w:b/>
          <w:sz w:val="20"/>
          <w:szCs w:val="20"/>
        </w:rPr>
        <w:t>2</w:t>
      </w:r>
    </w:p>
    <w:p w:rsidR="00AF1715" w:rsidRDefault="00AF1715" w:rsidP="00AF1715">
      <w:pPr>
        <w:spacing w:line="0" w:lineRule="atLeast"/>
        <w:rPr>
          <w:rFonts w:cs="Times New Roman"/>
          <w:b/>
          <w:sz w:val="20"/>
          <w:szCs w:val="20"/>
        </w:rPr>
      </w:pPr>
    </w:p>
    <w:p w:rsidR="00A77928" w:rsidRPr="00A77928" w:rsidRDefault="00A77928" w:rsidP="00A77928">
      <w:pPr>
        <w:ind w:left="1440" w:hanging="1440"/>
        <w:jc w:val="both"/>
        <w:rPr>
          <w:rFonts w:eastAsia="Calibri" w:cs="Times New Roman"/>
          <w:sz w:val="20"/>
          <w:szCs w:val="20"/>
          <w:u w:val="single"/>
          <w:lang w:val="en-US"/>
        </w:rPr>
      </w:pPr>
      <w:proofErr w:type="gramStart"/>
      <w:r w:rsidRPr="00A77928">
        <w:rPr>
          <w:rFonts w:eastAsia="Calibri" w:cs="Times New Roman"/>
          <w:b/>
          <w:sz w:val="20"/>
          <w:szCs w:val="20"/>
          <w:lang w:val="en-US"/>
        </w:rPr>
        <w:t>34040, 34041</w:t>
      </w:r>
      <w:r w:rsidRPr="00A77928">
        <w:rPr>
          <w:rFonts w:eastAsia="Calibri" w:cs="Times New Roman"/>
          <w:b/>
          <w:sz w:val="20"/>
          <w:szCs w:val="20"/>
          <w:lang w:val="en-US"/>
        </w:rPr>
        <w:tab/>
      </w:r>
      <w:r w:rsidRPr="00A77928">
        <w:rPr>
          <w:rFonts w:eastAsia="Calibri" w:cs="Times New Roman"/>
          <w:b/>
          <w:sz w:val="20"/>
          <w:szCs w:val="20"/>
          <w:u w:val="single"/>
          <w:lang w:val="en-US"/>
        </w:rPr>
        <w:t>Frederick Moore on behalf of Jeffrey P. Moore v.</w:t>
      </w:r>
      <w:proofErr w:type="gramEnd"/>
      <w:r w:rsidRPr="00A77928">
        <w:rPr>
          <w:rFonts w:eastAsia="Calibri" w:cs="Times New Roman"/>
          <w:b/>
          <w:sz w:val="20"/>
          <w:szCs w:val="20"/>
          <w:u w:val="single"/>
          <w:lang w:val="en-US"/>
        </w:rPr>
        <w:t xml:space="preserve"> Her Majesty the Queen in Right of the Province of British Columbia, as represented by the Ministry of Education, and Board of Education of School District No. 44 (North Vancouver), formerly known as The Board of School Trustees of School District No. 44 (North Vancouver) – and – Attorney General of Ontario, Justice for Children and Youth, British Columbia Teachers’ Federation, Council of Canadians with Disabilities, Ontario Human Rights Commission, Saskatchewan Human Rights Commission, Alberta Human Rights Commission, International Dyslexia Association, Ontario Branch, Canadian Human Rights Commission, Learning Disabilities Association of Canada, Canadian Constitution Foundation, Manitoba Human Rights Commission, West Coast Women’s Legal Education and Action Fund, Canadian Association for Community Living, Commission des droits de la personne et des droits de la jeunesse, British Columbia Human Rights Tribunal, First Nations Child and Family Caring Society of Canada</w:t>
      </w:r>
      <w:r w:rsidRPr="00A77928">
        <w:rPr>
          <w:rFonts w:eastAsia="Calibri" w:cs="Times New Roman"/>
          <w:b/>
          <w:sz w:val="20"/>
          <w:szCs w:val="20"/>
          <w:lang w:val="en-US"/>
        </w:rPr>
        <w:t xml:space="preserve"> </w:t>
      </w:r>
      <w:r w:rsidRPr="00A77928">
        <w:rPr>
          <w:rFonts w:eastAsia="Calibri" w:cs="Times New Roman"/>
          <w:iCs/>
          <w:sz w:val="20"/>
          <w:szCs w:val="20"/>
          <w:lang w:val="en-US"/>
        </w:rPr>
        <w:t xml:space="preserve">(B.C.) </w:t>
      </w:r>
    </w:p>
    <w:p w:rsidR="00A77928" w:rsidRPr="00A77928" w:rsidRDefault="00A77928" w:rsidP="00A77928">
      <w:pPr>
        <w:ind w:left="1440"/>
        <w:jc w:val="both"/>
        <w:rPr>
          <w:rFonts w:eastAsia="Times New Roman" w:cs="Times New Roman"/>
          <w:b/>
          <w:sz w:val="20"/>
          <w:szCs w:val="20"/>
          <w:lang w:val="en-US"/>
        </w:rPr>
      </w:pPr>
      <w:r w:rsidRPr="00A77928">
        <w:rPr>
          <w:rFonts w:eastAsia="Times New Roman" w:cs="Times New Roman"/>
          <w:b/>
          <w:sz w:val="20"/>
          <w:szCs w:val="20"/>
          <w:lang w:val="en-US"/>
        </w:rPr>
        <w:t>2012 SCC 61 / 2012 CSC 61</w:t>
      </w:r>
    </w:p>
    <w:p w:rsidR="00A77928" w:rsidRDefault="00A77928" w:rsidP="008A5889">
      <w:pPr>
        <w:ind w:left="1440" w:hanging="1440"/>
        <w:jc w:val="both"/>
        <w:rPr>
          <w:rFonts w:cs="Times New Roman"/>
          <w:sz w:val="20"/>
          <w:szCs w:val="20"/>
        </w:rPr>
      </w:pPr>
    </w:p>
    <w:p w:rsidR="008A5889" w:rsidRDefault="00AF1715" w:rsidP="008A5889">
      <w:pPr>
        <w:ind w:left="1440" w:hanging="1440"/>
        <w:jc w:val="both"/>
        <w:rPr>
          <w:rFonts w:cs="Times New Roman"/>
          <w:sz w:val="20"/>
          <w:szCs w:val="20"/>
        </w:rPr>
      </w:pPr>
      <w:r w:rsidRPr="006C5F7A">
        <w:rPr>
          <w:rFonts w:cs="Times New Roman"/>
          <w:sz w:val="20"/>
          <w:szCs w:val="20"/>
        </w:rPr>
        <w:t>Coram:</w:t>
      </w:r>
      <w:r w:rsidRPr="006C5F7A">
        <w:rPr>
          <w:rFonts w:cs="Times New Roman"/>
          <w:sz w:val="20"/>
          <w:szCs w:val="20"/>
        </w:rPr>
        <w:tab/>
      </w:r>
      <w:r w:rsidR="008A5889" w:rsidRPr="008A5889">
        <w:rPr>
          <w:sz w:val="20"/>
          <w:szCs w:val="20"/>
          <w:u w:val="single"/>
        </w:rPr>
        <w:t>McLachlin C.J. and LeBel, Deschamps, Fish, Abella, Rothstein, Cromwell, Moldaver and Karakatsanis JJ.</w:t>
      </w:r>
    </w:p>
    <w:p w:rsidR="00AF1715" w:rsidRDefault="00AF1715"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rPr>
      </w:pPr>
    </w:p>
    <w:p w:rsidR="008A5889" w:rsidRDefault="008A5889"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rPr>
      </w:pPr>
      <w:r w:rsidRPr="00FC4024">
        <w:rPr>
          <w:sz w:val="20"/>
          <w:szCs w:val="20"/>
        </w:rPr>
        <w:t xml:space="preserve">The appeals from the judgment of the Court of Appeal for British Columbia (Vancouver), Numbers CA035936 and CA035937, 2010 BCCA 478, dated October 29, 2010, heard on March 22, 2012, are substantially allowed </w:t>
      </w:r>
      <w:r w:rsidRPr="00FC4024">
        <w:rPr>
          <w:rFonts w:cs="Times New Roman"/>
          <w:sz w:val="20"/>
          <w:szCs w:val="20"/>
        </w:rPr>
        <w:t>with costs throughout.</w:t>
      </w:r>
    </w:p>
    <w:p w:rsidR="008A5889" w:rsidRDefault="008A5889"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rPr>
      </w:pPr>
    </w:p>
    <w:p w:rsidR="008A5889" w:rsidRDefault="008A5889"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r w:rsidRPr="00FC4024">
        <w:rPr>
          <w:rFonts w:cs="Times New Roman"/>
          <w:sz w:val="20"/>
          <w:szCs w:val="20"/>
          <w:lang w:val="fr-CA"/>
        </w:rPr>
        <w:t>Les appels interjetés contre l’arrêt de la Cour d’appel de la Colombie-Britannique (Vancouver), numéros CA035936 et CA035937, 2010 BCCA 478, en date du 29 octobre 2010, entendus le 22 mars 2012, sont en grande partie accueillis avec dépens devant toutes les cours.</w:t>
      </w:r>
    </w:p>
    <w:p w:rsidR="00AF1715" w:rsidRPr="006C5F7A" w:rsidRDefault="00AF1715"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p>
    <w:p w:rsidR="00AF1715" w:rsidRPr="006C5F7A" w:rsidRDefault="00BF3B03"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r w:rsidRPr="00BF3B03">
        <w:rPr>
          <w:rFonts w:cs="Times New Roman"/>
          <w:b/>
          <w:sz w:val="20"/>
          <w:szCs w:val="20"/>
        </w:rPr>
        <w:pict>
          <v:rect id="_x0000_i1103" style="width:144.3pt;height:1pt" o:hrpct="300" o:hralign="center" o:hrstd="t" o:hrnoshade="t" o:hr="t" fillcolor="black [3213]" stroked="f"/>
        </w:pict>
      </w:r>
    </w:p>
    <w:p w:rsidR="00732DB7" w:rsidRPr="00C50A5C" w:rsidRDefault="00732DB7" w:rsidP="00732DB7">
      <w:pPr>
        <w:widowControl w:val="0"/>
        <w:rPr>
          <w:sz w:val="20"/>
          <w:szCs w:val="20"/>
        </w:rPr>
      </w:pPr>
    </w:p>
    <w:p w:rsidR="00697C62" w:rsidRPr="00C50A5C" w:rsidRDefault="00697C62" w:rsidP="00732DB7">
      <w:pPr>
        <w:widowControl w:val="0"/>
        <w:rPr>
          <w:sz w:val="20"/>
          <w:szCs w:val="20"/>
        </w:rPr>
        <w:sectPr w:rsidR="00697C62" w:rsidRPr="00C50A5C" w:rsidSect="00782AE4">
          <w:headerReference w:type="even" r:id="rId53"/>
          <w:headerReference w:type="default" r:id="rId54"/>
          <w:footerReference w:type="even" r:id="rId55"/>
          <w:footerReference w:type="default" r:id="rId56"/>
          <w:headerReference w:type="first" r:id="rId57"/>
          <w:footerReference w:type="first" r:id="rId58"/>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tblPr>
      <w:tblGrid>
        <w:gridCol w:w="4200"/>
        <w:gridCol w:w="1200"/>
        <w:gridCol w:w="4080"/>
      </w:tblGrid>
      <w:tr w:rsidR="00782AE4" w:rsidRPr="00C1697B" w:rsidTr="0085476B">
        <w:tc>
          <w:tcPr>
            <w:tcW w:w="4200" w:type="dxa"/>
            <w:tcMar>
              <w:left w:w="0" w:type="dxa"/>
              <w:right w:w="0" w:type="dxa"/>
            </w:tcMar>
          </w:tcPr>
          <w:p w:rsidR="00782AE4" w:rsidRPr="00C1697B" w:rsidRDefault="00782AE4" w:rsidP="00782AE4">
            <w:pPr>
              <w:keepNext/>
              <w:keepLines/>
              <w:jc w:val="both"/>
              <w:rPr>
                <w:b/>
                <w:szCs w:val="24"/>
              </w:rPr>
            </w:pPr>
            <w:r w:rsidRPr="00C1697B">
              <w:rPr>
                <w:b/>
                <w:szCs w:val="24"/>
              </w:rPr>
              <w:lastRenderedPageBreak/>
              <w:t>HEADNOTES OF RECENT</w:t>
            </w:r>
          </w:p>
          <w:p w:rsidR="00782AE4" w:rsidRPr="00C1697B" w:rsidRDefault="00782AE4" w:rsidP="00782AE4">
            <w:pPr>
              <w:keepNext/>
              <w:keepLines/>
              <w:jc w:val="both"/>
              <w:rPr>
                <w:b/>
                <w:szCs w:val="24"/>
              </w:rPr>
            </w:pPr>
            <w:r w:rsidRPr="00C1697B">
              <w:rPr>
                <w:b/>
                <w:szCs w:val="24"/>
              </w:rPr>
              <w:t>JUDGMENTS</w:t>
            </w:r>
          </w:p>
        </w:tc>
        <w:tc>
          <w:tcPr>
            <w:tcW w:w="1200" w:type="dxa"/>
            <w:tcMar>
              <w:left w:w="0" w:type="dxa"/>
              <w:right w:w="0" w:type="dxa"/>
            </w:tcMar>
          </w:tcPr>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tc>
        <w:tc>
          <w:tcPr>
            <w:tcW w:w="4080" w:type="dxa"/>
            <w:tcMar>
              <w:left w:w="0" w:type="dxa"/>
              <w:right w:w="0" w:type="dxa"/>
            </w:tcMar>
          </w:tcPr>
          <w:p w:rsidR="00782AE4" w:rsidRPr="00C1697B" w:rsidRDefault="00782AE4" w:rsidP="00782AE4">
            <w:pPr>
              <w:keepNext/>
              <w:keepLines/>
              <w:rPr>
                <w:b/>
                <w:szCs w:val="24"/>
              </w:rPr>
            </w:pPr>
            <w:r w:rsidRPr="00C1697B">
              <w:rPr>
                <w:b/>
                <w:szCs w:val="24"/>
              </w:rPr>
              <w:t>SOMMAIRES DE JUGEMENTS RÉCENTS</w:t>
            </w:r>
          </w:p>
        </w:tc>
      </w:tr>
    </w:tbl>
    <w:p w:rsidR="003B3977" w:rsidRPr="003B3977" w:rsidRDefault="003B3977" w:rsidP="005C6840">
      <w:pPr>
        <w:rPr>
          <w:rFonts w:cs="Times New Roman"/>
          <w:i/>
          <w:sz w:val="20"/>
          <w:szCs w:val="20"/>
        </w:rPr>
      </w:pPr>
    </w:p>
    <w:p w:rsidR="003C2DDC" w:rsidRPr="00BA3178" w:rsidRDefault="003C2DDC" w:rsidP="003C2DDC">
      <w:pPr>
        <w:rPr>
          <w:rFonts w:eastAsia="Calibri" w:cs="Times New Roman"/>
          <w:sz w:val="20"/>
          <w:szCs w:val="20"/>
        </w:rPr>
      </w:pPr>
      <w:r w:rsidRPr="00BA3178">
        <w:rPr>
          <w:rFonts w:eastAsia="Calibri" w:cs="Times New Roman"/>
          <w:i/>
          <w:sz w:val="20"/>
          <w:szCs w:val="20"/>
        </w:rPr>
        <w:t>Her Majesty the Queen v. Marius Nedelcu</w:t>
      </w:r>
      <w:r w:rsidRPr="00BA3178">
        <w:rPr>
          <w:rFonts w:eastAsia="Calibri" w:cs="Times New Roman"/>
          <w:sz w:val="20"/>
          <w:szCs w:val="20"/>
        </w:rPr>
        <w:t xml:space="preserve"> (Ont.) (34228)</w:t>
      </w:r>
    </w:p>
    <w:p w:rsidR="00883278" w:rsidRPr="003854DB" w:rsidRDefault="00883278" w:rsidP="00883278">
      <w:pPr>
        <w:jc w:val="both"/>
        <w:rPr>
          <w:b/>
          <w:sz w:val="20"/>
          <w:szCs w:val="20"/>
        </w:rPr>
      </w:pPr>
      <w:r w:rsidRPr="006F6B6C">
        <w:rPr>
          <w:b/>
          <w:sz w:val="20"/>
          <w:szCs w:val="20"/>
        </w:rPr>
        <w:t xml:space="preserve">Indexed as:  R. </w:t>
      </w:r>
      <w:r w:rsidRPr="006F6B6C">
        <w:rPr>
          <w:b/>
          <w:i/>
          <w:sz w:val="20"/>
          <w:szCs w:val="20"/>
        </w:rPr>
        <w:t>v.</w:t>
      </w:r>
      <w:r w:rsidRPr="006F6B6C">
        <w:rPr>
          <w:b/>
          <w:sz w:val="20"/>
          <w:szCs w:val="20"/>
        </w:rPr>
        <w:t xml:space="preserve"> Nedelcu</w:t>
      </w:r>
      <w:r>
        <w:rPr>
          <w:b/>
          <w:sz w:val="20"/>
          <w:szCs w:val="20"/>
        </w:rPr>
        <w:t xml:space="preserve"> / </w:t>
      </w:r>
      <w:proofErr w:type="gramStart"/>
      <w:r w:rsidRPr="003854DB">
        <w:rPr>
          <w:b/>
          <w:sz w:val="20"/>
          <w:szCs w:val="20"/>
        </w:rPr>
        <w:t>Répertorié :</w:t>
      </w:r>
      <w:proofErr w:type="gramEnd"/>
      <w:r w:rsidRPr="003854DB">
        <w:rPr>
          <w:b/>
          <w:sz w:val="20"/>
          <w:szCs w:val="20"/>
        </w:rPr>
        <w:t xml:space="preserve"> R. </w:t>
      </w:r>
      <w:r w:rsidRPr="003854DB">
        <w:rPr>
          <w:b/>
          <w:i/>
          <w:sz w:val="20"/>
          <w:szCs w:val="20"/>
        </w:rPr>
        <w:t>c.</w:t>
      </w:r>
      <w:r w:rsidRPr="003854DB">
        <w:rPr>
          <w:b/>
          <w:sz w:val="20"/>
          <w:szCs w:val="20"/>
        </w:rPr>
        <w:t xml:space="preserve"> Nedelcu</w:t>
      </w:r>
    </w:p>
    <w:p w:rsidR="005C6840" w:rsidRPr="003B3977" w:rsidRDefault="005C6840" w:rsidP="005C6840">
      <w:pPr>
        <w:pStyle w:val="SCCSystemYear"/>
        <w:jc w:val="both"/>
        <w:rPr>
          <w:sz w:val="20"/>
        </w:rPr>
      </w:pPr>
      <w:r w:rsidRPr="003B3977">
        <w:rPr>
          <w:sz w:val="20"/>
        </w:rPr>
        <w:t>Neutral citation</w:t>
      </w:r>
      <w:proofErr w:type="gramStart"/>
      <w:r w:rsidRPr="003B3977">
        <w:rPr>
          <w:sz w:val="20"/>
        </w:rPr>
        <w:t>:  201</w:t>
      </w:r>
      <w:r w:rsidR="004E1E0A">
        <w:rPr>
          <w:sz w:val="20"/>
        </w:rPr>
        <w:t>2</w:t>
      </w:r>
      <w:proofErr w:type="gramEnd"/>
      <w:r w:rsidRPr="003B3977">
        <w:rPr>
          <w:sz w:val="20"/>
        </w:rPr>
        <w:t xml:space="preserve"> SCC </w:t>
      </w:r>
      <w:r w:rsidR="003957EF">
        <w:rPr>
          <w:sz w:val="20"/>
        </w:rPr>
        <w:t>59</w:t>
      </w:r>
      <w:r w:rsidRPr="003B3977">
        <w:rPr>
          <w:sz w:val="20"/>
        </w:rPr>
        <w:t xml:space="preserve"> / Référence neutre : 201</w:t>
      </w:r>
      <w:r w:rsidR="004E1E0A">
        <w:rPr>
          <w:sz w:val="20"/>
        </w:rPr>
        <w:t>2</w:t>
      </w:r>
      <w:r w:rsidRPr="003B3977">
        <w:rPr>
          <w:sz w:val="20"/>
        </w:rPr>
        <w:t xml:space="preserve"> CSC </w:t>
      </w:r>
      <w:r w:rsidR="003957EF">
        <w:rPr>
          <w:sz w:val="20"/>
        </w:rPr>
        <w:t>59</w:t>
      </w:r>
    </w:p>
    <w:p w:rsidR="005C6840" w:rsidRPr="003B3977" w:rsidRDefault="005C6840" w:rsidP="005C6840">
      <w:pPr>
        <w:rPr>
          <w:rFonts w:cs="Times New Roman"/>
          <w:sz w:val="20"/>
          <w:szCs w:val="20"/>
          <w:lang w:val="fr-CA"/>
        </w:rPr>
      </w:pPr>
      <w:r w:rsidRPr="003B3977">
        <w:rPr>
          <w:rFonts w:cs="Times New Roman"/>
          <w:sz w:val="20"/>
          <w:szCs w:val="20"/>
          <w:lang w:val="fr-CA"/>
        </w:rPr>
        <w:t>Hearing</w:t>
      </w:r>
      <w:proofErr w:type="gramStart"/>
      <w:r w:rsidRPr="003B3977">
        <w:rPr>
          <w:rFonts w:cs="Times New Roman"/>
          <w:sz w:val="20"/>
          <w:szCs w:val="20"/>
          <w:lang w:val="fr-CA"/>
        </w:rPr>
        <w:t xml:space="preserve">:  </w:t>
      </w:r>
      <w:r w:rsidR="00883278">
        <w:rPr>
          <w:rFonts w:cs="Times New Roman"/>
          <w:sz w:val="20"/>
          <w:szCs w:val="20"/>
          <w:lang w:val="fr-CA"/>
        </w:rPr>
        <w:t>March</w:t>
      </w:r>
      <w:proofErr w:type="gramEnd"/>
      <w:r w:rsidR="00883278">
        <w:rPr>
          <w:rFonts w:cs="Times New Roman"/>
          <w:sz w:val="20"/>
          <w:szCs w:val="20"/>
          <w:lang w:val="fr-CA"/>
        </w:rPr>
        <w:t xml:space="preserve"> 16</w:t>
      </w:r>
      <w:r w:rsidRPr="003B3977">
        <w:rPr>
          <w:rFonts w:cs="Times New Roman"/>
          <w:sz w:val="20"/>
          <w:szCs w:val="20"/>
          <w:lang w:val="fr-CA"/>
        </w:rPr>
        <w:t>, 201</w:t>
      </w:r>
      <w:r w:rsidR="00883278">
        <w:rPr>
          <w:rFonts w:cs="Times New Roman"/>
          <w:sz w:val="20"/>
          <w:szCs w:val="20"/>
          <w:lang w:val="fr-CA"/>
        </w:rPr>
        <w:t>2</w:t>
      </w:r>
      <w:r w:rsidRPr="003B3977">
        <w:rPr>
          <w:rFonts w:cs="Times New Roman"/>
          <w:sz w:val="20"/>
          <w:szCs w:val="20"/>
          <w:lang w:val="fr-CA"/>
        </w:rPr>
        <w:t xml:space="preserve"> / Judgment:  </w:t>
      </w:r>
      <w:r w:rsidR="003957EF">
        <w:rPr>
          <w:rFonts w:cs="Times New Roman"/>
          <w:sz w:val="20"/>
          <w:szCs w:val="20"/>
          <w:lang w:val="fr-CA"/>
        </w:rPr>
        <w:t>Novem</w:t>
      </w:r>
      <w:r w:rsidRPr="003B3977">
        <w:rPr>
          <w:rFonts w:cs="Times New Roman"/>
          <w:sz w:val="20"/>
          <w:szCs w:val="20"/>
          <w:lang w:val="fr-CA"/>
        </w:rPr>
        <w:t>ber 7, 201</w:t>
      </w:r>
      <w:r w:rsidR="004E1E0A">
        <w:rPr>
          <w:rFonts w:cs="Times New Roman"/>
          <w:sz w:val="20"/>
          <w:szCs w:val="20"/>
          <w:lang w:val="fr-CA"/>
        </w:rPr>
        <w:t>2</w:t>
      </w:r>
    </w:p>
    <w:p w:rsidR="005C6840" w:rsidRPr="003B3977" w:rsidRDefault="005C6840" w:rsidP="005C6840">
      <w:pPr>
        <w:rPr>
          <w:rFonts w:cs="Times New Roman"/>
          <w:sz w:val="20"/>
          <w:szCs w:val="20"/>
          <w:lang w:val="fr-CA"/>
        </w:rPr>
      </w:pPr>
      <w:r w:rsidRPr="003B3977">
        <w:rPr>
          <w:rFonts w:cs="Times New Roman"/>
          <w:sz w:val="20"/>
          <w:szCs w:val="20"/>
          <w:lang w:val="fr-CA"/>
        </w:rPr>
        <w:t xml:space="preserve">Audition : Le </w:t>
      </w:r>
      <w:r w:rsidR="00883278">
        <w:rPr>
          <w:rFonts w:cs="Times New Roman"/>
          <w:sz w:val="20"/>
          <w:szCs w:val="20"/>
          <w:lang w:val="fr-CA"/>
        </w:rPr>
        <w:t>16 ma</w:t>
      </w:r>
      <w:r w:rsidRPr="003B3977">
        <w:rPr>
          <w:rFonts w:cs="Times New Roman"/>
          <w:sz w:val="20"/>
          <w:szCs w:val="20"/>
          <w:lang w:val="fr-CA"/>
        </w:rPr>
        <w:t>r</w:t>
      </w:r>
      <w:r w:rsidR="00883278">
        <w:rPr>
          <w:rFonts w:cs="Times New Roman"/>
          <w:sz w:val="20"/>
          <w:szCs w:val="20"/>
          <w:lang w:val="fr-CA"/>
        </w:rPr>
        <w:t>s</w:t>
      </w:r>
      <w:r w:rsidRPr="003B3977">
        <w:rPr>
          <w:rFonts w:cs="Times New Roman"/>
          <w:sz w:val="20"/>
          <w:szCs w:val="20"/>
          <w:lang w:val="fr-CA"/>
        </w:rPr>
        <w:t xml:space="preserve"> 201</w:t>
      </w:r>
      <w:r w:rsidR="00883278">
        <w:rPr>
          <w:rFonts w:cs="Times New Roman"/>
          <w:sz w:val="20"/>
          <w:szCs w:val="20"/>
          <w:lang w:val="fr-CA"/>
        </w:rPr>
        <w:t>2</w:t>
      </w:r>
      <w:r w:rsidRPr="003B3977">
        <w:rPr>
          <w:rFonts w:cs="Times New Roman"/>
          <w:sz w:val="20"/>
          <w:szCs w:val="20"/>
          <w:lang w:val="fr-CA"/>
        </w:rPr>
        <w:t xml:space="preserve"> / Jugement : Le 7 </w:t>
      </w:r>
      <w:r w:rsidR="003957EF">
        <w:rPr>
          <w:rFonts w:cs="Times New Roman"/>
          <w:sz w:val="20"/>
          <w:szCs w:val="20"/>
          <w:lang w:val="fr-CA"/>
        </w:rPr>
        <w:t>n</w:t>
      </w:r>
      <w:r w:rsidRPr="003B3977">
        <w:rPr>
          <w:rFonts w:cs="Times New Roman"/>
          <w:sz w:val="20"/>
          <w:szCs w:val="20"/>
          <w:lang w:val="fr-CA"/>
        </w:rPr>
        <w:t>o</w:t>
      </w:r>
      <w:r w:rsidR="003957EF">
        <w:rPr>
          <w:rFonts w:cs="Times New Roman"/>
          <w:sz w:val="20"/>
          <w:szCs w:val="20"/>
          <w:lang w:val="fr-CA"/>
        </w:rPr>
        <w:t>vem</w:t>
      </w:r>
      <w:r w:rsidRPr="003B3977">
        <w:rPr>
          <w:rFonts w:cs="Times New Roman"/>
          <w:sz w:val="20"/>
          <w:szCs w:val="20"/>
          <w:lang w:val="fr-CA"/>
        </w:rPr>
        <w:t>bre 201</w:t>
      </w:r>
      <w:r w:rsidR="004E1E0A">
        <w:rPr>
          <w:rFonts w:cs="Times New Roman"/>
          <w:sz w:val="20"/>
          <w:szCs w:val="20"/>
          <w:lang w:val="fr-CA"/>
        </w:rPr>
        <w:t>2</w:t>
      </w:r>
    </w:p>
    <w:p w:rsidR="005C6840" w:rsidRPr="003B3977" w:rsidRDefault="00BF3B03" w:rsidP="005C6840">
      <w:pPr>
        <w:rPr>
          <w:rFonts w:cs="Times New Roman"/>
          <w:sz w:val="20"/>
          <w:szCs w:val="20"/>
          <w:lang w:val="fr-CA"/>
        </w:rPr>
      </w:pPr>
      <w:r w:rsidRPr="00BF3B03">
        <w:rPr>
          <w:rFonts w:cs="Times New Roman"/>
          <w:i/>
          <w:sz w:val="20"/>
          <w:szCs w:val="20"/>
        </w:rPr>
        <w:pict>
          <v:rect id="_x0000_i1106" style="width:480.95pt;height:1pt" o:hralign="center" o:hrstd="t" o:hrnoshade="t" o:hr="t" fillcolor="black [3213]" stroked="f"/>
        </w:pict>
      </w:r>
    </w:p>
    <w:p w:rsidR="005C6840" w:rsidRPr="003B3977" w:rsidRDefault="005C6840" w:rsidP="005C6840">
      <w:pPr>
        <w:rPr>
          <w:rFonts w:cs="Times New Roman"/>
          <w:sz w:val="20"/>
          <w:szCs w:val="20"/>
          <w:lang w:val="fr-CA"/>
        </w:rPr>
      </w:pPr>
    </w:p>
    <w:p w:rsidR="00883278" w:rsidRPr="006F6B6C" w:rsidRDefault="00883278" w:rsidP="00883278">
      <w:pPr>
        <w:jc w:val="both"/>
        <w:rPr>
          <w:sz w:val="20"/>
          <w:szCs w:val="20"/>
        </w:rPr>
      </w:pPr>
      <w:r w:rsidRPr="006F6B6C">
        <w:rPr>
          <w:sz w:val="20"/>
          <w:szCs w:val="20"/>
        </w:rPr>
        <w:t>Present:  McLachlin C.J. and LeBel, Deschamps, Fish, Abella, Rothstein, Cromwell, Moldaver and Karakatsanis JJ.</w:t>
      </w:r>
    </w:p>
    <w:p w:rsidR="00883278" w:rsidRDefault="00883278" w:rsidP="00883278">
      <w:pPr>
        <w:pStyle w:val="SCCLowerCourtNameLowercase"/>
        <w:spacing w:line="240" w:lineRule="auto"/>
        <w:rPr>
          <w:sz w:val="20"/>
        </w:rPr>
      </w:pPr>
    </w:p>
    <w:p w:rsidR="00883278" w:rsidRPr="006F6B6C" w:rsidRDefault="00883278" w:rsidP="00883278">
      <w:pPr>
        <w:pStyle w:val="SCCNormalDoubleSpacing"/>
        <w:spacing w:line="240" w:lineRule="auto"/>
        <w:rPr>
          <w:sz w:val="20"/>
        </w:rPr>
      </w:pPr>
      <w:r w:rsidRPr="006F6B6C">
        <w:rPr>
          <w:sz w:val="20"/>
        </w:rPr>
        <w:tab/>
      </w:r>
      <w:r w:rsidRPr="006F6B6C">
        <w:rPr>
          <w:i/>
          <w:sz w:val="20"/>
        </w:rPr>
        <w:t>Constitutional law — Charter of Rights — Self</w:t>
      </w:r>
      <w:r w:rsidRPr="006F6B6C">
        <w:rPr>
          <w:i/>
          <w:sz w:val="20"/>
        </w:rPr>
        <w:noBreakHyphen/>
        <w:t>incrimination — Accused involved in motor vehicle accident where victim sustained serious injuries — Accused charged with Criminal Code offences — Accused testifying in criminal action — Testimony inconsistent with discovery testimony in prior related civil action — Whether Crown at criminal trial may cross</w:t>
      </w:r>
      <w:r w:rsidRPr="006F6B6C">
        <w:rPr>
          <w:i/>
          <w:sz w:val="20"/>
        </w:rPr>
        <w:noBreakHyphen/>
        <w:t>examine accused on prior inconsistent statements without infringing right against self</w:t>
      </w:r>
      <w:r w:rsidRPr="006F6B6C">
        <w:rPr>
          <w:i/>
          <w:sz w:val="20"/>
        </w:rPr>
        <w:noBreakHyphen/>
        <w:t>incrimination — Canadian Charter of Rights and Freedoms, s. 13.</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rPr>
      </w:pPr>
      <w:r w:rsidRPr="006F6B6C">
        <w:rPr>
          <w:sz w:val="20"/>
        </w:rPr>
        <w:tab/>
        <w:t>After work one evening, N took the victim for a ride on his motorcycle on their employer’s property.  The motorcycle crashed into a curb, causing the victim permanent brain damage.  N sustained minor injuries and was hospitalized overnight.  N was charged with dangerous driving causing bodily harm and impaired driving causing bodily harm.  He was also sued in a civil action by the victim and his family.  During his examination for discovery in the civil matter, N testified that he had no memory of the events from the day of the accident until he woke up in the hospital the following day.  At his criminal trial, however, N gave a detailed account of the events leading up to and during the accident.  Having been granted leave to cross</w:t>
      </w:r>
      <w:r w:rsidRPr="006F6B6C">
        <w:rPr>
          <w:sz w:val="20"/>
        </w:rPr>
        <w:noBreakHyphen/>
        <w:t>examine N on his discovery evidence, the Crown asked N about his memory of the events.  N stated, “I have a recollection about 90, 95 percent”.  N’s trial testimony was found to be unreliable and he was found guilty of dangerous driving causing bodily harm.  The Court of Appeal allowed N’s appeal.  The trial judge’s ruling was overturned, the conviction was set aside and a new trial was ordered.</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lang w:val="en-US"/>
        </w:rPr>
      </w:pPr>
      <w:r w:rsidRPr="006F6B6C">
        <w:rPr>
          <w:sz w:val="20"/>
        </w:rPr>
        <w:tab/>
      </w:r>
      <w:r w:rsidRPr="006F6B6C">
        <w:rPr>
          <w:i/>
          <w:sz w:val="20"/>
        </w:rPr>
        <w:t>Held</w:t>
      </w:r>
      <w:r w:rsidRPr="006F6B6C">
        <w:rPr>
          <w:sz w:val="20"/>
        </w:rPr>
        <w:t xml:space="preserve"> (LeBel, Fish and Cromwell JJ. dissenting):  </w:t>
      </w:r>
      <w:r w:rsidRPr="006F6B6C">
        <w:rPr>
          <w:sz w:val="20"/>
          <w:lang w:val="en-US"/>
        </w:rPr>
        <w:t>The appeal should be allowed, the order for a new trial set aside, and the guilty verdict on the charge of dangerous driving causing bodily harm restored.</w:t>
      </w:r>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sz w:val="20"/>
        </w:rPr>
      </w:pPr>
      <w:r w:rsidRPr="006F6B6C">
        <w:rPr>
          <w:i/>
          <w:sz w:val="20"/>
        </w:rPr>
        <w:tab/>
        <w:t>Per</w:t>
      </w:r>
      <w:r w:rsidRPr="006F6B6C">
        <w:rPr>
          <w:sz w:val="20"/>
        </w:rPr>
        <w:t xml:space="preserve"> McLachlin C.J. and Deschamps, Abella, Rothstein, </w:t>
      </w:r>
      <w:r w:rsidRPr="006F6B6C">
        <w:rPr>
          <w:b/>
          <w:sz w:val="20"/>
        </w:rPr>
        <w:t>Moldaver</w:t>
      </w:r>
      <w:r w:rsidRPr="006F6B6C">
        <w:rPr>
          <w:sz w:val="20"/>
        </w:rPr>
        <w:t xml:space="preserve"> and Karatkatsanis JJ.:  Although N was statutorily compellable and therefore compelled for the purpose of s. 13 of the </w:t>
      </w:r>
      <w:r w:rsidRPr="006F6B6C">
        <w:rPr>
          <w:i/>
          <w:sz w:val="20"/>
        </w:rPr>
        <w:t>Charter</w:t>
      </w:r>
      <w:r w:rsidRPr="006F6B6C">
        <w:rPr>
          <w:sz w:val="20"/>
        </w:rPr>
        <w:t xml:space="preserve"> to testify at his examination for discovery in the civil action, the use of his non</w:t>
      </w:r>
      <w:r w:rsidRPr="006F6B6C">
        <w:rPr>
          <w:sz w:val="20"/>
        </w:rPr>
        <w:noBreakHyphen/>
        <w:t xml:space="preserve">incriminating discovery evidence for impeachment purposes could not and did not trigger the application of s. 13.  Section 13 is not directed to “any evidence” the witness may have been compelled to give at the prior proceeding, but to incriminating evidence.  Incriminating evidence is evidence given by the witness at the prior proceeding that the Crown could use at the subsequent proceeding, if it were permitted to do so, to prove guilt, i.e. to prove or assist in proving one or more of the essential elements of the offence for which the witness is being tried.  Where the evidence given by the witness at the prior proceeding could not be used by the Crown at the subsequent proceeding to prove the witness’s guilt on the charge for which he or she is being tried, the prior evidence is not “incriminating evidence”. </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rPr>
      </w:pPr>
      <w:r w:rsidRPr="006F6B6C">
        <w:rPr>
          <w:sz w:val="20"/>
        </w:rPr>
        <w:tab/>
        <w:t>The mere possibility that evidence, which is otherwise “non</w:t>
      </w:r>
      <w:r w:rsidRPr="006F6B6C">
        <w:rPr>
          <w:sz w:val="20"/>
        </w:rPr>
        <w:noBreakHyphen/>
        <w:t xml:space="preserve">incriminating”, can be converted into “incriminating” evidence if the Crown were to take the added steps needed to make it </w:t>
      </w:r>
      <w:proofErr w:type="gramStart"/>
      <w:r w:rsidRPr="006F6B6C">
        <w:rPr>
          <w:sz w:val="20"/>
        </w:rPr>
        <w:t>so,</w:t>
      </w:r>
      <w:proofErr w:type="gramEnd"/>
      <w:r w:rsidRPr="006F6B6C">
        <w:rPr>
          <w:sz w:val="20"/>
        </w:rPr>
        <w:t xml:space="preserve"> is not enough to trigger the application of s. 13.  The use of N’s discovery evidence to test his credibility, and nothing else, could not convert his discovery evidence into incriminating evidence.  The discovery evidence would retain its original characteristics and it would not become evidence from which the triers of fact could infer guilt.</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rPr>
      </w:pPr>
      <w:r w:rsidRPr="006F6B6C">
        <w:rPr>
          <w:sz w:val="20"/>
        </w:rPr>
        <w:tab/>
        <w:t>While it is true that N’s inconsistent discovery evidence might lead the triers of fact to reject his trial testimony, rejection of an accused’s testimony does not create evidence for the Crown — any more than the rejection of an accused’s alibi evidence does, absent a finding on independent evidence, that the alibi has been concocted.</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rPr>
      </w:pPr>
      <w:r w:rsidRPr="006F6B6C">
        <w:rPr>
          <w:sz w:val="20"/>
        </w:rPr>
        <w:tab/>
        <w:t>On this construction of s. 13, neither the truthful witness nor the perjurer need be concerned that any incriminating evidence given by them at a prior proceeding will be used against them, for any purpose, at a subsequent proceeding for anything other than perjury.</w:t>
      </w:r>
    </w:p>
    <w:p w:rsidR="00883278" w:rsidRPr="006F6B6C" w:rsidRDefault="00883278" w:rsidP="00883278">
      <w:pPr>
        <w:pStyle w:val="SCCNormalDoubleSpacing"/>
        <w:spacing w:line="240" w:lineRule="auto"/>
        <w:rPr>
          <w:b/>
          <w:sz w:val="20"/>
        </w:rPr>
      </w:pPr>
      <w:r w:rsidRPr="006F6B6C">
        <w:rPr>
          <w:sz w:val="20"/>
        </w:rPr>
        <w:lastRenderedPageBreak/>
        <w:tab/>
        <w:t>While this approach might impinge ever so slightly on clarity and predictability, clarity and predictability should not be pursued at the expense of rewriting s. 13 to remove critical words that alter the meaning of the section and impermissibly extend its protection beyond its intended purpose.  Trial judges will have little difficulty deciding whether evidence put forward by the Crown meets the test for “incriminating” evidence as defined.  It would of course be incumbent on trial judges to provide juries with clear instructions as to the use they could make of the evidence given at the prior proceeding.</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rPr>
      </w:pPr>
      <w:r w:rsidRPr="006F6B6C">
        <w:rPr>
          <w:sz w:val="20"/>
        </w:rPr>
        <w:tab/>
        <w:t>On its own, N’s discovery testimony could not have been used by the Crown to prove or assist in proving one or more of the essential elements of the criminal charges he was facing.  While his inconsistent discovery evidence might lead the triers of fact to reject his trial testimony, rejection of an accused’s testimony does not create evidence for the Crown.</w:t>
      </w:r>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sz w:val="20"/>
        </w:rPr>
      </w:pPr>
      <w:r w:rsidRPr="006F6B6C">
        <w:rPr>
          <w:i/>
          <w:sz w:val="20"/>
        </w:rPr>
        <w:tab/>
      </w:r>
      <w:proofErr w:type="gramStart"/>
      <w:r w:rsidRPr="006F6B6C">
        <w:rPr>
          <w:i/>
          <w:sz w:val="20"/>
        </w:rPr>
        <w:t>Per</w:t>
      </w:r>
      <w:r w:rsidRPr="006F6B6C">
        <w:rPr>
          <w:sz w:val="20"/>
        </w:rPr>
        <w:t xml:space="preserve"> </w:t>
      </w:r>
      <w:r w:rsidRPr="006F6B6C">
        <w:rPr>
          <w:b/>
          <w:sz w:val="20"/>
        </w:rPr>
        <w:t>LeBel</w:t>
      </w:r>
      <w:r w:rsidRPr="006F6B6C">
        <w:rPr>
          <w:sz w:val="20"/>
        </w:rPr>
        <w:t>, Fish and Cromwell JJ.</w:t>
      </w:r>
      <w:proofErr w:type="gramEnd"/>
      <w:r w:rsidRPr="006F6B6C">
        <w:rPr>
          <w:sz w:val="20"/>
        </w:rPr>
        <w:t xml:space="preserve"> (</w:t>
      </w:r>
      <w:proofErr w:type="gramStart"/>
      <w:r w:rsidRPr="006F6B6C">
        <w:rPr>
          <w:sz w:val="20"/>
        </w:rPr>
        <w:t>dissenting</w:t>
      </w:r>
      <w:proofErr w:type="gramEnd"/>
      <w:r w:rsidRPr="006F6B6C">
        <w:rPr>
          <w:sz w:val="20"/>
        </w:rPr>
        <w:t>):  The right against self</w:t>
      </w:r>
      <w:r w:rsidRPr="006F6B6C">
        <w:rPr>
          <w:sz w:val="20"/>
        </w:rPr>
        <w:noBreakHyphen/>
        <w:t xml:space="preserve">incrimination lies at the heart of our justice system and is enshrined in the </w:t>
      </w:r>
      <w:r w:rsidRPr="006F6B6C">
        <w:rPr>
          <w:i/>
          <w:sz w:val="20"/>
        </w:rPr>
        <w:t>Canadian Charter of Rights and Freedoms</w:t>
      </w:r>
      <w:r w:rsidRPr="006F6B6C">
        <w:rPr>
          <w:sz w:val="20"/>
        </w:rPr>
        <w:t>.  It is intimately linked to the right to stand silent in the face of one’s accuser, to the presumption of innocence and to the notion that the Crown must prove its case beyond a reasonable doubt without any assistance from the accused.</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rPr>
      </w:pPr>
      <w:r w:rsidRPr="006F6B6C">
        <w:rPr>
          <w:sz w:val="20"/>
        </w:rPr>
        <w:tab/>
        <w:t xml:space="preserve">Section 13 only applies when the </w:t>
      </w:r>
      <w:r w:rsidRPr="006F6B6C">
        <w:rPr>
          <w:i/>
          <w:sz w:val="20"/>
        </w:rPr>
        <w:t>quid pro quo</w:t>
      </w:r>
      <w:r w:rsidRPr="006F6B6C">
        <w:rPr>
          <w:sz w:val="20"/>
        </w:rPr>
        <w:t xml:space="preserve"> is engaged: a witness’s evidence is compelled in exchange for a guarantee that the Crown will not use that evidence against that person in another proceeding</w:t>
      </w:r>
      <w:r w:rsidRPr="006F6B6C">
        <w:rPr>
          <w:i/>
          <w:sz w:val="20"/>
        </w:rPr>
        <w:t xml:space="preserve"> </w:t>
      </w:r>
      <w:r w:rsidRPr="006F6B6C">
        <w:rPr>
          <w:sz w:val="20"/>
        </w:rPr>
        <w:t xml:space="preserve">is engaged.  The focus of the s. 13 analysis should be on compulsion.  Evidence should be treated as compelled where there is a statutory route by which the witness could be compelled to give evidence.  Whether or not that route is actually taken does not change the fact that it was available and could have been taken.  It would be unprincipled to give a lesser degree of </w:t>
      </w:r>
      <w:r w:rsidRPr="006F6B6C">
        <w:rPr>
          <w:i/>
          <w:sz w:val="20"/>
        </w:rPr>
        <w:t>Charter</w:t>
      </w:r>
      <w:r w:rsidRPr="006F6B6C">
        <w:rPr>
          <w:sz w:val="20"/>
        </w:rPr>
        <w:t xml:space="preserve"> protection to a witness who testifies willingly than to a witness who must be subpoenaed or otherwise forced to give evidence, if both could have been statutorily compelled to testify in any event.</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rPr>
      </w:pPr>
      <w:r w:rsidRPr="006F6B6C">
        <w:rPr>
          <w:sz w:val="20"/>
        </w:rPr>
        <w:tab/>
        <w:t>Similarly, the focus should not be on the nature of the statements.  While s. 13 refers to using “incriminating statements” to “incriminate”, parsing an accused person’s testimony to distinguish what is “incriminating” from what is “innocuous” in order to determine on what parts of his or her testimony the accused may be cross</w:t>
      </w:r>
      <w:r w:rsidRPr="006F6B6C">
        <w:rPr>
          <w:sz w:val="20"/>
        </w:rPr>
        <w:noBreakHyphen/>
        <w:t>examined might result in a protracted and unpredictable classification exercise.  That distinction is just as unworkable as the previously abolished distinction between using prior compelled testimony to impeach credibility and using it to incriminate the accused.  It is especially difficult to draw that distinction because the focus of the right against self</w:t>
      </w:r>
      <w:r w:rsidRPr="006F6B6C">
        <w:rPr>
          <w:sz w:val="20"/>
        </w:rPr>
        <w:noBreakHyphen/>
        <w:t>incrimination is on the second proceedings, the time at which the previous testimony is sought to be used, rather than the time at which it is given.  Any evidence that may assist the Crown in proving its case will have an incriminating effect and must therefore be subject to s. 13 protection.</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rPr>
      </w:pPr>
      <w:r w:rsidRPr="006F6B6C">
        <w:rPr>
          <w:sz w:val="20"/>
        </w:rPr>
        <w:tab/>
        <w:t xml:space="preserve">The protection afforded by s. 13 is not lost when a witness gives what is perceived to be dishonest testimony.  Although the </w:t>
      </w:r>
      <w:r w:rsidRPr="006F6B6C">
        <w:rPr>
          <w:i/>
          <w:sz w:val="20"/>
        </w:rPr>
        <w:t>quid pro quo</w:t>
      </w:r>
      <w:r w:rsidRPr="006F6B6C">
        <w:rPr>
          <w:sz w:val="20"/>
        </w:rPr>
        <w:t xml:space="preserve"> is meant to encourage full and frank evidence, s. 13, in the context of the greater balancing of interests embodied in the </w:t>
      </w:r>
      <w:r w:rsidRPr="006F6B6C">
        <w:rPr>
          <w:i/>
          <w:sz w:val="20"/>
        </w:rPr>
        <w:t>Charter</w:t>
      </w:r>
      <w:r w:rsidRPr="006F6B6C">
        <w:rPr>
          <w:sz w:val="20"/>
        </w:rPr>
        <w:t>, dictates that the truth</w:t>
      </w:r>
      <w:r w:rsidRPr="006F6B6C">
        <w:rPr>
          <w:sz w:val="20"/>
        </w:rPr>
        <w:noBreakHyphen/>
        <w:t>seeking function of the trial give way to the right of the accused against self</w:t>
      </w:r>
      <w:r w:rsidRPr="006F6B6C">
        <w:rPr>
          <w:sz w:val="20"/>
        </w:rPr>
        <w:noBreakHyphen/>
        <w:t xml:space="preserve">incrimination.  The </w:t>
      </w:r>
      <w:r w:rsidRPr="006F6B6C">
        <w:rPr>
          <w:i/>
          <w:sz w:val="20"/>
        </w:rPr>
        <w:t>quid pro quo</w:t>
      </w:r>
      <w:r w:rsidRPr="006F6B6C">
        <w:rPr>
          <w:sz w:val="20"/>
        </w:rPr>
        <w:t xml:space="preserve"> is not a “contract” with a witness that can be nullified if the witness lies under oath.  Prior compelled evidence can be used in a prosecution for perjury or for the giving of contradictory evidence.  Laying criminal charges for perjury is the appropriate way to deal with witnesses who tailor their evidence to suit their needs in each particular proceeding without diluting the </w:t>
      </w:r>
      <w:r w:rsidRPr="006F6B6C">
        <w:rPr>
          <w:i/>
          <w:sz w:val="20"/>
        </w:rPr>
        <w:t xml:space="preserve">Charter </w:t>
      </w:r>
      <w:r w:rsidRPr="006F6B6C">
        <w:rPr>
          <w:sz w:val="20"/>
        </w:rPr>
        <w:t xml:space="preserve">rights of the accused.  This approach maintains respect for the administration of justice while fully preserving the s. 13 right of the accused.  It also avoids the need to conduct a </w:t>
      </w:r>
      <w:r w:rsidRPr="006F6B6C">
        <w:rPr>
          <w:i/>
          <w:sz w:val="20"/>
        </w:rPr>
        <w:t>voir dire</w:t>
      </w:r>
      <w:r w:rsidRPr="006F6B6C">
        <w:rPr>
          <w:sz w:val="20"/>
        </w:rPr>
        <w:t xml:space="preserve">, which would encumber the trial process, render the scope of s. 13 dubious in theory and uncertain in practice, discourage full and frank testimony, and reduce the scope of the s. 13 protection that previously compelled witnesses have had since </w:t>
      </w:r>
      <w:r w:rsidRPr="006F6B6C">
        <w:rPr>
          <w:i/>
          <w:sz w:val="20"/>
        </w:rPr>
        <w:t>R. v. Henry</w:t>
      </w:r>
      <w:r w:rsidRPr="006F6B6C">
        <w:rPr>
          <w:sz w:val="20"/>
        </w:rPr>
        <w:t>, 2005 SCC 76, [2005] 3 S.C.R. 609.</w:t>
      </w:r>
    </w:p>
    <w:p w:rsidR="00883278" w:rsidRDefault="00883278" w:rsidP="00883278">
      <w:pPr>
        <w:pStyle w:val="SCCNormalDoubleSpacing"/>
        <w:spacing w:line="240" w:lineRule="auto"/>
        <w:rPr>
          <w:sz w:val="20"/>
        </w:rPr>
      </w:pPr>
    </w:p>
    <w:p w:rsidR="00883278" w:rsidRDefault="00883278" w:rsidP="00883278">
      <w:pPr>
        <w:pStyle w:val="SCCNormalDoubleSpacing"/>
        <w:spacing w:line="240" w:lineRule="auto"/>
        <w:rPr>
          <w:sz w:val="20"/>
        </w:rPr>
      </w:pPr>
      <w:r w:rsidRPr="006F6B6C">
        <w:rPr>
          <w:sz w:val="20"/>
        </w:rPr>
        <w:tab/>
        <w:t xml:space="preserve">In this case, N was statutorily compellable to be examined for discovery, and therefore “compelled” within the meaning of </w:t>
      </w:r>
      <w:r w:rsidRPr="006F6B6C">
        <w:rPr>
          <w:i/>
          <w:sz w:val="20"/>
        </w:rPr>
        <w:t xml:space="preserve">Henry </w:t>
      </w:r>
      <w:r w:rsidRPr="006F6B6C">
        <w:rPr>
          <w:sz w:val="20"/>
        </w:rPr>
        <w:t xml:space="preserve">and for the purposes of s. 13.  Whether he freely decided to attend the discovery proceeding is irrelevant because Rule 31.04(2) of the Ontario </w:t>
      </w:r>
      <w:r w:rsidRPr="006F6B6C">
        <w:rPr>
          <w:i/>
          <w:sz w:val="20"/>
        </w:rPr>
        <w:t xml:space="preserve">Rules of Civil Procedure </w:t>
      </w:r>
      <w:r w:rsidRPr="006F6B6C">
        <w:rPr>
          <w:sz w:val="20"/>
        </w:rPr>
        <w:t>compels a defendant in a civil action to be examined for discovery.  Failing to file a statement of defence would not have allowed N to avoid coming within the grasp of the procedural rules that would compel his evidence, so whether he was actually noted in default is irrelevant.  Despite the rather blatant inconsistencies in his testimony, s. 13 dictates that the truth</w:t>
      </w:r>
      <w:r w:rsidRPr="006F6B6C">
        <w:rPr>
          <w:sz w:val="20"/>
        </w:rPr>
        <w:noBreakHyphen/>
        <w:t>seeking function of the trial give way to the right of the accused against self</w:t>
      </w:r>
      <w:r w:rsidRPr="006F6B6C">
        <w:rPr>
          <w:sz w:val="20"/>
        </w:rPr>
        <w:noBreakHyphen/>
        <w:t>incrimination.</w:t>
      </w:r>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sz w:val="20"/>
        </w:rPr>
      </w:pPr>
      <w:r w:rsidRPr="006F6B6C">
        <w:rPr>
          <w:sz w:val="20"/>
        </w:rPr>
        <w:lastRenderedPageBreak/>
        <w:tab/>
        <w:t xml:space="preserve">APPEAL from a judgment of the Ontario Court of Appeal (Weiler, MacPherson and Armstrong JJ.A.), 2011 ONCA 143, 276 O.A.C. 106, 269 C.C.C. (3d) 1, 83 C.R. (6th) 41, 227 C.R.R. (2d) 364, 7 M.V.R. (6th) 10, 5 C.P.C. (7th) 16, [2011] O.J. No. 795 (QL), 2011 CarswellOnt 1090, setting aside the conviction for dangerous driving causing bodily harm entered by O’Connor J., 60 M.V.R. (5th) 186, 2007 CanLII 54970, [2007] O.J. No. 4906 (QL), 2007 CarswellOnt 8205, and ordering a new trial.  Appeal allowed, LeBel, Fish and Cromwell JJ. </w:t>
      </w:r>
      <w:proofErr w:type="gramStart"/>
      <w:r w:rsidRPr="006F6B6C">
        <w:rPr>
          <w:sz w:val="20"/>
        </w:rPr>
        <w:t>dissenting</w:t>
      </w:r>
      <w:proofErr w:type="gramEnd"/>
      <w:r w:rsidRPr="006F6B6C">
        <w:rPr>
          <w:sz w:val="20"/>
        </w:rPr>
        <w:t>.</w:t>
      </w:r>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sz w:val="20"/>
        </w:rPr>
      </w:pPr>
      <w:r w:rsidRPr="006F6B6C">
        <w:rPr>
          <w:i/>
          <w:sz w:val="20"/>
        </w:rPr>
        <w:tab/>
      </w:r>
      <w:proofErr w:type="gramStart"/>
      <w:r w:rsidRPr="006F6B6C">
        <w:rPr>
          <w:i/>
          <w:sz w:val="20"/>
        </w:rPr>
        <w:t>Michal Fairburn</w:t>
      </w:r>
      <w:r w:rsidRPr="006F6B6C">
        <w:rPr>
          <w:sz w:val="20"/>
        </w:rPr>
        <w:t xml:space="preserve"> and </w:t>
      </w:r>
      <w:r w:rsidRPr="006F6B6C">
        <w:rPr>
          <w:i/>
          <w:sz w:val="20"/>
        </w:rPr>
        <w:t>Randy Schwartz</w:t>
      </w:r>
      <w:r w:rsidRPr="006F6B6C">
        <w:rPr>
          <w:sz w:val="20"/>
        </w:rPr>
        <w:t>, for the appellant.</w:t>
      </w:r>
      <w:proofErr w:type="gramEnd"/>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sz w:val="20"/>
        </w:rPr>
      </w:pPr>
      <w:r w:rsidRPr="006F6B6C">
        <w:rPr>
          <w:i/>
          <w:sz w:val="20"/>
        </w:rPr>
        <w:tab/>
        <w:t>P. Andras Schreck</w:t>
      </w:r>
      <w:r w:rsidRPr="006F6B6C">
        <w:rPr>
          <w:sz w:val="20"/>
        </w:rPr>
        <w:t xml:space="preserve"> and </w:t>
      </w:r>
      <w:r w:rsidRPr="006F6B6C">
        <w:rPr>
          <w:i/>
          <w:sz w:val="20"/>
        </w:rPr>
        <w:t>Candice Suter</w:t>
      </w:r>
      <w:r w:rsidRPr="006F6B6C">
        <w:rPr>
          <w:sz w:val="20"/>
        </w:rPr>
        <w:t>, for the respondent.</w:t>
      </w:r>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sz w:val="20"/>
        </w:rPr>
      </w:pPr>
      <w:r w:rsidRPr="006F6B6C">
        <w:rPr>
          <w:i/>
          <w:sz w:val="20"/>
        </w:rPr>
        <w:tab/>
      </w:r>
      <w:proofErr w:type="gramStart"/>
      <w:r w:rsidRPr="006F6B6C">
        <w:rPr>
          <w:i/>
          <w:sz w:val="20"/>
        </w:rPr>
        <w:t>Sylvain Leboeuf</w:t>
      </w:r>
      <w:r w:rsidRPr="006F6B6C">
        <w:rPr>
          <w:sz w:val="20"/>
        </w:rPr>
        <w:t xml:space="preserve"> and </w:t>
      </w:r>
      <w:r w:rsidRPr="006F6B6C">
        <w:rPr>
          <w:i/>
          <w:sz w:val="20"/>
        </w:rPr>
        <w:t>Gilles Laporte</w:t>
      </w:r>
      <w:r w:rsidRPr="006F6B6C">
        <w:rPr>
          <w:sz w:val="20"/>
        </w:rPr>
        <w:t>, for the intervener the Attorney General of Quebec.</w:t>
      </w:r>
      <w:proofErr w:type="gramEnd"/>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sz w:val="20"/>
        </w:rPr>
      </w:pPr>
      <w:r w:rsidRPr="006F6B6C">
        <w:rPr>
          <w:i/>
          <w:sz w:val="20"/>
        </w:rPr>
        <w:tab/>
      </w:r>
      <w:proofErr w:type="gramStart"/>
      <w:r w:rsidRPr="006F6B6C">
        <w:rPr>
          <w:i/>
          <w:sz w:val="20"/>
        </w:rPr>
        <w:t>Barbara A. McIsaac, Q.C.</w:t>
      </w:r>
      <w:r w:rsidRPr="006F6B6C">
        <w:rPr>
          <w:sz w:val="20"/>
        </w:rPr>
        <w:t xml:space="preserve">, </w:t>
      </w:r>
      <w:r w:rsidRPr="006F6B6C">
        <w:rPr>
          <w:i/>
          <w:sz w:val="20"/>
        </w:rPr>
        <w:t>Jacquie El</w:t>
      </w:r>
      <w:r w:rsidRPr="006F6B6C">
        <w:rPr>
          <w:i/>
          <w:sz w:val="20"/>
        </w:rPr>
        <w:noBreakHyphen/>
        <w:t>Chammas</w:t>
      </w:r>
      <w:r w:rsidRPr="006F6B6C">
        <w:rPr>
          <w:sz w:val="20"/>
        </w:rPr>
        <w:t xml:space="preserve"> and </w:t>
      </w:r>
      <w:r w:rsidRPr="006F6B6C">
        <w:rPr>
          <w:i/>
          <w:sz w:val="20"/>
        </w:rPr>
        <w:t>Frank Addario</w:t>
      </w:r>
      <w:r w:rsidRPr="006F6B6C">
        <w:rPr>
          <w:sz w:val="20"/>
        </w:rPr>
        <w:t>, for the intervener the Advocates’ Society.</w:t>
      </w:r>
      <w:proofErr w:type="gramEnd"/>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sz w:val="20"/>
        </w:rPr>
      </w:pPr>
      <w:r w:rsidRPr="006F6B6C">
        <w:rPr>
          <w:i/>
          <w:sz w:val="20"/>
        </w:rPr>
        <w:tab/>
      </w:r>
      <w:proofErr w:type="gramStart"/>
      <w:r w:rsidRPr="006F6B6C">
        <w:rPr>
          <w:i/>
          <w:sz w:val="20"/>
        </w:rPr>
        <w:t>Scott C. Hutchison</w:t>
      </w:r>
      <w:r w:rsidRPr="006F6B6C">
        <w:rPr>
          <w:sz w:val="20"/>
        </w:rPr>
        <w:t xml:space="preserve"> and </w:t>
      </w:r>
      <w:r w:rsidRPr="006F6B6C">
        <w:rPr>
          <w:i/>
          <w:sz w:val="20"/>
        </w:rPr>
        <w:t>Edward Marrocco</w:t>
      </w:r>
      <w:r w:rsidRPr="006F6B6C">
        <w:rPr>
          <w:sz w:val="20"/>
        </w:rPr>
        <w:t>, for the intervener the Criminal Lawyers’ Association (Ontario).</w:t>
      </w:r>
      <w:proofErr w:type="gramEnd"/>
    </w:p>
    <w:p w:rsidR="00883278" w:rsidRDefault="00883278" w:rsidP="00883278">
      <w:pPr>
        <w:pStyle w:val="SCCNormalDoubleSpacing"/>
        <w:spacing w:line="240" w:lineRule="auto"/>
        <w:rPr>
          <w:sz w:val="20"/>
        </w:rPr>
      </w:pPr>
    </w:p>
    <w:p w:rsidR="00883278" w:rsidRPr="006F6B6C" w:rsidRDefault="00883278" w:rsidP="00883278">
      <w:pPr>
        <w:pStyle w:val="SCCNormalDoubleSpacing"/>
        <w:spacing w:line="240" w:lineRule="auto"/>
        <w:rPr>
          <w:i/>
          <w:sz w:val="20"/>
        </w:rPr>
      </w:pPr>
      <w:r w:rsidRPr="006F6B6C">
        <w:rPr>
          <w:sz w:val="20"/>
        </w:rPr>
        <w:tab/>
      </w:r>
      <w:r w:rsidRPr="006F6B6C">
        <w:rPr>
          <w:i/>
          <w:sz w:val="20"/>
        </w:rPr>
        <w:t>Solicitor for the appellant:  Attorney General of Ontario, Toronto.</w:t>
      </w:r>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i/>
          <w:sz w:val="20"/>
        </w:rPr>
      </w:pPr>
      <w:r w:rsidRPr="006F6B6C">
        <w:rPr>
          <w:i/>
          <w:sz w:val="20"/>
        </w:rPr>
        <w:tab/>
        <w:t>Solicitors for the respondent:  Schreck Presser, Toronto.</w:t>
      </w:r>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i/>
          <w:sz w:val="20"/>
        </w:rPr>
      </w:pPr>
      <w:r w:rsidRPr="006F6B6C">
        <w:rPr>
          <w:i/>
          <w:sz w:val="20"/>
        </w:rPr>
        <w:tab/>
        <w:t>Solicitor for the intervener the Attorney General of Quebec:  Attorney General of Quebec, Québec.</w:t>
      </w:r>
    </w:p>
    <w:p w:rsidR="00883278" w:rsidRDefault="00883278" w:rsidP="00883278">
      <w:pPr>
        <w:pStyle w:val="SCCNormalDoubleSpacing"/>
        <w:spacing w:line="240" w:lineRule="auto"/>
        <w:rPr>
          <w:i/>
          <w:sz w:val="20"/>
        </w:rPr>
      </w:pPr>
    </w:p>
    <w:p w:rsidR="00883278" w:rsidRPr="006F6B6C" w:rsidRDefault="00883278" w:rsidP="00883278">
      <w:pPr>
        <w:pStyle w:val="SCCNormalDoubleSpacing"/>
        <w:spacing w:line="240" w:lineRule="auto"/>
        <w:rPr>
          <w:i/>
          <w:sz w:val="20"/>
        </w:rPr>
      </w:pPr>
      <w:r w:rsidRPr="006F6B6C">
        <w:rPr>
          <w:i/>
          <w:sz w:val="20"/>
        </w:rPr>
        <w:tab/>
        <w:t>Solicitors for the intervener the Advocates’ Society:  Borden Ladner Gervais, Ottawa; Sack Goldblatt Mitchell, Toronto.</w:t>
      </w:r>
    </w:p>
    <w:p w:rsidR="00883278" w:rsidRDefault="00883278" w:rsidP="00883278">
      <w:pPr>
        <w:pStyle w:val="SCCNormalDoubleSpacing"/>
        <w:spacing w:line="240" w:lineRule="auto"/>
        <w:rPr>
          <w:i/>
          <w:sz w:val="20"/>
        </w:rPr>
      </w:pPr>
    </w:p>
    <w:p w:rsidR="00883278" w:rsidRDefault="00883278" w:rsidP="00883278">
      <w:pPr>
        <w:pStyle w:val="SCCNormalDoubleSpacing"/>
        <w:spacing w:line="240" w:lineRule="auto"/>
        <w:rPr>
          <w:i/>
          <w:sz w:val="20"/>
        </w:rPr>
      </w:pPr>
      <w:r w:rsidRPr="006F6B6C">
        <w:rPr>
          <w:i/>
          <w:sz w:val="20"/>
        </w:rPr>
        <w:tab/>
        <w:t>Solicitors for the intervener the Criminal Lawyers’ Association (Ontario):  Stockwoods, Toronto.</w:t>
      </w:r>
    </w:p>
    <w:p w:rsidR="00DD0B49" w:rsidRPr="003B3977" w:rsidRDefault="00DD0B49" w:rsidP="00DD0B49">
      <w:pPr>
        <w:rPr>
          <w:rFonts w:cs="Times New Roman"/>
          <w:sz w:val="20"/>
          <w:szCs w:val="20"/>
          <w:lang w:val="fr-CA"/>
        </w:rPr>
      </w:pPr>
      <w:r w:rsidRPr="003B3977">
        <w:rPr>
          <w:rFonts w:cs="Times New Roman"/>
          <w:sz w:val="20"/>
          <w:szCs w:val="20"/>
          <w:lang w:val="fr-CA"/>
        </w:rPr>
        <w:t>________________________</w:t>
      </w:r>
    </w:p>
    <w:p w:rsidR="00DD0B49" w:rsidRPr="003B3977" w:rsidRDefault="00DD0B49" w:rsidP="00DD0B49">
      <w:pPr>
        <w:rPr>
          <w:rFonts w:cs="Times New Roman"/>
          <w:sz w:val="20"/>
          <w:szCs w:val="20"/>
          <w:lang w:val="fr-CA"/>
        </w:rPr>
      </w:pPr>
    </w:p>
    <w:p w:rsidR="00883278" w:rsidRPr="00883278" w:rsidRDefault="00883278" w:rsidP="00883278">
      <w:pPr>
        <w:jc w:val="both"/>
        <w:rPr>
          <w:sz w:val="20"/>
          <w:szCs w:val="20"/>
          <w:lang w:val="fr-CA"/>
        </w:rPr>
      </w:pPr>
      <w:r w:rsidRPr="00883278">
        <w:rPr>
          <w:sz w:val="20"/>
          <w:szCs w:val="20"/>
          <w:lang w:val="fr-CA"/>
        </w:rPr>
        <w:t>Présents : La juge en chef McLachlin et les juges LeBel, Deschamps, Fish, Abella, Rothstein, Cromwell, Moldaver et Karakatsanis.</w:t>
      </w:r>
    </w:p>
    <w:p w:rsidR="00883278" w:rsidRPr="00883278" w:rsidRDefault="00883278" w:rsidP="00883278">
      <w:pPr>
        <w:pStyle w:val="SCCLowerCourtNameLowercase"/>
        <w:spacing w:line="240" w:lineRule="auto"/>
        <w:rPr>
          <w:sz w:val="20"/>
          <w:lang w:val="fr-CA"/>
        </w:rPr>
      </w:pPr>
    </w:p>
    <w:p w:rsidR="00883278" w:rsidRPr="00883278" w:rsidRDefault="00883278" w:rsidP="00883278">
      <w:pPr>
        <w:pStyle w:val="SCCNormalDoubleSpacing"/>
        <w:spacing w:line="240" w:lineRule="auto"/>
        <w:rPr>
          <w:sz w:val="20"/>
          <w:lang w:val="fr-CA"/>
        </w:rPr>
      </w:pPr>
      <w:r w:rsidRPr="003854DB">
        <w:rPr>
          <w:sz w:val="20"/>
          <w:lang w:val="fr-FR"/>
        </w:rPr>
        <w:tab/>
      </w:r>
      <w:r w:rsidRPr="00883278">
        <w:rPr>
          <w:i/>
          <w:iCs/>
          <w:sz w:val="20"/>
          <w:lang w:val="fr-CA"/>
        </w:rPr>
        <w:t>Droit constitutionnel — Charte des droits — Auto</w:t>
      </w:r>
      <w:r w:rsidRPr="00883278">
        <w:rPr>
          <w:i/>
          <w:iCs/>
          <w:sz w:val="20"/>
          <w:lang w:val="fr-CA"/>
        </w:rPr>
        <w:noBreakHyphen/>
        <w:t xml:space="preserve">incrimination — Accusé impliqué dans un accident de véhicule à moteur dans lequel une victime a été grièvement blessée — Accusé inculpé d’infractions au Code criminel — Accusé ayant témoigné à son procès criminel — Témoignage de l’accusé incompatible avec son témoignage antérieur à l’interrogatoire préalable dans une action civile connexe — </w:t>
      </w:r>
      <w:r w:rsidRPr="00883278">
        <w:rPr>
          <w:i/>
          <w:sz w:val="20"/>
          <w:lang w:val="fr-CA"/>
        </w:rPr>
        <w:t>Le ministère public peut</w:t>
      </w:r>
      <w:r w:rsidRPr="00883278">
        <w:rPr>
          <w:i/>
          <w:sz w:val="20"/>
          <w:lang w:val="fr-CA"/>
        </w:rPr>
        <w:noBreakHyphen/>
        <w:t>il contre</w:t>
      </w:r>
      <w:r w:rsidRPr="00883278">
        <w:rPr>
          <w:i/>
          <w:sz w:val="20"/>
          <w:lang w:val="fr-CA"/>
        </w:rPr>
        <w:noBreakHyphen/>
        <w:t>interroger l’accusé sur ses déclarations contradictoires antérieures sans porter atteinte à son droit de ne pas s’incriminer?</w:t>
      </w:r>
      <w:r w:rsidRPr="00883278">
        <w:rPr>
          <w:sz w:val="20"/>
          <w:lang w:val="fr-CA"/>
        </w:rPr>
        <w:t xml:space="preserve"> </w:t>
      </w:r>
      <w:r w:rsidRPr="00883278">
        <w:rPr>
          <w:i/>
          <w:iCs/>
          <w:sz w:val="20"/>
          <w:lang w:val="fr-CA"/>
        </w:rPr>
        <w:t>— Charte canadienne des droits et libertés, art. 13.</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t>Un soir, après le travail, N a fait monter la victime sur sa motocyclette pour lui faire faire un tour sur la propriété de leur employeur.  La motocyclette a percuté la bordure de trottoir, et la victime a subi des lésions cérébrales permanentes.  N a été hospitalisé jusqu’au lendemain pour des blessures mineures.  N a été accusé de conduite dangereuse ayant causé des lésions corporelles et de conduite avec facultés affaiblies ayant causé des lésions corporelles.  Il a également été poursuivi au civil par la victime et sa famille.  À l’interrogatoire préalable dans le cadre de cette instance civile, N a affirmé ne pas se souvenir de ce qui était survenu entre le jour de l’accident et son réveil à l’hôpital le lendemain.  À son procès criminel, N a toutefois donné un compte rendu détaillé de l’accident et des faits qui l’avaient précédé.  Ayant été autorisé à contre</w:t>
      </w:r>
      <w:r w:rsidRPr="00883278">
        <w:rPr>
          <w:sz w:val="20"/>
          <w:lang w:val="fr-CA"/>
        </w:rPr>
        <w:noBreakHyphen/>
        <w:t xml:space="preserve">interroger N sur son témoignage à l’interrogatoire préalable, le ministère public lui a posé des questions sur son souvenir des événements.  N a affirmé : « Je me souviens d’environ 90 à 95 pour 100 de ce qui s’est passé ».  Le témoignage de N à son procès n’a pas été jugé digne de foi et N a été déclaré coupable de conduite dangereuse ayant causé des lésions corporelles.  La Cour d’appel a accueilli l’appel de N.  Elle a infirmé la décision du juge du procès, annulé la déclaration de culpabilité et ordonné la tenue d’un nouveau procès.  </w:t>
      </w:r>
    </w:p>
    <w:p w:rsidR="00883278" w:rsidRPr="00883278" w:rsidRDefault="00883278" w:rsidP="00883278">
      <w:pPr>
        <w:pStyle w:val="SCCNormalDoubleSpacing"/>
        <w:spacing w:line="240" w:lineRule="auto"/>
        <w:rPr>
          <w:i/>
          <w:sz w:val="20"/>
          <w:lang w:val="fr-CA"/>
        </w:rPr>
      </w:pPr>
    </w:p>
    <w:p w:rsidR="00883278" w:rsidRPr="00883278" w:rsidRDefault="00883278" w:rsidP="00883278">
      <w:pPr>
        <w:pStyle w:val="SCCNormalDoubleSpacing"/>
        <w:spacing w:line="240" w:lineRule="auto"/>
        <w:rPr>
          <w:sz w:val="20"/>
          <w:lang w:val="fr-CA"/>
        </w:rPr>
      </w:pPr>
      <w:r w:rsidRPr="00883278">
        <w:rPr>
          <w:i/>
          <w:sz w:val="20"/>
          <w:lang w:val="fr-CA"/>
        </w:rPr>
        <w:tab/>
        <w:t>Arrêt</w:t>
      </w:r>
      <w:r w:rsidRPr="00883278">
        <w:rPr>
          <w:sz w:val="20"/>
          <w:lang w:val="fr-CA"/>
        </w:rPr>
        <w:t xml:space="preserve"> (les juges LeBel, Fish et Cromwell sont dissidents) : Le pourvoi est accueilli, l’ordonnance prescrivant la tenue d’un nouveau procès est annulée et la déclaration de culpabilité de conduite dangereuse ayant causé des lésions corporelles est </w:t>
      </w:r>
      <w:proofErr w:type="gramStart"/>
      <w:r w:rsidRPr="00883278">
        <w:rPr>
          <w:sz w:val="20"/>
          <w:lang w:val="fr-CA"/>
        </w:rPr>
        <w:t>rétablie</w:t>
      </w:r>
      <w:proofErr w:type="gramEnd"/>
      <w:r w:rsidRPr="00883278">
        <w:rPr>
          <w:sz w:val="20"/>
          <w:lang w:val="fr-CA"/>
        </w:rPr>
        <w:t>.</w:t>
      </w:r>
    </w:p>
    <w:p w:rsidR="00883278" w:rsidRPr="00883278" w:rsidRDefault="00883278" w:rsidP="00883278">
      <w:pPr>
        <w:pStyle w:val="SCCNormalDoubleSpacing"/>
        <w:spacing w:line="240" w:lineRule="auto"/>
        <w:rPr>
          <w:sz w:val="20"/>
          <w:lang w:val="fr-CA"/>
        </w:rPr>
      </w:pPr>
      <w:r w:rsidRPr="00883278">
        <w:rPr>
          <w:sz w:val="20"/>
          <w:lang w:val="fr-CA"/>
        </w:rPr>
        <w:lastRenderedPageBreak/>
        <w:tab/>
      </w:r>
      <w:r w:rsidRPr="00883278">
        <w:rPr>
          <w:i/>
          <w:sz w:val="20"/>
          <w:lang w:val="fr-CA"/>
        </w:rPr>
        <w:t xml:space="preserve">La </w:t>
      </w:r>
      <w:r w:rsidRPr="00883278">
        <w:rPr>
          <w:sz w:val="20"/>
          <w:lang w:val="fr-CA"/>
        </w:rPr>
        <w:t xml:space="preserve">juge en chef McLachlin et les juges Deschamps, Abella, Rothstein, </w:t>
      </w:r>
      <w:r w:rsidRPr="00883278">
        <w:rPr>
          <w:b/>
          <w:sz w:val="20"/>
          <w:lang w:val="fr-CA"/>
        </w:rPr>
        <w:t>Moldaver</w:t>
      </w:r>
      <w:r w:rsidRPr="00883278">
        <w:rPr>
          <w:sz w:val="20"/>
          <w:lang w:val="fr-CA"/>
        </w:rPr>
        <w:t xml:space="preserve"> et Karatkatsanis : Même si, pour l’application de l’art. 13 de la </w:t>
      </w:r>
      <w:r w:rsidRPr="00883278">
        <w:rPr>
          <w:i/>
          <w:sz w:val="20"/>
          <w:lang w:val="fr-CA"/>
        </w:rPr>
        <w:t>Charte</w:t>
      </w:r>
      <w:r w:rsidRPr="00883278">
        <w:rPr>
          <w:sz w:val="20"/>
          <w:lang w:val="fr-CA"/>
        </w:rPr>
        <w:t>, N était un témoin contraignable en vertu de la loi et, par conséquent, un témoin forcé à l’interrogatoire préalable dans le cadre de l’action civile,</w:t>
      </w:r>
      <w:r w:rsidRPr="00883278">
        <w:rPr>
          <w:i/>
          <w:sz w:val="20"/>
          <w:lang w:val="fr-CA"/>
        </w:rPr>
        <w:t xml:space="preserve"> </w:t>
      </w:r>
      <w:r w:rsidRPr="00883278">
        <w:rPr>
          <w:sz w:val="20"/>
          <w:lang w:val="fr-CA"/>
        </w:rPr>
        <w:t>l’utilisation de son témoignage non incriminant pour attaquer sa crédibilité à son procès ne pouvait pas emporter et n’a pas emporté l’application de l’art. 13.  L’art. 13 s’applique à un témoignage incriminant, et non pas à « tout témoignage » que le témoin pourrait avoir été contraint de fournir initialement.  Un témoignage incriminant est un témoignage que le témoin a fourni lors d’une procédure initiale et que le ministère public pourrait utiliser, à supposer qu’il soit autorisé à l’utiliser, pour démontrer la culpabilité du témoin, c’est</w:t>
      </w:r>
      <w:r w:rsidRPr="00883278">
        <w:rPr>
          <w:sz w:val="20"/>
          <w:lang w:val="fr-CA"/>
        </w:rPr>
        <w:noBreakHyphen/>
        <w:t>à</w:t>
      </w:r>
      <w:r w:rsidRPr="00883278">
        <w:rPr>
          <w:sz w:val="20"/>
          <w:lang w:val="fr-CA"/>
        </w:rPr>
        <w:noBreakHyphen/>
        <w:t>dire pour prouver ou pour l’aider à prouver l’un ou plusieurs des éléments constitutifs de l’infraction reprochée au témoin lors de son procès ultérieur.  Le témoignage antérieur que le ministère public ne pourrait pas utiliser dans un procès ultérieur pour démontrer que le témoin est coupable de l’infraction qui lui est reprochée ne constitue pas un « témoignage incriminant ».</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t>La simple possibilité qu’un témoignage par ailleurs « non incriminant » devienne un témoignage « incriminant » si le ministère public prenait les mesures supplémentaires nécessaires pour qu’il le devienne ne suffit pas pour que l’art. 13 s’applique.  L’utilisation du témoignage donné par N à l’interrogatoire préalable pour attaquer sa crédibilité, sans plus, ne suffirait pas à le rendre incriminant.  Ce témoignage conserverait ses caractéristiques initiales et ne deviendrait pas un témoignage à partir duquel les juges des faits pourraient inférer la culpabilité.</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t>Certes, il se pourrait que le témoignage initial incompatible de N amène les juges des faits à rejeter son témoignage à son procès, mais le rejet du témoignage de l’accusé ne constitue pas pour autant un élément de preuve à charge — pas plus que le rejet de l’alibi d’un accusé n’en constitue un, à moins qu’une preuve indépendante ne mène à la conclusion que l’alibi a été fabriqué.</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t xml:space="preserve">Selon cette interprétation de l’art. 13, ni le témoin sincère ni le parjure n’ont à s’inquiéter de la possibilité que leur témoignage incriminant donné dans une procédure antérieure soit utilisé contre eux, à quelque fin que ce soit, dans une procédure ultérieure autrement que relativement à une accusation de parjure.  </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b/>
          <w:sz w:val="20"/>
          <w:lang w:val="fr-CA"/>
        </w:rPr>
      </w:pPr>
      <w:r w:rsidRPr="00883278">
        <w:rPr>
          <w:sz w:val="20"/>
          <w:lang w:val="fr-CA"/>
        </w:rPr>
        <w:tab/>
        <w:t>Bien que cette interprétation puisse porter atteinte à la clarté et à la prévisibilité, ne serait</w:t>
      </w:r>
      <w:r w:rsidRPr="00883278">
        <w:rPr>
          <w:sz w:val="20"/>
          <w:lang w:val="fr-CA"/>
        </w:rPr>
        <w:noBreakHyphen/>
        <w:t>ce que légèrement, la recherche de la clarté et de la prévisibilité ne saurait justifier que l’on récrive l’art. 13 pour en retrancher des mots déterminants dont la suppression modifierait le sens de cette disposition et étendrait indûment la portée de la protection qu’elle offre au</w:t>
      </w:r>
      <w:r w:rsidRPr="00883278">
        <w:rPr>
          <w:sz w:val="20"/>
          <w:lang w:val="fr-CA"/>
        </w:rPr>
        <w:noBreakHyphen/>
        <w:t>delà des fins qu’elle est censée servir.  Les juges n’auront guère de difficulté lors du procès à déterminer si un témoignage que le ministère public entend utiliser est « incriminant » selon la définition qui en a été donnée.  Le juge du procès devrait bien entendu donner au jury des directives claires sur l’utilisation qu’il pourrait faire du témoignage initial.</w:t>
      </w:r>
    </w:p>
    <w:p w:rsidR="00883278" w:rsidRPr="00883278" w:rsidRDefault="00883278" w:rsidP="00883278">
      <w:pPr>
        <w:pStyle w:val="SCCNormalDoubleSpacing"/>
        <w:spacing w:line="240" w:lineRule="auto"/>
        <w:rPr>
          <w:sz w:val="20"/>
          <w:lang w:val="fr-CA"/>
        </w:rPr>
      </w:pPr>
    </w:p>
    <w:p w:rsidR="00883278" w:rsidRPr="003854DB" w:rsidRDefault="00883278" w:rsidP="00883278">
      <w:pPr>
        <w:pStyle w:val="SCCNormalDoubleSpacing"/>
        <w:spacing w:line="240" w:lineRule="auto"/>
        <w:rPr>
          <w:sz w:val="20"/>
          <w:lang w:val="fr-FR"/>
        </w:rPr>
      </w:pPr>
      <w:r w:rsidRPr="00883278">
        <w:rPr>
          <w:sz w:val="20"/>
          <w:lang w:val="fr-CA"/>
        </w:rPr>
        <w:tab/>
        <w:t>En soi, le témoignage fourni à l’interrogatoire préalable par N n’aurait pas pu être utilisé par le ministère public pour prouver ou pour l’aider à prouver l’un ou plusieurs des éléments essentiels des infractions dont il était inculpé</w:t>
      </w:r>
      <w:r w:rsidRPr="003854DB">
        <w:rPr>
          <w:sz w:val="20"/>
          <w:lang w:val="fr-FR"/>
        </w:rPr>
        <w:t>.  I</w:t>
      </w:r>
      <w:r w:rsidRPr="00883278">
        <w:rPr>
          <w:sz w:val="20"/>
          <w:lang w:val="fr-CA"/>
        </w:rPr>
        <w:t>l se pourrait que le témoignage initial contradictoire de N amène les juges des faits à rejeter son témoignage à son procès, mais le rejet du témoignage d’un accusé ne constitue pas un élément de preuve à charge</w:t>
      </w:r>
      <w:r w:rsidRPr="003854DB">
        <w:rPr>
          <w:sz w:val="20"/>
          <w:lang w:val="fr-FR"/>
        </w:rPr>
        <w:t>.</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r>
      <w:r w:rsidRPr="00883278">
        <w:rPr>
          <w:i/>
          <w:sz w:val="20"/>
          <w:lang w:val="fr-CA"/>
        </w:rPr>
        <w:t xml:space="preserve">Les </w:t>
      </w:r>
      <w:r w:rsidRPr="00883278">
        <w:rPr>
          <w:sz w:val="20"/>
          <w:lang w:val="fr-CA"/>
        </w:rPr>
        <w:t xml:space="preserve">juges </w:t>
      </w:r>
      <w:r w:rsidRPr="00883278">
        <w:rPr>
          <w:b/>
          <w:sz w:val="20"/>
          <w:lang w:val="fr-CA"/>
        </w:rPr>
        <w:t>LeBel</w:t>
      </w:r>
      <w:r w:rsidRPr="00883278">
        <w:rPr>
          <w:sz w:val="20"/>
          <w:lang w:val="fr-CA"/>
        </w:rPr>
        <w:t xml:space="preserve">, Fish et Cromwell (dissidents) : Le droit de ne pas s’incriminer constitue un principe fondamental de notre système de justice et il est consacré dans la </w:t>
      </w:r>
      <w:r w:rsidRPr="00883278">
        <w:rPr>
          <w:i/>
          <w:sz w:val="20"/>
          <w:lang w:val="fr-CA"/>
        </w:rPr>
        <w:t>Charte canadienne des droits et libertés</w:t>
      </w:r>
      <w:r w:rsidRPr="00883278">
        <w:rPr>
          <w:sz w:val="20"/>
          <w:lang w:val="fr-CA"/>
        </w:rPr>
        <w:t>. Il est étroitement lié au droit de garder le silence face à son accusateur, à la présomption d’innocence et à la notion que le ministère public doit prouver la culpabilité hors de tout doute raisonnable sans l’aide de l’accusé.</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t xml:space="preserve">L’article 13 s’applique lorsqu’il y a </w:t>
      </w:r>
      <w:r w:rsidRPr="00883278">
        <w:rPr>
          <w:i/>
          <w:sz w:val="20"/>
          <w:lang w:val="fr-CA"/>
        </w:rPr>
        <w:t>quid pro quo</w:t>
      </w:r>
      <w:r w:rsidRPr="00883278">
        <w:rPr>
          <w:sz w:val="20"/>
          <w:lang w:val="fr-CA"/>
        </w:rPr>
        <w:t> : un témoin est contraint</w:t>
      </w:r>
      <w:r w:rsidRPr="00883278">
        <w:rPr>
          <w:i/>
          <w:sz w:val="20"/>
          <w:lang w:val="fr-CA"/>
        </w:rPr>
        <w:t xml:space="preserve"> </w:t>
      </w:r>
      <w:r w:rsidRPr="00883278">
        <w:rPr>
          <w:sz w:val="20"/>
          <w:lang w:val="fr-CA"/>
        </w:rPr>
        <w:t xml:space="preserve">de témoigner en échange de la garantie que le ministère public n’utilisera pas ce témoignage contre contre lui dans une autre instance.  L’analyse requise par l’art. 13 doit </w:t>
      </w:r>
      <w:proofErr w:type="gramStart"/>
      <w:r w:rsidRPr="00883278">
        <w:rPr>
          <w:sz w:val="20"/>
          <w:lang w:val="fr-CA"/>
        </w:rPr>
        <w:t>porter</w:t>
      </w:r>
      <w:proofErr w:type="gramEnd"/>
      <w:r w:rsidRPr="00883278">
        <w:rPr>
          <w:sz w:val="20"/>
          <w:lang w:val="fr-CA"/>
        </w:rPr>
        <w:t xml:space="preserve"> principalement sur la contrainte.  Un témoignage est forcé lorsque la loi offre un moyen de contraindre le témoin à témoigner.  Que ce moyen ait été utilisé ou non ne change pas le fait qu’il existe et qu’il aurait pu être utilisé.  Il serait contraire aux principes établis d’accorder au témoin qui offre de témoigner de son plein gré un degré de protection moindre en vertu de la </w:t>
      </w:r>
      <w:r w:rsidRPr="00883278">
        <w:rPr>
          <w:i/>
          <w:sz w:val="20"/>
          <w:lang w:val="fr-CA"/>
        </w:rPr>
        <w:t>Charte</w:t>
      </w:r>
      <w:r w:rsidRPr="00883278">
        <w:rPr>
          <w:sz w:val="20"/>
          <w:lang w:val="fr-CA"/>
        </w:rPr>
        <w:t xml:space="preserve"> qu’au témoin qui est assigné ou autrement forcé de témoigner, dans le cas où ils auraient tous les deux pu être de toute façon forcés de témoigner en application de la loi.</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t xml:space="preserve">De même, l’analyse ne doit pas porter sur la nature des déclarations.  Bien que l’art. 13 vise l’utilisation des « déclarations incriminantes » d’une personne pour « l’incriminer », scruter le témoignage d’un accusé pour </w:t>
      </w:r>
      <w:r w:rsidRPr="00883278">
        <w:rPr>
          <w:sz w:val="20"/>
          <w:lang w:val="fr-CA"/>
        </w:rPr>
        <w:lastRenderedPageBreak/>
        <w:t>différencier ses déclarations « incriminantes » de ses déclarations « inoffensives », de façon à déterminer les questions sur lesquelles pourrait porter son contre</w:t>
      </w:r>
      <w:r w:rsidRPr="00883278">
        <w:rPr>
          <w:sz w:val="20"/>
          <w:lang w:val="fr-CA"/>
        </w:rPr>
        <w:noBreakHyphen/>
        <w:t>interrogatoire, mènerait à un exercice de classification qui peut durer longtemps et donner un résultat imprévisible.  Cette distinction mène tout autant à des impasses fonctionnelles que celle qui a déjà été abolie, entre l’utilisation d’un témoignage antérieur forcé pour attaquer la crédibilité de l’accusé et son utilisation pour l’incriminer.  Il est particulièrement difficile de faire cette distinction parce que le droit de ne pas s’incriminer vise principalement les secondes procédures, la date où l’on cherche à utiliser le témoignage antérieur, plutôt que celle où il a été donné.  Tout témoignage susceptible de concourir à prouver les allégations du ministère public, y compris celui qui est utilisé pour attaquer la crédibilité de l’accusé, aura un effet incriminant et doit donc être protégé par l’art. 13.</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t xml:space="preserve">Le témoin qui ne semble pas faire une déposition honnête n’est pas privé de la protection offerte par l’art. 13.  Bien que le </w:t>
      </w:r>
      <w:r w:rsidRPr="00883278">
        <w:rPr>
          <w:i/>
          <w:sz w:val="20"/>
          <w:lang w:val="fr-CA"/>
        </w:rPr>
        <w:t>quid pro quo</w:t>
      </w:r>
      <w:r w:rsidRPr="00883278">
        <w:rPr>
          <w:sz w:val="20"/>
          <w:lang w:val="fr-CA"/>
        </w:rPr>
        <w:t xml:space="preserve"> vise à favoriser un témoignage complet et sincère, l’art. 13 </w:t>
      </w:r>
      <w:proofErr w:type="gramStart"/>
      <w:r w:rsidRPr="00883278">
        <w:rPr>
          <w:sz w:val="20"/>
          <w:lang w:val="fr-CA"/>
        </w:rPr>
        <w:t>commande</w:t>
      </w:r>
      <w:proofErr w:type="gramEnd"/>
      <w:r w:rsidRPr="00883278">
        <w:rPr>
          <w:sz w:val="20"/>
          <w:lang w:val="fr-CA"/>
        </w:rPr>
        <w:t xml:space="preserve">, dans le contexte de la pondération générale des intérêts consacrés dans la </w:t>
      </w:r>
      <w:r w:rsidRPr="00883278">
        <w:rPr>
          <w:i/>
          <w:sz w:val="20"/>
          <w:lang w:val="fr-CA"/>
        </w:rPr>
        <w:t>Charte</w:t>
      </w:r>
      <w:r w:rsidRPr="00883278">
        <w:rPr>
          <w:sz w:val="20"/>
          <w:lang w:val="fr-CA"/>
        </w:rPr>
        <w:t xml:space="preserve">, que la fonction de recherche de la vérité du procès cède le pas au droit de l’accusé de ne pas s’incriminer.  Le </w:t>
      </w:r>
      <w:r w:rsidRPr="00883278">
        <w:rPr>
          <w:i/>
          <w:sz w:val="20"/>
          <w:lang w:val="fr-CA"/>
        </w:rPr>
        <w:t>quid pro quo</w:t>
      </w:r>
      <w:r w:rsidRPr="00883278">
        <w:rPr>
          <w:sz w:val="20"/>
          <w:lang w:val="fr-CA"/>
        </w:rPr>
        <w:t xml:space="preserve"> n’est pas un « contrat » conclu avec le témoin, qui peut être annulé si le témoin ment sous serment.  Les témoignages antérieurs forcés peuvent être utilisés dans des poursuites pour parjure ou pour témoignages contradictoires.  Le dépôt d’une accusation criminelle de parjure est la mesure à prendre à l’égard de témoins qui façonnent leur preuve de manière à répondre à leurs besoins dans chaque instance, sans qu’il soit porté atteinte aux droits que la </w:t>
      </w:r>
      <w:r w:rsidRPr="00883278">
        <w:rPr>
          <w:i/>
          <w:sz w:val="20"/>
          <w:lang w:val="fr-CA"/>
        </w:rPr>
        <w:t>Charte</w:t>
      </w:r>
      <w:r w:rsidRPr="00883278">
        <w:rPr>
          <w:sz w:val="20"/>
          <w:lang w:val="fr-CA"/>
        </w:rPr>
        <w:t xml:space="preserve"> garantit à l’accusé.  Cette façon de faire maintient le respect envers l’administration de la justice, tout en préservant le droit que l’art. 13 confère à l’accusé.  Elle élimine aussi la nécessité de tenir un voir</w:t>
      </w:r>
      <w:r w:rsidRPr="00883278">
        <w:rPr>
          <w:sz w:val="20"/>
          <w:lang w:val="fr-CA"/>
        </w:rPr>
        <w:noBreakHyphen/>
        <w:t xml:space="preserve">dire qui alourdirait le processus judiciaire et rendrait la portée de l’art. 13 douteuse en théorie et incertaine en pratique, découragerait un témoignage complet et sincère et réduirait la portée de la protection dont les personnes qui ont été contraintes à témoigner bénéficiaient en vertu de l’art. 13 depuis l’arrêt </w:t>
      </w:r>
      <w:r w:rsidRPr="00883278">
        <w:rPr>
          <w:i/>
          <w:sz w:val="20"/>
          <w:lang w:val="fr-CA"/>
        </w:rPr>
        <w:t>R. c. Henry</w:t>
      </w:r>
      <w:r w:rsidRPr="00883278">
        <w:rPr>
          <w:sz w:val="20"/>
          <w:lang w:val="fr-CA"/>
        </w:rPr>
        <w:t>, 2005 CSC 76, [2005] 3 R.C.S. 609.</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t xml:space="preserve">En l’espèce, N était un témoin contraignable en vertu de la loi lors de l’interrogatoire préalable et, par conséquent, un témoin « forcé » au sens de l’arrêt </w:t>
      </w:r>
      <w:r w:rsidRPr="00883278">
        <w:rPr>
          <w:i/>
          <w:sz w:val="20"/>
          <w:lang w:val="fr-CA"/>
        </w:rPr>
        <w:t>Henry</w:t>
      </w:r>
      <w:r w:rsidRPr="00883278">
        <w:rPr>
          <w:sz w:val="20"/>
          <w:lang w:val="fr-CA"/>
        </w:rPr>
        <w:t xml:space="preserve"> et pour l’application de l’art. 13.  Le fait qu’il a librement décidé de se soumettre à l’interrogatoire préalable n’est pas pertinent, parce que le par. 31.04(2) des </w:t>
      </w:r>
      <w:r w:rsidRPr="00883278">
        <w:rPr>
          <w:i/>
          <w:sz w:val="20"/>
          <w:lang w:val="fr-CA"/>
        </w:rPr>
        <w:t xml:space="preserve">Règles de procédure civile </w:t>
      </w:r>
      <w:r w:rsidRPr="00883278">
        <w:rPr>
          <w:sz w:val="20"/>
          <w:lang w:val="fr-CA"/>
        </w:rPr>
        <w:t>de l’Ontario contraint le défendeur dans une affaire civile à subir un interrogatoire préalable.  Le défaut de déposer une défense n’aurait pas permis à N d’éviter de s’assujettir aux règles procédurales au terme desquelles il serait contraint de témoigner, de sorte qu’il n’est pas pertinent de savoir s’il a effectivement été constaté en défaut.  Malgré les incompatibilités plutôt flagrantes dans le témoignage de N, l’art. 13 veut que la fonction de recherche de la vérité du procès criminel cède le pas à son droit de ne pas s’incriminer.</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sz w:val="20"/>
          <w:lang w:val="fr-CA"/>
        </w:rPr>
      </w:pPr>
      <w:r w:rsidRPr="00883278">
        <w:rPr>
          <w:sz w:val="20"/>
          <w:lang w:val="fr-CA"/>
        </w:rPr>
        <w:tab/>
        <w:t>POURVOI contre un arrêt de la Cour d’appel de l’Ontario (les juges Weiler, MacPherson et Armstrong), 2011 ONCA 143, 276 O.A.C. 106, 269 C.C.C. (3d) 1, 83 C.R. (6th) 41, 227 C.R.R. (2d) 364, 7 M.V.R. (6th) 10, 5 C.P.C. (7th) 16, [2011] O.J. No. 795 (QL), 2011 CarswellOnt 1090, qui a annulé la déclaration de culpabilité de conduite dangereuse causant des lésions corporelles inscrite par le juge O’Connor, 60 M.V.R. (5th) 186, 2007 CanLII 54970, [2007] O.J. No. 4906 (QL), 2007 CarswellOnt 8205, et ordonné la tenue d’un nouveau procès.  Pourvoi accueilli, les juges LeBel, Fish et Cromwell sont dissidents.</w:t>
      </w:r>
    </w:p>
    <w:p w:rsidR="00883278" w:rsidRPr="00883278" w:rsidRDefault="00883278" w:rsidP="00883278">
      <w:pPr>
        <w:pStyle w:val="SCCNormalDoubleSpacing"/>
        <w:spacing w:line="240" w:lineRule="auto"/>
        <w:rPr>
          <w:i/>
          <w:sz w:val="20"/>
          <w:lang w:val="fr-CA"/>
        </w:rPr>
      </w:pPr>
    </w:p>
    <w:p w:rsidR="00883278" w:rsidRPr="00883278" w:rsidRDefault="00883278" w:rsidP="00883278">
      <w:pPr>
        <w:pStyle w:val="SCCNormalDoubleSpacing"/>
        <w:spacing w:line="240" w:lineRule="auto"/>
        <w:rPr>
          <w:sz w:val="20"/>
          <w:lang w:val="fr-CA"/>
        </w:rPr>
      </w:pPr>
      <w:r w:rsidRPr="00883278">
        <w:rPr>
          <w:i/>
          <w:sz w:val="20"/>
          <w:lang w:val="fr-CA"/>
        </w:rPr>
        <w:tab/>
        <w:t>Michal Fairburn</w:t>
      </w:r>
      <w:r w:rsidRPr="00883278">
        <w:rPr>
          <w:sz w:val="20"/>
          <w:lang w:val="fr-CA"/>
        </w:rPr>
        <w:t xml:space="preserve"> et </w:t>
      </w:r>
      <w:r w:rsidRPr="00883278">
        <w:rPr>
          <w:i/>
          <w:sz w:val="20"/>
          <w:lang w:val="fr-CA"/>
        </w:rPr>
        <w:t>Randy Schwartz</w:t>
      </w:r>
      <w:r w:rsidRPr="00883278">
        <w:rPr>
          <w:sz w:val="20"/>
          <w:lang w:val="fr-CA"/>
        </w:rPr>
        <w:t>, pour l’appelante.</w:t>
      </w:r>
    </w:p>
    <w:p w:rsidR="00883278" w:rsidRPr="00883278" w:rsidRDefault="00883278" w:rsidP="00883278">
      <w:pPr>
        <w:pStyle w:val="SCCNormalDoubleSpacing"/>
        <w:spacing w:line="240" w:lineRule="auto"/>
        <w:rPr>
          <w:i/>
          <w:sz w:val="20"/>
          <w:lang w:val="fr-CA"/>
        </w:rPr>
      </w:pPr>
    </w:p>
    <w:p w:rsidR="00883278" w:rsidRPr="00883278" w:rsidRDefault="00883278" w:rsidP="00883278">
      <w:pPr>
        <w:pStyle w:val="SCCNormalDoubleSpacing"/>
        <w:spacing w:line="240" w:lineRule="auto"/>
        <w:rPr>
          <w:sz w:val="20"/>
          <w:lang w:val="fr-CA"/>
        </w:rPr>
      </w:pPr>
      <w:r w:rsidRPr="00883278">
        <w:rPr>
          <w:i/>
          <w:sz w:val="20"/>
          <w:lang w:val="fr-CA"/>
        </w:rPr>
        <w:tab/>
        <w:t>P. Andras Schreck</w:t>
      </w:r>
      <w:r w:rsidRPr="00883278">
        <w:rPr>
          <w:sz w:val="20"/>
          <w:lang w:val="fr-CA"/>
        </w:rPr>
        <w:t xml:space="preserve"> et </w:t>
      </w:r>
      <w:r w:rsidRPr="00883278">
        <w:rPr>
          <w:i/>
          <w:sz w:val="20"/>
          <w:lang w:val="fr-CA"/>
        </w:rPr>
        <w:t>Candice Suter</w:t>
      </w:r>
      <w:r w:rsidRPr="00883278">
        <w:rPr>
          <w:sz w:val="20"/>
          <w:lang w:val="fr-CA"/>
        </w:rPr>
        <w:t>, pour l’intimé.</w:t>
      </w:r>
    </w:p>
    <w:p w:rsidR="00883278" w:rsidRPr="00883278" w:rsidRDefault="00883278" w:rsidP="00883278">
      <w:pPr>
        <w:pStyle w:val="SCCNormalDoubleSpacing"/>
        <w:spacing w:line="240" w:lineRule="auto"/>
        <w:rPr>
          <w:i/>
          <w:sz w:val="20"/>
          <w:lang w:val="fr-CA"/>
        </w:rPr>
      </w:pPr>
    </w:p>
    <w:p w:rsidR="00883278" w:rsidRPr="00883278" w:rsidRDefault="00883278" w:rsidP="00883278">
      <w:pPr>
        <w:pStyle w:val="SCCNormalDoubleSpacing"/>
        <w:spacing w:line="240" w:lineRule="auto"/>
        <w:rPr>
          <w:sz w:val="20"/>
          <w:lang w:val="fr-CA"/>
        </w:rPr>
      </w:pPr>
      <w:r w:rsidRPr="00883278">
        <w:rPr>
          <w:i/>
          <w:sz w:val="20"/>
          <w:lang w:val="fr-CA"/>
        </w:rPr>
        <w:tab/>
        <w:t>Sylvain Leboeuf</w:t>
      </w:r>
      <w:r w:rsidRPr="00883278">
        <w:rPr>
          <w:sz w:val="20"/>
          <w:lang w:val="fr-CA"/>
        </w:rPr>
        <w:t xml:space="preserve"> et </w:t>
      </w:r>
      <w:r w:rsidRPr="00883278">
        <w:rPr>
          <w:i/>
          <w:sz w:val="20"/>
          <w:lang w:val="fr-CA"/>
        </w:rPr>
        <w:t>Gilles Laporte</w:t>
      </w:r>
      <w:r w:rsidRPr="00883278">
        <w:rPr>
          <w:sz w:val="20"/>
          <w:lang w:val="fr-CA"/>
        </w:rPr>
        <w:t>, pour l’intervenant le procureur général du Québec.</w:t>
      </w:r>
    </w:p>
    <w:p w:rsidR="00883278" w:rsidRPr="00883278" w:rsidRDefault="00883278" w:rsidP="00883278">
      <w:pPr>
        <w:pStyle w:val="SCCNormalDoubleSpacing"/>
        <w:spacing w:line="240" w:lineRule="auto"/>
        <w:rPr>
          <w:i/>
          <w:sz w:val="20"/>
          <w:lang w:val="fr-CA"/>
        </w:rPr>
      </w:pPr>
    </w:p>
    <w:p w:rsidR="00883278" w:rsidRPr="00883278" w:rsidRDefault="00883278" w:rsidP="00883278">
      <w:pPr>
        <w:pStyle w:val="SCCNormalDoubleSpacing"/>
        <w:spacing w:line="240" w:lineRule="auto"/>
        <w:rPr>
          <w:sz w:val="20"/>
          <w:lang w:val="fr-CA"/>
        </w:rPr>
      </w:pPr>
      <w:r w:rsidRPr="00883278">
        <w:rPr>
          <w:i/>
          <w:sz w:val="20"/>
          <w:lang w:val="fr-CA"/>
        </w:rPr>
        <w:tab/>
        <w:t>Barbara A. McIsaac, c.r.</w:t>
      </w:r>
      <w:r w:rsidRPr="00883278">
        <w:rPr>
          <w:sz w:val="20"/>
          <w:lang w:val="fr-CA"/>
        </w:rPr>
        <w:t xml:space="preserve">, </w:t>
      </w:r>
      <w:r w:rsidRPr="00883278">
        <w:rPr>
          <w:i/>
          <w:sz w:val="20"/>
          <w:lang w:val="fr-CA"/>
        </w:rPr>
        <w:t>Jacquie El</w:t>
      </w:r>
      <w:r w:rsidRPr="00883278">
        <w:rPr>
          <w:i/>
          <w:sz w:val="20"/>
          <w:lang w:val="fr-CA"/>
        </w:rPr>
        <w:noBreakHyphen/>
        <w:t>Chammas</w:t>
      </w:r>
      <w:r w:rsidRPr="00883278">
        <w:rPr>
          <w:sz w:val="20"/>
          <w:lang w:val="fr-CA"/>
        </w:rPr>
        <w:t xml:space="preserve"> et </w:t>
      </w:r>
      <w:r w:rsidRPr="00883278">
        <w:rPr>
          <w:i/>
          <w:sz w:val="20"/>
          <w:lang w:val="fr-CA"/>
        </w:rPr>
        <w:t>Frank Addario</w:t>
      </w:r>
      <w:r w:rsidRPr="00883278">
        <w:rPr>
          <w:sz w:val="20"/>
          <w:lang w:val="fr-CA"/>
        </w:rPr>
        <w:t>, pour l’intervenante Advocates’ Society.</w:t>
      </w:r>
    </w:p>
    <w:p w:rsidR="00883278" w:rsidRPr="00883278" w:rsidRDefault="00883278" w:rsidP="00883278">
      <w:pPr>
        <w:pStyle w:val="SCCNormalDoubleSpacing"/>
        <w:spacing w:line="240" w:lineRule="auto"/>
        <w:rPr>
          <w:i/>
          <w:sz w:val="20"/>
          <w:lang w:val="fr-CA"/>
        </w:rPr>
      </w:pPr>
    </w:p>
    <w:p w:rsidR="00883278" w:rsidRPr="00883278" w:rsidRDefault="00883278" w:rsidP="00883278">
      <w:pPr>
        <w:pStyle w:val="SCCNormalDoubleSpacing"/>
        <w:spacing w:line="240" w:lineRule="auto"/>
        <w:rPr>
          <w:sz w:val="20"/>
          <w:lang w:val="fr-CA"/>
        </w:rPr>
      </w:pPr>
      <w:r w:rsidRPr="00883278">
        <w:rPr>
          <w:i/>
          <w:sz w:val="20"/>
          <w:lang w:val="fr-CA"/>
        </w:rPr>
        <w:tab/>
        <w:t>Scott C. Hutchison</w:t>
      </w:r>
      <w:r w:rsidRPr="00883278">
        <w:rPr>
          <w:sz w:val="20"/>
          <w:lang w:val="fr-CA"/>
        </w:rPr>
        <w:t xml:space="preserve"> et </w:t>
      </w:r>
      <w:r w:rsidRPr="00883278">
        <w:rPr>
          <w:i/>
          <w:sz w:val="20"/>
          <w:lang w:val="fr-CA"/>
        </w:rPr>
        <w:t>Edward Marrocco</w:t>
      </w:r>
      <w:r w:rsidRPr="00883278">
        <w:rPr>
          <w:sz w:val="20"/>
          <w:lang w:val="fr-CA"/>
        </w:rPr>
        <w:t>, pour l’intervenante Criminal Lawyers’ Association (Ontario).</w:t>
      </w:r>
    </w:p>
    <w:p w:rsidR="00883278" w:rsidRPr="00883278" w:rsidRDefault="00883278" w:rsidP="00883278">
      <w:pPr>
        <w:pStyle w:val="SCCNormalDoubleSpacing"/>
        <w:spacing w:line="240" w:lineRule="auto"/>
        <w:rPr>
          <w:sz w:val="20"/>
          <w:lang w:val="fr-CA"/>
        </w:rPr>
      </w:pPr>
    </w:p>
    <w:p w:rsidR="00883278" w:rsidRPr="00883278" w:rsidRDefault="00883278" w:rsidP="00883278">
      <w:pPr>
        <w:pStyle w:val="SCCNormalDoubleSpacing"/>
        <w:spacing w:line="240" w:lineRule="auto"/>
        <w:rPr>
          <w:i/>
          <w:sz w:val="20"/>
          <w:lang w:val="fr-CA"/>
        </w:rPr>
      </w:pPr>
      <w:r w:rsidRPr="00883278">
        <w:rPr>
          <w:sz w:val="20"/>
          <w:lang w:val="fr-CA"/>
        </w:rPr>
        <w:tab/>
      </w:r>
      <w:r w:rsidRPr="00883278">
        <w:rPr>
          <w:i/>
          <w:sz w:val="20"/>
          <w:lang w:val="fr-CA"/>
        </w:rPr>
        <w:t>Procureur de l’appelante : Procureur général de l’Ontario, Toronto.</w:t>
      </w:r>
    </w:p>
    <w:p w:rsidR="00883278" w:rsidRPr="00883278" w:rsidRDefault="00883278" w:rsidP="00883278">
      <w:pPr>
        <w:pStyle w:val="SCCNormalDoubleSpacing"/>
        <w:spacing w:line="240" w:lineRule="auto"/>
        <w:rPr>
          <w:i/>
          <w:sz w:val="20"/>
          <w:lang w:val="fr-CA"/>
        </w:rPr>
      </w:pPr>
    </w:p>
    <w:p w:rsidR="00883278" w:rsidRPr="00883278" w:rsidRDefault="00883278" w:rsidP="00883278">
      <w:pPr>
        <w:pStyle w:val="SCCNormalDoubleSpacing"/>
        <w:spacing w:line="240" w:lineRule="auto"/>
        <w:rPr>
          <w:i/>
          <w:sz w:val="20"/>
          <w:lang w:val="fr-CA"/>
        </w:rPr>
      </w:pPr>
      <w:r w:rsidRPr="00883278">
        <w:rPr>
          <w:i/>
          <w:sz w:val="20"/>
          <w:lang w:val="fr-CA"/>
        </w:rPr>
        <w:tab/>
        <w:t>Procureurs de l’intimé : Schreck Presser, Toronto.</w:t>
      </w:r>
    </w:p>
    <w:p w:rsidR="00781F72" w:rsidRDefault="00781F72">
      <w:pPr>
        <w:rPr>
          <w:rFonts w:eastAsia="Times New Roman" w:cs="Times New Roman"/>
          <w:i/>
          <w:sz w:val="20"/>
          <w:szCs w:val="20"/>
          <w:lang w:val="fr-CA" w:eastAsia="en-CA"/>
        </w:rPr>
      </w:pPr>
      <w:r>
        <w:rPr>
          <w:i/>
          <w:sz w:val="20"/>
          <w:lang w:val="fr-CA"/>
        </w:rPr>
        <w:br w:type="page"/>
      </w:r>
    </w:p>
    <w:p w:rsidR="00883278" w:rsidRPr="00883278" w:rsidRDefault="00883278" w:rsidP="00883278">
      <w:pPr>
        <w:pStyle w:val="SCCNormalDoubleSpacing"/>
        <w:spacing w:line="240" w:lineRule="auto"/>
        <w:rPr>
          <w:i/>
          <w:sz w:val="20"/>
          <w:lang w:val="fr-CA"/>
        </w:rPr>
      </w:pPr>
      <w:r w:rsidRPr="00883278">
        <w:rPr>
          <w:i/>
          <w:sz w:val="20"/>
          <w:lang w:val="fr-CA"/>
        </w:rPr>
        <w:lastRenderedPageBreak/>
        <w:tab/>
        <w:t>Procureur de l’intervenant le procureur général du Québec : Procureur général du Québec, Québec.</w:t>
      </w:r>
    </w:p>
    <w:p w:rsidR="00883278" w:rsidRPr="00883278" w:rsidRDefault="00883278" w:rsidP="00883278">
      <w:pPr>
        <w:pStyle w:val="SCCNormalDoubleSpacing"/>
        <w:spacing w:line="240" w:lineRule="auto"/>
        <w:rPr>
          <w:i/>
          <w:sz w:val="20"/>
          <w:lang w:val="fr-CA"/>
        </w:rPr>
      </w:pPr>
    </w:p>
    <w:p w:rsidR="00883278" w:rsidRPr="003854DB" w:rsidRDefault="00883278" w:rsidP="00883278">
      <w:pPr>
        <w:pStyle w:val="SCCNormalDoubleSpacing"/>
        <w:spacing w:line="240" w:lineRule="auto"/>
        <w:rPr>
          <w:i/>
          <w:sz w:val="20"/>
          <w:lang w:val="en-US"/>
        </w:rPr>
      </w:pPr>
      <w:r w:rsidRPr="00883278">
        <w:rPr>
          <w:i/>
          <w:sz w:val="20"/>
          <w:lang w:val="fr-CA"/>
        </w:rPr>
        <w:tab/>
      </w:r>
      <w:r w:rsidRPr="003854DB">
        <w:rPr>
          <w:i/>
          <w:sz w:val="20"/>
          <w:lang w:val="en-US"/>
        </w:rPr>
        <w:t xml:space="preserve">Procureurs de l’intervenante Advocates’ </w:t>
      </w:r>
      <w:proofErr w:type="gramStart"/>
      <w:r w:rsidRPr="003854DB">
        <w:rPr>
          <w:i/>
          <w:sz w:val="20"/>
          <w:lang w:val="en-US"/>
        </w:rPr>
        <w:t>Society :</w:t>
      </w:r>
      <w:proofErr w:type="gramEnd"/>
      <w:r w:rsidRPr="003854DB">
        <w:rPr>
          <w:i/>
          <w:sz w:val="20"/>
          <w:lang w:val="en-US"/>
        </w:rPr>
        <w:t> Borden Ladner Gervais, Ottawa; Sack Goldblatt Mitchell, Toronto.</w:t>
      </w:r>
    </w:p>
    <w:p w:rsidR="00883278" w:rsidRDefault="00883278" w:rsidP="00883278">
      <w:pPr>
        <w:pStyle w:val="SCCNormalDoubleSpacing"/>
        <w:spacing w:line="240" w:lineRule="auto"/>
        <w:rPr>
          <w:i/>
          <w:sz w:val="20"/>
          <w:lang w:val="en-US"/>
        </w:rPr>
      </w:pPr>
    </w:p>
    <w:p w:rsidR="00883278" w:rsidRDefault="00883278" w:rsidP="00883278">
      <w:pPr>
        <w:pStyle w:val="SCCNormalDoubleSpacing"/>
        <w:spacing w:line="240" w:lineRule="auto"/>
        <w:rPr>
          <w:i/>
          <w:sz w:val="20"/>
        </w:rPr>
      </w:pPr>
      <w:r w:rsidRPr="003854DB">
        <w:rPr>
          <w:i/>
          <w:sz w:val="20"/>
          <w:lang w:val="en-US"/>
        </w:rPr>
        <w:tab/>
      </w:r>
      <w:r w:rsidRPr="003854DB">
        <w:rPr>
          <w:i/>
          <w:sz w:val="20"/>
        </w:rPr>
        <w:t>Procureurs de l’intervenante Criminal Lawyers’ Association (Ontario</w:t>
      </w:r>
      <w:proofErr w:type="gramStart"/>
      <w:r w:rsidRPr="003854DB">
        <w:rPr>
          <w:i/>
          <w:sz w:val="20"/>
        </w:rPr>
        <w:t>) :</w:t>
      </w:r>
      <w:proofErr w:type="gramEnd"/>
      <w:r w:rsidRPr="003854DB">
        <w:rPr>
          <w:i/>
          <w:sz w:val="20"/>
        </w:rPr>
        <w:t> Stockwoods, Toronto.</w:t>
      </w:r>
    </w:p>
    <w:p w:rsidR="00883278" w:rsidRDefault="00883278" w:rsidP="005C6840">
      <w:pPr>
        <w:jc w:val="both"/>
        <w:rPr>
          <w:rFonts w:cs="Times New Roman"/>
          <w:sz w:val="20"/>
          <w:szCs w:val="20"/>
          <w:lang w:val="fr-CA"/>
        </w:rPr>
      </w:pPr>
    </w:p>
    <w:p w:rsidR="005C6840" w:rsidRDefault="00BF3B03" w:rsidP="005C6840">
      <w:pPr>
        <w:rPr>
          <w:lang w:val="fr-CA"/>
        </w:rPr>
      </w:pPr>
      <w:r w:rsidRPr="00BF3B03">
        <w:rPr>
          <w:rFonts w:cs="Times New Roman"/>
          <w:sz w:val="20"/>
          <w:szCs w:val="20"/>
          <w:lang w:val="fr-CA"/>
        </w:rPr>
        <w:pict>
          <v:rect id="_x0000_i1107" style="width:144.3pt;height:1pt" o:hrpct="300" o:hralign="center" o:hrstd="t" o:hrnoshade="t" o:hr="t" fillcolor="black [3213]" stroked="f"/>
        </w:pict>
      </w:r>
      <w:r w:rsidR="005C6840">
        <w:rPr>
          <w:lang w:val="fr-CA"/>
        </w:rPr>
        <w:br w:type="page"/>
      </w:r>
    </w:p>
    <w:p w:rsidR="003C2DDC" w:rsidRPr="00BA3178" w:rsidRDefault="003C2DDC" w:rsidP="003C2DDC">
      <w:pPr>
        <w:jc w:val="both"/>
        <w:rPr>
          <w:rFonts w:eastAsia="Calibri" w:cs="Times New Roman"/>
          <w:sz w:val="20"/>
          <w:szCs w:val="20"/>
        </w:rPr>
      </w:pPr>
      <w:r w:rsidRPr="00BA3178">
        <w:rPr>
          <w:rFonts w:eastAsia="Calibri" w:cs="Times New Roman"/>
          <w:i/>
          <w:sz w:val="20"/>
          <w:szCs w:val="20"/>
        </w:rPr>
        <w:lastRenderedPageBreak/>
        <w:t xml:space="preserve">Teva Canada Limited v. Pfizer Canada Inc. et al. </w:t>
      </w:r>
      <w:r w:rsidRPr="00BA3178">
        <w:rPr>
          <w:rFonts w:eastAsia="Calibri" w:cs="Times New Roman"/>
          <w:sz w:val="20"/>
          <w:szCs w:val="20"/>
        </w:rPr>
        <w:t>(F.C.) (33951)</w:t>
      </w:r>
    </w:p>
    <w:p w:rsidR="005C4AB1" w:rsidRPr="00FE0EE9" w:rsidRDefault="005C4AB1" w:rsidP="005C4AB1">
      <w:pPr>
        <w:jc w:val="both"/>
        <w:rPr>
          <w:b/>
          <w:sz w:val="20"/>
          <w:szCs w:val="20"/>
          <w:lang w:val="fr-CA"/>
        </w:rPr>
      </w:pPr>
      <w:r w:rsidRPr="006E0A31">
        <w:rPr>
          <w:b/>
          <w:sz w:val="20"/>
          <w:szCs w:val="20"/>
        </w:rPr>
        <w:t xml:space="preserve">Indexed as:  Teva Canada Ltd. </w:t>
      </w:r>
      <w:r w:rsidRPr="006E0A31">
        <w:rPr>
          <w:b/>
          <w:i/>
          <w:sz w:val="20"/>
          <w:szCs w:val="20"/>
        </w:rPr>
        <w:t>v.</w:t>
      </w:r>
      <w:r w:rsidRPr="006E0A31">
        <w:rPr>
          <w:b/>
          <w:sz w:val="20"/>
          <w:szCs w:val="20"/>
        </w:rPr>
        <w:t xml:space="preserve"> Pfizer Canada Inc.</w:t>
      </w:r>
      <w:r>
        <w:rPr>
          <w:b/>
          <w:sz w:val="20"/>
          <w:szCs w:val="20"/>
        </w:rPr>
        <w:t xml:space="preserve"> </w:t>
      </w:r>
      <w:proofErr w:type="gramStart"/>
      <w:r w:rsidRPr="00FE0EE9">
        <w:rPr>
          <w:b/>
          <w:sz w:val="20"/>
          <w:szCs w:val="20"/>
          <w:lang w:val="fr-CA"/>
        </w:rPr>
        <w:t>Répertorié :</w:t>
      </w:r>
      <w:proofErr w:type="gramEnd"/>
      <w:r w:rsidRPr="00FE0EE9">
        <w:rPr>
          <w:b/>
          <w:sz w:val="20"/>
          <w:szCs w:val="20"/>
          <w:lang w:val="fr-CA"/>
        </w:rPr>
        <w:t xml:space="preserve"> Teva Canada Ltée </w:t>
      </w:r>
      <w:r w:rsidRPr="00FE0EE9">
        <w:rPr>
          <w:b/>
          <w:i/>
          <w:sz w:val="20"/>
          <w:szCs w:val="20"/>
          <w:lang w:val="fr-CA"/>
        </w:rPr>
        <w:t>c.</w:t>
      </w:r>
      <w:r w:rsidRPr="00FE0EE9">
        <w:rPr>
          <w:b/>
          <w:sz w:val="20"/>
          <w:szCs w:val="20"/>
          <w:lang w:val="fr-CA"/>
        </w:rPr>
        <w:t xml:space="preserve"> Pfizer Canada inc.</w:t>
      </w:r>
    </w:p>
    <w:p w:rsidR="005C6840" w:rsidRPr="00256147" w:rsidRDefault="005C6840" w:rsidP="005C6840">
      <w:pPr>
        <w:pStyle w:val="SCCSystemYear"/>
        <w:jc w:val="both"/>
        <w:rPr>
          <w:sz w:val="20"/>
        </w:rPr>
      </w:pPr>
      <w:r w:rsidRPr="00256147">
        <w:rPr>
          <w:sz w:val="20"/>
        </w:rPr>
        <w:t>Neutral citation</w:t>
      </w:r>
      <w:proofErr w:type="gramStart"/>
      <w:r w:rsidRPr="00256147">
        <w:rPr>
          <w:sz w:val="20"/>
        </w:rPr>
        <w:t>:  201</w:t>
      </w:r>
      <w:r w:rsidR="004E1E0A" w:rsidRPr="00256147">
        <w:rPr>
          <w:sz w:val="20"/>
        </w:rPr>
        <w:t>2</w:t>
      </w:r>
      <w:proofErr w:type="gramEnd"/>
      <w:r w:rsidRPr="00256147">
        <w:rPr>
          <w:sz w:val="20"/>
        </w:rPr>
        <w:t xml:space="preserve"> SCC </w:t>
      </w:r>
      <w:r w:rsidR="003957EF" w:rsidRPr="00256147">
        <w:rPr>
          <w:sz w:val="20"/>
        </w:rPr>
        <w:t>60</w:t>
      </w:r>
      <w:r w:rsidRPr="00256147">
        <w:rPr>
          <w:sz w:val="20"/>
        </w:rPr>
        <w:t xml:space="preserve"> / Référence neutre : 201</w:t>
      </w:r>
      <w:r w:rsidR="004E1E0A" w:rsidRPr="00256147">
        <w:rPr>
          <w:sz w:val="20"/>
        </w:rPr>
        <w:t>2</w:t>
      </w:r>
      <w:r w:rsidRPr="00256147">
        <w:rPr>
          <w:sz w:val="20"/>
        </w:rPr>
        <w:t xml:space="preserve"> CSC </w:t>
      </w:r>
      <w:r w:rsidR="003957EF" w:rsidRPr="00256147">
        <w:rPr>
          <w:sz w:val="20"/>
        </w:rPr>
        <w:t>60</w:t>
      </w:r>
    </w:p>
    <w:p w:rsidR="005C6840" w:rsidRPr="003C4E56" w:rsidRDefault="005C6840" w:rsidP="005C6840">
      <w:pPr>
        <w:rPr>
          <w:sz w:val="20"/>
          <w:szCs w:val="20"/>
          <w:lang w:val="fr-CA"/>
        </w:rPr>
      </w:pPr>
      <w:r w:rsidRPr="003C4E56">
        <w:rPr>
          <w:sz w:val="20"/>
          <w:szCs w:val="20"/>
          <w:lang w:val="fr-CA"/>
        </w:rPr>
        <w:t>Hearing</w:t>
      </w:r>
      <w:proofErr w:type="gramStart"/>
      <w:r w:rsidRPr="003C4E56">
        <w:rPr>
          <w:sz w:val="20"/>
          <w:szCs w:val="20"/>
          <w:lang w:val="fr-CA"/>
        </w:rPr>
        <w:t xml:space="preserve">:  </w:t>
      </w:r>
      <w:r w:rsidR="005C4AB1">
        <w:rPr>
          <w:sz w:val="20"/>
          <w:szCs w:val="20"/>
          <w:lang w:val="fr-CA"/>
        </w:rPr>
        <w:t>April</w:t>
      </w:r>
      <w:proofErr w:type="gramEnd"/>
      <w:r w:rsidR="005C4AB1">
        <w:rPr>
          <w:sz w:val="20"/>
          <w:szCs w:val="20"/>
          <w:lang w:val="fr-CA"/>
        </w:rPr>
        <w:t xml:space="preserve"> </w:t>
      </w:r>
      <w:r w:rsidRPr="003C4E56">
        <w:rPr>
          <w:sz w:val="20"/>
          <w:szCs w:val="20"/>
          <w:lang w:val="fr-CA"/>
        </w:rPr>
        <w:t>1</w:t>
      </w:r>
      <w:r w:rsidR="005C4AB1">
        <w:rPr>
          <w:sz w:val="20"/>
          <w:szCs w:val="20"/>
          <w:lang w:val="fr-CA"/>
        </w:rPr>
        <w:t>8</w:t>
      </w:r>
      <w:r w:rsidRPr="003C4E56">
        <w:rPr>
          <w:sz w:val="20"/>
          <w:szCs w:val="20"/>
          <w:lang w:val="fr-CA"/>
        </w:rPr>
        <w:t>, 201</w:t>
      </w:r>
      <w:r w:rsidR="005C4AB1">
        <w:rPr>
          <w:sz w:val="20"/>
          <w:szCs w:val="20"/>
          <w:lang w:val="fr-CA"/>
        </w:rPr>
        <w:t>2</w:t>
      </w:r>
      <w:r w:rsidRPr="003C4E56">
        <w:rPr>
          <w:sz w:val="20"/>
          <w:szCs w:val="20"/>
          <w:lang w:val="fr-CA"/>
        </w:rPr>
        <w:t xml:space="preserve"> / Judgment:  </w:t>
      </w:r>
      <w:r w:rsidR="00256147" w:rsidRPr="003C4E56">
        <w:rPr>
          <w:sz w:val="20"/>
          <w:szCs w:val="20"/>
          <w:lang w:val="fr-CA"/>
        </w:rPr>
        <w:t>Novemb</w:t>
      </w:r>
      <w:r w:rsidRPr="003C4E56">
        <w:rPr>
          <w:sz w:val="20"/>
          <w:szCs w:val="20"/>
          <w:lang w:val="fr-CA"/>
        </w:rPr>
        <w:t>er 8, 201</w:t>
      </w:r>
      <w:r w:rsidR="004E1E0A" w:rsidRPr="003C4E56">
        <w:rPr>
          <w:sz w:val="20"/>
          <w:szCs w:val="20"/>
          <w:lang w:val="fr-CA"/>
        </w:rPr>
        <w:t>2</w:t>
      </w:r>
    </w:p>
    <w:p w:rsidR="005C6840" w:rsidRPr="003B3977" w:rsidRDefault="005C6840" w:rsidP="005C6840">
      <w:pPr>
        <w:rPr>
          <w:sz w:val="20"/>
          <w:szCs w:val="20"/>
          <w:lang w:val="fr-CA"/>
        </w:rPr>
      </w:pPr>
      <w:r w:rsidRPr="003B3977">
        <w:rPr>
          <w:sz w:val="20"/>
          <w:szCs w:val="20"/>
          <w:lang w:val="fr-CA"/>
        </w:rPr>
        <w:t>Audition : Le 1</w:t>
      </w:r>
      <w:r w:rsidR="005C4AB1">
        <w:rPr>
          <w:sz w:val="20"/>
          <w:szCs w:val="20"/>
          <w:lang w:val="fr-CA"/>
        </w:rPr>
        <w:t>8</w:t>
      </w:r>
      <w:r w:rsidRPr="003B3977">
        <w:rPr>
          <w:sz w:val="20"/>
          <w:szCs w:val="20"/>
          <w:lang w:val="fr-CA"/>
        </w:rPr>
        <w:t xml:space="preserve"> a</w:t>
      </w:r>
      <w:r w:rsidR="005C4AB1">
        <w:rPr>
          <w:sz w:val="20"/>
          <w:szCs w:val="20"/>
          <w:lang w:val="fr-CA"/>
        </w:rPr>
        <w:t>vr</w:t>
      </w:r>
      <w:r w:rsidRPr="003B3977">
        <w:rPr>
          <w:sz w:val="20"/>
          <w:szCs w:val="20"/>
          <w:lang w:val="fr-CA"/>
        </w:rPr>
        <w:t>i</w:t>
      </w:r>
      <w:r w:rsidR="005C4AB1">
        <w:rPr>
          <w:sz w:val="20"/>
          <w:szCs w:val="20"/>
          <w:lang w:val="fr-CA"/>
        </w:rPr>
        <w:t>l</w:t>
      </w:r>
      <w:r w:rsidRPr="003B3977">
        <w:rPr>
          <w:sz w:val="20"/>
          <w:szCs w:val="20"/>
          <w:lang w:val="fr-CA"/>
        </w:rPr>
        <w:t xml:space="preserve"> 201</w:t>
      </w:r>
      <w:r w:rsidR="005C4AB1">
        <w:rPr>
          <w:sz w:val="20"/>
          <w:szCs w:val="20"/>
          <w:lang w:val="fr-CA"/>
        </w:rPr>
        <w:t>2</w:t>
      </w:r>
      <w:r w:rsidRPr="003B3977">
        <w:rPr>
          <w:sz w:val="20"/>
          <w:szCs w:val="20"/>
          <w:lang w:val="fr-CA"/>
        </w:rPr>
        <w:t xml:space="preserve"> / Jugement : Le 8 </w:t>
      </w:r>
      <w:r w:rsidR="00256147">
        <w:rPr>
          <w:sz w:val="20"/>
          <w:szCs w:val="20"/>
          <w:lang w:val="fr-CA"/>
        </w:rPr>
        <w:t>novem</w:t>
      </w:r>
      <w:r w:rsidRPr="003B3977">
        <w:rPr>
          <w:sz w:val="20"/>
          <w:szCs w:val="20"/>
          <w:lang w:val="fr-CA"/>
        </w:rPr>
        <w:t>bre 201</w:t>
      </w:r>
      <w:r w:rsidR="004E1E0A">
        <w:rPr>
          <w:sz w:val="20"/>
          <w:szCs w:val="20"/>
          <w:lang w:val="fr-CA"/>
        </w:rPr>
        <w:t>2</w:t>
      </w:r>
    </w:p>
    <w:p w:rsidR="005C6840" w:rsidRPr="003B3977" w:rsidRDefault="00BF3B03" w:rsidP="005C6840">
      <w:pPr>
        <w:rPr>
          <w:sz w:val="20"/>
          <w:szCs w:val="20"/>
          <w:lang w:val="fr-CA"/>
        </w:rPr>
      </w:pPr>
      <w:r w:rsidRPr="00BF3B03">
        <w:rPr>
          <w:i/>
          <w:sz w:val="20"/>
          <w:szCs w:val="20"/>
        </w:rPr>
        <w:pict>
          <v:rect id="_x0000_i1108" style="width:480.95pt;height:1pt" o:hralign="center" o:hrstd="t" o:hrnoshade="t" o:hr="t" fillcolor="black [3213]" stroked="f"/>
        </w:pict>
      </w:r>
    </w:p>
    <w:p w:rsidR="005C6840" w:rsidRPr="003B3977" w:rsidRDefault="005C6840" w:rsidP="005C6840">
      <w:pPr>
        <w:spacing w:line="0" w:lineRule="atLeast"/>
        <w:rPr>
          <w:sz w:val="20"/>
          <w:szCs w:val="20"/>
          <w:lang w:val="fr-CA"/>
        </w:rPr>
      </w:pPr>
    </w:p>
    <w:p w:rsidR="005C4AB1" w:rsidRPr="006E0A31" w:rsidRDefault="005C4AB1" w:rsidP="005C4AB1">
      <w:pPr>
        <w:jc w:val="both"/>
        <w:rPr>
          <w:sz w:val="20"/>
          <w:szCs w:val="20"/>
        </w:rPr>
      </w:pPr>
      <w:r w:rsidRPr="006E0A31">
        <w:rPr>
          <w:sz w:val="20"/>
          <w:szCs w:val="20"/>
        </w:rPr>
        <w:t>Present:  McLachlin C.J. and LeBel, Deschamps, Abella, Rothstein, Cromwell and Moldaver JJ.</w:t>
      </w:r>
    </w:p>
    <w:p w:rsidR="005C4AB1" w:rsidRDefault="005C4AB1" w:rsidP="005C4AB1">
      <w:pPr>
        <w:pStyle w:val="SCCLowerCourtNameLowercase"/>
        <w:spacing w:line="240" w:lineRule="auto"/>
        <w:rPr>
          <w:sz w:val="20"/>
        </w:rPr>
      </w:pPr>
    </w:p>
    <w:p w:rsidR="005C4AB1" w:rsidRPr="006E0A31" w:rsidRDefault="005C4AB1" w:rsidP="005C4AB1">
      <w:pPr>
        <w:pStyle w:val="SCCNormalDoubleSpacing"/>
        <w:spacing w:line="240" w:lineRule="auto"/>
        <w:rPr>
          <w:sz w:val="20"/>
        </w:rPr>
      </w:pPr>
      <w:r w:rsidRPr="006E0A31">
        <w:rPr>
          <w:i/>
          <w:sz w:val="20"/>
        </w:rPr>
        <w:tab/>
        <w:t>Intellectual property — Patents — Disclosure requirements — Patent for use of compound to treat erectile disfunction — Patent application containing cascading claims ending with two individual compounds — Claims not specifying active compound — Whether patent application meeting disclosure requirements of Patent Act — Whether patent based on sound prediction — Patent Act, R.S.C. 1985, c. P</w:t>
      </w:r>
      <w:r w:rsidRPr="006E0A31">
        <w:rPr>
          <w:i/>
          <w:sz w:val="20"/>
        </w:rPr>
        <w:noBreakHyphen/>
        <w:t>4, s. 27(3).</w:t>
      </w:r>
    </w:p>
    <w:p w:rsidR="005C4AB1" w:rsidRDefault="005C4AB1" w:rsidP="005C4AB1">
      <w:pPr>
        <w:pStyle w:val="SCCNormalDoubleSpacing"/>
        <w:spacing w:line="240" w:lineRule="auto"/>
        <w:rPr>
          <w:sz w:val="20"/>
        </w:rPr>
      </w:pPr>
    </w:p>
    <w:p w:rsidR="005C4AB1" w:rsidRPr="006E0A31" w:rsidRDefault="005C4AB1" w:rsidP="005C4AB1">
      <w:pPr>
        <w:pStyle w:val="SCCNormalDoubleSpacing"/>
        <w:spacing w:line="240" w:lineRule="auto"/>
        <w:rPr>
          <w:sz w:val="20"/>
        </w:rPr>
      </w:pPr>
      <w:r w:rsidRPr="006E0A31">
        <w:rPr>
          <w:sz w:val="20"/>
        </w:rPr>
        <w:tab/>
        <w:t>P holds Patent 2,163,446 for the use of a “compound of formula (I)” or a “salt thereof” as a medicament for the treatment of erectile dysfunction (“ED”).  The patent’s specification ends with seven cascading claims for successively smaller ranges of compounds, with Claims 6 and 7 relating to a single compound each.  Only sildenafil, the subject of Claim 7 and the active compound in Viagra, had been shown to be effective in treating ED at the time of the patent application.  Although the patent includes the statement that “one of the especially preferred compounds induces penile erection in impotent males”, the patent application does not disclose that the compound that works is sildenafil, that it is found in Claim 7, or that the remaining compounds had not been found to be effective in treating ED.</w:t>
      </w:r>
    </w:p>
    <w:p w:rsidR="005C4AB1" w:rsidRDefault="005C4AB1" w:rsidP="005C4AB1">
      <w:pPr>
        <w:pStyle w:val="SCCNormalDoubleSpacing"/>
        <w:spacing w:line="240" w:lineRule="auto"/>
        <w:rPr>
          <w:sz w:val="20"/>
        </w:rPr>
      </w:pPr>
    </w:p>
    <w:p w:rsidR="005C4AB1" w:rsidRPr="006E0A31" w:rsidRDefault="005C4AB1" w:rsidP="005C4AB1">
      <w:pPr>
        <w:pStyle w:val="SCCNormalDoubleSpacing"/>
        <w:spacing w:line="240" w:lineRule="auto"/>
        <w:rPr>
          <w:sz w:val="20"/>
        </w:rPr>
      </w:pPr>
      <w:r w:rsidRPr="006E0A31">
        <w:rPr>
          <w:sz w:val="20"/>
        </w:rPr>
        <w:tab/>
        <w:t>T applied for a notice of compliance in order to produce a generic version of Viagra.  The Federal Court prohibited the Minister from issuing the requested notice of compliance.  The Federal Court of Appeal dismissed the appeal.</w:t>
      </w:r>
    </w:p>
    <w:p w:rsidR="005C4AB1" w:rsidRDefault="005C4AB1" w:rsidP="005C4AB1">
      <w:pPr>
        <w:pStyle w:val="SCCNormalDoubleSpacing"/>
        <w:spacing w:line="240" w:lineRule="auto"/>
        <w:rPr>
          <w:sz w:val="20"/>
        </w:rPr>
      </w:pPr>
    </w:p>
    <w:p w:rsidR="005C4AB1" w:rsidRPr="006E0A31" w:rsidRDefault="005C4AB1" w:rsidP="005C4AB1">
      <w:pPr>
        <w:pStyle w:val="SCCNormalDoubleSpacing"/>
        <w:spacing w:line="240" w:lineRule="auto"/>
        <w:rPr>
          <w:sz w:val="20"/>
        </w:rPr>
      </w:pPr>
      <w:r w:rsidRPr="006E0A31">
        <w:rPr>
          <w:sz w:val="20"/>
        </w:rPr>
        <w:tab/>
      </w:r>
      <w:r w:rsidRPr="006E0A31">
        <w:rPr>
          <w:i/>
          <w:sz w:val="20"/>
        </w:rPr>
        <w:t>Held</w:t>
      </w:r>
      <w:r w:rsidRPr="006E0A31">
        <w:rPr>
          <w:sz w:val="20"/>
        </w:rPr>
        <w:t>:  The appeal should be allowed.  Patent 2,163,446 is void.</w:t>
      </w:r>
    </w:p>
    <w:p w:rsidR="005C4AB1" w:rsidRDefault="005C4AB1" w:rsidP="005C4AB1">
      <w:pPr>
        <w:pStyle w:val="SCCNormalDoubleSpacing"/>
        <w:spacing w:line="240" w:lineRule="auto"/>
        <w:rPr>
          <w:sz w:val="20"/>
        </w:rPr>
      </w:pPr>
    </w:p>
    <w:p w:rsidR="005C4AB1" w:rsidRPr="006E0A31" w:rsidRDefault="005C4AB1" w:rsidP="005C4AB1">
      <w:pPr>
        <w:pStyle w:val="SCCNormalDoubleSpacing"/>
        <w:spacing w:line="240" w:lineRule="auto"/>
        <w:rPr>
          <w:sz w:val="20"/>
        </w:rPr>
      </w:pPr>
      <w:r w:rsidRPr="006E0A31">
        <w:rPr>
          <w:sz w:val="20"/>
        </w:rPr>
        <w:tab/>
        <w:t xml:space="preserve">The patent application did not satisfy the disclosure requirements set out in the </w:t>
      </w:r>
      <w:r w:rsidRPr="006E0A31">
        <w:rPr>
          <w:i/>
          <w:sz w:val="20"/>
        </w:rPr>
        <w:t>Patent Act</w:t>
      </w:r>
      <w:r w:rsidRPr="006E0A31">
        <w:rPr>
          <w:sz w:val="20"/>
        </w:rPr>
        <w:t>, R.S.C. 1985, c. P</w:t>
      </w:r>
      <w:r w:rsidRPr="006E0A31">
        <w:rPr>
          <w:sz w:val="20"/>
        </w:rPr>
        <w:noBreakHyphen/>
        <w:t>4 (“Act”).  The patent system is based on a “bargain”: the inventor is granted exclusive rights in a new and useful invention for a limited period in exchange for disclosure of the invention so that society can benefit from this knowledge.  Sufficiency of disclosure lies at the very heart of the patent system, so adequate disclosure in the specification is a precondition for the granting of a patent.</w:t>
      </w:r>
    </w:p>
    <w:p w:rsidR="005C4AB1" w:rsidRDefault="005C4AB1" w:rsidP="005C4AB1">
      <w:pPr>
        <w:pStyle w:val="SCCNormalDoubleSpacing"/>
        <w:spacing w:line="240" w:lineRule="auto"/>
        <w:rPr>
          <w:sz w:val="20"/>
        </w:rPr>
      </w:pPr>
    </w:p>
    <w:p w:rsidR="005C4AB1" w:rsidRPr="006E0A31" w:rsidRDefault="005C4AB1" w:rsidP="005C4AB1">
      <w:pPr>
        <w:pStyle w:val="SCCNormalDoubleSpacing"/>
        <w:spacing w:line="240" w:lineRule="auto"/>
        <w:rPr>
          <w:sz w:val="20"/>
        </w:rPr>
      </w:pPr>
      <w:r w:rsidRPr="006E0A31">
        <w:rPr>
          <w:sz w:val="20"/>
        </w:rPr>
        <w:tab/>
        <w:t xml:space="preserve">Although s. 58 of the Act allows courts to consider valid claims separately from those that are not valid, and although valid claims survive in the face of one or more invalid claims, s. 58 is engaged only </w:t>
      </w:r>
      <w:r w:rsidRPr="006E0A31">
        <w:rPr>
          <w:i/>
          <w:sz w:val="20"/>
        </w:rPr>
        <w:t>after</w:t>
      </w:r>
      <w:r w:rsidRPr="006E0A31">
        <w:rPr>
          <w:sz w:val="20"/>
        </w:rPr>
        <w:t xml:space="preserve"> the validity analysis is carried out.  It does not allow a court to consider the validity of a single claim independently of the rest of the specification, even if the claim in question is the only one that may be valid.  The lower courts held that each claim in the patent is a separate invention.  As a result, they considered the disclosure requirements with respect to each individual claim, not to the specification as a whole.  This confused the principle that the claims define the scope of the exclusive right being sought with the principle that the content of the specification determines whether the disclosure requirements have been met.  The Act requires that the court consider the specification as a whole, which includes the claims and the disclosure, from the perspective of a person skilled in the art to determine whether the patent meets the disclosure requirements.  Only where the specification as a whole shows that each claim in a patent application concerns a separate invention will the consideration of the disclosure requirements </w:t>
      </w:r>
      <w:proofErr w:type="gramStart"/>
      <w:r w:rsidRPr="006E0A31">
        <w:rPr>
          <w:sz w:val="20"/>
        </w:rPr>
        <w:t>be</w:t>
      </w:r>
      <w:proofErr w:type="gramEnd"/>
      <w:r w:rsidRPr="006E0A31">
        <w:rPr>
          <w:sz w:val="20"/>
        </w:rPr>
        <w:t xml:space="preserve"> limited to a single claim.</w:t>
      </w:r>
    </w:p>
    <w:p w:rsidR="005C4AB1" w:rsidRDefault="005C4AB1" w:rsidP="005C4AB1">
      <w:pPr>
        <w:pStyle w:val="SCCNormalDoubleSpacing"/>
        <w:spacing w:line="240" w:lineRule="auto"/>
        <w:rPr>
          <w:sz w:val="20"/>
        </w:rPr>
      </w:pPr>
    </w:p>
    <w:p w:rsidR="005C4AB1" w:rsidRPr="006E0A31" w:rsidRDefault="005C4AB1" w:rsidP="005C4AB1">
      <w:pPr>
        <w:pStyle w:val="SCCNormalDoubleSpacing"/>
        <w:spacing w:line="240" w:lineRule="auto"/>
        <w:rPr>
          <w:sz w:val="20"/>
        </w:rPr>
      </w:pPr>
      <w:r w:rsidRPr="006E0A31">
        <w:rPr>
          <w:sz w:val="20"/>
        </w:rPr>
        <w:tab/>
        <w:t>In this case, the disclosure in the specification would not have enabled the public “to make the same successful use of the invention as the inventor could at the time of his application” because it does not indicate that sildenafil is the effective compound.  Considering the specification as a whole, the use of sildenafil and the other compounds for the treatment of ED comprise one inventive concept.  Even though a skilled reader will know that, when a patent contains cascading claims, the useful claim will usually be at the end concerning an individual compound, the claims in the patent ended with two individually claimed compounds.  There was no basis for a skilled person to determine which of Claim 6 and Claim 7 contained the useful compound, further testing would have been required to determine which of those two compounds was actually effective in treating ED.</w:t>
      </w:r>
    </w:p>
    <w:p w:rsidR="005C4AB1" w:rsidRPr="006E0A31" w:rsidRDefault="005C4AB1" w:rsidP="005C4AB1">
      <w:pPr>
        <w:pStyle w:val="SCCNormalDoubleSpacing"/>
        <w:spacing w:line="240" w:lineRule="auto"/>
        <w:rPr>
          <w:sz w:val="20"/>
        </w:rPr>
      </w:pPr>
      <w:r w:rsidRPr="006E0A31">
        <w:rPr>
          <w:sz w:val="20"/>
        </w:rPr>
        <w:lastRenderedPageBreak/>
        <w:tab/>
        <w:t xml:space="preserve">Although s. 27 does not specify a remedy for insufficient disclosure, the </w:t>
      </w:r>
      <w:r w:rsidRPr="006E0A31">
        <w:rPr>
          <w:i/>
          <w:sz w:val="20"/>
        </w:rPr>
        <w:t xml:space="preserve">quid pro quo </w:t>
      </w:r>
      <w:r w:rsidRPr="006E0A31">
        <w:rPr>
          <w:sz w:val="20"/>
        </w:rPr>
        <w:t xml:space="preserve">underpinning the Act leads to the conclusion that deeming the patent invalid is the logical consequence of a failure to properly disclose the invention and how it works.  If there is no </w:t>
      </w:r>
      <w:r w:rsidRPr="006E0A31">
        <w:rPr>
          <w:i/>
          <w:sz w:val="20"/>
        </w:rPr>
        <w:t>quid</w:t>
      </w:r>
      <w:r w:rsidRPr="006E0A31">
        <w:rPr>
          <w:sz w:val="20"/>
        </w:rPr>
        <w:t xml:space="preserve"> — proper disclosure — then there can be no </w:t>
      </w:r>
      <w:r w:rsidRPr="006E0A31">
        <w:rPr>
          <w:i/>
          <w:sz w:val="20"/>
        </w:rPr>
        <w:t>quo</w:t>
      </w:r>
      <w:r w:rsidRPr="006E0A31">
        <w:rPr>
          <w:sz w:val="20"/>
        </w:rPr>
        <w:t xml:space="preserve"> — exclusive monopoly rights.  Even if s. 53 was not raised and its requirements were not met, this does not mean that the disclosure was adequate for the purposes of s. 27(3).  These provisions can be independent of each other.</w:t>
      </w:r>
    </w:p>
    <w:p w:rsidR="005C4AB1" w:rsidRDefault="005C4AB1" w:rsidP="005C4AB1">
      <w:pPr>
        <w:pStyle w:val="SCCNormalDoubleSpacing"/>
        <w:spacing w:line="240" w:lineRule="auto"/>
        <w:rPr>
          <w:sz w:val="20"/>
        </w:rPr>
      </w:pPr>
    </w:p>
    <w:p w:rsidR="005C4AB1" w:rsidRDefault="005C4AB1" w:rsidP="005C4AB1">
      <w:pPr>
        <w:pStyle w:val="SCCNormalDoubleSpacing"/>
        <w:spacing w:line="240" w:lineRule="auto"/>
        <w:rPr>
          <w:sz w:val="20"/>
        </w:rPr>
      </w:pPr>
      <w:r w:rsidRPr="006E0A31">
        <w:rPr>
          <w:sz w:val="20"/>
        </w:rPr>
        <w:tab/>
        <w:t>There is no question that sildenafil’s utility had been demonstrated as of the time of filing of the patent application.  This takes the invention out of the realm of sound prediction.  As to the delay of 13 years between the filing of the patent and the challenge, the relevant question is whether the disclosure was sufficient as of the date of filing, so the delay is inconsequential.</w:t>
      </w:r>
    </w:p>
    <w:p w:rsidR="005C4AB1" w:rsidRDefault="005C4AB1" w:rsidP="005C4AB1">
      <w:pPr>
        <w:pStyle w:val="SCCNormalDoubleSpacing"/>
        <w:spacing w:line="240" w:lineRule="auto"/>
        <w:rPr>
          <w:sz w:val="20"/>
        </w:rPr>
      </w:pPr>
    </w:p>
    <w:p w:rsidR="005C4AB1" w:rsidRPr="006E0A31" w:rsidRDefault="005C4AB1" w:rsidP="005C4AB1">
      <w:pPr>
        <w:pStyle w:val="SCCNormalDoubleSpacing"/>
        <w:spacing w:line="240" w:lineRule="auto"/>
        <w:rPr>
          <w:sz w:val="20"/>
        </w:rPr>
      </w:pPr>
      <w:r w:rsidRPr="006E0A31">
        <w:rPr>
          <w:sz w:val="20"/>
        </w:rPr>
        <w:tab/>
        <w:t>APPEAL from a judgment of the Federal Court of Appeal (Blais C.J. and Nadon and Trudel JJ.A.), 2010 FCA 242, [2012] 2 F.C.R. 69, 408 N.R. 166, 88 C.P.R. (4th) 405, [2010] F.C.J. No. 1200 (QL), 2010 CarswellNat 3445, affirming a decision of Kelen J., 2009 FC 638, 76 C.P.R. (4th) 83, 352 F.T.R. 35, [2009] F.C.J. No. 688 (QL), 2009 CarswellNat 1766.  Appeal allowed.</w:t>
      </w:r>
    </w:p>
    <w:p w:rsidR="005C4AB1" w:rsidRDefault="005C4AB1" w:rsidP="005C4AB1">
      <w:pPr>
        <w:pStyle w:val="SCCNormalDoubleSpacing"/>
        <w:spacing w:line="240" w:lineRule="auto"/>
        <w:rPr>
          <w:i/>
          <w:sz w:val="20"/>
        </w:rPr>
      </w:pPr>
    </w:p>
    <w:p w:rsidR="005C4AB1" w:rsidRPr="006E0A31" w:rsidRDefault="005C4AB1" w:rsidP="005C4AB1">
      <w:pPr>
        <w:pStyle w:val="SCCNormalDoubleSpacing"/>
        <w:spacing w:line="240" w:lineRule="auto"/>
        <w:rPr>
          <w:sz w:val="20"/>
        </w:rPr>
      </w:pPr>
      <w:r w:rsidRPr="006E0A31">
        <w:rPr>
          <w:i/>
          <w:sz w:val="20"/>
        </w:rPr>
        <w:tab/>
      </w:r>
      <w:proofErr w:type="gramStart"/>
      <w:r w:rsidRPr="006E0A31">
        <w:rPr>
          <w:i/>
          <w:sz w:val="20"/>
        </w:rPr>
        <w:t>David W. Aitken</w:t>
      </w:r>
      <w:r w:rsidRPr="006E0A31">
        <w:rPr>
          <w:sz w:val="20"/>
        </w:rPr>
        <w:t xml:space="preserve">, </w:t>
      </w:r>
      <w:r w:rsidRPr="006E0A31">
        <w:rPr>
          <w:i/>
          <w:sz w:val="20"/>
        </w:rPr>
        <w:t xml:space="preserve">Marcus Klee </w:t>
      </w:r>
      <w:r w:rsidRPr="006E0A31">
        <w:rPr>
          <w:sz w:val="20"/>
        </w:rPr>
        <w:t xml:space="preserve">and </w:t>
      </w:r>
      <w:r w:rsidRPr="006E0A31">
        <w:rPr>
          <w:i/>
          <w:sz w:val="20"/>
        </w:rPr>
        <w:t>Ildiko Mehes</w:t>
      </w:r>
      <w:r w:rsidRPr="006E0A31">
        <w:rPr>
          <w:sz w:val="20"/>
        </w:rPr>
        <w:t>, for the appellant.</w:t>
      </w:r>
      <w:proofErr w:type="gramEnd"/>
    </w:p>
    <w:p w:rsidR="005C4AB1" w:rsidRDefault="005C4AB1" w:rsidP="005C4AB1">
      <w:pPr>
        <w:pStyle w:val="SCCNormalDoubleSpacing"/>
        <w:spacing w:line="240" w:lineRule="auto"/>
        <w:rPr>
          <w:i/>
          <w:sz w:val="20"/>
        </w:rPr>
      </w:pPr>
    </w:p>
    <w:p w:rsidR="005C4AB1" w:rsidRPr="006E0A31" w:rsidRDefault="005C4AB1" w:rsidP="005C4AB1">
      <w:pPr>
        <w:pStyle w:val="SCCNormalDoubleSpacing"/>
        <w:spacing w:line="240" w:lineRule="auto"/>
        <w:rPr>
          <w:sz w:val="20"/>
        </w:rPr>
      </w:pPr>
      <w:r w:rsidRPr="006E0A31">
        <w:rPr>
          <w:i/>
          <w:sz w:val="20"/>
        </w:rPr>
        <w:tab/>
        <w:t>Andrew Shaughnessy</w:t>
      </w:r>
      <w:r w:rsidRPr="006E0A31">
        <w:rPr>
          <w:sz w:val="20"/>
        </w:rPr>
        <w:t xml:space="preserve">, </w:t>
      </w:r>
      <w:r w:rsidRPr="006E0A31">
        <w:rPr>
          <w:i/>
          <w:sz w:val="20"/>
        </w:rPr>
        <w:t>Andrew Bernstein</w:t>
      </w:r>
      <w:r w:rsidRPr="006E0A31">
        <w:rPr>
          <w:sz w:val="20"/>
        </w:rPr>
        <w:t xml:space="preserve"> and </w:t>
      </w:r>
      <w:r w:rsidRPr="006E0A31">
        <w:rPr>
          <w:i/>
          <w:sz w:val="20"/>
        </w:rPr>
        <w:t>Yael Bienenstock</w:t>
      </w:r>
      <w:r w:rsidRPr="006E0A31">
        <w:rPr>
          <w:sz w:val="20"/>
        </w:rPr>
        <w:t>, for the respondents Pfizer Canada Inc., Pfizer Inc., Pfizer Ireland Pharmaceuticals and Pfizer Research and Development Company N.V./S.A.</w:t>
      </w:r>
    </w:p>
    <w:p w:rsidR="005C4AB1" w:rsidRDefault="005C4AB1" w:rsidP="005C4AB1">
      <w:pPr>
        <w:pStyle w:val="SCCNormalDoubleSpacing"/>
        <w:spacing w:line="240" w:lineRule="auto"/>
        <w:rPr>
          <w:i/>
          <w:sz w:val="20"/>
        </w:rPr>
      </w:pPr>
    </w:p>
    <w:p w:rsidR="005C4AB1" w:rsidRPr="006E0A31" w:rsidRDefault="005C4AB1" w:rsidP="005C4AB1">
      <w:pPr>
        <w:pStyle w:val="SCCNormalDoubleSpacing"/>
        <w:spacing w:line="240" w:lineRule="auto"/>
        <w:rPr>
          <w:sz w:val="20"/>
        </w:rPr>
      </w:pPr>
      <w:r w:rsidRPr="006E0A31">
        <w:rPr>
          <w:i/>
          <w:sz w:val="20"/>
        </w:rPr>
        <w:tab/>
      </w:r>
      <w:proofErr w:type="gramStart"/>
      <w:r w:rsidRPr="006E0A31">
        <w:rPr>
          <w:i/>
          <w:sz w:val="20"/>
        </w:rPr>
        <w:t>Jonathan Stainsby</w:t>
      </w:r>
      <w:r w:rsidRPr="006E0A31">
        <w:rPr>
          <w:sz w:val="20"/>
        </w:rPr>
        <w:t xml:space="preserve"> and </w:t>
      </w:r>
      <w:r w:rsidRPr="006E0A31">
        <w:rPr>
          <w:i/>
          <w:sz w:val="20"/>
        </w:rPr>
        <w:t>Andrew Skodyn</w:t>
      </w:r>
      <w:r w:rsidRPr="006E0A31">
        <w:rPr>
          <w:sz w:val="20"/>
        </w:rPr>
        <w:t>, for the intervener the Canadian Generic Pharmaceutical Association.</w:t>
      </w:r>
      <w:proofErr w:type="gramEnd"/>
    </w:p>
    <w:p w:rsidR="005C4AB1" w:rsidRDefault="005C4AB1" w:rsidP="005C4AB1">
      <w:pPr>
        <w:pStyle w:val="SCCNormalDoubleSpacing"/>
        <w:spacing w:line="240" w:lineRule="auto"/>
        <w:rPr>
          <w:i/>
          <w:sz w:val="20"/>
        </w:rPr>
      </w:pPr>
    </w:p>
    <w:p w:rsidR="005C4AB1" w:rsidRPr="006E0A31" w:rsidRDefault="005C4AB1" w:rsidP="005C4AB1">
      <w:pPr>
        <w:pStyle w:val="SCCNormalDoubleSpacing"/>
        <w:spacing w:line="240" w:lineRule="auto"/>
        <w:rPr>
          <w:sz w:val="20"/>
        </w:rPr>
      </w:pPr>
      <w:r w:rsidRPr="006E0A31">
        <w:rPr>
          <w:i/>
          <w:sz w:val="20"/>
        </w:rPr>
        <w:tab/>
      </w:r>
      <w:proofErr w:type="gramStart"/>
      <w:r w:rsidRPr="006E0A31">
        <w:rPr>
          <w:i/>
          <w:sz w:val="20"/>
        </w:rPr>
        <w:t>Patrick S. Smith</w:t>
      </w:r>
      <w:r w:rsidRPr="006E0A31">
        <w:rPr>
          <w:sz w:val="20"/>
        </w:rPr>
        <w:t xml:space="preserve"> and </w:t>
      </w:r>
      <w:r w:rsidRPr="006E0A31">
        <w:rPr>
          <w:i/>
          <w:sz w:val="20"/>
        </w:rPr>
        <w:t>Jane E. Clark</w:t>
      </w:r>
      <w:r w:rsidRPr="006E0A31">
        <w:rPr>
          <w:sz w:val="20"/>
        </w:rPr>
        <w:t>, for the intervener Canada’s Research</w:t>
      </w:r>
      <w:r w:rsidRPr="006E0A31">
        <w:rPr>
          <w:sz w:val="20"/>
        </w:rPr>
        <w:noBreakHyphen/>
        <w:t>Based Pharmaceutical Companies.</w:t>
      </w:r>
      <w:proofErr w:type="gramEnd"/>
    </w:p>
    <w:p w:rsidR="005C4AB1" w:rsidRDefault="005C4AB1" w:rsidP="005C4AB1">
      <w:pPr>
        <w:pStyle w:val="SCCNormalDoubleSpacing"/>
        <w:spacing w:line="240" w:lineRule="auto"/>
        <w:rPr>
          <w:i/>
          <w:sz w:val="20"/>
        </w:rPr>
      </w:pPr>
    </w:p>
    <w:p w:rsidR="005C4AB1" w:rsidRPr="006E0A31" w:rsidRDefault="005C4AB1" w:rsidP="005C4AB1">
      <w:pPr>
        <w:pStyle w:val="SCCNormalDoubleSpacing"/>
        <w:spacing w:line="240" w:lineRule="auto"/>
        <w:rPr>
          <w:sz w:val="20"/>
        </w:rPr>
      </w:pPr>
      <w:r w:rsidRPr="006E0A31">
        <w:rPr>
          <w:i/>
          <w:sz w:val="20"/>
        </w:rPr>
        <w:tab/>
      </w:r>
      <w:r w:rsidRPr="006E0A31">
        <w:rPr>
          <w:sz w:val="20"/>
        </w:rPr>
        <w:t>No one appeared for the respondent the Minister of Health.</w:t>
      </w:r>
    </w:p>
    <w:p w:rsidR="005C4AB1" w:rsidRDefault="005C4AB1" w:rsidP="005C4AB1">
      <w:pPr>
        <w:pStyle w:val="SCCLawFirm"/>
        <w:spacing w:line="240" w:lineRule="auto"/>
        <w:rPr>
          <w:sz w:val="20"/>
        </w:rPr>
      </w:pPr>
    </w:p>
    <w:p w:rsidR="005C4AB1" w:rsidRPr="006E0A31" w:rsidRDefault="005C4AB1" w:rsidP="005C4AB1">
      <w:pPr>
        <w:pStyle w:val="SCCLawFirm"/>
        <w:spacing w:line="240" w:lineRule="auto"/>
        <w:rPr>
          <w:sz w:val="20"/>
        </w:rPr>
      </w:pPr>
      <w:r w:rsidRPr="006E0A31">
        <w:rPr>
          <w:sz w:val="20"/>
        </w:rPr>
        <w:tab/>
        <w:t>Solicitors for the appellant:  Osler, Hoskin &amp; Harcourt, Ottawa.</w:t>
      </w:r>
    </w:p>
    <w:p w:rsidR="005C4AB1" w:rsidRDefault="005C4AB1" w:rsidP="005C4AB1">
      <w:pPr>
        <w:pStyle w:val="SCCLawFirm"/>
        <w:spacing w:line="240" w:lineRule="auto"/>
        <w:rPr>
          <w:sz w:val="20"/>
        </w:rPr>
      </w:pPr>
    </w:p>
    <w:p w:rsidR="005C4AB1" w:rsidRPr="006E0A31" w:rsidRDefault="005C4AB1" w:rsidP="005C4AB1">
      <w:pPr>
        <w:pStyle w:val="SCCLawFirm"/>
        <w:spacing w:line="240" w:lineRule="auto"/>
        <w:rPr>
          <w:sz w:val="20"/>
        </w:rPr>
      </w:pPr>
      <w:r w:rsidRPr="006E0A31">
        <w:rPr>
          <w:sz w:val="20"/>
        </w:rPr>
        <w:tab/>
        <w:t>Solicitors for the respondents Pfizer Canada Inc., Pfizer Inc., Pfizer Ireland Pharmaceuticals and Pfizer Research and Development Company N.V</w:t>
      </w:r>
      <w:proofErr w:type="gramStart"/>
      <w:r w:rsidRPr="006E0A31">
        <w:rPr>
          <w:sz w:val="20"/>
        </w:rPr>
        <w:t>./</w:t>
      </w:r>
      <w:proofErr w:type="gramEnd"/>
      <w:r w:rsidRPr="006E0A31">
        <w:rPr>
          <w:sz w:val="20"/>
        </w:rPr>
        <w:t>S.A.:  Torys, Toronto.</w:t>
      </w:r>
    </w:p>
    <w:p w:rsidR="005C4AB1" w:rsidRDefault="005C4AB1" w:rsidP="005C4AB1">
      <w:pPr>
        <w:pStyle w:val="SCCLawFirm"/>
        <w:spacing w:line="240" w:lineRule="auto"/>
        <w:rPr>
          <w:sz w:val="20"/>
        </w:rPr>
      </w:pPr>
    </w:p>
    <w:p w:rsidR="005C4AB1" w:rsidRPr="006E0A31" w:rsidRDefault="005C4AB1" w:rsidP="005C4AB1">
      <w:pPr>
        <w:pStyle w:val="SCCLawFirm"/>
        <w:spacing w:line="240" w:lineRule="auto"/>
        <w:rPr>
          <w:sz w:val="20"/>
        </w:rPr>
      </w:pPr>
      <w:r w:rsidRPr="006E0A31">
        <w:rPr>
          <w:sz w:val="20"/>
        </w:rPr>
        <w:tab/>
        <w:t>Solicitors for the intervener the Canadian Generic Pharmaceutical Association:  Heenan Blaikie, Toronto.</w:t>
      </w:r>
    </w:p>
    <w:p w:rsidR="005C4AB1" w:rsidRDefault="005C4AB1" w:rsidP="005C4AB1">
      <w:pPr>
        <w:pStyle w:val="SCCLawFirm"/>
        <w:spacing w:line="240" w:lineRule="auto"/>
        <w:rPr>
          <w:sz w:val="20"/>
        </w:rPr>
      </w:pPr>
    </w:p>
    <w:p w:rsidR="005C4AB1" w:rsidRDefault="005C4AB1" w:rsidP="005C4AB1">
      <w:pPr>
        <w:pStyle w:val="SCCLawFirm"/>
        <w:spacing w:line="240" w:lineRule="auto"/>
        <w:rPr>
          <w:sz w:val="20"/>
        </w:rPr>
      </w:pPr>
      <w:r w:rsidRPr="006E0A31">
        <w:rPr>
          <w:sz w:val="20"/>
        </w:rPr>
        <w:tab/>
        <w:t>Solicitors for the intervener Canada’s Research</w:t>
      </w:r>
      <w:r w:rsidRPr="006E0A31">
        <w:rPr>
          <w:sz w:val="20"/>
        </w:rPr>
        <w:noBreakHyphen/>
        <w:t>Based Pharmaceutical Companies:  Gowling Lafleur Henderson, Ottawa.</w:t>
      </w:r>
    </w:p>
    <w:p w:rsidR="003B3977" w:rsidRPr="00565D14" w:rsidRDefault="003B3977" w:rsidP="003B3977">
      <w:pPr>
        <w:rPr>
          <w:sz w:val="20"/>
          <w:szCs w:val="20"/>
          <w:lang w:val="fr-CA"/>
        </w:rPr>
      </w:pPr>
      <w:r w:rsidRPr="00565D14">
        <w:rPr>
          <w:sz w:val="20"/>
          <w:szCs w:val="20"/>
          <w:lang w:val="fr-CA"/>
        </w:rPr>
        <w:t>________________________</w:t>
      </w:r>
    </w:p>
    <w:p w:rsidR="003B3977" w:rsidRPr="00565D14" w:rsidRDefault="003B3977" w:rsidP="003B3977">
      <w:pPr>
        <w:rPr>
          <w:sz w:val="20"/>
          <w:szCs w:val="20"/>
          <w:lang w:val="fr-CA"/>
        </w:rPr>
      </w:pPr>
    </w:p>
    <w:p w:rsidR="005C4AB1" w:rsidRPr="00FE0EE9" w:rsidRDefault="005C4AB1" w:rsidP="005C4AB1">
      <w:pPr>
        <w:jc w:val="both"/>
        <w:rPr>
          <w:sz w:val="20"/>
          <w:szCs w:val="20"/>
          <w:lang w:val="fr-CA"/>
        </w:rPr>
      </w:pPr>
      <w:r w:rsidRPr="00FE0EE9">
        <w:rPr>
          <w:sz w:val="20"/>
          <w:szCs w:val="20"/>
          <w:lang w:val="fr-CA"/>
        </w:rPr>
        <w:t>Présents : La juge en chef McLachlin et les juges LeBel, Deschamps, Abella, Rothstein, Cromwell et Moldaver.</w:t>
      </w:r>
    </w:p>
    <w:p w:rsidR="005C4AB1" w:rsidRDefault="005C4AB1" w:rsidP="005C4AB1">
      <w:pPr>
        <w:jc w:val="both"/>
        <w:rPr>
          <w:smallCaps/>
          <w:sz w:val="20"/>
          <w:lang w:val="fr-CA"/>
        </w:rPr>
      </w:pPr>
    </w:p>
    <w:p w:rsidR="005C4AB1" w:rsidRPr="00FE0EE9" w:rsidRDefault="005C4AB1" w:rsidP="005C4AB1">
      <w:pPr>
        <w:pStyle w:val="SCCNormalDoubleSpacing"/>
        <w:spacing w:line="240" w:lineRule="auto"/>
        <w:rPr>
          <w:sz w:val="20"/>
          <w:lang w:val="fr-CA"/>
        </w:rPr>
      </w:pPr>
      <w:r w:rsidRPr="00FE0EE9">
        <w:rPr>
          <w:sz w:val="20"/>
          <w:lang w:val="fr-CA"/>
        </w:rPr>
        <w:tab/>
      </w:r>
      <w:r w:rsidRPr="00FE0EE9">
        <w:rPr>
          <w:i/>
          <w:sz w:val="20"/>
          <w:lang w:val="fr-CA"/>
        </w:rPr>
        <w:t xml:space="preserve">Propriété intellectuelle </w:t>
      </w:r>
      <w:r w:rsidRPr="00FE0EE9">
        <w:rPr>
          <w:sz w:val="20"/>
          <w:lang w:val="fr-CA"/>
        </w:rPr>
        <w:t xml:space="preserve">— </w:t>
      </w:r>
      <w:r w:rsidRPr="00FE0EE9">
        <w:rPr>
          <w:i/>
          <w:sz w:val="20"/>
          <w:lang w:val="fr-CA"/>
        </w:rPr>
        <w:t xml:space="preserve">Brevets </w:t>
      </w:r>
      <w:r w:rsidRPr="00FE0EE9">
        <w:rPr>
          <w:sz w:val="20"/>
          <w:lang w:val="fr-CA"/>
        </w:rPr>
        <w:t xml:space="preserve">— </w:t>
      </w:r>
      <w:r w:rsidRPr="00FE0EE9">
        <w:rPr>
          <w:i/>
          <w:sz w:val="20"/>
          <w:lang w:val="fr-CA"/>
        </w:rPr>
        <w:t xml:space="preserve">Exigences de divulgation </w:t>
      </w:r>
      <w:r w:rsidRPr="00FE0EE9">
        <w:rPr>
          <w:sz w:val="20"/>
          <w:lang w:val="fr-CA"/>
        </w:rPr>
        <w:t xml:space="preserve">— </w:t>
      </w:r>
      <w:r w:rsidRPr="00FE0EE9">
        <w:rPr>
          <w:i/>
          <w:sz w:val="20"/>
          <w:lang w:val="fr-CA"/>
        </w:rPr>
        <w:t>Brevet délivré pour l’utilisation d’un composé dans le traitement de la dysfonction érectile</w:t>
      </w:r>
      <w:r w:rsidRPr="00FE0EE9">
        <w:rPr>
          <w:sz w:val="20"/>
          <w:lang w:val="fr-CA"/>
        </w:rPr>
        <w:t xml:space="preserve"> — </w:t>
      </w:r>
      <w:r w:rsidRPr="00FE0EE9">
        <w:rPr>
          <w:i/>
          <w:sz w:val="20"/>
          <w:lang w:val="fr-CA"/>
        </w:rPr>
        <w:t xml:space="preserve">Demande de brevet renfermant des revendications en cascade dont les deux dernières visaient deux composés individuels </w:t>
      </w:r>
      <w:r w:rsidRPr="00FE0EE9">
        <w:rPr>
          <w:sz w:val="20"/>
          <w:lang w:val="fr-CA"/>
        </w:rPr>
        <w:t xml:space="preserve">— </w:t>
      </w:r>
      <w:r w:rsidRPr="00FE0EE9">
        <w:rPr>
          <w:i/>
          <w:sz w:val="20"/>
          <w:lang w:val="fr-CA"/>
        </w:rPr>
        <w:t xml:space="preserve">Omission de préciser l’ingrédient actif dans les revendications </w:t>
      </w:r>
      <w:r w:rsidRPr="00FE0EE9">
        <w:rPr>
          <w:sz w:val="20"/>
          <w:lang w:val="fr-CA"/>
        </w:rPr>
        <w:t>—</w:t>
      </w:r>
      <w:r w:rsidRPr="00FE0EE9">
        <w:rPr>
          <w:i/>
          <w:sz w:val="20"/>
          <w:lang w:val="fr-CA"/>
        </w:rPr>
        <w:t xml:space="preserve"> La demande de brevet satisfaisait</w:t>
      </w:r>
      <w:r w:rsidRPr="00FE0EE9">
        <w:rPr>
          <w:i/>
          <w:sz w:val="20"/>
          <w:lang w:val="fr-CA"/>
        </w:rPr>
        <w:noBreakHyphen/>
        <w:t>elle aux exigences de divulgation prévues par la Loi sur les brevets?</w:t>
      </w:r>
      <w:r w:rsidRPr="00FE0EE9">
        <w:rPr>
          <w:sz w:val="20"/>
          <w:lang w:val="fr-CA"/>
        </w:rPr>
        <w:t xml:space="preserve"> — </w:t>
      </w:r>
      <w:r w:rsidRPr="00FE0EE9">
        <w:rPr>
          <w:i/>
          <w:sz w:val="20"/>
          <w:lang w:val="fr-CA"/>
        </w:rPr>
        <w:t>Le brevet était</w:t>
      </w:r>
      <w:r w:rsidRPr="00FE0EE9">
        <w:rPr>
          <w:i/>
          <w:sz w:val="20"/>
          <w:lang w:val="fr-CA"/>
        </w:rPr>
        <w:noBreakHyphen/>
        <w:t>il fondé sur une prédiction valable?</w:t>
      </w:r>
      <w:r w:rsidRPr="00FE0EE9">
        <w:rPr>
          <w:sz w:val="20"/>
          <w:lang w:val="fr-CA"/>
        </w:rPr>
        <w:t xml:space="preserve"> — </w:t>
      </w:r>
      <w:r w:rsidRPr="00FE0EE9">
        <w:rPr>
          <w:i/>
          <w:sz w:val="20"/>
          <w:lang w:val="fr-CA"/>
        </w:rPr>
        <w:t>Loi sur les brevets, L.R.C. 1985, ch. P</w:t>
      </w:r>
      <w:r w:rsidRPr="00FE0EE9">
        <w:rPr>
          <w:i/>
          <w:sz w:val="20"/>
          <w:lang w:val="fr-CA"/>
        </w:rPr>
        <w:noBreakHyphen/>
        <w:t>4, art. 27(3).</w:t>
      </w:r>
    </w:p>
    <w:p w:rsidR="005C4AB1" w:rsidRDefault="005C4AB1" w:rsidP="005C4AB1">
      <w:pPr>
        <w:pStyle w:val="SCCNormalDoubleSpacing"/>
        <w:spacing w:line="240" w:lineRule="auto"/>
        <w:rPr>
          <w:sz w:val="20"/>
          <w:lang w:val="fr-CA"/>
        </w:rPr>
      </w:pPr>
    </w:p>
    <w:p w:rsidR="005C4AB1" w:rsidRPr="00FE0EE9" w:rsidRDefault="005C4AB1" w:rsidP="005C4AB1">
      <w:pPr>
        <w:pStyle w:val="SCCNormalDoubleSpacing"/>
        <w:spacing w:line="240" w:lineRule="auto"/>
        <w:rPr>
          <w:sz w:val="20"/>
          <w:lang w:val="fr-CA"/>
        </w:rPr>
      </w:pPr>
      <w:r w:rsidRPr="00FE0EE9">
        <w:rPr>
          <w:sz w:val="20"/>
          <w:lang w:val="fr-CA"/>
        </w:rPr>
        <w:tab/>
        <w:t>P est titulaire du brevet 2 163 446 concédé relativement à l’utilisation d’un « composé de la formule (I) » ou d’un « sel de ce composé » comme médicament pour le traitement de la dysfonction érectile (la « DÉ »).  Le mémoire descriptif du brevet se termine par sept revendications en cascade faisant successivement état de nombres plus restreints de composés, les revendications 6 et 7 renvoyant chacune à un seul composé.  Lors du dépôt de la demande de brevet, seule l’efficacité du composé visé par la revendication 7 et élément actif du Viagra — le sildénafil — avait été démontrée dans le traitement de la DÉ. Bien qu’il soit déclaré dans le brevet qu’« un des composés particulièrement privilégiés cause une érection pénienne chez les hommes impuissants », la demande de brevet ne précise pas que le composé qui fonctionne est le sildénafil, qu’il fait l’objet de la revendication 7 ou que les autres composés ne se sont pas révélés efficaces pour contrer la DÉ.</w:t>
      </w:r>
    </w:p>
    <w:p w:rsidR="005C4AB1" w:rsidRPr="00FE0EE9" w:rsidRDefault="005C4AB1" w:rsidP="005C4AB1">
      <w:pPr>
        <w:pStyle w:val="SCCNormalDoubleSpacing"/>
        <w:spacing w:line="240" w:lineRule="auto"/>
        <w:rPr>
          <w:sz w:val="20"/>
          <w:lang w:val="fr-CA"/>
        </w:rPr>
      </w:pPr>
      <w:r w:rsidRPr="00FE0EE9">
        <w:rPr>
          <w:sz w:val="20"/>
          <w:lang w:val="fr-CA"/>
        </w:rPr>
        <w:lastRenderedPageBreak/>
        <w:tab/>
        <w:t xml:space="preserve">T a demandé un avis de conformité en vue de la fabrication d’un générique du Viagra.  La Cour fédérale a interdit au Ministre de délivrer l’avis de conformité, et la Cour d’appel fédérale a rejeté l’appel formé contre cette décision.  </w:t>
      </w:r>
    </w:p>
    <w:p w:rsidR="005C4AB1" w:rsidRDefault="005C4AB1" w:rsidP="005C4AB1">
      <w:pPr>
        <w:pStyle w:val="SCCNormalDoubleSpacing"/>
        <w:spacing w:line="240" w:lineRule="auto"/>
        <w:rPr>
          <w:sz w:val="20"/>
          <w:lang w:val="fr-CA"/>
        </w:rPr>
      </w:pPr>
    </w:p>
    <w:p w:rsidR="005C4AB1" w:rsidRPr="00FE0EE9" w:rsidRDefault="005C4AB1" w:rsidP="005C4AB1">
      <w:pPr>
        <w:pStyle w:val="SCCNormalDoubleSpacing"/>
        <w:spacing w:line="240" w:lineRule="auto"/>
        <w:rPr>
          <w:sz w:val="20"/>
          <w:lang w:val="fr-CA"/>
        </w:rPr>
      </w:pPr>
      <w:r w:rsidRPr="00FE0EE9">
        <w:rPr>
          <w:sz w:val="20"/>
          <w:lang w:val="fr-CA"/>
        </w:rPr>
        <w:tab/>
      </w:r>
      <w:r w:rsidRPr="00FE0EE9">
        <w:rPr>
          <w:i/>
          <w:sz w:val="20"/>
          <w:lang w:val="fr-CA"/>
        </w:rPr>
        <w:t>Arrêt</w:t>
      </w:r>
      <w:r w:rsidRPr="00FE0EE9">
        <w:rPr>
          <w:sz w:val="20"/>
          <w:lang w:val="fr-CA"/>
        </w:rPr>
        <w:t> : Le pourvoi est accueilli.  Le brevet 2 163 446 est nul.</w:t>
      </w:r>
    </w:p>
    <w:p w:rsidR="005C4AB1" w:rsidRDefault="005C4AB1" w:rsidP="005C4AB1">
      <w:pPr>
        <w:pStyle w:val="SCCNormalDoubleSpacing"/>
        <w:spacing w:line="240" w:lineRule="auto"/>
        <w:rPr>
          <w:sz w:val="20"/>
          <w:lang w:val="fr-CA"/>
        </w:rPr>
      </w:pPr>
    </w:p>
    <w:p w:rsidR="005C4AB1" w:rsidRPr="00FE0EE9" w:rsidRDefault="005C4AB1" w:rsidP="005C4AB1">
      <w:pPr>
        <w:pStyle w:val="SCCNormalDoubleSpacing"/>
        <w:spacing w:line="240" w:lineRule="auto"/>
        <w:rPr>
          <w:sz w:val="20"/>
          <w:lang w:val="fr-CA"/>
        </w:rPr>
      </w:pPr>
      <w:r w:rsidRPr="00FE0EE9">
        <w:rPr>
          <w:sz w:val="20"/>
          <w:lang w:val="fr-CA"/>
        </w:rPr>
        <w:tab/>
        <w:t xml:space="preserve">La demande de brevet ne satisfaisait pas aux exigences de divulgation prévues par la </w:t>
      </w:r>
      <w:r w:rsidRPr="00FE0EE9">
        <w:rPr>
          <w:i/>
          <w:sz w:val="20"/>
          <w:lang w:val="fr-CA"/>
        </w:rPr>
        <w:t>Loi sur les brevets</w:t>
      </w:r>
      <w:r w:rsidRPr="00FE0EE9">
        <w:rPr>
          <w:sz w:val="20"/>
          <w:lang w:val="fr-CA"/>
        </w:rPr>
        <w:t>, L.R.C. 1985, ch. P</w:t>
      </w:r>
      <w:r w:rsidRPr="00FE0EE9">
        <w:rPr>
          <w:sz w:val="20"/>
          <w:lang w:val="fr-CA"/>
        </w:rPr>
        <w:noBreakHyphen/>
        <w:t>4 (la « Loi »).  Le régime des brevets a pour assise un « marché » : l’inventeur obtient, pour une période déterminée, un monopole sur une invention nouvelle et utile en contrepartie de la divulgation de l’invention de façon à en faire bénéficier la société.  La notion de divulgation suffisante constitue le pivot du régime des brevets, de sorte que la divulgation adéquate de l’invention dans le mémoire descriptif est une condition préalable à la délivrance du brevet.</w:t>
      </w:r>
    </w:p>
    <w:p w:rsidR="005C4AB1" w:rsidRDefault="005C4AB1" w:rsidP="005C4AB1">
      <w:pPr>
        <w:pStyle w:val="SCCNormalDoubleSpacing"/>
        <w:spacing w:line="240" w:lineRule="auto"/>
        <w:rPr>
          <w:sz w:val="20"/>
          <w:lang w:val="fr-CA"/>
        </w:rPr>
      </w:pPr>
    </w:p>
    <w:p w:rsidR="005C4AB1" w:rsidRPr="00FE0EE9" w:rsidRDefault="005C4AB1" w:rsidP="005C4AB1">
      <w:pPr>
        <w:pStyle w:val="SCCNormalDoubleSpacing"/>
        <w:spacing w:line="240" w:lineRule="auto"/>
        <w:rPr>
          <w:sz w:val="20"/>
          <w:lang w:val="fr-CA"/>
        </w:rPr>
      </w:pPr>
      <w:r w:rsidRPr="00FE0EE9">
        <w:rPr>
          <w:sz w:val="20"/>
          <w:lang w:val="fr-CA"/>
        </w:rPr>
        <w:tab/>
        <w:t>Bien que l’art. 58 autorise le tribunal à considérer la revendication valide séparément de celle qui ne l’est pas et que la revendication valide le demeure malgré l’invalidation d’une ou de plusieurs autres revendications, l’art. 58 n’entre en jeu qu’</w:t>
      </w:r>
      <w:r w:rsidRPr="00FE0EE9">
        <w:rPr>
          <w:i/>
          <w:sz w:val="20"/>
          <w:lang w:val="fr-CA"/>
        </w:rPr>
        <w:t>après</w:t>
      </w:r>
      <w:r w:rsidRPr="00FE0EE9">
        <w:rPr>
          <w:sz w:val="20"/>
          <w:lang w:val="fr-CA"/>
        </w:rPr>
        <w:t xml:space="preserve"> l’analyse portant sur la validité.  Il ne permet pas l’examen de la validité d’une revendication en particulier sans égard aux autres éléments du mémoire descriptif, même lorsqu’il s’agit de la seule revendication valide.  Les tribunaux inférieurs opinent qu’à chacune des revendications du brevet correspond une invention distincte.  Ils appliquent donc les exigences de divulgation à chacune des revendications individuelles, et non au mémoire descriptif dans son ensemble.  C’est confondre le principe voulant que la revendication définisse la portée du monopole recherché et celui selon lequel la teneur du mémoire descriptif permet de déterminer si les exigences de divulgation sont remplies.  La Loi commande l’examen du mémoire descriptif dans son ensemble, lequel est constitué des revendications et de la divulgation, du point de vue de la personne versée dans l’art, pour déterminer si le brevet satisfait aux exigences de divulgation.  Ce n’est que lorsqu’il appert du mémoire descriptif considéré globalement que chacune des revendications de la demande de brevet vise une invention distincte que l’on peut se prononcer sur le respect des exigences de divulgation à l’égard d’une seule revendication.</w:t>
      </w:r>
    </w:p>
    <w:p w:rsidR="005C4AB1" w:rsidRDefault="005C4AB1" w:rsidP="005C4AB1">
      <w:pPr>
        <w:pStyle w:val="SCCNormalDoubleSpacing"/>
        <w:spacing w:line="240" w:lineRule="auto"/>
        <w:rPr>
          <w:sz w:val="20"/>
          <w:lang w:val="fr-CA"/>
        </w:rPr>
      </w:pPr>
    </w:p>
    <w:p w:rsidR="005C4AB1" w:rsidRPr="00FE0EE9" w:rsidRDefault="005C4AB1" w:rsidP="005C4AB1">
      <w:pPr>
        <w:pStyle w:val="SCCNormalDoubleSpacing"/>
        <w:spacing w:line="240" w:lineRule="auto"/>
        <w:rPr>
          <w:sz w:val="20"/>
          <w:lang w:val="fr-CA"/>
        </w:rPr>
      </w:pPr>
      <w:r w:rsidRPr="00FE0EE9">
        <w:rPr>
          <w:sz w:val="20"/>
          <w:lang w:val="fr-CA"/>
        </w:rPr>
        <w:tab/>
        <w:t>En l’espèce, le public ne pouvait, à partir de sa divulgation dans le mémoire descriptif, « utiliser l’invention avec le même succès que l’inventeur, à l’époque de la demande », car il n’y est pas indiqué que le sildénafil constitue le composé efficace.  Au vu de l’ensemble du mémoire descriptif, l’utilisation du sildénafil et des autres composés pour traiter la DÉ forme une seule idée originale.  Même si le lecteur versé dans l’art sait que, dans un brevet renfermant des revendications en cascade, c’est habituellement le composé individuel revendiqué en dernier qui constitue le composé utile, en l’espèce, le mémoire descriptif prend fin par la revendication de deux composés individuels.  Rien ne permettait à une personne versée dans l’art de savoir à laquelle des revendications 6 et 7 correspondait le composé utile, et des essais supplémentaires s’imposaient pour déterminer lequel des deux composés était de fait efficace dans le traitement de la DÉ.</w:t>
      </w:r>
    </w:p>
    <w:p w:rsidR="005C4AB1" w:rsidRDefault="005C4AB1" w:rsidP="005C4AB1">
      <w:pPr>
        <w:pStyle w:val="SCCNormalDoubleSpacing"/>
        <w:spacing w:line="240" w:lineRule="auto"/>
        <w:rPr>
          <w:sz w:val="20"/>
          <w:lang w:val="fr-CA"/>
        </w:rPr>
      </w:pPr>
    </w:p>
    <w:p w:rsidR="005C4AB1" w:rsidRPr="00FE0EE9" w:rsidRDefault="005C4AB1" w:rsidP="005C4AB1">
      <w:pPr>
        <w:pStyle w:val="SCCNormalDoubleSpacing"/>
        <w:spacing w:line="240" w:lineRule="auto"/>
        <w:rPr>
          <w:sz w:val="20"/>
          <w:lang w:val="fr-CA"/>
        </w:rPr>
      </w:pPr>
      <w:r w:rsidRPr="00FE0EE9">
        <w:rPr>
          <w:sz w:val="20"/>
          <w:lang w:val="fr-CA"/>
        </w:rPr>
        <w:tab/>
        <w:t>L’article 27 ne prévoit pas de réparation en cas de divulgation insuffisante, mais le caractère synallagmatique du marché qui intervient sous le régime de la Loi fait en sorte que l’omission de divulguer convenablement l’invention et son fonctionnement emporte logiquement l’invalidité réputée du brevet.  Faute de l’une des deux contreparties (</w:t>
      </w:r>
      <w:r w:rsidRPr="00FE0EE9">
        <w:rPr>
          <w:i/>
          <w:sz w:val="20"/>
          <w:lang w:val="fr-CA"/>
        </w:rPr>
        <w:t>quid</w:t>
      </w:r>
      <w:r w:rsidRPr="00FE0EE9">
        <w:rPr>
          <w:sz w:val="20"/>
          <w:lang w:val="fr-CA"/>
        </w:rPr>
        <w:t>) — la divulgation suffisante —, l’autre (</w:t>
      </w:r>
      <w:r w:rsidRPr="00FE0EE9">
        <w:rPr>
          <w:i/>
          <w:sz w:val="20"/>
          <w:lang w:val="fr-CA"/>
        </w:rPr>
        <w:t>quo</w:t>
      </w:r>
      <w:r w:rsidRPr="00FE0EE9">
        <w:rPr>
          <w:sz w:val="20"/>
          <w:lang w:val="fr-CA"/>
        </w:rPr>
        <w:t xml:space="preserve">) — le monopole — ne saurait exister.  Même si l’art. 53 n’a pas été invoqué et que la preuve qui y est exigée n’a pas été offerte, la divulgation n’est pas pour autant conforme au par. 27(3).  Ces dispositions peuvent s’appliquer indépendamment l’une de l’autre. </w:t>
      </w:r>
    </w:p>
    <w:p w:rsidR="005C4AB1" w:rsidRDefault="005C4AB1" w:rsidP="005C4AB1">
      <w:pPr>
        <w:pStyle w:val="SCCNormalDoubleSpacing"/>
        <w:spacing w:line="240" w:lineRule="auto"/>
        <w:rPr>
          <w:sz w:val="20"/>
          <w:lang w:val="fr-CA"/>
        </w:rPr>
      </w:pPr>
    </w:p>
    <w:p w:rsidR="005C4AB1" w:rsidRDefault="005C4AB1" w:rsidP="005C4AB1">
      <w:pPr>
        <w:pStyle w:val="SCCNormalDoubleSpacing"/>
        <w:spacing w:line="240" w:lineRule="auto"/>
        <w:rPr>
          <w:sz w:val="20"/>
          <w:lang w:val="fr-CA"/>
        </w:rPr>
      </w:pPr>
      <w:r w:rsidRPr="00FE0EE9">
        <w:rPr>
          <w:sz w:val="20"/>
          <w:lang w:val="fr-CA"/>
        </w:rPr>
        <w:tab/>
        <w:t xml:space="preserve">Il ne fait aucun doute que l’utilité du sildénafil avait été démontrée au moment du dépôt de la demande de brevet, ce qui soustrait l’invention à l’application de l’exigence de prédiction valable.  Quant aux 13 années écoulées entre le dépôt de la demande de brevet et la contestation, ce délai ne porte pas à conséquence puisque la bonne question à se poser est celle de savoir si la divulgation était suffisante à la date du dépôt.  </w:t>
      </w:r>
    </w:p>
    <w:p w:rsidR="005C4AB1" w:rsidRDefault="005C4AB1" w:rsidP="005C4AB1">
      <w:pPr>
        <w:pStyle w:val="SCCNormalDoubleSpacing"/>
        <w:spacing w:line="240" w:lineRule="auto"/>
        <w:rPr>
          <w:sz w:val="20"/>
          <w:lang w:val="fr-CA"/>
        </w:rPr>
      </w:pPr>
    </w:p>
    <w:p w:rsidR="005C4AB1" w:rsidRPr="00FE0EE9" w:rsidRDefault="005C4AB1" w:rsidP="005C4AB1">
      <w:pPr>
        <w:pStyle w:val="SCCNormalDoubleSpacing"/>
        <w:spacing w:line="240" w:lineRule="auto"/>
        <w:rPr>
          <w:sz w:val="20"/>
          <w:lang w:val="fr-CA"/>
        </w:rPr>
      </w:pPr>
      <w:r w:rsidRPr="00FE0EE9">
        <w:rPr>
          <w:sz w:val="20"/>
          <w:lang w:val="fr-CA"/>
        </w:rPr>
        <w:tab/>
        <w:t>POURVOI contre un arrêt de la Cour d’appel fédérale (le juge en chef Blais et les juges Nadon et Trudel), 2010 CAF 242, [2012] 2 R.C.F. 69, 408 N.R. 166, 88 C.P.R. (4th) 405, [2010] A.C.F. n</w:t>
      </w:r>
      <w:r w:rsidRPr="00FE0EE9">
        <w:rPr>
          <w:sz w:val="20"/>
          <w:vertAlign w:val="superscript"/>
          <w:lang w:val="fr-CA"/>
        </w:rPr>
        <w:t>o</w:t>
      </w:r>
      <w:r w:rsidRPr="00FE0EE9">
        <w:rPr>
          <w:sz w:val="20"/>
          <w:lang w:val="fr-CA"/>
        </w:rPr>
        <w:t xml:space="preserve"> 1200 (QL), 2010 CarswellNat 5725, qui a confirmé une décision du juge Kelen, 2009 CF 638, 76 C.P.R. (4th) 83, 352 F.T.R. 35, [2009] A.C.F. n</w:t>
      </w:r>
      <w:r w:rsidRPr="00FE0EE9">
        <w:rPr>
          <w:sz w:val="20"/>
          <w:vertAlign w:val="superscript"/>
          <w:lang w:val="fr-CA"/>
        </w:rPr>
        <w:t>o</w:t>
      </w:r>
      <w:r w:rsidRPr="00FE0EE9">
        <w:rPr>
          <w:sz w:val="20"/>
          <w:lang w:val="fr-CA"/>
        </w:rPr>
        <w:t xml:space="preserve"> 688 (QL), 2009 CarswellNat 5279. Pourvoi accueilli.</w:t>
      </w:r>
    </w:p>
    <w:p w:rsidR="005C4AB1" w:rsidRDefault="005C4AB1" w:rsidP="005C4AB1">
      <w:pPr>
        <w:pStyle w:val="SCCNormalDoubleSpacing"/>
        <w:spacing w:line="240" w:lineRule="auto"/>
        <w:rPr>
          <w:i/>
          <w:sz w:val="20"/>
          <w:lang w:val="fr-CA"/>
        </w:rPr>
      </w:pPr>
    </w:p>
    <w:p w:rsidR="005C4AB1" w:rsidRDefault="005C4AB1">
      <w:pPr>
        <w:rPr>
          <w:rFonts w:eastAsia="Times New Roman" w:cs="Times New Roman"/>
          <w:i/>
          <w:sz w:val="20"/>
          <w:szCs w:val="20"/>
          <w:lang w:val="fr-CA" w:eastAsia="en-CA"/>
        </w:rPr>
      </w:pPr>
      <w:r>
        <w:rPr>
          <w:i/>
          <w:sz w:val="20"/>
          <w:lang w:val="fr-CA"/>
        </w:rPr>
        <w:br w:type="page"/>
      </w:r>
    </w:p>
    <w:p w:rsidR="005C4AB1" w:rsidRPr="00FE0EE9" w:rsidRDefault="005C4AB1" w:rsidP="005C4AB1">
      <w:pPr>
        <w:pStyle w:val="SCCNormalDoubleSpacing"/>
        <w:spacing w:line="240" w:lineRule="auto"/>
        <w:rPr>
          <w:sz w:val="20"/>
          <w:lang w:val="fr-CA"/>
        </w:rPr>
      </w:pPr>
      <w:r w:rsidRPr="00FE0EE9">
        <w:rPr>
          <w:i/>
          <w:sz w:val="20"/>
          <w:lang w:val="fr-CA"/>
        </w:rPr>
        <w:lastRenderedPageBreak/>
        <w:tab/>
        <w:t>David W. Aitken</w:t>
      </w:r>
      <w:r w:rsidRPr="00FE0EE9">
        <w:rPr>
          <w:sz w:val="20"/>
          <w:lang w:val="fr-CA"/>
        </w:rPr>
        <w:t xml:space="preserve">, </w:t>
      </w:r>
      <w:r w:rsidRPr="00FE0EE9">
        <w:rPr>
          <w:i/>
          <w:sz w:val="20"/>
          <w:lang w:val="fr-CA"/>
        </w:rPr>
        <w:t xml:space="preserve">Marcus Klee </w:t>
      </w:r>
      <w:r w:rsidRPr="00FE0EE9">
        <w:rPr>
          <w:sz w:val="20"/>
          <w:lang w:val="fr-CA"/>
        </w:rPr>
        <w:t xml:space="preserve">et </w:t>
      </w:r>
      <w:r w:rsidRPr="00FE0EE9">
        <w:rPr>
          <w:i/>
          <w:sz w:val="20"/>
          <w:lang w:val="fr-CA"/>
        </w:rPr>
        <w:t>Ildiko Mehes</w:t>
      </w:r>
      <w:r w:rsidRPr="00FE0EE9">
        <w:rPr>
          <w:sz w:val="20"/>
          <w:lang w:val="fr-CA"/>
        </w:rPr>
        <w:t>, pour l’appelante.</w:t>
      </w:r>
    </w:p>
    <w:p w:rsidR="005C4AB1" w:rsidRDefault="005C4AB1" w:rsidP="005C4AB1">
      <w:pPr>
        <w:pStyle w:val="SCCNormalDoubleSpacing"/>
        <w:spacing w:line="240" w:lineRule="auto"/>
        <w:rPr>
          <w:i/>
          <w:sz w:val="20"/>
          <w:lang w:val="fr-CA"/>
        </w:rPr>
      </w:pPr>
    </w:p>
    <w:p w:rsidR="005C4AB1" w:rsidRPr="00FE0EE9" w:rsidRDefault="005C4AB1" w:rsidP="005C4AB1">
      <w:pPr>
        <w:pStyle w:val="SCCNormalDoubleSpacing"/>
        <w:spacing w:line="240" w:lineRule="auto"/>
        <w:rPr>
          <w:sz w:val="20"/>
          <w:lang w:val="fr-CA"/>
        </w:rPr>
      </w:pPr>
      <w:r w:rsidRPr="00FE0EE9">
        <w:rPr>
          <w:i/>
          <w:sz w:val="20"/>
          <w:lang w:val="fr-CA"/>
        </w:rPr>
        <w:tab/>
        <w:t>Andrew Shaughnessy</w:t>
      </w:r>
      <w:r w:rsidRPr="00FE0EE9">
        <w:rPr>
          <w:sz w:val="20"/>
          <w:lang w:val="fr-CA"/>
        </w:rPr>
        <w:t xml:space="preserve">, </w:t>
      </w:r>
      <w:r w:rsidRPr="00FE0EE9">
        <w:rPr>
          <w:i/>
          <w:sz w:val="20"/>
          <w:lang w:val="fr-CA"/>
        </w:rPr>
        <w:t>Andrew Bernstein</w:t>
      </w:r>
      <w:r w:rsidRPr="00FE0EE9">
        <w:rPr>
          <w:sz w:val="20"/>
          <w:lang w:val="fr-CA"/>
        </w:rPr>
        <w:t xml:space="preserve"> et </w:t>
      </w:r>
      <w:r w:rsidRPr="00FE0EE9">
        <w:rPr>
          <w:i/>
          <w:sz w:val="20"/>
          <w:lang w:val="fr-CA"/>
        </w:rPr>
        <w:t>Yael Bienenstock</w:t>
      </w:r>
      <w:r w:rsidRPr="00FE0EE9">
        <w:rPr>
          <w:sz w:val="20"/>
          <w:lang w:val="fr-CA"/>
        </w:rPr>
        <w:t>, pour les intimées Pfizer Canada inc., Pfizer Inc., Pfizer Ireland Pharmaceuticals et Pfizer Research and Development Company N.V</w:t>
      </w:r>
      <w:proofErr w:type="gramStart"/>
      <w:r w:rsidRPr="00FE0EE9">
        <w:rPr>
          <w:sz w:val="20"/>
          <w:lang w:val="fr-CA"/>
        </w:rPr>
        <w:t>./</w:t>
      </w:r>
      <w:proofErr w:type="gramEnd"/>
      <w:r w:rsidRPr="00FE0EE9">
        <w:rPr>
          <w:sz w:val="20"/>
          <w:lang w:val="fr-CA"/>
        </w:rPr>
        <w:t>S.A.</w:t>
      </w:r>
    </w:p>
    <w:p w:rsidR="005C4AB1" w:rsidRDefault="005C4AB1" w:rsidP="005C4AB1">
      <w:pPr>
        <w:pStyle w:val="SCCNormalDoubleSpacing"/>
        <w:spacing w:line="240" w:lineRule="auto"/>
        <w:rPr>
          <w:i/>
          <w:sz w:val="20"/>
          <w:lang w:val="fr-CA"/>
        </w:rPr>
      </w:pPr>
    </w:p>
    <w:p w:rsidR="005C4AB1" w:rsidRPr="00FE0EE9" w:rsidRDefault="005C4AB1" w:rsidP="005C4AB1">
      <w:pPr>
        <w:pStyle w:val="SCCNormalDoubleSpacing"/>
        <w:spacing w:line="240" w:lineRule="auto"/>
        <w:rPr>
          <w:sz w:val="20"/>
          <w:lang w:val="fr-CA"/>
        </w:rPr>
      </w:pPr>
      <w:r w:rsidRPr="00FE0EE9">
        <w:rPr>
          <w:i/>
          <w:sz w:val="20"/>
          <w:lang w:val="fr-CA"/>
        </w:rPr>
        <w:tab/>
        <w:t>Jonathan Stainsby</w:t>
      </w:r>
      <w:r w:rsidRPr="00FE0EE9">
        <w:rPr>
          <w:sz w:val="20"/>
          <w:lang w:val="fr-CA"/>
        </w:rPr>
        <w:t xml:space="preserve"> et </w:t>
      </w:r>
      <w:r w:rsidRPr="00FE0EE9">
        <w:rPr>
          <w:i/>
          <w:sz w:val="20"/>
          <w:lang w:val="fr-CA"/>
        </w:rPr>
        <w:t>Andrew Skodyn</w:t>
      </w:r>
      <w:r w:rsidRPr="00FE0EE9">
        <w:rPr>
          <w:sz w:val="20"/>
          <w:lang w:val="fr-CA"/>
        </w:rPr>
        <w:t>, pour l’intervenante l’Association canadienne du médicament générique.</w:t>
      </w:r>
    </w:p>
    <w:p w:rsidR="005C4AB1" w:rsidRDefault="005C4AB1" w:rsidP="005C4AB1">
      <w:pPr>
        <w:pStyle w:val="SCCNormalDoubleSpacing"/>
        <w:spacing w:line="240" w:lineRule="auto"/>
        <w:rPr>
          <w:i/>
          <w:sz w:val="20"/>
          <w:lang w:val="fr-CA"/>
        </w:rPr>
      </w:pPr>
    </w:p>
    <w:p w:rsidR="005C4AB1" w:rsidRPr="00FE0EE9" w:rsidRDefault="005C4AB1" w:rsidP="005C4AB1">
      <w:pPr>
        <w:pStyle w:val="SCCNormalDoubleSpacing"/>
        <w:spacing w:line="240" w:lineRule="auto"/>
        <w:rPr>
          <w:sz w:val="20"/>
          <w:lang w:val="fr-CA"/>
        </w:rPr>
      </w:pPr>
      <w:r w:rsidRPr="00FE0EE9">
        <w:rPr>
          <w:i/>
          <w:sz w:val="20"/>
          <w:lang w:val="fr-CA"/>
        </w:rPr>
        <w:tab/>
        <w:t>Patrick S. Smith</w:t>
      </w:r>
      <w:r w:rsidRPr="00FE0EE9">
        <w:rPr>
          <w:sz w:val="20"/>
          <w:lang w:val="fr-CA"/>
        </w:rPr>
        <w:t xml:space="preserve"> et </w:t>
      </w:r>
      <w:r w:rsidRPr="00FE0EE9">
        <w:rPr>
          <w:i/>
          <w:sz w:val="20"/>
          <w:lang w:val="fr-CA"/>
        </w:rPr>
        <w:t>Jane E. Clark</w:t>
      </w:r>
      <w:r w:rsidRPr="00FE0EE9">
        <w:rPr>
          <w:sz w:val="20"/>
          <w:lang w:val="fr-CA"/>
        </w:rPr>
        <w:t>, pour l’intervenante Les compagnies de recherche pharmaceutique du Canada.</w:t>
      </w:r>
    </w:p>
    <w:p w:rsidR="005C4AB1" w:rsidRDefault="005C4AB1" w:rsidP="005C4AB1">
      <w:pPr>
        <w:pStyle w:val="SCCNormalDoubleSpacing"/>
        <w:spacing w:line="240" w:lineRule="auto"/>
        <w:rPr>
          <w:i/>
          <w:sz w:val="20"/>
          <w:lang w:val="fr-CA"/>
        </w:rPr>
      </w:pPr>
    </w:p>
    <w:p w:rsidR="005C4AB1" w:rsidRPr="00FE0EE9" w:rsidRDefault="005C4AB1" w:rsidP="005C4AB1">
      <w:pPr>
        <w:pStyle w:val="SCCNormalDoubleSpacing"/>
        <w:spacing w:line="240" w:lineRule="auto"/>
        <w:rPr>
          <w:sz w:val="20"/>
          <w:lang w:val="fr-CA"/>
        </w:rPr>
      </w:pPr>
      <w:r w:rsidRPr="00FE0EE9">
        <w:rPr>
          <w:i/>
          <w:sz w:val="20"/>
          <w:lang w:val="fr-CA"/>
        </w:rPr>
        <w:tab/>
      </w:r>
      <w:r w:rsidRPr="00FE0EE9">
        <w:rPr>
          <w:sz w:val="20"/>
          <w:lang w:val="fr-CA"/>
        </w:rPr>
        <w:t>Personne n’a comparu pour l’intimé le ministre de la Santé.</w:t>
      </w:r>
    </w:p>
    <w:p w:rsidR="005C4AB1" w:rsidRDefault="005C4AB1" w:rsidP="005C4AB1">
      <w:pPr>
        <w:pStyle w:val="SCCLawFirm"/>
        <w:spacing w:line="240" w:lineRule="auto"/>
        <w:rPr>
          <w:sz w:val="20"/>
          <w:lang w:val="fr-CA"/>
        </w:rPr>
      </w:pPr>
    </w:p>
    <w:p w:rsidR="005C4AB1" w:rsidRPr="00FE0EE9" w:rsidRDefault="005C4AB1" w:rsidP="005C4AB1">
      <w:pPr>
        <w:pStyle w:val="SCCLawFirm"/>
        <w:spacing w:line="240" w:lineRule="auto"/>
        <w:rPr>
          <w:sz w:val="20"/>
          <w:lang w:val="fr-CA"/>
        </w:rPr>
      </w:pPr>
      <w:r w:rsidRPr="00FE0EE9">
        <w:rPr>
          <w:sz w:val="20"/>
          <w:lang w:val="fr-CA"/>
        </w:rPr>
        <w:tab/>
        <w:t>Procureurs de l’appelante : Osler, Hoskin &amp; Harcourt, Ottawa.</w:t>
      </w:r>
    </w:p>
    <w:p w:rsidR="005C4AB1" w:rsidRDefault="005C4AB1" w:rsidP="005C4AB1">
      <w:pPr>
        <w:pStyle w:val="SCCLawFirm"/>
        <w:spacing w:line="240" w:lineRule="auto"/>
        <w:rPr>
          <w:sz w:val="20"/>
          <w:lang w:val="fr-CA"/>
        </w:rPr>
      </w:pPr>
    </w:p>
    <w:p w:rsidR="005C4AB1" w:rsidRPr="00FE0EE9" w:rsidRDefault="005C4AB1" w:rsidP="005C4AB1">
      <w:pPr>
        <w:pStyle w:val="SCCLawFirm"/>
        <w:spacing w:line="240" w:lineRule="auto"/>
        <w:rPr>
          <w:sz w:val="20"/>
          <w:lang w:val="fr-CA"/>
        </w:rPr>
      </w:pPr>
      <w:r w:rsidRPr="00FE0EE9">
        <w:rPr>
          <w:sz w:val="20"/>
          <w:lang w:val="fr-CA"/>
        </w:rPr>
        <w:tab/>
        <w:t>Procureurs des intimées Pfizer Canada inc., Pfizer Inc., Pfizer Ireland Pharmaceuticals et Pfizer Research and Development Company N.V</w:t>
      </w:r>
      <w:proofErr w:type="gramStart"/>
      <w:r w:rsidRPr="00FE0EE9">
        <w:rPr>
          <w:sz w:val="20"/>
          <w:lang w:val="fr-CA"/>
        </w:rPr>
        <w:t>./</w:t>
      </w:r>
      <w:proofErr w:type="gramEnd"/>
      <w:r w:rsidRPr="00FE0EE9">
        <w:rPr>
          <w:sz w:val="20"/>
          <w:lang w:val="fr-CA"/>
        </w:rPr>
        <w:t>S.A. : Torys, Toronto.</w:t>
      </w:r>
    </w:p>
    <w:p w:rsidR="005C4AB1" w:rsidRDefault="005C4AB1" w:rsidP="005C4AB1">
      <w:pPr>
        <w:pStyle w:val="SCCLawFirm"/>
        <w:spacing w:line="240" w:lineRule="auto"/>
        <w:rPr>
          <w:sz w:val="20"/>
          <w:lang w:val="fr-CA"/>
        </w:rPr>
      </w:pPr>
    </w:p>
    <w:p w:rsidR="005C4AB1" w:rsidRPr="00FE0EE9" w:rsidRDefault="005C4AB1" w:rsidP="005C4AB1">
      <w:pPr>
        <w:pStyle w:val="SCCLawFirm"/>
        <w:spacing w:line="240" w:lineRule="auto"/>
        <w:rPr>
          <w:sz w:val="20"/>
          <w:lang w:val="fr-CA"/>
        </w:rPr>
      </w:pPr>
      <w:r w:rsidRPr="00FE0EE9">
        <w:rPr>
          <w:sz w:val="20"/>
          <w:lang w:val="fr-CA"/>
        </w:rPr>
        <w:tab/>
        <w:t>Procureurs de l’intervenante l’Association canadienne du médicament générique : Heenan Blaikie, Toronto.</w:t>
      </w:r>
    </w:p>
    <w:p w:rsidR="005C4AB1" w:rsidRDefault="005C4AB1" w:rsidP="005C4AB1">
      <w:pPr>
        <w:pStyle w:val="SCCLawFirm"/>
        <w:spacing w:line="240" w:lineRule="auto"/>
        <w:rPr>
          <w:sz w:val="20"/>
          <w:lang w:val="fr-CA"/>
        </w:rPr>
      </w:pPr>
    </w:p>
    <w:p w:rsidR="005C4AB1" w:rsidRDefault="005C4AB1" w:rsidP="005C4AB1">
      <w:pPr>
        <w:pStyle w:val="SCCLawFirm"/>
        <w:spacing w:line="240" w:lineRule="auto"/>
        <w:rPr>
          <w:sz w:val="20"/>
          <w:lang w:val="fr-CA"/>
        </w:rPr>
      </w:pPr>
      <w:r w:rsidRPr="00FE0EE9">
        <w:rPr>
          <w:sz w:val="20"/>
          <w:lang w:val="fr-CA"/>
        </w:rPr>
        <w:tab/>
        <w:t>Procureurs de l’intervenante Les compagnies de recherche pharmaceutique du Canada : Gowling Lafleur Henderson, Ottawa.</w:t>
      </w:r>
    </w:p>
    <w:p w:rsidR="005C4AB1" w:rsidRPr="005C4AB1" w:rsidRDefault="005C4AB1" w:rsidP="003B3977">
      <w:pPr>
        <w:rPr>
          <w:sz w:val="20"/>
          <w:szCs w:val="20"/>
          <w:lang w:val="fr-CA"/>
        </w:rPr>
      </w:pPr>
    </w:p>
    <w:p w:rsidR="00256147" w:rsidRDefault="00BF3B03" w:rsidP="003B3977">
      <w:pPr>
        <w:rPr>
          <w:rFonts w:cs="Times New Roman"/>
          <w:sz w:val="20"/>
          <w:szCs w:val="20"/>
          <w:lang w:val="fr-CA"/>
        </w:rPr>
      </w:pPr>
      <w:r w:rsidRPr="00BF3B03">
        <w:rPr>
          <w:rFonts w:cs="Times New Roman"/>
          <w:sz w:val="20"/>
          <w:szCs w:val="20"/>
          <w:lang w:val="fr-CA"/>
        </w:rPr>
        <w:pict>
          <v:rect id="_x0000_i1109" style="width:144.3pt;height:1pt" o:hrpct="300" o:hralign="center" o:hrstd="t" o:hrnoshade="t" o:hr="t" fillcolor="black [3213]" stroked="f"/>
        </w:pict>
      </w:r>
    </w:p>
    <w:p w:rsidR="00256147" w:rsidRDefault="00256147" w:rsidP="003B3977">
      <w:pPr>
        <w:rPr>
          <w:sz w:val="20"/>
          <w:szCs w:val="20"/>
        </w:rPr>
      </w:pPr>
    </w:p>
    <w:p w:rsidR="00256147" w:rsidRDefault="00256147">
      <w:pPr>
        <w:rPr>
          <w:sz w:val="20"/>
          <w:szCs w:val="20"/>
        </w:rPr>
      </w:pPr>
      <w:r>
        <w:rPr>
          <w:sz w:val="20"/>
          <w:szCs w:val="20"/>
        </w:rPr>
        <w:br w:type="page"/>
      </w:r>
    </w:p>
    <w:p w:rsidR="003C2DDC" w:rsidRPr="00BA3178" w:rsidRDefault="003C2DDC" w:rsidP="003C2DDC">
      <w:pPr>
        <w:pStyle w:val="SCCLsocParty"/>
        <w:rPr>
          <w:i w:val="0"/>
          <w:sz w:val="20"/>
          <w:szCs w:val="20"/>
          <w:lang w:val="en-CA"/>
        </w:rPr>
      </w:pPr>
      <w:proofErr w:type="gramStart"/>
      <w:r w:rsidRPr="00BA3178">
        <w:rPr>
          <w:sz w:val="20"/>
          <w:szCs w:val="20"/>
          <w:lang w:val="en-CA"/>
        </w:rPr>
        <w:lastRenderedPageBreak/>
        <w:t>Frederick Moore on behalf of Jeffrey P. Moore v.</w:t>
      </w:r>
      <w:proofErr w:type="gramEnd"/>
      <w:r w:rsidRPr="00BA3178">
        <w:rPr>
          <w:sz w:val="20"/>
          <w:szCs w:val="20"/>
          <w:lang w:val="en-CA"/>
        </w:rPr>
        <w:t xml:space="preserve"> Her Majesty the Queen in Right of the Province of British Columbia as represented by the Ministry of Education et al. </w:t>
      </w:r>
      <w:r w:rsidRPr="00BA3178">
        <w:rPr>
          <w:i w:val="0"/>
          <w:sz w:val="20"/>
          <w:szCs w:val="20"/>
          <w:lang w:val="en-CA"/>
        </w:rPr>
        <w:t>(B.C.) (</w:t>
      </w:r>
      <w:r w:rsidRPr="00BA3178">
        <w:rPr>
          <w:i w:val="0"/>
          <w:sz w:val="20"/>
          <w:szCs w:val="20"/>
          <w:lang w:val="en-GB"/>
        </w:rPr>
        <w:t>34040/34041)</w:t>
      </w:r>
    </w:p>
    <w:p w:rsidR="00676BD5" w:rsidRDefault="00676BD5" w:rsidP="00676BD5">
      <w:pPr>
        <w:jc w:val="both"/>
        <w:rPr>
          <w:b/>
          <w:sz w:val="20"/>
          <w:szCs w:val="20"/>
        </w:rPr>
      </w:pPr>
      <w:r w:rsidRPr="00A0221F">
        <w:rPr>
          <w:b/>
          <w:sz w:val="20"/>
          <w:szCs w:val="20"/>
        </w:rPr>
        <w:t xml:space="preserve">Indexed as:  Moore </w:t>
      </w:r>
      <w:r w:rsidRPr="00A0221F">
        <w:rPr>
          <w:b/>
          <w:i/>
          <w:sz w:val="20"/>
          <w:szCs w:val="20"/>
        </w:rPr>
        <w:t>v.</w:t>
      </w:r>
      <w:r w:rsidRPr="00A0221F">
        <w:rPr>
          <w:b/>
          <w:sz w:val="20"/>
          <w:szCs w:val="20"/>
        </w:rPr>
        <w:t xml:space="preserve"> British Columbia (Education)</w:t>
      </w:r>
      <w:r>
        <w:rPr>
          <w:b/>
          <w:sz w:val="20"/>
          <w:szCs w:val="20"/>
        </w:rPr>
        <w:t xml:space="preserve"> / </w:t>
      </w:r>
    </w:p>
    <w:p w:rsidR="00676BD5" w:rsidRPr="00676BD5" w:rsidRDefault="00676BD5" w:rsidP="00676BD5">
      <w:pPr>
        <w:jc w:val="both"/>
        <w:rPr>
          <w:b/>
          <w:sz w:val="20"/>
          <w:lang w:val="fr-CA"/>
        </w:rPr>
      </w:pPr>
      <w:r w:rsidRPr="00676BD5">
        <w:rPr>
          <w:b/>
          <w:sz w:val="20"/>
          <w:szCs w:val="20"/>
          <w:lang w:val="fr-CA"/>
        </w:rPr>
        <w:t xml:space="preserve">Répertorié : Moore </w:t>
      </w:r>
      <w:r w:rsidRPr="00676BD5">
        <w:rPr>
          <w:b/>
          <w:i/>
          <w:sz w:val="20"/>
          <w:szCs w:val="20"/>
          <w:lang w:val="fr-CA"/>
        </w:rPr>
        <w:t>c.</w:t>
      </w:r>
      <w:r w:rsidRPr="00676BD5">
        <w:rPr>
          <w:b/>
          <w:sz w:val="20"/>
          <w:szCs w:val="20"/>
          <w:lang w:val="fr-CA"/>
        </w:rPr>
        <w:t xml:space="preserve"> Colombie</w:t>
      </w:r>
      <w:r w:rsidRPr="00676BD5">
        <w:rPr>
          <w:b/>
          <w:sz w:val="20"/>
          <w:szCs w:val="20"/>
          <w:lang w:val="fr-CA"/>
        </w:rPr>
        <w:noBreakHyphen/>
        <w:t>Britannique (Éducation)</w:t>
      </w:r>
    </w:p>
    <w:p w:rsidR="00256147" w:rsidRPr="00676BD5" w:rsidRDefault="00256147" w:rsidP="00256147">
      <w:pPr>
        <w:pStyle w:val="SCCSystemYear"/>
        <w:jc w:val="both"/>
        <w:rPr>
          <w:sz w:val="20"/>
        </w:rPr>
      </w:pPr>
      <w:r w:rsidRPr="00676BD5">
        <w:rPr>
          <w:sz w:val="20"/>
        </w:rPr>
        <w:t>Neutral citation</w:t>
      </w:r>
      <w:proofErr w:type="gramStart"/>
      <w:r w:rsidRPr="00676BD5">
        <w:rPr>
          <w:sz w:val="20"/>
        </w:rPr>
        <w:t>:  2012</w:t>
      </w:r>
      <w:proofErr w:type="gramEnd"/>
      <w:r w:rsidRPr="00676BD5">
        <w:rPr>
          <w:sz w:val="20"/>
        </w:rPr>
        <w:t xml:space="preserve"> SCC 61 / Référence neutre : 2012 CSC 61</w:t>
      </w:r>
    </w:p>
    <w:p w:rsidR="00256147" w:rsidRPr="00F54F93" w:rsidRDefault="00256147" w:rsidP="00256147">
      <w:pPr>
        <w:rPr>
          <w:sz w:val="20"/>
          <w:szCs w:val="20"/>
          <w:lang w:val="fr-CA"/>
        </w:rPr>
      </w:pPr>
      <w:r w:rsidRPr="00F54F93">
        <w:rPr>
          <w:sz w:val="20"/>
          <w:szCs w:val="20"/>
          <w:lang w:val="fr-CA"/>
        </w:rPr>
        <w:t>Hearing</w:t>
      </w:r>
      <w:proofErr w:type="gramStart"/>
      <w:r w:rsidRPr="00F54F93">
        <w:rPr>
          <w:sz w:val="20"/>
          <w:szCs w:val="20"/>
          <w:lang w:val="fr-CA"/>
        </w:rPr>
        <w:t>:  Ma</w:t>
      </w:r>
      <w:r w:rsidR="00D41C9D" w:rsidRPr="00F54F93">
        <w:rPr>
          <w:sz w:val="20"/>
          <w:szCs w:val="20"/>
          <w:lang w:val="fr-CA"/>
        </w:rPr>
        <w:t>rch</w:t>
      </w:r>
      <w:proofErr w:type="gramEnd"/>
      <w:r w:rsidR="00D41C9D" w:rsidRPr="00F54F93">
        <w:rPr>
          <w:sz w:val="20"/>
          <w:szCs w:val="20"/>
          <w:lang w:val="fr-CA"/>
        </w:rPr>
        <w:t xml:space="preserve"> </w:t>
      </w:r>
      <w:r w:rsidRPr="00F54F93">
        <w:rPr>
          <w:sz w:val="20"/>
          <w:szCs w:val="20"/>
          <w:lang w:val="fr-CA"/>
        </w:rPr>
        <w:t>2</w:t>
      </w:r>
      <w:r w:rsidR="00D41C9D" w:rsidRPr="00F54F93">
        <w:rPr>
          <w:sz w:val="20"/>
          <w:szCs w:val="20"/>
          <w:lang w:val="fr-CA"/>
        </w:rPr>
        <w:t>2</w:t>
      </w:r>
      <w:r w:rsidRPr="00F54F93">
        <w:rPr>
          <w:sz w:val="20"/>
          <w:szCs w:val="20"/>
          <w:lang w:val="fr-CA"/>
        </w:rPr>
        <w:t>, 201</w:t>
      </w:r>
      <w:r w:rsidR="00D41C9D" w:rsidRPr="00F54F93">
        <w:rPr>
          <w:sz w:val="20"/>
          <w:szCs w:val="20"/>
          <w:lang w:val="fr-CA"/>
        </w:rPr>
        <w:t>2</w:t>
      </w:r>
      <w:r w:rsidRPr="00F54F93">
        <w:rPr>
          <w:sz w:val="20"/>
          <w:szCs w:val="20"/>
          <w:lang w:val="fr-CA"/>
        </w:rPr>
        <w:t xml:space="preserve"> / Judgment:  November 9, 2012</w:t>
      </w:r>
    </w:p>
    <w:p w:rsidR="00256147" w:rsidRPr="003B3977" w:rsidRDefault="00256147" w:rsidP="00256147">
      <w:pPr>
        <w:rPr>
          <w:sz w:val="20"/>
          <w:szCs w:val="20"/>
          <w:lang w:val="fr-CA"/>
        </w:rPr>
      </w:pPr>
      <w:r w:rsidRPr="003B3977">
        <w:rPr>
          <w:sz w:val="20"/>
          <w:szCs w:val="20"/>
          <w:lang w:val="fr-CA"/>
        </w:rPr>
        <w:t>Audition : Le 2</w:t>
      </w:r>
      <w:r w:rsidR="00D41C9D">
        <w:rPr>
          <w:sz w:val="20"/>
          <w:szCs w:val="20"/>
          <w:lang w:val="fr-CA"/>
        </w:rPr>
        <w:t>2</w:t>
      </w:r>
      <w:r w:rsidRPr="003B3977">
        <w:rPr>
          <w:sz w:val="20"/>
          <w:szCs w:val="20"/>
          <w:lang w:val="fr-CA"/>
        </w:rPr>
        <w:t xml:space="preserve"> ma</w:t>
      </w:r>
      <w:r w:rsidR="00D41C9D">
        <w:rPr>
          <w:sz w:val="20"/>
          <w:szCs w:val="20"/>
          <w:lang w:val="fr-CA"/>
        </w:rPr>
        <w:t>rs</w:t>
      </w:r>
      <w:r w:rsidRPr="003B3977">
        <w:rPr>
          <w:sz w:val="20"/>
          <w:szCs w:val="20"/>
          <w:lang w:val="fr-CA"/>
        </w:rPr>
        <w:t xml:space="preserve"> 201</w:t>
      </w:r>
      <w:r w:rsidR="00D41C9D">
        <w:rPr>
          <w:sz w:val="20"/>
          <w:szCs w:val="20"/>
          <w:lang w:val="fr-CA"/>
        </w:rPr>
        <w:t>2</w:t>
      </w:r>
      <w:r w:rsidRPr="003B3977">
        <w:rPr>
          <w:sz w:val="20"/>
          <w:szCs w:val="20"/>
          <w:lang w:val="fr-CA"/>
        </w:rPr>
        <w:t xml:space="preserve"> / Jugement : Le </w:t>
      </w:r>
      <w:r>
        <w:rPr>
          <w:sz w:val="20"/>
          <w:szCs w:val="20"/>
          <w:lang w:val="fr-CA"/>
        </w:rPr>
        <w:t>9</w:t>
      </w:r>
      <w:r w:rsidRPr="003B3977">
        <w:rPr>
          <w:sz w:val="20"/>
          <w:szCs w:val="20"/>
          <w:lang w:val="fr-CA"/>
        </w:rPr>
        <w:t xml:space="preserve"> </w:t>
      </w:r>
      <w:r>
        <w:rPr>
          <w:sz w:val="20"/>
          <w:szCs w:val="20"/>
          <w:lang w:val="fr-CA"/>
        </w:rPr>
        <w:t>novem</w:t>
      </w:r>
      <w:r w:rsidRPr="003B3977">
        <w:rPr>
          <w:sz w:val="20"/>
          <w:szCs w:val="20"/>
          <w:lang w:val="fr-CA"/>
        </w:rPr>
        <w:t>bre 201</w:t>
      </w:r>
      <w:r>
        <w:rPr>
          <w:sz w:val="20"/>
          <w:szCs w:val="20"/>
          <w:lang w:val="fr-CA"/>
        </w:rPr>
        <w:t>2</w:t>
      </w:r>
    </w:p>
    <w:p w:rsidR="00256147" w:rsidRPr="003B3977" w:rsidRDefault="00BF3B03" w:rsidP="00256147">
      <w:pPr>
        <w:rPr>
          <w:sz w:val="20"/>
          <w:szCs w:val="20"/>
          <w:lang w:val="fr-CA"/>
        </w:rPr>
      </w:pPr>
      <w:r w:rsidRPr="00BF3B03">
        <w:rPr>
          <w:i/>
          <w:sz w:val="20"/>
          <w:szCs w:val="20"/>
        </w:rPr>
        <w:pict>
          <v:rect id="_x0000_i1110" style="width:480.95pt;height:1pt" o:hralign="center" o:hrstd="t" o:hrnoshade="t" o:hr="t" fillcolor="black [3213]" stroked="f"/>
        </w:pict>
      </w:r>
    </w:p>
    <w:p w:rsidR="00256147" w:rsidRPr="003B3977" w:rsidRDefault="00256147" w:rsidP="00256147">
      <w:pPr>
        <w:spacing w:line="0" w:lineRule="atLeast"/>
        <w:rPr>
          <w:sz w:val="20"/>
          <w:szCs w:val="20"/>
          <w:lang w:val="fr-CA"/>
        </w:rPr>
      </w:pPr>
    </w:p>
    <w:p w:rsidR="00676BD5" w:rsidRPr="00A0221F" w:rsidRDefault="00676BD5" w:rsidP="00676BD5">
      <w:pPr>
        <w:jc w:val="both"/>
        <w:rPr>
          <w:sz w:val="20"/>
          <w:szCs w:val="20"/>
        </w:rPr>
      </w:pPr>
      <w:r w:rsidRPr="00A0221F">
        <w:rPr>
          <w:sz w:val="20"/>
          <w:szCs w:val="20"/>
        </w:rPr>
        <w:t>Present:  McLachlin C.J. and LeBel, Deschamps, Fish, Abella, Rothstein, Cromwell, Moldaver and Karakatsanis JJ.</w:t>
      </w:r>
    </w:p>
    <w:p w:rsidR="00676BD5" w:rsidRDefault="00676BD5" w:rsidP="00676BD5">
      <w:pPr>
        <w:pStyle w:val="SCCLowerCourtNameLowercase"/>
        <w:spacing w:line="240" w:lineRule="auto"/>
        <w:rPr>
          <w:sz w:val="20"/>
        </w:rPr>
      </w:pPr>
    </w:p>
    <w:p w:rsidR="00676BD5" w:rsidRPr="00A0221F" w:rsidRDefault="00676BD5" w:rsidP="00676BD5">
      <w:pPr>
        <w:pStyle w:val="SCCNormalDoubleSpacing"/>
        <w:spacing w:line="240" w:lineRule="auto"/>
        <w:rPr>
          <w:i/>
          <w:sz w:val="20"/>
        </w:rPr>
      </w:pPr>
      <w:r w:rsidRPr="00A0221F">
        <w:rPr>
          <w:i/>
          <w:sz w:val="20"/>
        </w:rPr>
        <w:tab/>
        <w:t>Human rights — Discrimination — Prohibited grounds — Mental or physical disability — Education — Student with dyslexia attending public school — School district cancelling special education program requiring student to enrol in specialized private school — Whether school district discriminating against student by failing to provide necessary remediation — Human Rights Code, R.S.B.C. 1996, c. 210, s. 8.</w:t>
      </w:r>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i/>
          <w:sz w:val="20"/>
        </w:rPr>
      </w:pPr>
      <w:r w:rsidRPr="00A0221F">
        <w:rPr>
          <w:i/>
          <w:sz w:val="20"/>
        </w:rPr>
        <w:tab/>
        <w:t xml:space="preserve">Education law — School regulation and administration — Curriculum and education programs — Obligations of school authorities — </w:t>
      </w:r>
      <w:proofErr w:type="gramStart"/>
      <w:r w:rsidRPr="00A0221F">
        <w:rPr>
          <w:i/>
          <w:sz w:val="20"/>
        </w:rPr>
        <w:t>What</w:t>
      </w:r>
      <w:proofErr w:type="gramEnd"/>
      <w:r w:rsidRPr="00A0221F">
        <w:rPr>
          <w:i/>
          <w:sz w:val="20"/>
        </w:rPr>
        <w:t xml:space="preserve"> constitutes meaningful access to education for students with learning disabilities — School Act, S.B.C. 1989, c. 61.</w:t>
      </w:r>
    </w:p>
    <w:p w:rsidR="00676BD5" w:rsidRDefault="00676BD5" w:rsidP="00676BD5">
      <w:pPr>
        <w:pStyle w:val="SCCNormalDoubleSpacing"/>
        <w:spacing w:line="240" w:lineRule="auto"/>
        <w:rPr>
          <w:sz w:val="20"/>
        </w:rPr>
      </w:pPr>
    </w:p>
    <w:p w:rsidR="00676BD5" w:rsidRPr="00A0221F" w:rsidRDefault="00676BD5" w:rsidP="00676BD5">
      <w:pPr>
        <w:pStyle w:val="SCCNormalDoubleSpacing"/>
        <w:spacing w:line="240" w:lineRule="auto"/>
        <w:rPr>
          <w:sz w:val="20"/>
        </w:rPr>
      </w:pPr>
      <w:r w:rsidRPr="00A0221F">
        <w:rPr>
          <w:sz w:val="20"/>
        </w:rPr>
        <w:tab/>
        <w:t xml:space="preserve">J suffered from severe dyslexia for which he received special education at his public school.  In Grade 2, a psychologist employed by the school District recommended that since he could not get the remedial help he needed at his school, he should attend the local Diagnostic Centre to receive the necessary remediation.  When the Diagnostic Centre was closed by the school District, J transferred to a private school to get the instruction he needed.  His father filed a complaint with the B.C. Human Rights Tribunal on J’s behalf against the school District and the Province on the grounds that J had been denied a “service customarily available to the public” under s. 8 of the B.C. </w:t>
      </w:r>
      <w:r w:rsidRPr="00A0221F">
        <w:rPr>
          <w:i/>
          <w:sz w:val="20"/>
        </w:rPr>
        <w:t>Human Rights Code</w:t>
      </w:r>
      <w:r w:rsidRPr="00A0221F">
        <w:rPr>
          <w:sz w:val="20"/>
        </w:rPr>
        <w:t>.  The Tribunal concluded that there was discrimination against J by the District and the Province and ordered a wide range of sweeping systemic remedies against both.  It also ordered that the family be reimbursed for the tuition costs of J’s private school.  The reviewing judge set aside the Tribunal’s decision, finding that there was no discrimination.  A majority of the Court of Appeal dismissed the appeal. </w:t>
      </w:r>
    </w:p>
    <w:p w:rsidR="00676BD5" w:rsidRDefault="00676BD5" w:rsidP="00676BD5">
      <w:pPr>
        <w:pStyle w:val="SCCNormalDoubleSpacing"/>
        <w:spacing w:line="240" w:lineRule="auto"/>
        <w:rPr>
          <w:sz w:val="20"/>
        </w:rPr>
      </w:pPr>
    </w:p>
    <w:p w:rsidR="00676BD5" w:rsidRPr="00A0221F" w:rsidRDefault="00676BD5" w:rsidP="00676BD5">
      <w:pPr>
        <w:pStyle w:val="SCCNormalDoubleSpacing"/>
        <w:spacing w:line="240" w:lineRule="auto"/>
        <w:rPr>
          <w:b/>
          <w:sz w:val="20"/>
        </w:rPr>
      </w:pPr>
      <w:r w:rsidRPr="00A0221F">
        <w:rPr>
          <w:sz w:val="20"/>
        </w:rPr>
        <w:tab/>
      </w:r>
      <w:r w:rsidRPr="00A0221F">
        <w:rPr>
          <w:i/>
          <w:sz w:val="20"/>
        </w:rPr>
        <w:t>Held</w:t>
      </w:r>
      <w:r w:rsidRPr="00A0221F">
        <w:rPr>
          <w:sz w:val="20"/>
        </w:rPr>
        <w:t>:  The appeal is substantially allowed.</w:t>
      </w:r>
    </w:p>
    <w:p w:rsidR="00676BD5" w:rsidRDefault="00676BD5" w:rsidP="00676BD5">
      <w:pPr>
        <w:pStyle w:val="SCCNormalDoubleSpacing"/>
        <w:spacing w:line="240" w:lineRule="auto"/>
        <w:rPr>
          <w:sz w:val="20"/>
        </w:rPr>
      </w:pPr>
    </w:p>
    <w:p w:rsidR="00676BD5" w:rsidRPr="00A0221F" w:rsidRDefault="00676BD5" w:rsidP="00676BD5">
      <w:pPr>
        <w:pStyle w:val="SCCNormalDoubleSpacing"/>
        <w:spacing w:line="240" w:lineRule="auto"/>
        <w:rPr>
          <w:sz w:val="20"/>
        </w:rPr>
      </w:pPr>
      <w:r w:rsidRPr="00A0221F">
        <w:rPr>
          <w:sz w:val="20"/>
        </w:rPr>
        <w:tab/>
        <w:t xml:space="preserve">The purpose of the </w:t>
      </w:r>
      <w:r w:rsidRPr="00A0221F">
        <w:rPr>
          <w:i/>
          <w:sz w:val="20"/>
        </w:rPr>
        <w:t>School Act</w:t>
      </w:r>
      <w:r w:rsidRPr="00A0221F">
        <w:rPr>
          <w:sz w:val="20"/>
        </w:rPr>
        <w:t xml:space="preserve"> in British Columbia is to ensure that “all learners. . . develop their individual potential and. . . </w:t>
      </w:r>
      <w:proofErr w:type="gramStart"/>
      <w:r w:rsidRPr="00A0221F">
        <w:rPr>
          <w:sz w:val="20"/>
        </w:rPr>
        <w:t>acquire</w:t>
      </w:r>
      <w:proofErr w:type="gramEnd"/>
      <w:r w:rsidRPr="00A0221F">
        <w:rPr>
          <w:sz w:val="20"/>
        </w:rPr>
        <w:t xml:space="preserve"> the knowledge, skills and attitudes needed to contribute to a healthy, democratic and pluralistic society and a prosperous and sustainable economy.”  This is an acknowledgment by the government that the reason children are entitled to an education is that a healthy democracy and economy require their educated contribution.  Adequate special education, therefore, is not a dispensable luxury.  For those with severe learning disabilities, it is the ramp that provides access to the statutory commitment to education made to </w:t>
      </w:r>
      <w:r w:rsidRPr="00A0221F">
        <w:rPr>
          <w:i/>
          <w:sz w:val="20"/>
        </w:rPr>
        <w:t>all</w:t>
      </w:r>
      <w:r w:rsidRPr="00A0221F">
        <w:rPr>
          <w:sz w:val="20"/>
        </w:rPr>
        <w:t xml:space="preserve"> children in British Columbia.</w:t>
      </w:r>
    </w:p>
    <w:p w:rsidR="00676BD5" w:rsidRDefault="00676BD5" w:rsidP="00676BD5">
      <w:pPr>
        <w:pStyle w:val="SCCNormalDoubleSpacing"/>
        <w:spacing w:line="240" w:lineRule="auto"/>
        <w:rPr>
          <w:sz w:val="20"/>
        </w:rPr>
      </w:pPr>
    </w:p>
    <w:p w:rsidR="00676BD5" w:rsidRPr="00A0221F" w:rsidRDefault="00676BD5" w:rsidP="00676BD5">
      <w:pPr>
        <w:pStyle w:val="SCCNormalDoubleSpacing"/>
        <w:spacing w:line="240" w:lineRule="auto"/>
        <w:rPr>
          <w:sz w:val="20"/>
        </w:rPr>
      </w:pPr>
      <w:r w:rsidRPr="00A0221F">
        <w:rPr>
          <w:sz w:val="20"/>
        </w:rPr>
        <w:tab/>
        <w:t>The “service” to which J is entitled under s. 8 of the B.C.</w:t>
      </w:r>
      <w:r w:rsidRPr="00A0221F">
        <w:rPr>
          <w:i/>
          <w:sz w:val="20"/>
        </w:rPr>
        <w:t xml:space="preserve"> Human Rights</w:t>
      </w:r>
      <w:r w:rsidRPr="00A0221F">
        <w:rPr>
          <w:sz w:val="20"/>
        </w:rPr>
        <w:t xml:space="preserve"> </w:t>
      </w:r>
      <w:r w:rsidRPr="00A0221F">
        <w:rPr>
          <w:i/>
          <w:sz w:val="20"/>
        </w:rPr>
        <w:t>Code</w:t>
      </w:r>
      <w:r w:rsidRPr="00A0221F">
        <w:rPr>
          <w:sz w:val="20"/>
        </w:rPr>
        <w:t xml:space="preserve"> is education generally.  To define special education as the service at issue risks descending into a kind of “separate but equal” approach.  Comparing J only with other special needs students would mean that the District could cut </w:t>
      </w:r>
      <w:r w:rsidRPr="00A0221F">
        <w:rPr>
          <w:i/>
          <w:sz w:val="20"/>
        </w:rPr>
        <w:t>all</w:t>
      </w:r>
      <w:r w:rsidRPr="00A0221F">
        <w:rPr>
          <w:sz w:val="20"/>
        </w:rPr>
        <w:t xml:space="preserve"> special needs programs and yet be immune from a claim of discrimination.  </w:t>
      </w:r>
      <w:r w:rsidRPr="00A0221F">
        <w:rPr>
          <w:sz w:val="20"/>
          <w:lang w:val="en-US" w:bidi="en-US"/>
        </w:rPr>
        <w:t>If J is compared only to other</w:t>
      </w:r>
      <w:r w:rsidRPr="00A0221F">
        <w:rPr>
          <w:sz w:val="20"/>
        </w:rPr>
        <w:t xml:space="preserve"> special needs students, full consideration cannot be given to whether he had meaningful access to the education to which </w:t>
      </w:r>
      <w:r w:rsidRPr="00A0221F">
        <w:rPr>
          <w:i/>
          <w:sz w:val="20"/>
        </w:rPr>
        <w:t xml:space="preserve">all </w:t>
      </w:r>
      <w:r w:rsidRPr="00A0221F">
        <w:rPr>
          <w:sz w:val="20"/>
        </w:rPr>
        <w:t xml:space="preserve">students in British Columbia are entitled.  </w:t>
      </w:r>
      <w:proofErr w:type="gramStart"/>
      <w:r w:rsidRPr="00A0221F">
        <w:rPr>
          <w:sz w:val="20"/>
        </w:rPr>
        <w:t>This risks</w:t>
      </w:r>
      <w:proofErr w:type="gramEnd"/>
      <w:r w:rsidRPr="00A0221F">
        <w:rPr>
          <w:sz w:val="20"/>
        </w:rPr>
        <w:t xml:space="preserve"> perpetuating the very disadvantage and exclusion the </w:t>
      </w:r>
      <w:r w:rsidRPr="00A0221F">
        <w:rPr>
          <w:i/>
          <w:iCs/>
          <w:sz w:val="20"/>
        </w:rPr>
        <w:t>Code</w:t>
      </w:r>
      <w:r w:rsidRPr="00A0221F">
        <w:rPr>
          <w:sz w:val="20"/>
        </w:rPr>
        <w:t xml:space="preserve"> is intended to remedy. </w:t>
      </w:r>
    </w:p>
    <w:p w:rsidR="00676BD5" w:rsidRDefault="00676BD5" w:rsidP="00676BD5">
      <w:pPr>
        <w:pStyle w:val="SCCNormalDoubleSpacing"/>
        <w:spacing w:line="240" w:lineRule="auto"/>
        <w:rPr>
          <w:sz w:val="20"/>
          <w:lang w:bidi="en-US"/>
        </w:rPr>
      </w:pPr>
    </w:p>
    <w:p w:rsidR="00676BD5" w:rsidRPr="00A0221F" w:rsidRDefault="00676BD5" w:rsidP="00676BD5">
      <w:pPr>
        <w:pStyle w:val="SCCNormalDoubleSpacing"/>
        <w:spacing w:line="240" w:lineRule="auto"/>
        <w:rPr>
          <w:sz w:val="20"/>
          <w:lang w:bidi="en-US"/>
        </w:rPr>
      </w:pPr>
      <w:r w:rsidRPr="00A0221F">
        <w:rPr>
          <w:sz w:val="20"/>
          <w:lang w:bidi="en-US"/>
        </w:rPr>
        <w:tab/>
        <w:t xml:space="preserve">To </w:t>
      </w:r>
      <w:r w:rsidRPr="00A0221F">
        <w:rPr>
          <w:sz w:val="20"/>
        </w:rPr>
        <w:t>demonstrate</w:t>
      </w:r>
      <w:r w:rsidRPr="00A0221F">
        <w:rPr>
          <w:sz w:val="20"/>
          <w:lang w:bidi="en-US"/>
        </w:rPr>
        <w:t xml:space="preserve"> </w:t>
      </w:r>
      <w:r w:rsidRPr="00A0221F">
        <w:rPr>
          <w:i/>
          <w:sz w:val="20"/>
          <w:lang w:bidi="en-US"/>
        </w:rPr>
        <w:t xml:space="preserve">prima facie </w:t>
      </w:r>
      <w:r w:rsidRPr="00A0221F">
        <w:rPr>
          <w:sz w:val="20"/>
          <w:lang w:bidi="en-US"/>
        </w:rPr>
        <w:t xml:space="preserve">discrimination under s. 8, complainants must show that they have a characteristic protected from discrimination; that they have experienced an adverse impact with respect to a service customarily available to the public; and that the protected characteristic was a factor in the adverse impact.  </w:t>
      </w:r>
      <w:r w:rsidRPr="00A0221F">
        <w:rPr>
          <w:sz w:val="20"/>
        </w:rPr>
        <w:t xml:space="preserve">Once a </w:t>
      </w:r>
      <w:r w:rsidRPr="00A0221F">
        <w:rPr>
          <w:i/>
          <w:sz w:val="20"/>
        </w:rPr>
        <w:t xml:space="preserve">prima facie </w:t>
      </w:r>
      <w:r w:rsidRPr="00A0221F">
        <w:rPr>
          <w:sz w:val="20"/>
        </w:rPr>
        <w:t>case has been established, the burden shifts to the respondent to justify the conduct or practice.  If it cannot be justified, discrimination will be found to occur.</w:t>
      </w:r>
    </w:p>
    <w:p w:rsidR="00676BD5" w:rsidRDefault="00676BD5" w:rsidP="00676BD5">
      <w:pPr>
        <w:pStyle w:val="SCCNormalDoubleSpacing"/>
        <w:spacing w:line="240" w:lineRule="auto"/>
        <w:rPr>
          <w:sz w:val="20"/>
        </w:rPr>
      </w:pPr>
    </w:p>
    <w:p w:rsidR="00676BD5" w:rsidRPr="00A0221F" w:rsidRDefault="00676BD5" w:rsidP="00676BD5">
      <w:pPr>
        <w:pStyle w:val="SCCNormalDoubleSpacing"/>
        <w:spacing w:line="240" w:lineRule="auto"/>
        <w:rPr>
          <w:sz w:val="20"/>
          <w:lang w:bidi="en-US"/>
        </w:rPr>
      </w:pPr>
      <w:r w:rsidRPr="00A0221F">
        <w:rPr>
          <w:sz w:val="20"/>
        </w:rPr>
        <w:lastRenderedPageBreak/>
        <w:tab/>
        <w:t>There</w:t>
      </w:r>
      <w:r w:rsidRPr="00A0221F">
        <w:rPr>
          <w:sz w:val="20"/>
          <w:lang w:val="en-US" w:bidi="en-US"/>
        </w:rPr>
        <w:t xml:space="preserve"> is no dispute that J’s dyslexia is a disability.  There is equally no question that any adverse impact he suffered is related to his disability.  The question then is whether J has, without reasonable justification, been denied meaningful access to the general education available to all children in British Columbia based on his disability.</w:t>
      </w:r>
      <w:r w:rsidRPr="00A0221F">
        <w:rPr>
          <w:sz w:val="20"/>
          <w:lang w:bidi="en-US"/>
        </w:rPr>
        <w:t xml:space="preserve">  </w:t>
      </w:r>
    </w:p>
    <w:p w:rsidR="00676BD5" w:rsidRDefault="00676BD5" w:rsidP="00676BD5">
      <w:pPr>
        <w:pStyle w:val="SCCNormalDoubleSpacing"/>
        <w:spacing w:line="240" w:lineRule="auto"/>
        <w:rPr>
          <w:i/>
          <w:sz w:val="20"/>
          <w:lang w:val="en-US"/>
        </w:rPr>
      </w:pPr>
    </w:p>
    <w:p w:rsidR="00676BD5" w:rsidRPr="00A0221F" w:rsidRDefault="00676BD5" w:rsidP="00676BD5">
      <w:pPr>
        <w:pStyle w:val="SCCNormalDoubleSpacing"/>
        <w:spacing w:line="240" w:lineRule="auto"/>
        <w:rPr>
          <w:sz w:val="20"/>
        </w:rPr>
      </w:pPr>
      <w:r w:rsidRPr="00A0221F">
        <w:rPr>
          <w:i/>
          <w:sz w:val="20"/>
          <w:lang w:val="en-US"/>
        </w:rPr>
        <w:tab/>
        <w:t>P</w:t>
      </w:r>
      <w:r w:rsidRPr="00A0221F">
        <w:rPr>
          <w:i/>
          <w:sz w:val="20"/>
          <w:lang w:bidi="en-US"/>
        </w:rPr>
        <w:t>rima facie</w:t>
      </w:r>
      <w:r w:rsidRPr="00A0221F">
        <w:rPr>
          <w:sz w:val="20"/>
          <w:lang w:bidi="en-US"/>
        </w:rPr>
        <w:t xml:space="preserve"> </w:t>
      </w:r>
      <w:r w:rsidRPr="00A0221F">
        <w:rPr>
          <w:sz w:val="20"/>
        </w:rPr>
        <w:t>discrimination</w:t>
      </w:r>
      <w:r w:rsidRPr="00A0221F">
        <w:rPr>
          <w:sz w:val="20"/>
          <w:lang w:bidi="en-US"/>
        </w:rPr>
        <w:t xml:space="preserve"> was made out based on the insufficiently intensive remediation provided by the District for J’s learning disability in order for him to get access to the education he was entitled to.  J received some special education assistance until Grade 3, but the Tribunal’s conclusion that the remediation was far from adequate </w:t>
      </w:r>
      <w:r w:rsidRPr="00A0221F">
        <w:rPr>
          <w:sz w:val="20"/>
        </w:rPr>
        <w:t xml:space="preserve">to give J the education to which he was entitled, </w:t>
      </w:r>
      <w:r w:rsidRPr="00A0221F">
        <w:rPr>
          <w:sz w:val="20"/>
          <w:lang w:bidi="en-US"/>
        </w:rPr>
        <w:t xml:space="preserve">was fully supported by the evidence.  </w:t>
      </w:r>
      <w:r w:rsidRPr="00A0221F">
        <w:rPr>
          <w:sz w:val="20"/>
          <w:lang w:val="en-US" w:bidi="en-US"/>
        </w:rPr>
        <w:t>The</w:t>
      </w:r>
      <w:r w:rsidRPr="00A0221F">
        <w:rPr>
          <w:sz w:val="20"/>
          <w:lang w:bidi="en-US"/>
        </w:rPr>
        <w:t xml:space="preserve"> Tribunal </w:t>
      </w:r>
      <w:r w:rsidRPr="00A0221F">
        <w:rPr>
          <w:sz w:val="20"/>
          <w:lang w:val="en-US" w:bidi="en-US"/>
        </w:rPr>
        <w:t xml:space="preserve">found that the family was told by District employees that J required intensive remediation.  As a result of the closing of the </w:t>
      </w:r>
      <w:r w:rsidRPr="00A0221F">
        <w:rPr>
          <w:sz w:val="20"/>
        </w:rPr>
        <w:t>Diagnostic Centre</w:t>
      </w:r>
      <w:r w:rsidRPr="00A0221F">
        <w:rPr>
          <w:sz w:val="20"/>
          <w:lang w:val="en-US" w:bidi="en-US"/>
        </w:rPr>
        <w:t xml:space="preserve">, </w:t>
      </w:r>
      <w:r w:rsidRPr="00A0221F">
        <w:rPr>
          <w:sz w:val="20"/>
          <w:lang w:bidi="en-US"/>
        </w:rPr>
        <w:t xml:space="preserve">a private school </w:t>
      </w:r>
      <w:r w:rsidRPr="00A0221F">
        <w:rPr>
          <w:sz w:val="20"/>
        </w:rPr>
        <w:t>was the only alternative that would provide the intense remediation that J required.</w:t>
      </w:r>
    </w:p>
    <w:p w:rsidR="00676BD5" w:rsidRDefault="00676BD5" w:rsidP="00676BD5">
      <w:pPr>
        <w:pStyle w:val="SCCNormalDoubleSpacing"/>
        <w:spacing w:line="240" w:lineRule="auto"/>
        <w:rPr>
          <w:sz w:val="20"/>
          <w:lang w:bidi="en-US"/>
        </w:rPr>
      </w:pPr>
    </w:p>
    <w:p w:rsidR="00676BD5" w:rsidRPr="00A0221F" w:rsidRDefault="00676BD5" w:rsidP="00676BD5">
      <w:pPr>
        <w:pStyle w:val="SCCNormalDoubleSpacing"/>
        <w:spacing w:line="240" w:lineRule="auto"/>
        <w:rPr>
          <w:sz w:val="20"/>
          <w:lang w:val="en-US"/>
        </w:rPr>
      </w:pPr>
      <w:r w:rsidRPr="00A0221F">
        <w:rPr>
          <w:sz w:val="20"/>
          <w:lang w:bidi="en-US"/>
        </w:rPr>
        <w:tab/>
        <w:t xml:space="preserve">The </w:t>
      </w:r>
      <w:r w:rsidRPr="00A0221F">
        <w:rPr>
          <w:sz w:val="20"/>
        </w:rPr>
        <w:t>Tribunal</w:t>
      </w:r>
      <w:r w:rsidRPr="00A0221F">
        <w:rPr>
          <w:sz w:val="20"/>
          <w:lang w:bidi="en-US"/>
        </w:rPr>
        <w:t xml:space="preserve"> found that when the decision to close the Diagnostic Centre was made, the District did so</w:t>
      </w:r>
      <w:r w:rsidRPr="00A0221F">
        <w:rPr>
          <w:sz w:val="20"/>
        </w:rPr>
        <w:t xml:space="preserve"> without knowing how the needs of students like J would be addressed,</w:t>
      </w:r>
      <w:r w:rsidRPr="00A0221F">
        <w:rPr>
          <w:sz w:val="20"/>
          <w:lang w:bidi="en-US"/>
        </w:rPr>
        <w:t xml:space="preserve"> and without undertaking </w:t>
      </w:r>
      <w:r w:rsidRPr="00A0221F">
        <w:rPr>
          <w:sz w:val="20"/>
        </w:rPr>
        <w:t>a needs</w:t>
      </w:r>
      <w:r w:rsidRPr="00A0221F">
        <w:rPr>
          <w:sz w:val="20"/>
        </w:rPr>
        <w:noBreakHyphen/>
        <w:t xml:space="preserve">based analysis to consider what might replace the Diagnostic Centre, or assessing the effect of the closure on Severe Learning Disabilities students.  </w:t>
      </w:r>
      <w:r w:rsidRPr="00A0221F">
        <w:rPr>
          <w:sz w:val="20"/>
          <w:lang w:bidi="en-US"/>
        </w:rPr>
        <w:t xml:space="preserve">It was the combination of the clear recognition by the District, its employees and the experts that J required intensive remediation in order to have meaningful access to education, the closing of the Diagnostic Centre, and the fact that the family was told that these services could not otherwise be provided by the District, that justified the Tribunal’s conclusion that the failure of the District to meet J’s educational needs constituted </w:t>
      </w:r>
      <w:r w:rsidRPr="00A0221F">
        <w:rPr>
          <w:i/>
          <w:sz w:val="20"/>
          <w:lang w:bidi="en-US"/>
        </w:rPr>
        <w:t>prima facie</w:t>
      </w:r>
      <w:r w:rsidRPr="00A0221F">
        <w:rPr>
          <w:sz w:val="20"/>
          <w:lang w:bidi="en-US"/>
        </w:rPr>
        <w:t xml:space="preserve"> discrimination.  </w:t>
      </w:r>
    </w:p>
    <w:p w:rsidR="00676BD5" w:rsidRDefault="00676BD5" w:rsidP="00676BD5">
      <w:pPr>
        <w:pStyle w:val="SCCNormalDoubleSpacing"/>
        <w:spacing w:line="240" w:lineRule="auto"/>
        <w:rPr>
          <w:sz w:val="20"/>
          <w:lang w:val="en-US" w:bidi="en-US"/>
        </w:rPr>
      </w:pPr>
    </w:p>
    <w:p w:rsidR="00676BD5" w:rsidRPr="00A0221F" w:rsidRDefault="00676BD5" w:rsidP="00676BD5">
      <w:pPr>
        <w:pStyle w:val="SCCNormalDoubleSpacing"/>
        <w:spacing w:line="240" w:lineRule="auto"/>
        <w:rPr>
          <w:sz w:val="20"/>
        </w:rPr>
      </w:pPr>
      <w:r w:rsidRPr="00A0221F">
        <w:rPr>
          <w:sz w:val="20"/>
          <w:lang w:val="en-US" w:bidi="en-US"/>
        </w:rPr>
        <w:tab/>
        <w:t>T</w:t>
      </w:r>
      <w:r w:rsidRPr="00A0221F">
        <w:rPr>
          <w:sz w:val="20"/>
          <w:lang w:bidi="en-US"/>
        </w:rPr>
        <w:t xml:space="preserve">he </w:t>
      </w:r>
      <w:r w:rsidRPr="00A0221F">
        <w:rPr>
          <w:sz w:val="20"/>
        </w:rPr>
        <w:t>next</w:t>
      </w:r>
      <w:r w:rsidRPr="00A0221F">
        <w:rPr>
          <w:sz w:val="20"/>
          <w:lang w:bidi="en-US"/>
        </w:rPr>
        <w:t xml:space="preserve"> question is whether the District’s conduct was justified. </w:t>
      </w:r>
      <w:r w:rsidRPr="00A0221F">
        <w:rPr>
          <w:sz w:val="20"/>
        </w:rPr>
        <w:t xml:space="preserve"> </w:t>
      </w:r>
      <w:r w:rsidRPr="00A0221F">
        <w:rPr>
          <w:sz w:val="20"/>
          <w:lang w:val="en-US" w:bidi="en-US"/>
        </w:rPr>
        <w:t>T</w:t>
      </w:r>
      <w:r w:rsidRPr="00A0221F">
        <w:rPr>
          <w:sz w:val="20"/>
        </w:rPr>
        <w:t xml:space="preserve">he District’s justification centred on the budgetary crisis it faced during the relevant period, which led to the closure of the Diagnostic Centre and other related cuts.  </w:t>
      </w:r>
      <w:r w:rsidRPr="00A0221F">
        <w:rPr>
          <w:sz w:val="20"/>
          <w:lang w:val="en-US"/>
        </w:rPr>
        <w:t>T</w:t>
      </w:r>
      <w:r w:rsidRPr="00A0221F">
        <w:rPr>
          <w:sz w:val="20"/>
        </w:rPr>
        <w:t xml:space="preserve">he Tribunal’s findings that the District had other options available for addressing its budgetary crisis should not be disturbed. </w:t>
      </w:r>
      <w:r w:rsidRPr="00A0221F">
        <w:rPr>
          <w:sz w:val="20"/>
          <w:lang w:bidi="en-US"/>
        </w:rPr>
        <w:t xml:space="preserve"> </w:t>
      </w:r>
      <w:r w:rsidRPr="00A0221F">
        <w:rPr>
          <w:sz w:val="20"/>
          <w:lang w:val="en-US" w:bidi="en-US"/>
        </w:rPr>
        <w:t xml:space="preserve">The Tribunal accepted </w:t>
      </w:r>
      <w:r w:rsidRPr="00A0221F">
        <w:rPr>
          <w:sz w:val="20"/>
          <w:lang w:bidi="en-US"/>
        </w:rPr>
        <w:t xml:space="preserve">that the District faced financial difficulties during the relevant period.  Yet it also found that cuts were disproportionably made to special needs programs.  Despite their similar cost, the District </w:t>
      </w:r>
      <w:r w:rsidRPr="00A0221F">
        <w:rPr>
          <w:sz w:val="20"/>
        </w:rPr>
        <w:t xml:space="preserve">retained some discretionary programs, such as the Outdoor School — an outdoor campus where students learned about community and the environment — while eliminating the Diagnostic Centre.   </w:t>
      </w:r>
    </w:p>
    <w:p w:rsidR="00676BD5" w:rsidRDefault="00676BD5" w:rsidP="00676BD5">
      <w:pPr>
        <w:pStyle w:val="SCCNormalDoubleSpacing"/>
        <w:spacing w:line="240" w:lineRule="auto"/>
        <w:rPr>
          <w:sz w:val="20"/>
          <w:lang w:val="en-US"/>
        </w:rPr>
      </w:pPr>
    </w:p>
    <w:p w:rsidR="00676BD5" w:rsidRPr="00A0221F" w:rsidRDefault="00676BD5" w:rsidP="00676BD5">
      <w:pPr>
        <w:pStyle w:val="SCCNormalDoubleSpacing"/>
        <w:spacing w:line="240" w:lineRule="auto"/>
        <w:rPr>
          <w:sz w:val="20"/>
          <w:lang w:bidi="en-US"/>
        </w:rPr>
      </w:pPr>
      <w:r w:rsidRPr="00A0221F">
        <w:rPr>
          <w:sz w:val="20"/>
          <w:lang w:val="en-US"/>
        </w:rPr>
        <w:tab/>
        <w:t xml:space="preserve">More </w:t>
      </w:r>
      <w:r w:rsidRPr="00A0221F">
        <w:rPr>
          <w:sz w:val="20"/>
        </w:rPr>
        <w:t>significantly</w:t>
      </w:r>
      <w:r w:rsidRPr="00A0221F">
        <w:rPr>
          <w:sz w:val="20"/>
          <w:lang w:val="en-US"/>
        </w:rPr>
        <w:t xml:space="preserve">, the Tribunal found that the District undertook </w:t>
      </w:r>
      <w:r w:rsidRPr="00A0221F">
        <w:rPr>
          <w:i/>
          <w:sz w:val="20"/>
          <w:lang w:val="en-US"/>
        </w:rPr>
        <w:t>no</w:t>
      </w:r>
      <w:r w:rsidRPr="00A0221F">
        <w:rPr>
          <w:sz w:val="20"/>
          <w:lang w:val="en-US"/>
        </w:rPr>
        <w:t xml:space="preserve"> assessment, financial or otherwise, of what alternatives were or could be reasonably available to accommodate special needs students if the Diagnostic Centre were closed.  </w:t>
      </w:r>
      <w:r w:rsidRPr="00A0221F">
        <w:rPr>
          <w:sz w:val="20"/>
          <w:lang w:bidi="en-US"/>
        </w:rPr>
        <w:t xml:space="preserve">The failure to consider financial alternatives completely undermined the District’s argument that it was justified in providing </w:t>
      </w:r>
      <w:r w:rsidRPr="00A0221F">
        <w:rPr>
          <w:i/>
          <w:sz w:val="20"/>
          <w:lang w:bidi="en-US"/>
        </w:rPr>
        <w:t xml:space="preserve">no </w:t>
      </w:r>
      <w:r w:rsidRPr="00A0221F">
        <w:rPr>
          <w:sz w:val="20"/>
          <w:lang w:bidi="en-US"/>
        </w:rPr>
        <w:t xml:space="preserve">meaningful access to an education for J because it had no choice.  In order to decide that it had no other choice, it had at least to consider what those other choices were.  </w:t>
      </w:r>
    </w:p>
    <w:p w:rsidR="00676BD5" w:rsidRDefault="00676BD5" w:rsidP="00676BD5">
      <w:pPr>
        <w:pStyle w:val="SCCNormalDoubleSpacing"/>
        <w:spacing w:line="240" w:lineRule="auto"/>
        <w:rPr>
          <w:sz w:val="20"/>
        </w:rPr>
      </w:pPr>
    </w:p>
    <w:p w:rsidR="00676BD5" w:rsidRDefault="00676BD5" w:rsidP="00676BD5">
      <w:pPr>
        <w:pStyle w:val="SCCNormalDoubleSpacing"/>
        <w:spacing w:line="240" w:lineRule="auto"/>
        <w:rPr>
          <w:sz w:val="20"/>
        </w:rPr>
      </w:pPr>
      <w:r w:rsidRPr="00A0221F">
        <w:rPr>
          <w:sz w:val="20"/>
        </w:rPr>
        <w:tab/>
        <w:t>The finding of discrimination against the District is therefore restored.</w:t>
      </w:r>
    </w:p>
    <w:p w:rsidR="00676BD5" w:rsidRDefault="00676BD5" w:rsidP="00676BD5">
      <w:pPr>
        <w:pStyle w:val="SCCNormalDoubleSpacing"/>
        <w:spacing w:line="240" w:lineRule="auto"/>
        <w:rPr>
          <w:sz w:val="20"/>
        </w:rPr>
      </w:pPr>
    </w:p>
    <w:p w:rsidR="00676BD5" w:rsidRPr="00A0221F" w:rsidRDefault="00676BD5" w:rsidP="00676BD5">
      <w:pPr>
        <w:pStyle w:val="SCCNormalDoubleSpacing"/>
        <w:spacing w:line="240" w:lineRule="auto"/>
        <w:rPr>
          <w:sz w:val="20"/>
        </w:rPr>
      </w:pPr>
      <w:r w:rsidRPr="00A0221F">
        <w:rPr>
          <w:sz w:val="20"/>
        </w:rPr>
        <w:tab/>
        <w:t>APPEAL from a judgment of the British Columbia Court of Appeal (</w:t>
      </w:r>
      <w:r w:rsidR="00BF3B03" w:rsidRPr="00A0221F">
        <w:rPr>
          <w:sz w:val="20"/>
        </w:rPr>
        <w:fldChar w:fldCharType="begin"/>
      </w:r>
      <w:r w:rsidRPr="00A0221F">
        <w:rPr>
          <w:sz w:val="20"/>
        </w:rPr>
        <w:instrText xml:space="preserve"> SEQ CHAPTER \h \r 1</w:instrText>
      </w:r>
      <w:r w:rsidR="00BF3B03" w:rsidRPr="00A0221F">
        <w:rPr>
          <w:sz w:val="20"/>
        </w:rPr>
        <w:fldChar w:fldCharType="end"/>
      </w:r>
      <w:r w:rsidRPr="00A0221F">
        <w:rPr>
          <w:sz w:val="20"/>
        </w:rPr>
        <w:t xml:space="preserve">Rowles, Saunders and Low JJ.A.), </w:t>
      </w:r>
      <w:r w:rsidR="00BF3B03" w:rsidRPr="00A0221F">
        <w:rPr>
          <w:sz w:val="20"/>
        </w:rPr>
        <w:fldChar w:fldCharType="begin"/>
      </w:r>
      <w:r w:rsidRPr="00A0221F">
        <w:rPr>
          <w:sz w:val="20"/>
        </w:rPr>
        <w:instrText xml:space="preserve"> SEQ CHAPTER \h \r 1</w:instrText>
      </w:r>
      <w:r w:rsidR="00BF3B03" w:rsidRPr="00A0221F">
        <w:rPr>
          <w:sz w:val="20"/>
        </w:rPr>
        <w:fldChar w:fldCharType="end"/>
      </w:r>
      <w:r w:rsidRPr="00A0221F">
        <w:rPr>
          <w:sz w:val="20"/>
        </w:rPr>
        <w:t xml:space="preserve">2010 BCCA 478, 12 B.C.L.R. (5th) 246, 326 D.L.R. (4th) 77, 294 B.C.A.C. 185, 498 W.A.C. 185, 71 C.H.R.R. D/238, [2011] 3 W.W.R. 383, [2010] B.C.J. No. 2097 (QL), 2010 CarswellBC 3446, affirming a decision of </w:t>
      </w:r>
      <w:r w:rsidR="00BF3B03" w:rsidRPr="00A0221F">
        <w:rPr>
          <w:sz w:val="20"/>
        </w:rPr>
        <w:fldChar w:fldCharType="begin"/>
      </w:r>
      <w:r w:rsidRPr="00A0221F">
        <w:rPr>
          <w:sz w:val="20"/>
        </w:rPr>
        <w:instrText xml:space="preserve"> SEQ CHAPTER \h \r 1</w:instrText>
      </w:r>
      <w:r w:rsidR="00BF3B03" w:rsidRPr="00A0221F">
        <w:rPr>
          <w:sz w:val="20"/>
        </w:rPr>
        <w:fldChar w:fldCharType="end"/>
      </w:r>
      <w:r w:rsidRPr="00A0221F">
        <w:rPr>
          <w:sz w:val="20"/>
        </w:rPr>
        <w:t xml:space="preserve">Dillon J., </w:t>
      </w:r>
      <w:r w:rsidR="00BF3B03" w:rsidRPr="00A0221F">
        <w:rPr>
          <w:sz w:val="20"/>
        </w:rPr>
        <w:fldChar w:fldCharType="begin"/>
      </w:r>
      <w:r w:rsidRPr="00A0221F">
        <w:rPr>
          <w:sz w:val="20"/>
        </w:rPr>
        <w:instrText xml:space="preserve"> SEQ CHAPTER \h \r 1</w:instrText>
      </w:r>
      <w:r w:rsidR="00BF3B03" w:rsidRPr="00A0221F">
        <w:rPr>
          <w:sz w:val="20"/>
        </w:rPr>
        <w:fldChar w:fldCharType="end"/>
      </w:r>
      <w:r w:rsidRPr="00A0221F">
        <w:rPr>
          <w:sz w:val="20"/>
        </w:rPr>
        <w:t>2008 BCSC 264, 81 B.C.L.R. (4th) 107, 62 C.H.R.R. D/289, [2008] 10 W.W.R. 518, [2008] B.C.J. No. 348 (QL), 2008 CarswellBC 388, reversing a decision of the British Columbia Human Rights Tribunal, 2005 BCHRT 580, 54 C.H.R.R. D/245.  Appeal substantially allowed.</w:t>
      </w:r>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Frances M. Kelly</w:t>
      </w:r>
      <w:r w:rsidRPr="00A0221F">
        <w:rPr>
          <w:sz w:val="20"/>
        </w:rPr>
        <w:t xml:space="preserve"> and </w:t>
      </w:r>
      <w:r w:rsidRPr="00A0221F">
        <w:rPr>
          <w:i/>
          <w:sz w:val="20"/>
        </w:rPr>
        <w:t>Devyn Cousineau</w:t>
      </w:r>
      <w:r w:rsidRPr="00A0221F">
        <w:rPr>
          <w:sz w:val="20"/>
        </w:rPr>
        <w:t>, for the appellant.</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Leah Greathead</w:t>
      </w:r>
      <w:r w:rsidRPr="00A0221F">
        <w:rPr>
          <w:sz w:val="20"/>
        </w:rPr>
        <w:t xml:space="preserve"> and </w:t>
      </w:r>
      <w:r w:rsidRPr="00A0221F">
        <w:rPr>
          <w:i/>
          <w:sz w:val="20"/>
        </w:rPr>
        <w:t>E.W. (Heidi) Hughes</w:t>
      </w:r>
      <w:r w:rsidRPr="00A0221F">
        <w:rPr>
          <w:sz w:val="20"/>
        </w:rPr>
        <w:t>, for the respondent Her Majesty the Queen in Right of the Province of British Columbia, as represented by the Ministry of Education.</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t>Laura N. Bakan, Q.C.</w:t>
      </w:r>
      <w:r w:rsidRPr="00A0221F">
        <w:rPr>
          <w:sz w:val="20"/>
        </w:rPr>
        <w:t xml:space="preserve">, </w:t>
      </w:r>
      <w:r w:rsidRPr="00A0221F">
        <w:rPr>
          <w:i/>
          <w:sz w:val="20"/>
        </w:rPr>
        <w:t>David J. Bell</w:t>
      </w:r>
      <w:r w:rsidRPr="00A0221F">
        <w:rPr>
          <w:sz w:val="20"/>
        </w:rPr>
        <w:t xml:space="preserve"> and </w:t>
      </w:r>
      <w:r w:rsidRPr="00A0221F">
        <w:rPr>
          <w:i/>
          <w:sz w:val="20"/>
        </w:rPr>
        <w:t>Kristal M. Low</w:t>
      </w:r>
      <w:r w:rsidRPr="00A0221F">
        <w:rPr>
          <w:sz w:val="20"/>
        </w:rPr>
        <w:t>, for the respondent the Board of Education of School District No. 44 (North Vancouver), formerly known as The Board of School Trustees of School District No. 44 (North Vancouver).</w:t>
      </w:r>
    </w:p>
    <w:p w:rsidR="00676BD5" w:rsidRDefault="00676BD5" w:rsidP="00676BD5">
      <w:pPr>
        <w:pStyle w:val="SCCNormalDoubleSpacing"/>
        <w:spacing w:line="240" w:lineRule="auto"/>
        <w:rPr>
          <w:i/>
          <w:sz w:val="20"/>
          <w:lang w:val="en-US"/>
        </w:rPr>
      </w:pPr>
    </w:p>
    <w:p w:rsidR="00676BD5" w:rsidRPr="00A0221F" w:rsidRDefault="00676BD5" w:rsidP="00676BD5">
      <w:pPr>
        <w:pStyle w:val="SCCNormalDoubleSpacing"/>
        <w:spacing w:line="240" w:lineRule="auto"/>
        <w:rPr>
          <w:sz w:val="20"/>
        </w:rPr>
      </w:pPr>
      <w:r w:rsidRPr="00A0221F">
        <w:rPr>
          <w:i/>
          <w:sz w:val="20"/>
          <w:lang w:val="en-US"/>
        </w:rPr>
        <w:tab/>
      </w:r>
      <w:proofErr w:type="gramStart"/>
      <w:r w:rsidRPr="00A0221F">
        <w:rPr>
          <w:i/>
          <w:sz w:val="20"/>
        </w:rPr>
        <w:t>Robert E. Charney</w:t>
      </w:r>
      <w:r w:rsidRPr="00A0221F">
        <w:rPr>
          <w:sz w:val="20"/>
        </w:rPr>
        <w:t xml:space="preserve"> and </w:t>
      </w:r>
      <w:r w:rsidRPr="00A0221F">
        <w:rPr>
          <w:i/>
          <w:sz w:val="20"/>
        </w:rPr>
        <w:t>Sarah Kraicer</w:t>
      </w:r>
      <w:r w:rsidRPr="00A0221F">
        <w:rPr>
          <w:sz w:val="20"/>
        </w:rPr>
        <w:t>, for the intervener the Attorney General of Ontario.</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Andrea Luey</w:t>
      </w:r>
      <w:r w:rsidRPr="00A0221F">
        <w:rPr>
          <w:sz w:val="20"/>
        </w:rPr>
        <w:t>, for the intervener Justice for Children and Youth.</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Diane MacDonald</w:t>
      </w:r>
      <w:r w:rsidRPr="00A0221F">
        <w:rPr>
          <w:sz w:val="20"/>
        </w:rPr>
        <w:t xml:space="preserve"> and</w:t>
      </w:r>
      <w:r w:rsidRPr="00A0221F">
        <w:rPr>
          <w:i/>
          <w:sz w:val="20"/>
        </w:rPr>
        <w:t xml:space="preserve"> Robyn Trask</w:t>
      </w:r>
      <w:r w:rsidRPr="00A0221F">
        <w:rPr>
          <w:sz w:val="20"/>
        </w:rPr>
        <w:t>, for the intervener the British Columbia Teachers’ Federation.</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sz w:val="20"/>
        </w:rPr>
        <w:t>Written submissions only by</w:t>
      </w:r>
      <w:r w:rsidRPr="00A0221F">
        <w:rPr>
          <w:i/>
          <w:sz w:val="20"/>
        </w:rPr>
        <w:t xml:space="preserve"> Gwen Brodsky</w:t>
      </w:r>
      <w:r w:rsidRPr="00A0221F">
        <w:rPr>
          <w:sz w:val="20"/>
        </w:rPr>
        <w:t>, for the intervener the Council of Canadians with Disabilities.</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t>Anthony D. Griffin</w:t>
      </w:r>
      <w:r w:rsidRPr="00A0221F">
        <w:rPr>
          <w:sz w:val="20"/>
        </w:rPr>
        <w:t>, for the interveners the Ontario Human Rights Commission, the Saskatchewan Human Rights Commission and the Alberta Human Rights Commission.</w:t>
      </w:r>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t>Rahool P. Agarwal</w:t>
      </w:r>
      <w:r w:rsidRPr="00A0221F">
        <w:rPr>
          <w:sz w:val="20"/>
        </w:rPr>
        <w:t xml:space="preserve">, </w:t>
      </w:r>
      <w:r w:rsidRPr="00A0221F">
        <w:rPr>
          <w:i/>
          <w:sz w:val="20"/>
        </w:rPr>
        <w:t>Christopher W. Cummins</w:t>
      </w:r>
      <w:r w:rsidRPr="00A0221F">
        <w:rPr>
          <w:sz w:val="20"/>
        </w:rPr>
        <w:t xml:space="preserve"> and </w:t>
      </w:r>
      <w:r w:rsidRPr="00A0221F">
        <w:rPr>
          <w:i/>
          <w:sz w:val="20"/>
        </w:rPr>
        <w:t>Rowan E. Weaver,</w:t>
      </w:r>
      <w:r w:rsidRPr="00A0221F">
        <w:rPr>
          <w:sz w:val="20"/>
        </w:rPr>
        <w:t xml:space="preserve"> for the intervener the International Dyslexia Association, Ontario Branch.</w:t>
      </w:r>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 xml:space="preserve">Brian Smith </w:t>
      </w:r>
      <w:r w:rsidRPr="00A0221F">
        <w:rPr>
          <w:sz w:val="20"/>
        </w:rPr>
        <w:t>and</w:t>
      </w:r>
      <w:r w:rsidRPr="00A0221F">
        <w:rPr>
          <w:i/>
          <w:sz w:val="20"/>
        </w:rPr>
        <w:t xml:space="preserve"> Philippe Dufresne</w:t>
      </w:r>
      <w:r w:rsidRPr="00A0221F">
        <w:rPr>
          <w:sz w:val="20"/>
        </w:rPr>
        <w:t>, for the intervener the Canadian Human Rights Commission.</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Yude M. Henteleff, Q.C.,</w:t>
      </w:r>
      <w:r w:rsidRPr="00A0221F">
        <w:rPr>
          <w:sz w:val="20"/>
        </w:rPr>
        <w:t xml:space="preserve"> and </w:t>
      </w:r>
      <w:r w:rsidRPr="00A0221F">
        <w:rPr>
          <w:i/>
          <w:sz w:val="20"/>
        </w:rPr>
        <w:t>Darla L. Rettie</w:t>
      </w:r>
      <w:r w:rsidRPr="00A0221F">
        <w:rPr>
          <w:sz w:val="20"/>
        </w:rPr>
        <w:t>, for the intervener the Learning Disabilities Association of Canada.</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Ranjan K. Agarwal</w:t>
      </w:r>
      <w:r w:rsidRPr="00A0221F">
        <w:rPr>
          <w:sz w:val="20"/>
        </w:rPr>
        <w:t xml:space="preserve"> and </w:t>
      </w:r>
      <w:r w:rsidRPr="00A0221F">
        <w:rPr>
          <w:i/>
          <w:sz w:val="20"/>
        </w:rPr>
        <w:t>Daniel Holden</w:t>
      </w:r>
      <w:r w:rsidRPr="00A0221F">
        <w:rPr>
          <w:sz w:val="20"/>
        </w:rPr>
        <w:t>, for the intervener the Canadian Constitution Foundation.</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sz w:val="20"/>
        </w:rPr>
        <w:t>Written submissions only</w:t>
      </w:r>
      <w:r w:rsidRPr="00A0221F">
        <w:rPr>
          <w:i/>
          <w:sz w:val="20"/>
        </w:rPr>
        <w:t xml:space="preserve"> </w:t>
      </w:r>
      <w:r w:rsidRPr="00A0221F">
        <w:rPr>
          <w:sz w:val="20"/>
        </w:rPr>
        <w:t>by</w:t>
      </w:r>
      <w:r w:rsidRPr="00A0221F">
        <w:rPr>
          <w:i/>
          <w:sz w:val="20"/>
        </w:rPr>
        <w:t xml:space="preserve"> Isha Khan</w:t>
      </w:r>
      <w:r w:rsidRPr="00A0221F">
        <w:rPr>
          <w:sz w:val="20"/>
        </w:rPr>
        <w:t>, for the intervener the Manitoba Human Rights Commission.</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Alison Dewar</w:t>
      </w:r>
      <w:r w:rsidRPr="00A0221F">
        <w:rPr>
          <w:sz w:val="20"/>
        </w:rPr>
        <w:t>, for the intervener the West Coast Women’s Legal Education and Action Fund.</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 xml:space="preserve">Roberto Lattanzio </w:t>
      </w:r>
      <w:r w:rsidRPr="00A0221F">
        <w:rPr>
          <w:sz w:val="20"/>
        </w:rPr>
        <w:t>and</w:t>
      </w:r>
      <w:r w:rsidRPr="00A0221F">
        <w:rPr>
          <w:i/>
          <w:sz w:val="20"/>
        </w:rPr>
        <w:t xml:space="preserve"> Laurie Letheren</w:t>
      </w:r>
      <w:r w:rsidRPr="00A0221F">
        <w:rPr>
          <w:sz w:val="20"/>
        </w:rPr>
        <w:t>, for the intervener the Canadian Association for Community Living.</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lang w:val="fr-CA"/>
        </w:rPr>
      </w:pPr>
      <w:r w:rsidRPr="00A0221F">
        <w:rPr>
          <w:i/>
          <w:sz w:val="20"/>
        </w:rPr>
        <w:tab/>
      </w:r>
      <w:r w:rsidRPr="00A0221F">
        <w:rPr>
          <w:i/>
          <w:sz w:val="20"/>
          <w:lang w:val="fr-CA"/>
        </w:rPr>
        <w:t>Athanassia Bitzakidis</w:t>
      </w:r>
      <w:r w:rsidRPr="00A0221F">
        <w:rPr>
          <w:sz w:val="20"/>
          <w:lang w:val="fr-CA"/>
        </w:rPr>
        <w:t>, for the intervener Commission des droits de la personne et des droits de la jeunesse.</w:t>
      </w:r>
    </w:p>
    <w:p w:rsidR="00676BD5" w:rsidRDefault="00676BD5" w:rsidP="00676BD5">
      <w:pPr>
        <w:pStyle w:val="SCCNormalDoubleSpacing"/>
        <w:spacing w:line="240" w:lineRule="auto"/>
        <w:rPr>
          <w:i/>
          <w:sz w:val="20"/>
          <w:lang w:val="fr-CA"/>
        </w:rPr>
      </w:pPr>
    </w:p>
    <w:p w:rsidR="00676BD5" w:rsidRPr="00A0221F" w:rsidRDefault="00676BD5" w:rsidP="00676BD5">
      <w:pPr>
        <w:pStyle w:val="SCCNormalDoubleSpacing"/>
        <w:spacing w:line="240" w:lineRule="auto"/>
        <w:rPr>
          <w:sz w:val="20"/>
        </w:rPr>
      </w:pPr>
      <w:r w:rsidRPr="00A0221F">
        <w:rPr>
          <w:i/>
          <w:sz w:val="20"/>
          <w:lang w:val="fr-CA"/>
        </w:rPr>
        <w:tab/>
      </w:r>
      <w:proofErr w:type="gramStart"/>
      <w:r w:rsidRPr="00A0221F">
        <w:rPr>
          <w:i/>
          <w:sz w:val="20"/>
        </w:rPr>
        <w:t>Denise E. Paluck</w:t>
      </w:r>
      <w:r w:rsidRPr="00A0221F">
        <w:rPr>
          <w:sz w:val="20"/>
        </w:rPr>
        <w:t>, for the intervener the British Columbia Human Rights Tribunal.</w:t>
      </w:r>
      <w:proofErr w:type="gramEnd"/>
    </w:p>
    <w:p w:rsidR="00676BD5" w:rsidRDefault="00676BD5" w:rsidP="00676BD5">
      <w:pPr>
        <w:pStyle w:val="SCCNormalDoubleSpacing"/>
        <w:spacing w:line="240" w:lineRule="auto"/>
        <w:rPr>
          <w:i/>
          <w:sz w:val="20"/>
        </w:rPr>
      </w:pPr>
    </w:p>
    <w:p w:rsidR="00676BD5" w:rsidRPr="00A0221F" w:rsidRDefault="00676BD5" w:rsidP="00676BD5">
      <w:pPr>
        <w:pStyle w:val="SCCNormalDoubleSpacing"/>
        <w:spacing w:line="240" w:lineRule="auto"/>
        <w:rPr>
          <w:sz w:val="20"/>
        </w:rPr>
      </w:pPr>
      <w:r w:rsidRPr="00A0221F">
        <w:rPr>
          <w:i/>
          <w:sz w:val="20"/>
        </w:rPr>
        <w:tab/>
      </w:r>
      <w:proofErr w:type="gramStart"/>
      <w:r w:rsidRPr="00A0221F">
        <w:rPr>
          <w:i/>
          <w:sz w:val="20"/>
        </w:rPr>
        <w:t>Nicholas McHaffie</w:t>
      </w:r>
      <w:r w:rsidRPr="00A0221F">
        <w:rPr>
          <w:sz w:val="20"/>
        </w:rPr>
        <w:t xml:space="preserve"> and </w:t>
      </w:r>
      <w:r w:rsidRPr="00A0221F">
        <w:rPr>
          <w:i/>
          <w:sz w:val="20"/>
        </w:rPr>
        <w:t>Sarah Clarke</w:t>
      </w:r>
      <w:r w:rsidRPr="00A0221F">
        <w:rPr>
          <w:sz w:val="20"/>
        </w:rPr>
        <w:t>, for the intervener the First Nations Child and Family Caring Society of Canada.</w:t>
      </w:r>
      <w:proofErr w:type="gramEnd"/>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 for the appellant:  Community Legal Assistance Society, Vancouver.</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 for the respondent Her Majesty the Queen in Right of the Province of British Columbia, as represented by the Ministry of Education:  Attorney General of British Columbia, Victoria.</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Solicitors for the respondent the Board of Education of School District No. 44 (North Vancouver), formerly known as The Board of School Trustees of School District No. 44 (North Vancouver):  Guild Yule, Vancouver.</w:t>
      </w:r>
    </w:p>
    <w:p w:rsidR="00676BD5" w:rsidRDefault="00676BD5" w:rsidP="00676BD5">
      <w:pPr>
        <w:pStyle w:val="SCCLawFirm"/>
        <w:spacing w:line="240" w:lineRule="auto"/>
        <w:rPr>
          <w:sz w:val="20"/>
          <w:lang w:val="en-US"/>
        </w:rPr>
      </w:pPr>
    </w:p>
    <w:p w:rsidR="00676BD5" w:rsidRPr="00A0221F" w:rsidRDefault="00676BD5" w:rsidP="00676BD5">
      <w:pPr>
        <w:pStyle w:val="SCCLawFirm"/>
        <w:spacing w:line="240" w:lineRule="auto"/>
        <w:rPr>
          <w:sz w:val="20"/>
        </w:rPr>
      </w:pPr>
      <w:r w:rsidRPr="00A0221F">
        <w:rPr>
          <w:sz w:val="20"/>
          <w:lang w:val="en-US"/>
        </w:rPr>
        <w:tab/>
      </w:r>
      <w:r w:rsidRPr="00A0221F">
        <w:rPr>
          <w:sz w:val="20"/>
        </w:rPr>
        <w:t>Solicitor for the intervener the Attorney General of Ontario:  Attorney General of Ontario, Toronto.</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 for the intervener Justice for Children and Youth:  Canadian Foundation for Children, Youth and the Law, Toronto.</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 for the intervener the British Columbia Teachers’ Federation:  British Columbia Teachers’ Federation, Vancouver.</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Solicitors for the intervener the Council of Canadians with Disabilities:  Camp Fiorante Matthews, Vancouver.</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 for the interveners the Ontario Human Rights Commission, the Saskatchewan Human Rights Commission and the Alberta Human Rights Commission:  Ontario Human Rights Commission, Toronto.</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Solicitors for the intervener the International Dyslexia Association, Ontario Branch:  Norton Rose Canada, Toronto.</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 for the intervener the Canadian Human Rights Commission:  Canadian Human Rights Commission, Ottawa.</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Solicitors for the intervener the Learning Disabilities Association of Canada:  Pitblado, Winnipeg.</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Solicitors for the intervener the Canadian Constitution Foundation:  Bennett Jones, Ottawa.</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 for the intervener the Manitoba Human Rights Commission:  Manitoba Human Rights Commission, Winnipeg.</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 for the intervener the West Coast Women’s Legal Education and Action Fund:  West Coast Women’s Legal Education and Action Fund, Vancouver.</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rPr>
      </w:pPr>
      <w:r w:rsidRPr="00A0221F">
        <w:rPr>
          <w:sz w:val="20"/>
        </w:rPr>
        <w:tab/>
        <w:t>Solicitor for the intervener the Canadian Association for Community Living:  ARCH Disability Law Centre, Toronto.</w:t>
      </w:r>
    </w:p>
    <w:p w:rsidR="00676BD5" w:rsidRDefault="00676BD5" w:rsidP="00676BD5">
      <w:pPr>
        <w:pStyle w:val="SCCLawFirm"/>
        <w:spacing w:line="240" w:lineRule="auto"/>
        <w:rPr>
          <w:sz w:val="20"/>
        </w:rPr>
      </w:pPr>
    </w:p>
    <w:p w:rsidR="00676BD5" w:rsidRPr="00A0221F" w:rsidRDefault="00676BD5" w:rsidP="00676BD5">
      <w:pPr>
        <w:pStyle w:val="SCCLawFirm"/>
        <w:spacing w:line="240" w:lineRule="auto"/>
        <w:rPr>
          <w:sz w:val="20"/>
          <w:lang w:val="fr-CA"/>
        </w:rPr>
      </w:pPr>
      <w:r w:rsidRPr="00A0221F">
        <w:rPr>
          <w:sz w:val="20"/>
        </w:rPr>
        <w:tab/>
      </w:r>
      <w:r w:rsidRPr="00A0221F">
        <w:rPr>
          <w:sz w:val="20"/>
          <w:lang w:val="fr-CA"/>
        </w:rPr>
        <w:t>Solicitor for the intervener Commission des droits de la personne et des droits de la jeunesse:</w:t>
      </w:r>
      <w:proofErr w:type="gramStart"/>
      <w:r w:rsidRPr="00A0221F">
        <w:rPr>
          <w:sz w:val="20"/>
          <w:lang w:val="fr-CA"/>
        </w:rPr>
        <w:t>  Commission</w:t>
      </w:r>
      <w:proofErr w:type="gramEnd"/>
      <w:r w:rsidRPr="00A0221F">
        <w:rPr>
          <w:sz w:val="20"/>
          <w:lang w:val="fr-CA"/>
        </w:rPr>
        <w:t xml:space="preserve"> des droits de la personne et des droits de la jeunesse, Montréal.</w:t>
      </w:r>
    </w:p>
    <w:p w:rsidR="00676BD5" w:rsidRDefault="00676BD5" w:rsidP="00676BD5">
      <w:pPr>
        <w:pStyle w:val="SCCLawFirm"/>
        <w:spacing w:line="240" w:lineRule="auto"/>
        <w:rPr>
          <w:sz w:val="20"/>
          <w:lang w:val="fr-CA"/>
        </w:rPr>
      </w:pPr>
    </w:p>
    <w:p w:rsidR="00676BD5" w:rsidRPr="00A0221F" w:rsidRDefault="00676BD5" w:rsidP="00676BD5">
      <w:pPr>
        <w:pStyle w:val="SCCLawFirm"/>
        <w:spacing w:line="240" w:lineRule="auto"/>
        <w:rPr>
          <w:sz w:val="20"/>
        </w:rPr>
      </w:pPr>
      <w:r w:rsidRPr="00A0221F">
        <w:rPr>
          <w:sz w:val="20"/>
          <w:lang w:val="fr-CA"/>
        </w:rPr>
        <w:tab/>
      </w:r>
      <w:r w:rsidRPr="00A0221F">
        <w:rPr>
          <w:sz w:val="20"/>
        </w:rPr>
        <w:t>Solicitor for the intervener the British Columbia Human Rights Tribunal:  British Columbia Human Rights Tribunal, Vancouver.</w:t>
      </w:r>
    </w:p>
    <w:p w:rsidR="00676BD5" w:rsidRDefault="00676BD5" w:rsidP="00676BD5">
      <w:pPr>
        <w:pStyle w:val="SCCLawFirm"/>
        <w:spacing w:line="240" w:lineRule="auto"/>
        <w:rPr>
          <w:sz w:val="20"/>
        </w:rPr>
      </w:pPr>
    </w:p>
    <w:p w:rsidR="00676BD5" w:rsidRDefault="00676BD5" w:rsidP="00676BD5">
      <w:pPr>
        <w:pStyle w:val="SCCLawFirm"/>
        <w:spacing w:line="240" w:lineRule="auto"/>
        <w:rPr>
          <w:sz w:val="20"/>
        </w:rPr>
      </w:pPr>
      <w:r w:rsidRPr="00A0221F">
        <w:rPr>
          <w:sz w:val="20"/>
        </w:rPr>
        <w:tab/>
        <w:t>Solicitors for the intervener the First Nations Child and Family Caring Society of Canada:  Stikeman Elliott, Ottawa.</w:t>
      </w:r>
    </w:p>
    <w:p w:rsidR="00256147" w:rsidRPr="00676BD5" w:rsidRDefault="00256147" w:rsidP="00256147">
      <w:pPr>
        <w:rPr>
          <w:sz w:val="20"/>
          <w:szCs w:val="20"/>
          <w:lang w:val="fr-CA"/>
        </w:rPr>
      </w:pPr>
      <w:r w:rsidRPr="00676BD5">
        <w:rPr>
          <w:sz w:val="20"/>
          <w:szCs w:val="20"/>
          <w:lang w:val="fr-CA"/>
        </w:rPr>
        <w:t>________________________</w:t>
      </w:r>
    </w:p>
    <w:p w:rsidR="00256147" w:rsidRPr="00676BD5" w:rsidRDefault="00256147" w:rsidP="00256147">
      <w:pPr>
        <w:rPr>
          <w:sz w:val="20"/>
          <w:szCs w:val="20"/>
          <w:lang w:val="fr-CA"/>
        </w:rPr>
      </w:pPr>
    </w:p>
    <w:p w:rsidR="00676BD5" w:rsidRPr="00676BD5" w:rsidRDefault="00676BD5" w:rsidP="00676BD5">
      <w:pPr>
        <w:jc w:val="both"/>
        <w:rPr>
          <w:sz w:val="20"/>
          <w:szCs w:val="20"/>
          <w:lang w:val="fr-CA"/>
        </w:rPr>
      </w:pPr>
      <w:r w:rsidRPr="00676BD5">
        <w:rPr>
          <w:sz w:val="20"/>
          <w:szCs w:val="20"/>
          <w:lang w:val="fr-CA"/>
        </w:rPr>
        <w:t>Présents : La juge en chef McLachlin et les juges LeBel, Deschamps, Fish, Abella, Rothstein, Cromwell, Moldaver et Karakatsanis.</w:t>
      </w:r>
    </w:p>
    <w:p w:rsidR="00676BD5" w:rsidRPr="00676BD5" w:rsidRDefault="00676BD5" w:rsidP="00676BD5">
      <w:pPr>
        <w:jc w:val="both"/>
        <w:rPr>
          <w:smallCaps/>
          <w:sz w:val="20"/>
          <w:lang w:val="fr-CA"/>
        </w:rPr>
      </w:pPr>
    </w:p>
    <w:p w:rsidR="00676BD5" w:rsidRPr="00676BD5" w:rsidRDefault="00676BD5" w:rsidP="00676BD5">
      <w:pPr>
        <w:pStyle w:val="SCCNormalDoubleSpacing"/>
        <w:spacing w:line="240" w:lineRule="auto"/>
        <w:rPr>
          <w:i/>
          <w:sz w:val="20"/>
          <w:lang w:val="fr-CA"/>
        </w:rPr>
      </w:pPr>
      <w:r w:rsidRPr="00676BD5">
        <w:rPr>
          <w:sz w:val="20"/>
          <w:lang w:val="fr-CA"/>
        </w:rPr>
        <w:tab/>
      </w:r>
      <w:r w:rsidRPr="00676BD5">
        <w:rPr>
          <w:i/>
          <w:sz w:val="20"/>
          <w:lang w:val="fr-CA"/>
        </w:rPr>
        <w:t>Droits</w:t>
      </w:r>
      <w:r w:rsidRPr="00D03C2F">
        <w:rPr>
          <w:i/>
          <w:sz w:val="20"/>
          <w:lang w:val="fr-FR"/>
        </w:rPr>
        <w:t xml:space="preserve"> de la</w:t>
      </w:r>
      <w:r w:rsidRPr="00676BD5">
        <w:rPr>
          <w:i/>
          <w:sz w:val="20"/>
          <w:lang w:val="fr-CA"/>
        </w:rPr>
        <w:t xml:space="preserve"> personne — Discrimination — Motifs de distinction illicite — Déficience mentale ou physique — Éducation — Fréquentation de l’école publique par un élève dyslexique — L’annulation par le district scolaire d’un programme d’éducation spécialisée a eu pour effet d’obliger l’élève à s’inscrire dans une école privée spécialisée — Le district scolaire a</w:t>
      </w:r>
      <w:r w:rsidRPr="00676BD5">
        <w:rPr>
          <w:i/>
          <w:sz w:val="20"/>
          <w:lang w:val="fr-CA"/>
        </w:rPr>
        <w:noBreakHyphen/>
        <w:t>t</w:t>
      </w:r>
      <w:r w:rsidRPr="00676BD5">
        <w:rPr>
          <w:i/>
          <w:sz w:val="20"/>
          <w:lang w:val="fr-CA"/>
        </w:rPr>
        <w:noBreakHyphen/>
        <w:t>il commis de la discrimination à l’endroit de l’élève en ne lui fournissant pas les mesures de remédiation nécessaires? — Human Rights Code, R.S.B.C. 1996, ch. 210, art. 8.</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i/>
          <w:sz w:val="20"/>
          <w:lang w:val="fr-CA"/>
        </w:rPr>
      </w:pPr>
      <w:r w:rsidRPr="00676BD5">
        <w:rPr>
          <w:i/>
          <w:sz w:val="20"/>
          <w:lang w:val="fr-CA"/>
        </w:rPr>
        <w:tab/>
        <w:t>Droit de l’éducation — Réglementation et administration des écoles — Programmes d’éducation — Obligations des autorités scolaires — En quoi consiste l’accès concret à l’éducation dans le cas des élèves ayant des troubles d’apprentissage? — School Act, S.B.C. 1989, ch. 61.</w:t>
      </w:r>
    </w:p>
    <w:p w:rsidR="00676BD5" w:rsidRPr="00676BD5" w:rsidRDefault="00676BD5" w:rsidP="00676BD5">
      <w:pPr>
        <w:pStyle w:val="SCCNormalDoubleSpacing"/>
        <w:spacing w:line="240" w:lineRule="auto"/>
        <w:rPr>
          <w:sz w:val="20"/>
          <w:lang w:val="fr-CA"/>
        </w:rPr>
      </w:pPr>
    </w:p>
    <w:p w:rsidR="00676BD5" w:rsidRPr="00676BD5" w:rsidRDefault="00676BD5" w:rsidP="00676BD5">
      <w:pPr>
        <w:pStyle w:val="SCCNormalDoubleSpacing"/>
        <w:spacing w:line="240" w:lineRule="auto"/>
        <w:rPr>
          <w:sz w:val="20"/>
          <w:lang w:val="fr-CA"/>
        </w:rPr>
      </w:pPr>
      <w:r w:rsidRPr="00676BD5">
        <w:rPr>
          <w:sz w:val="20"/>
          <w:lang w:val="fr-CA"/>
        </w:rPr>
        <w:tab/>
        <w:t>Atteint de dyslexie grave, J profitait à cet égard de mesures d’éducation spécialisée à l’école publique qu’il fréquentait.  En deuxième année du primaire, comme il ne pouvait pas obtenir l’assistance dont il avait besoin au sein de son école, une psychologue travaillant pour le district scolaire a recommandé qu’il fréquente le Centre de diagnostic local afin de bénéficier des mesures de remédiation nécessaires.  Lorsque le district scolaire a fermé le Centre de diagnostic, J a été transféré dans une école privée pour y recevoir l’enseignement dont il avait besoin.  Le père de J a déposé au nom de ce dernier, auprès du Tribunal des droits de la personne de la C.</w:t>
      </w:r>
      <w:r w:rsidRPr="00676BD5">
        <w:rPr>
          <w:sz w:val="20"/>
          <w:lang w:val="fr-CA"/>
        </w:rPr>
        <w:noBreakHyphen/>
        <w:t xml:space="preserve">B., une plainte contre le district scolaire et la province, leur reprochant d’avoir privé J d’« un service destiné au public » visé à l’art. 8 du </w:t>
      </w:r>
      <w:r w:rsidRPr="00676BD5">
        <w:rPr>
          <w:i/>
          <w:sz w:val="20"/>
          <w:lang w:val="fr-CA"/>
        </w:rPr>
        <w:t>Human Rights Code</w:t>
      </w:r>
      <w:r w:rsidRPr="00676BD5">
        <w:rPr>
          <w:sz w:val="20"/>
          <w:lang w:val="fr-CA"/>
        </w:rPr>
        <w:t xml:space="preserve"> de la C.</w:t>
      </w:r>
      <w:r w:rsidRPr="00676BD5">
        <w:rPr>
          <w:sz w:val="20"/>
          <w:lang w:val="fr-CA"/>
        </w:rPr>
        <w:noBreakHyphen/>
        <w:t xml:space="preserve">B.  Le Tribunal a conclu que J avait fait l’objet de discrimination par le district et par la province et il a prononcé contre eux un large éventail de mesures de réparation d’ordre systémique de portée considérable.  De plus, il a ordonné le remboursement à la famille des frais de scolarité payés pour que J fréquente l’école privée.  La juge siégeant en révision a annulé la décision du Tribunal, concluant qu’il n’y avait pas eu discrimination.  La Cour d’appel à la majorité a rejeté l’appel. </w:t>
      </w:r>
    </w:p>
    <w:p w:rsidR="00676BD5" w:rsidRPr="00676BD5" w:rsidRDefault="00676BD5" w:rsidP="00676BD5">
      <w:pPr>
        <w:pStyle w:val="SCCNormalDoubleSpacing"/>
        <w:spacing w:line="240" w:lineRule="auto"/>
        <w:rPr>
          <w:sz w:val="20"/>
          <w:lang w:val="fr-CA"/>
        </w:rPr>
      </w:pPr>
    </w:p>
    <w:p w:rsidR="00676BD5" w:rsidRPr="00676BD5" w:rsidRDefault="00676BD5" w:rsidP="00676BD5">
      <w:pPr>
        <w:pStyle w:val="SCCNormalDoubleSpacing"/>
        <w:spacing w:line="240" w:lineRule="auto"/>
        <w:rPr>
          <w:b/>
          <w:sz w:val="20"/>
          <w:lang w:val="fr-CA"/>
        </w:rPr>
      </w:pPr>
      <w:r w:rsidRPr="00676BD5">
        <w:rPr>
          <w:sz w:val="20"/>
          <w:lang w:val="fr-CA"/>
        </w:rPr>
        <w:tab/>
      </w:r>
      <w:r w:rsidRPr="00676BD5">
        <w:rPr>
          <w:i/>
          <w:sz w:val="20"/>
          <w:lang w:val="fr-CA"/>
        </w:rPr>
        <w:t>Arrêt</w:t>
      </w:r>
      <w:r w:rsidRPr="00676BD5">
        <w:rPr>
          <w:sz w:val="20"/>
          <w:lang w:val="fr-CA"/>
        </w:rPr>
        <w:t> : Le pourvoi est accueilli en grande partie.</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lastRenderedPageBreak/>
        <w:tab/>
      </w:r>
      <w:r w:rsidRPr="00676BD5">
        <w:rPr>
          <w:sz w:val="20"/>
          <w:lang w:val="fr-CA"/>
        </w:rPr>
        <w:t xml:space="preserve">La </w:t>
      </w:r>
      <w:r w:rsidRPr="00676BD5">
        <w:rPr>
          <w:i/>
          <w:sz w:val="20"/>
          <w:lang w:val="fr-CA"/>
        </w:rPr>
        <w:t>School Act</w:t>
      </w:r>
      <w:r w:rsidRPr="00676BD5">
        <w:rPr>
          <w:sz w:val="20"/>
          <w:lang w:val="fr-CA"/>
        </w:rPr>
        <w:t xml:space="preserve"> de la Colombie</w:t>
      </w:r>
      <w:r w:rsidRPr="00676BD5">
        <w:rPr>
          <w:sz w:val="20"/>
          <w:lang w:val="fr-CA"/>
        </w:rPr>
        <w:noBreakHyphen/>
        <w:t xml:space="preserve">Britannique a pour objectif de faire en sorte que « tous les apprenants [. . .] développe[nt] leur potentiel et [. . .] </w:t>
      </w:r>
      <w:proofErr w:type="gramStart"/>
      <w:r w:rsidRPr="00676BD5">
        <w:rPr>
          <w:sz w:val="20"/>
          <w:lang w:val="fr-CA"/>
        </w:rPr>
        <w:t>acqu[</w:t>
      </w:r>
      <w:proofErr w:type="gramEnd"/>
      <w:r w:rsidRPr="00676BD5">
        <w:rPr>
          <w:sz w:val="20"/>
          <w:lang w:val="fr-CA"/>
        </w:rPr>
        <w:t xml:space="preserve">ièrent] les connaissances, les habiletés et les attitudes nécessaires pour contribuer à l’établissement d’une société saine, démocratique et pluraliste et d’une économie durable et florissante ».  Le gouvernement reconnaît par là que la raison pour laquelle les enfants ont droit à l’éducation est qu’une démocratie et une économie saines requièrent leur contribution en tant que citoyens instruits.  Des services d’éducation spécialisée adéquats ne sont donc pas un luxe dont la société peut se passer.  Dans le cas des personnes atteintes de troubles d’apprentissage sévères, de tels services servent de rampe permettant de concrétiser l’engagement pris dans la loi envers </w:t>
      </w:r>
      <w:r w:rsidRPr="00676BD5">
        <w:rPr>
          <w:i/>
          <w:sz w:val="20"/>
          <w:lang w:val="fr-CA"/>
        </w:rPr>
        <w:t>tous</w:t>
      </w:r>
      <w:r w:rsidRPr="00676BD5">
        <w:rPr>
          <w:sz w:val="20"/>
          <w:lang w:val="fr-CA"/>
        </w:rPr>
        <w:t xml:space="preserve"> les enfants en Colombie</w:t>
      </w:r>
      <w:r w:rsidRPr="00676BD5">
        <w:rPr>
          <w:sz w:val="20"/>
          <w:lang w:val="fr-CA"/>
        </w:rPr>
        <w:noBreakHyphen/>
        <w:t>Britannique, à savoir l’accès à l’éducation.</w:t>
      </w:r>
    </w:p>
    <w:p w:rsidR="00676BD5" w:rsidRPr="00676BD5" w:rsidRDefault="00676BD5" w:rsidP="00676BD5">
      <w:pPr>
        <w:pStyle w:val="SCCNormalDoubleSpacing"/>
        <w:spacing w:line="240" w:lineRule="auto"/>
        <w:rPr>
          <w:sz w:val="20"/>
          <w:lang w:val="fr-CA"/>
        </w:rPr>
      </w:pPr>
    </w:p>
    <w:p w:rsidR="00676BD5" w:rsidRPr="00676BD5" w:rsidRDefault="00676BD5" w:rsidP="00676BD5">
      <w:pPr>
        <w:pStyle w:val="SCCNormalDoubleSpacing"/>
        <w:spacing w:line="240" w:lineRule="auto"/>
        <w:rPr>
          <w:sz w:val="20"/>
          <w:lang w:val="fr-CA"/>
        </w:rPr>
      </w:pPr>
      <w:r w:rsidRPr="00676BD5">
        <w:rPr>
          <w:sz w:val="20"/>
          <w:lang w:val="fr-CA"/>
        </w:rPr>
        <w:tab/>
        <w:t xml:space="preserve">Le « service » auquel J a droit en vertu de l’art. 8 du </w:t>
      </w:r>
      <w:r w:rsidRPr="00676BD5">
        <w:rPr>
          <w:i/>
          <w:sz w:val="20"/>
          <w:lang w:val="fr-CA"/>
        </w:rPr>
        <w:t xml:space="preserve">Human Rights Code </w:t>
      </w:r>
      <w:r w:rsidRPr="00676BD5">
        <w:rPr>
          <w:sz w:val="20"/>
          <w:lang w:val="fr-CA"/>
        </w:rPr>
        <w:t>de la C.</w:t>
      </w:r>
      <w:r w:rsidRPr="00676BD5">
        <w:rPr>
          <w:sz w:val="20"/>
          <w:lang w:val="fr-CA"/>
        </w:rPr>
        <w:noBreakHyphen/>
        <w:t xml:space="preserve">B. est l’éducation en général.  Considérer l’éducation spécialisée comme le service en cause risque d’aboutir à des justifications du genre « séparé mais équivalent ».  Si J était comparé uniquement à d’autres élèves ayant des besoins spéciaux, cela signifierait que le district pourrait supprimer </w:t>
      </w:r>
      <w:r w:rsidRPr="00676BD5">
        <w:rPr>
          <w:i/>
          <w:sz w:val="20"/>
          <w:lang w:val="fr-CA"/>
        </w:rPr>
        <w:t xml:space="preserve">tous </w:t>
      </w:r>
      <w:r w:rsidRPr="00676BD5">
        <w:rPr>
          <w:sz w:val="20"/>
          <w:lang w:val="fr-CA"/>
        </w:rPr>
        <w:t xml:space="preserve">les programmes destinés à ces élèves mais rester néanmoins à l’abri d’une plainte de discrimination.  </w:t>
      </w:r>
      <w:r w:rsidRPr="00676BD5">
        <w:rPr>
          <w:sz w:val="20"/>
          <w:lang w:val="fr-CA" w:bidi="en-US"/>
        </w:rPr>
        <w:t>S’il est comparé uniquement à d’autres élèves ayant des besoins spéciaux, il n’est pas possible d’examiner dans son ensemble la question de savoir s’il a profité de l’accès concret</w:t>
      </w:r>
      <w:r w:rsidRPr="00676BD5">
        <w:rPr>
          <w:i/>
          <w:sz w:val="20"/>
          <w:lang w:val="fr-CA" w:bidi="en-US"/>
        </w:rPr>
        <w:t xml:space="preserve"> </w:t>
      </w:r>
      <w:r w:rsidRPr="00676BD5">
        <w:rPr>
          <w:sz w:val="20"/>
          <w:lang w:val="fr-CA"/>
        </w:rPr>
        <w:t xml:space="preserve">à l’éducation auquel ont droit </w:t>
      </w:r>
      <w:r w:rsidRPr="00676BD5">
        <w:rPr>
          <w:i/>
          <w:sz w:val="20"/>
          <w:lang w:val="fr-CA"/>
        </w:rPr>
        <w:t>tous</w:t>
      </w:r>
      <w:r w:rsidRPr="00676BD5">
        <w:rPr>
          <w:sz w:val="20"/>
          <w:lang w:val="fr-CA"/>
        </w:rPr>
        <w:t xml:space="preserve"> les élèves de la Colombie</w:t>
      </w:r>
      <w:r w:rsidRPr="00676BD5">
        <w:rPr>
          <w:sz w:val="20"/>
          <w:lang w:val="fr-CA"/>
        </w:rPr>
        <w:noBreakHyphen/>
        <w:t xml:space="preserve">Britannique.  Cette approche risque de perpétuer exactement le désavantage et l’exclusion que le </w:t>
      </w:r>
      <w:r w:rsidRPr="00676BD5">
        <w:rPr>
          <w:i/>
          <w:sz w:val="20"/>
          <w:lang w:val="fr-CA"/>
        </w:rPr>
        <w:t xml:space="preserve">Code </w:t>
      </w:r>
      <w:r w:rsidRPr="00676BD5">
        <w:rPr>
          <w:sz w:val="20"/>
          <w:lang w:val="fr-CA"/>
        </w:rPr>
        <w:t xml:space="preserve">est censé corriger. </w:t>
      </w:r>
    </w:p>
    <w:p w:rsidR="00676BD5" w:rsidRPr="00676BD5" w:rsidRDefault="00676BD5" w:rsidP="00676BD5">
      <w:pPr>
        <w:pStyle w:val="SCCNormalDoubleSpacing"/>
        <w:spacing w:line="240" w:lineRule="auto"/>
        <w:rPr>
          <w:sz w:val="20"/>
          <w:lang w:val="fr-CA"/>
        </w:rPr>
      </w:pPr>
    </w:p>
    <w:p w:rsidR="00676BD5" w:rsidRPr="00676BD5" w:rsidRDefault="00676BD5" w:rsidP="00676BD5">
      <w:pPr>
        <w:pStyle w:val="SCCNormalDoubleSpacing"/>
        <w:spacing w:line="240" w:lineRule="auto"/>
        <w:rPr>
          <w:sz w:val="20"/>
          <w:lang w:val="fr-CA"/>
        </w:rPr>
      </w:pPr>
      <w:r w:rsidRPr="00676BD5">
        <w:rPr>
          <w:sz w:val="20"/>
          <w:lang w:val="fr-CA"/>
        </w:rPr>
        <w:tab/>
        <w:t>Pour</w:t>
      </w:r>
      <w:r w:rsidRPr="00676BD5">
        <w:rPr>
          <w:sz w:val="20"/>
          <w:lang w:val="fr-CA" w:bidi="en-US"/>
        </w:rPr>
        <w:t xml:space="preserve"> établir à première vue l’existence de discrimination visée à l’art. 8, les plaignants doivent démontrer qu’ils possèdent une caractéristique protégée contre la discrimination,</w:t>
      </w:r>
      <w:r w:rsidRPr="00676BD5">
        <w:rPr>
          <w:sz w:val="20"/>
          <w:lang w:val="fr-CA"/>
        </w:rPr>
        <w:t xml:space="preserve"> qu’ils ont subi un effet préjudiciable relativement à un service destiné au public et que la caractéristique protégée a constitué un facteur dans la manifestation de l’effet préjudiciable.  Une fois la discrimination établie à première vue,</w:t>
      </w:r>
      <w:r w:rsidRPr="00676BD5">
        <w:rPr>
          <w:i/>
          <w:sz w:val="20"/>
          <w:lang w:val="fr-CA"/>
        </w:rPr>
        <w:t xml:space="preserve"> </w:t>
      </w:r>
      <w:r w:rsidRPr="00676BD5">
        <w:rPr>
          <w:sz w:val="20"/>
          <w:lang w:val="fr-CA"/>
        </w:rPr>
        <w:t>l’intimé a alors le fardeau de justifier la conduite ou la pratique.  Si la conduite ou pratique ne peut être justifiée, le tribunal conclura à l’existence de la discrimination.</w:t>
      </w:r>
    </w:p>
    <w:p w:rsidR="00676BD5" w:rsidRPr="00676BD5" w:rsidRDefault="00676BD5" w:rsidP="00676BD5">
      <w:pPr>
        <w:pStyle w:val="SCCNormalDoubleSpacing"/>
        <w:spacing w:line="240" w:lineRule="auto"/>
        <w:rPr>
          <w:sz w:val="20"/>
          <w:lang w:val="fr-CA"/>
        </w:rPr>
      </w:pPr>
    </w:p>
    <w:p w:rsidR="00676BD5" w:rsidRPr="00676BD5" w:rsidRDefault="00676BD5" w:rsidP="00676BD5">
      <w:pPr>
        <w:pStyle w:val="SCCNormalDoubleSpacing"/>
        <w:spacing w:line="240" w:lineRule="auto"/>
        <w:rPr>
          <w:sz w:val="20"/>
          <w:lang w:val="fr-CA" w:bidi="en-US"/>
        </w:rPr>
      </w:pPr>
      <w:r w:rsidRPr="00676BD5">
        <w:rPr>
          <w:sz w:val="20"/>
          <w:lang w:val="fr-CA"/>
        </w:rPr>
        <w:tab/>
        <w:t>Personne</w:t>
      </w:r>
      <w:r w:rsidRPr="00676BD5">
        <w:rPr>
          <w:sz w:val="20"/>
          <w:lang w:val="fr-CA" w:bidi="en-US"/>
        </w:rPr>
        <w:t xml:space="preserve"> ne conteste que la dyslexie dont J est atteint constitue une déficience.  Il ne fait également aucun doute que tout effet préjudiciable qu’il a pu subir est lié à cette déficience.  La question à trancher consiste donc à se demander si l’on a sans justification raisonnable privé J, en raison de la déficience dont il est atteint, de l’accès concret aux services d’éducation générale destinés à tous les enfants en Colombie</w:t>
      </w:r>
      <w:r w:rsidRPr="00676BD5">
        <w:rPr>
          <w:sz w:val="20"/>
          <w:lang w:val="fr-CA" w:bidi="en-US"/>
        </w:rPr>
        <w:noBreakHyphen/>
        <w:t xml:space="preserve">Britannique.  </w:t>
      </w:r>
    </w:p>
    <w:p w:rsidR="00676BD5" w:rsidRPr="00676BD5" w:rsidRDefault="00676BD5" w:rsidP="00676BD5">
      <w:pPr>
        <w:pStyle w:val="SCCNormalDoubleSpacing"/>
        <w:spacing w:line="240" w:lineRule="auto"/>
        <w:rPr>
          <w:sz w:val="20"/>
          <w:lang w:val="fr-CA"/>
        </w:rPr>
      </w:pPr>
    </w:p>
    <w:p w:rsidR="00676BD5" w:rsidRPr="00676BD5" w:rsidRDefault="00676BD5" w:rsidP="00676BD5">
      <w:pPr>
        <w:pStyle w:val="SCCNormalDoubleSpacing"/>
        <w:spacing w:line="240" w:lineRule="auto"/>
        <w:rPr>
          <w:sz w:val="20"/>
          <w:lang w:val="fr-CA" w:bidi="en-US"/>
        </w:rPr>
      </w:pPr>
      <w:r w:rsidRPr="00676BD5">
        <w:rPr>
          <w:sz w:val="20"/>
          <w:lang w:val="fr-CA"/>
        </w:rPr>
        <w:tab/>
        <w:t xml:space="preserve">La discrimination à première vue a été établie en raison du caractère insuffisamment intensif des </w:t>
      </w:r>
      <w:r w:rsidRPr="00676BD5">
        <w:rPr>
          <w:sz w:val="20"/>
          <w:lang w:val="fr-CA" w:bidi="en-US"/>
        </w:rPr>
        <w:t>mesures de remédiation mises en œuvre par le district, compte tenu des troubles d’apprentissage de J, afin de donner à ce dernier accès à l’éducation à laquelle il avait droit.  J a reçu une forme d’aide pédagogique spécialisée jusqu’en troisième année, mais la conclusion du Tribunal que les mesures de remédiation étaient loin d’être suffisantes pour fournir à J l’éducation à laquelle il avait droit était entièrement étayée par la preuve.  Le Tribunal a jugé que des employés du district avaient prévenu la famille que J avait besoin de mesures de remédiation intensives.  Par suite de la fermeture du Centre de diagnostic, ces mesures ne pouvaient être obtenues que dans une école privée.</w:t>
      </w:r>
    </w:p>
    <w:p w:rsidR="00676BD5" w:rsidRPr="00676BD5" w:rsidRDefault="00676BD5" w:rsidP="00676BD5">
      <w:pPr>
        <w:pStyle w:val="SCCNormalDoubleSpacing"/>
        <w:spacing w:line="240" w:lineRule="auto"/>
        <w:rPr>
          <w:sz w:val="20"/>
          <w:lang w:val="fr-CA" w:bidi="en-US"/>
        </w:rPr>
      </w:pPr>
    </w:p>
    <w:p w:rsidR="00676BD5" w:rsidRPr="00676BD5" w:rsidRDefault="00676BD5" w:rsidP="00676BD5">
      <w:pPr>
        <w:pStyle w:val="SCCNormalDoubleSpacing"/>
        <w:spacing w:line="240" w:lineRule="auto"/>
        <w:rPr>
          <w:sz w:val="20"/>
          <w:lang w:val="fr-CA" w:bidi="en-US"/>
        </w:rPr>
      </w:pPr>
      <w:r w:rsidRPr="00676BD5">
        <w:rPr>
          <w:sz w:val="20"/>
          <w:lang w:val="fr-CA" w:bidi="en-US"/>
        </w:rPr>
        <w:tab/>
        <w:t xml:space="preserve">Le </w:t>
      </w:r>
      <w:r w:rsidRPr="00676BD5">
        <w:rPr>
          <w:sz w:val="20"/>
          <w:lang w:val="fr-CA"/>
        </w:rPr>
        <w:t>Tribunal</w:t>
      </w:r>
      <w:r w:rsidRPr="00676BD5">
        <w:rPr>
          <w:sz w:val="20"/>
          <w:lang w:val="fr-CA" w:bidi="en-US"/>
        </w:rPr>
        <w:t xml:space="preserve"> a jugé que, lorsque le district a décidé de fermer le Centre de diagnostic, il l’a fait sans savoir comment il serait satisfait aux besoins des élèves comme J, et sans avoir réalisé d’analyse des besoins, considéré quelles mesures pourraient remplacer le Centre de diagnostic </w:t>
      </w:r>
      <w:r w:rsidRPr="00676BD5">
        <w:rPr>
          <w:sz w:val="20"/>
          <w:lang w:val="fr-CA"/>
        </w:rPr>
        <w:t xml:space="preserve">ou évalué l’effet de cette fermeture sur les élèves ayant des troubles d’apprentissage sévères.  </w:t>
      </w:r>
      <w:r w:rsidRPr="00676BD5">
        <w:rPr>
          <w:sz w:val="20"/>
          <w:lang w:val="fr-CA" w:bidi="en-US"/>
        </w:rPr>
        <w:t>C’est la combinaison de la reconnaissance sans équivoque par le district, par ses employés et par les experts du besoin de J de profiter des mesures de remédiation intensives pour avoir accès concrètement à l’éducation, de la fermeture du Centre de diagnostic et du fait que la famille avait été avisée que le district n’était pas en mesure de fournir autrement ces services qui a justifié le Tribunal de conclure que l’omission du district de répondre aux besoins de J en matière d’éducation constituait de la discrimination à première vue.</w:t>
      </w:r>
    </w:p>
    <w:p w:rsidR="00676BD5" w:rsidRPr="00676BD5" w:rsidRDefault="00676BD5" w:rsidP="00676BD5">
      <w:pPr>
        <w:pStyle w:val="SCCNormalDoubleSpacing"/>
        <w:spacing w:line="240" w:lineRule="auto"/>
        <w:rPr>
          <w:sz w:val="20"/>
          <w:lang w:val="fr-CA" w:bidi="en-US"/>
        </w:rPr>
      </w:pPr>
    </w:p>
    <w:p w:rsidR="00676BD5" w:rsidRPr="00676BD5" w:rsidRDefault="00676BD5" w:rsidP="00676BD5">
      <w:pPr>
        <w:pStyle w:val="SCCNormalDoubleSpacing"/>
        <w:spacing w:line="240" w:lineRule="auto"/>
        <w:rPr>
          <w:sz w:val="20"/>
          <w:lang w:val="fr-CA"/>
        </w:rPr>
      </w:pPr>
      <w:r w:rsidRPr="00676BD5">
        <w:rPr>
          <w:sz w:val="20"/>
          <w:lang w:val="fr-CA" w:bidi="en-US"/>
        </w:rPr>
        <w:tab/>
        <w:t xml:space="preserve">La </w:t>
      </w:r>
      <w:r w:rsidRPr="00676BD5">
        <w:rPr>
          <w:sz w:val="20"/>
          <w:lang w:val="fr-CA"/>
        </w:rPr>
        <w:t>question</w:t>
      </w:r>
      <w:r w:rsidRPr="00676BD5">
        <w:rPr>
          <w:sz w:val="20"/>
          <w:lang w:val="fr-CA" w:bidi="en-US"/>
        </w:rPr>
        <w:t xml:space="preserve"> suivante consiste à décider si la conduite du district était justifiée.  La justification invoquée par le district repose sur la crise financière qu’il traversait durant la période pertinente et qui a mené à la fermeture du Centre de diagnostic et à d’autres compressions connexes</w:t>
      </w:r>
      <w:r w:rsidRPr="00676BD5">
        <w:rPr>
          <w:sz w:val="20"/>
          <w:lang w:val="fr-CA"/>
        </w:rPr>
        <w:t xml:space="preserve">.  Il n’y a pas lieu de modifier les constatations du Tribunal suivant lesquelles le district disposait d’autres solutions pour régler sa crise budgétaire.  </w:t>
      </w:r>
      <w:r w:rsidRPr="00676BD5">
        <w:rPr>
          <w:sz w:val="20"/>
          <w:lang w:val="fr-CA" w:bidi="en-US"/>
        </w:rPr>
        <w:t xml:space="preserve">Le Tribunal a accepté que le district </w:t>
      </w:r>
      <w:proofErr w:type="gramStart"/>
      <w:r w:rsidRPr="00676BD5">
        <w:rPr>
          <w:sz w:val="20"/>
          <w:lang w:val="fr-CA" w:bidi="en-US"/>
        </w:rPr>
        <w:t>était</w:t>
      </w:r>
      <w:proofErr w:type="gramEnd"/>
      <w:r w:rsidRPr="00676BD5">
        <w:rPr>
          <w:sz w:val="20"/>
          <w:lang w:val="fr-CA" w:bidi="en-US"/>
        </w:rPr>
        <w:t xml:space="preserve"> aux prises avec des difficultés financières durant la période pertinente.  Toutefois, il a en outre conclu que des compressions avaient visé de manière disproportionnée les programmes destinés aux élèves ayant des besoins spéciaux.  En effet, le district avait maintenu des programmes discrétionnaires comme l’école en plein air</w:t>
      </w:r>
      <w:r w:rsidRPr="00676BD5">
        <w:rPr>
          <w:sz w:val="20"/>
          <w:lang w:val="fr-CA"/>
        </w:rPr>
        <w:t xml:space="preserve"> (« </w:t>
      </w:r>
      <w:r w:rsidRPr="00676BD5">
        <w:rPr>
          <w:i/>
          <w:sz w:val="20"/>
          <w:lang w:val="fr-CA"/>
        </w:rPr>
        <w:t>Outdoor School </w:t>
      </w:r>
      <w:r w:rsidRPr="00676BD5">
        <w:rPr>
          <w:sz w:val="20"/>
          <w:lang w:val="fr-CA"/>
        </w:rPr>
        <w:t xml:space="preserve">») — un centre de plein air où les élèves recevaient de l’enseignement sur la collectivité et l’environnement — alors qu’il avait supprimé le </w:t>
      </w:r>
      <w:r w:rsidRPr="00676BD5">
        <w:rPr>
          <w:sz w:val="20"/>
          <w:lang w:val="fr-CA" w:bidi="en-US"/>
        </w:rPr>
        <w:t>Centre de diagnostic</w:t>
      </w:r>
      <w:r w:rsidRPr="00676BD5">
        <w:rPr>
          <w:sz w:val="20"/>
          <w:lang w:val="fr-CA"/>
        </w:rPr>
        <w:t>, et ce, malgré les coûts similaires de ces programmes.</w:t>
      </w:r>
    </w:p>
    <w:p w:rsidR="00676BD5" w:rsidRPr="00676BD5" w:rsidRDefault="00676BD5" w:rsidP="00676BD5">
      <w:pPr>
        <w:pStyle w:val="SCCNormalDoubleSpacing"/>
        <w:spacing w:line="240" w:lineRule="auto"/>
        <w:rPr>
          <w:sz w:val="20"/>
          <w:lang w:val="fr-CA"/>
        </w:rPr>
      </w:pPr>
    </w:p>
    <w:p w:rsidR="00676BD5" w:rsidRPr="00676BD5" w:rsidRDefault="00676BD5" w:rsidP="00676BD5">
      <w:pPr>
        <w:pStyle w:val="SCCNormalDoubleSpacing"/>
        <w:spacing w:line="240" w:lineRule="auto"/>
        <w:rPr>
          <w:sz w:val="20"/>
          <w:lang w:val="fr-CA" w:bidi="en-US"/>
        </w:rPr>
      </w:pPr>
      <w:r w:rsidRPr="00676BD5">
        <w:rPr>
          <w:sz w:val="20"/>
          <w:lang w:val="fr-CA"/>
        </w:rPr>
        <w:tab/>
        <w:t xml:space="preserve">Fait plus important encore, le Tribunal a conclu que le district n’avait procédé à </w:t>
      </w:r>
      <w:r w:rsidRPr="00676BD5">
        <w:rPr>
          <w:i/>
          <w:sz w:val="20"/>
          <w:lang w:val="fr-CA"/>
        </w:rPr>
        <w:t xml:space="preserve">aucune </w:t>
      </w:r>
      <w:r w:rsidRPr="00676BD5">
        <w:rPr>
          <w:sz w:val="20"/>
          <w:lang w:val="fr-CA"/>
        </w:rPr>
        <w:t xml:space="preserve">évaluation, financière ou autre, des solutions de rechange qui existaient ou auraient pu raisonnablement être trouvées pour répondre aux besoins de J si la décision de fermer le </w:t>
      </w:r>
      <w:r w:rsidRPr="00676BD5">
        <w:rPr>
          <w:sz w:val="20"/>
          <w:lang w:val="fr-CA" w:bidi="en-US"/>
        </w:rPr>
        <w:t xml:space="preserve">Centre de diagnostic </w:t>
      </w:r>
      <w:r w:rsidRPr="00676BD5">
        <w:rPr>
          <w:sz w:val="20"/>
          <w:lang w:val="fr-CA"/>
        </w:rPr>
        <w:t xml:space="preserve">était prise.  </w:t>
      </w:r>
      <w:r w:rsidRPr="00676BD5">
        <w:rPr>
          <w:sz w:val="20"/>
          <w:lang w:val="fr-CA" w:bidi="en-US"/>
        </w:rPr>
        <w:t xml:space="preserve">L’omission d’envisager d’autres réaménagements financiers invalide complètement l’argument du district, à savoir qu’il avait été justifié de </w:t>
      </w:r>
      <w:r w:rsidRPr="00676BD5">
        <w:rPr>
          <w:i/>
          <w:sz w:val="20"/>
          <w:lang w:val="fr-CA" w:bidi="en-US"/>
        </w:rPr>
        <w:t>ne pas</w:t>
      </w:r>
      <w:r w:rsidRPr="00676BD5">
        <w:rPr>
          <w:sz w:val="20"/>
          <w:lang w:val="fr-CA" w:bidi="en-US"/>
        </w:rPr>
        <w:t xml:space="preserve"> fournir à J d’accès concret à l’éducation, parce qu’il n’avait pas eu le choix d’agir comme il l’a fait.  Pour décider qu’il ne disposait d’aucune autre solution, le district devait à tout le moins se demander quelles auraient pu être ces autres solutions.</w:t>
      </w:r>
    </w:p>
    <w:p w:rsidR="00676BD5" w:rsidRPr="00676BD5" w:rsidRDefault="00676BD5" w:rsidP="00676BD5">
      <w:pPr>
        <w:pStyle w:val="SCCNormalDoubleSpacing"/>
        <w:spacing w:line="240" w:lineRule="auto"/>
        <w:rPr>
          <w:sz w:val="20"/>
          <w:lang w:val="fr-CA"/>
        </w:rPr>
      </w:pPr>
    </w:p>
    <w:p w:rsidR="00676BD5" w:rsidRPr="00676BD5" w:rsidRDefault="00676BD5" w:rsidP="00676BD5">
      <w:pPr>
        <w:pStyle w:val="SCCNormalDoubleSpacing"/>
        <w:spacing w:line="240" w:lineRule="auto"/>
        <w:rPr>
          <w:sz w:val="20"/>
          <w:lang w:val="fr-CA" w:bidi="en-US"/>
        </w:rPr>
      </w:pPr>
      <w:r w:rsidRPr="00676BD5">
        <w:rPr>
          <w:sz w:val="20"/>
          <w:lang w:val="fr-CA"/>
        </w:rPr>
        <w:tab/>
        <w:t>La conclusion de discrimination prononcée à l’encontre du district est rétablie.</w:t>
      </w:r>
      <w:r w:rsidRPr="00676BD5">
        <w:rPr>
          <w:sz w:val="20"/>
          <w:lang w:val="fr-CA" w:bidi="en-US"/>
        </w:rPr>
        <w:t xml:space="preserve"> </w:t>
      </w:r>
    </w:p>
    <w:p w:rsidR="00676BD5" w:rsidRPr="00676BD5" w:rsidRDefault="00676BD5" w:rsidP="00676BD5">
      <w:pPr>
        <w:pStyle w:val="SCCNormalDoubleSpacing"/>
        <w:spacing w:line="240" w:lineRule="auto"/>
        <w:rPr>
          <w:sz w:val="20"/>
          <w:lang w:val="fr-CA" w:bidi="en-US"/>
        </w:rPr>
      </w:pPr>
    </w:p>
    <w:p w:rsidR="00676BD5" w:rsidRPr="00676BD5" w:rsidRDefault="00676BD5" w:rsidP="00676BD5">
      <w:pPr>
        <w:pStyle w:val="SCCNormalDoubleSpacing"/>
        <w:spacing w:line="240" w:lineRule="auto"/>
        <w:rPr>
          <w:sz w:val="20"/>
          <w:lang w:val="fr-CA"/>
        </w:rPr>
      </w:pPr>
      <w:r w:rsidRPr="00676BD5">
        <w:rPr>
          <w:sz w:val="20"/>
          <w:lang w:val="fr-CA"/>
        </w:rPr>
        <w:tab/>
        <w:t>POURVOI contre un arrêt de la Cour d’appel de la Colombie</w:t>
      </w:r>
      <w:r w:rsidRPr="00676BD5">
        <w:rPr>
          <w:sz w:val="20"/>
          <w:lang w:val="fr-CA"/>
        </w:rPr>
        <w:noBreakHyphen/>
        <w:t xml:space="preserve">Britannique (les juges </w:t>
      </w:r>
      <w:r w:rsidR="00BF3B03" w:rsidRPr="00D03C2F">
        <w:rPr>
          <w:sz w:val="20"/>
        </w:rPr>
        <w:fldChar w:fldCharType="begin"/>
      </w:r>
      <w:r w:rsidRPr="00676BD5">
        <w:rPr>
          <w:sz w:val="20"/>
          <w:lang w:val="fr-CA"/>
        </w:rPr>
        <w:instrText xml:space="preserve"> SEQ CHAPTER \h \r 1</w:instrText>
      </w:r>
      <w:r w:rsidR="00BF3B03" w:rsidRPr="00D03C2F">
        <w:rPr>
          <w:sz w:val="20"/>
        </w:rPr>
        <w:fldChar w:fldCharType="end"/>
      </w:r>
      <w:r w:rsidRPr="00676BD5">
        <w:rPr>
          <w:sz w:val="20"/>
          <w:lang w:val="fr-CA"/>
        </w:rPr>
        <w:t xml:space="preserve">Rowles, Saunders et Low), </w:t>
      </w:r>
      <w:r w:rsidR="00BF3B03" w:rsidRPr="00D03C2F">
        <w:rPr>
          <w:sz w:val="20"/>
        </w:rPr>
        <w:fldChar w:fldCharType="begin"/>
      </w:r>
      <w:r w:rsidRPr="00676BD5">
        <w:rPr>
          <w:sz w:val="20"/>
          <w:lang w:val="fr-CA"/>
        </w:rPr>
        <w:instrText xml:space="preserve"> SEQ CHAPTER \h \r 1</w:instrText>
      </w:r>
      <w:r w:rsidR="00BF3B03" w:rsidRPr="00D03C2F">
        <w:rPr>
          <w:sz w:val="20"/>
        </w:rPr>
        <w:fldChar w:fldCharType="end"/>
      </w:r>
      <w:r w:rsidRPr="00676BD5">
        <w:rPr>
          <w:sz w:val="20"/>
          <w:lang w:val="fr-CA"/>
        </w:rPr>
        <w:t xml:space="preserve">2010 BCCA 478, 12 B.C.L.R. (5th) 246, 326 D.L.R. (4th) 77, 294 B.C.A.C. 185, 498 W.A.C. 185, 71 C.H.R.R. D/238, [2011] 3 W.W.R. 383, [2010] B.C.J. No. 2097 (QL), 2010 CarswellBC 3446, qui a confirmé une décision de la juge </w:t>
      </w:r>
      <w:r w:rsidR="00BF3B03" w:rsidRPr="00D03C2F">
        <w:rPr>
          <w:sz w:val="20"/>
        </w:rPr>
        <w:fldChar w:fldCharType="begin"/>
      </w:r>
      <w:r w:rsidRPr="00676BD5">
        <w:rPr>
          <w:sz w:val="20"/>
          <w:lang w:val="fr-CA"/>
        </w:rPr>
        <w:instrText xml:space="preserve"> SEQ CHAPTER \h \r 1</w:instrText>
      </w:r>
      <w:r w:rsidR="00BF3B03" w:rsidRPr="00D03C2F">
        <w:rPr>
          <w:sz w:val="20"/>
        </w:rPr>
        <w:fldChar w:fldCharType="end"/>
      </w:r>
      <w:r w:rsidRPr="00676BD5">
        <w:rPr>
          <w:sz w:val="20"/>
          <w:lang w:val="fr-CA"/>
        </w:rPr>
        <w:t xml:space="preserve">Dillon, </w:t>
      </w:r>
      <w:r w:rsidR="00BF3B03" w:rsidRPr="00D03C2F">
        <w:rPr>
          <w:sz w:val="20"/>
        </w:rPr>
        <w:fldChar w:fldCharType="begin"/>
      </w:r>
      <w:r w:rsidRPr="00676BD5">
        <w:rPr>
          <w:sz w:val="20"/>
          <w:lang w:val="fr-CA"/>
        </w:rPr>
        <w:instrText xml:space="preserve"> SEQ CHAPTER \h \r 1</w:instrText>
      </w:r>
      <w:r w:rsidR="00BF3B03" w:rsidRPr="00D03C2F">
        <w:rPr>
          <w:sz w:val="20"/>
        </w:rPr>
        <w:fldChar w:fldCharType="end"/>
      </w:r>
      <w:r w:rsidRPr="00676BD5">
        <w:rPr>
          <w:sz w:val="20"/>
          <w:lang w:val="fr-CA"/>
        </w:rPr>
        <w:t>2008 BCSC 264, 81 B.C.L.R. (4th) 107, 62 C.H.R.R. D/289, [2008] 10 W.W.R. 518, [2008] B.C.J. No. 348 (QL), 2008 CarswellBC 388, ayant infirmé une décision du Tribunal des droits de la personne de la Colombie-Britannique, 2005 BCHRT 580, 54 C.H.R.R. D/245.  Pourvoi accueilli en grande partie.</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t xml:space="preserve">Frances M. Kelly </w:t>
      </w:r>
      <w:r w:rsidRPr="00676BD5">
        <w:rPr>
          <w:sz w:val="20"/>
          <w:lang w:val="fr-CA"/>
        </w:rPr>
        <w:t xml:space="preserve">et </w:t>
      </w:r>
      <w:r w:rsidRPr="00676BD5">
        <w:rPr>
          <w:i/>
          <w:sz w:val="20"/>
          <w:lang w:val="fr-CA"/>
        </w:rPr>
        <w:t>Devyn Cousineau</w:t>
      </w:r>
      <w:r w:rsidRPr="00676BD5">
        <w:rPr>
          <w:sz w:val="20"/>
          <w:lang w:val="fr-CA"/>
        </w:rPr>
        <w:t>, pour l’appelant.</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t>Leah Greathead</w:t>
      </w:r>
      <w:r w:rsidRPr="00676BD5">
        <w:rPr>
          <w:sz w:val="20"/>
          <w:lang w:val="fr-CA"/>
        </w:rPr>
        <w:t xml:space="preserve"> et </w:t>
      </w:r>
      <w:r w:rsidRPr="00676BD5">
        <w:rPr>
          <w:i/>
          <w:sz w:val="20"/>
          <w:lang w:val="fr-CA"/>
        </w:rPr>
        <w:t>E.W. (Heidi) Hughes</w:t>
      </w:r>
      <w:r w:rsidRPr="00676BD5">
        <w:rPr>
          <w:sz w:val="20"/>
          <w:lang w:val="fr-CA"/>
        </w:rPr>
        <w:t>, pour l’intimée Sa Majesté la Reine du chef de la province de la Colombie</w:t>
      </w:r>
      <w:r w:rsidRPr="00676BD5">
        <w:rPr>
          <w:sz w:val="20"/>
          <w:lang w:val="fr-CA"/>
        </w:rPr>
        <w:noBreakHyphen/>
        <w:t>Britannique, représentée par le ministère de l’Éducation.</w:t>
      </w:r>
    </w:p>
    <w:p w:rsidR="00676BD5" w:rsidRPr="00676BD5" w:rsidRDefault="00676BD5" w:rsidP="00676BD5">
      <w:pPr>
        <w:pStyle w:val="SCCNormalDoubleSpacing"/>
        <w:spacing w:line="240" w:lineRule="auto"/>
        <w:rPr>
          <w:i/>
          <w:sz w:val="20"/>
          <w:lang w:val="fr-CA"/>
        </w:rPr>
      </w:pPr>
    </w:p>
    <w:p w:rsidR="00676BD5" w:rsidRPr="00D03C2F" w:rsidRDefault="00676BD5" w:rsidP="00676BD5">
      <w:pPr>
        <w:pStyle w:val="SCCNormalDoubleSpacing"/>
        <w:spacing w:line="240" w:lineRule="auto"/>
        <w:rPr>
          <w:sz w:val="20"/>
          <w:lang w:val="en-US"/>
        </w:rPr>
      </w:pPr>
      <w:r w:rsidRPr="00676BD5">
        <w:rPr>
          <w:i/>
          <w:sz w:val="20"/>
          <w:lang w:val="fr-CA"/>
        </w:rPr>
        <w:tab/>
      </w:r>
      <w:r w:rsidRPr="00D03C2F">
        <w:rPr>
          <w:i/>
          <w:sz w:val="20"/>
          <w:lang w:val="en-US"/>
        </w:rPr>
        <w:t xml:space="preserve">Laura N. Bakan, </w:t>
      </w:r>
      <w:proofErr w:type="gramStart"/>
      <w:r w:rsidRPr="00D03C2F">
        <w:rPr>
          <w:i/>
          <w:sz w:val="20"/>
          <w:lang w:val="en-US"/>
        </w:rPr>
        <w:t>c.r</w:t>
      </w:r>
      <w:proofErr w:type="gramEnd"/>
      <w:r w:rsidRPr="00D03C2F">
        <w:rPr>
          <w:i/>
          <w:sz w:val="20"/>
          <w:lang w:val="en-US"/>
        </w:rPr>
        <w:t>.</w:t>
      </w:r>
      <w:r w:rsidRPr="00D03C2F">
        <w:rPr>
          <w:sz w:val="20"/>
          <w:lang w:val="en-US"/>
        </w:rPr>
        <w:t xml:space="preserve">, </w:t>
      </w:r>
      <w:r w:rsidRPr="00D03C2F">
        <w:rPr>
          <w:i/>
          <w:sz w:val="20"/>
          <w:lang w:val="en-US"/>
        </w:rPr>
        <w:t>David J. Bell</w:t>
      </w:r>
      <w:r w:rsidRPr="00D03C2F">
        <w:rPr>
          <w:sz w:val="20"/>
          <w:lang w:val="en-US"/>
        </w:rPr>
        <w:t xml:space="preserve"> et </w:t>
      </w:r>
      <w:r w:rsidRPr="00D03C2F">
        <w:rPr>
          <w:i/>
          <w:sz w:val="20"/>
          <w:lang w:val="en-US"/>
        </w:rPr>
        <w:t>Kristal M. Low</w:t>
      </w:r>
      <w:r w:rsidRPr="00D03C2F">
        <w:rPr>
          <w:sz w:val="20"/>
          <w:lang w:val="en-US"/>
        </w:rPr>
        <w:t>, pour l’intimé Board of Education of School District No. 44 (North Vancouver), anciennement appelé The Board of School Trustees of School District No. 44 (North Vancouver).</w:t>
      </w:r>
    </w:p>
    <w:p w:rsidR="00676BD5" w:rsidRDefault="00676BD5" w:rsidP="00676BD5">
      <w:pPr>
        <w:pStyle w:val="SCCNormalDoubleSpacing"/>
        <w:spacing w:line="240" w:lineRule="auto"/>
        <w:rPr>
          <w:i/>
          <w:sz w:val="20"/>
          <w:lang w:val="en-US"/>
        </w:rPr>
      </w:pPr>
    </w:p>
    <w:p w:rsidR="00676BD5" w:rsidRPr="00676BD5" w:rsidRDefault="00676BD5" w:rsidP="00676BD5">
      <w:pPr>
        <w:pStyle w:val="SCCNormalDoubleSpacing"/>
        <w:spacing w:line="240" w:lineRule="auto"/>
        <w:rPr>
          <w:sz w:val="20"/>
          <w:lang w:val="fr-CA"/>
        </w:rPr>
      </w:pPr>
      <w:r w:rsidRPr="00D03C2F">
        <w:rPr>
          <w:i/>
          <w:sz w:val="20"/>
          <w:lang w:val="en-US"/>
        </w:rPr>
        <w:tab/>
      </w:r>
      <w:r w:rsidRPr="00676BD5">
        <w:rPr>
          <w:i/>
          <w:sz w:val="20"/>
          <w:lang w:val="fr-CA"/>
        </w:rPr>
        <w:t>Robert E. Charney</w:t>
      </w:r>
      <w:r w:rsidRPr="00676BD5">
        <w:rPr>
          <w:sz w:val="20"/>
          <w:lang w:val="fr-CA"/>
        </w:rPr>
        <w:t xml:space="preserve"> et </w:t>
      </w:r>
      <w:r w:rsidRPr="00676BD5">
        <w:rPr>
          <w:i/>
          <w:sz w:val="20"/>
          <w:lang w:val="fr-CA"/>
        </w:rPr>
        <w:t>Sarah Kraicer</w:t>
      </w:r>
      <w:r w:rsidRPr="00676BD5">
        <w:rPr>
          <w:sz w:val="20"/>
          <w:lang w:val="fr-CA"/>
        </w:rPr>
        <w:t>, pour l’intervenant le procureur général de l’Ontario.</w:t>
      </w:r>
    </w:p>
    <w:p w:rsidR="00676BD5" w:rsidRPr="00676BD5" w:rsidRDefault="00676BD5" w:rsidP="00676BD5">
      <w:pPr>
        <w:pStyle w:val="SCCNormalDoubleSpacing"/>
        <w:spacing w:line="240" w:lineRule="auto"/>
        <w:rPr>
          <w:i/>
          <w:sz w:val="20"/>
          <w:lang w:val="fr-CA"/>
        </w:rPr>
      </w:pPr>
    </w:p>
    <w:p w:rsidR="00676BD5" w:rsidRPr="00D03C2F" w:rsidRDefault="00676BD5" w:rsidP="00676BD5">
      <w:pPr>
        <w:pStyle w:val="SCCNormalDoubleSpacing"/>
        <w:spacing w:line="240" w:lineRule="auto"/>
        <w:rPr>
          <w:sz w:val="20"/>
          <w:lang w:val="en-US"/>
        </w:rPr>
      </w:pPr>
      <w:r w:rsidRPr="00676BD5">
        <w:rPr>
          <w:i/>
          <w:sz w:val="20"/>
          <w:lang w:val="fr-CA"/>
        </w:rPr>
        <w:tab/>
      </w:r>
      <w:r w:rsidRPr="00D03C2F">
        <w:rPr>
          <w:i/>
          <w:sz w:val="20"/>
          <w:lang w:val="en-US"/>
        </w:rPr>
        <w:t>Andrea Luey</w:t>
      </w:r>
      <w:r w:rsidRPr="00D03C2F">
        <w:rPr>
          <w:sz w:val="20"/>
          <w:lang w:val="en-US"/>
        </w:rPr>
        <w:t>, pour l’intervenante Justice for Children and Youth.</w:t>
      </w:r>
    </w:p>
    <w:p w:rsidR="00676BD5" w:rsidRDefault="00676BD5" w:rsidP="00676BD5">
      <w:pPr>
        <w:pStyle w:val="SCCNormalDoubleSpacing"/>
        <w:spacing w:line="240" w:lineRule="auto"/>
        <w:rPr>
          <w:i/>
          <w:sz w:val="20"/>
          <w:lang w:val="en-US"/>
        </w:rPr>
      </w:pPr>
    </w:p>
    <w:p w:rsidR="00676BD5" w:rsidRPr="00676BD5" w:rsidRDefault="00676BD5" w:rsidP="00676BD5">
      <w:pPr>
        <w:pStyle w:val="SCCNormalDoubleSpacing"/>
        <w:spacing w:line="240" w:lineRule="auto"/>
        <w:rPr>
          <w:sz w:val="20"/>
          <w:lang w:val="fr-CA"/>
        </w:rPr>
      </w:pPr>
      <w:r w:rsidRPr="00D03C2F">
        <w:rPr>
          <w:i/>
          <w:sz w:val="20"/>
          <w:lang w:val="en-US"/>
        </w:rPr>
        <w:tab/>
      </w:r>
      <w:r w:rsidRPr="00676BD5">
        <w:rPr>
          <w:i/>
          <w:sz w:val="20"/>
          <w:lang w:val="fr-CA"/>
        </w:rPr>
        <w:t>Diane MacDonald et Robyn Trask</w:t>
      </w:r>
      <w:r w:rsidRPr="00676BD5">
        <w:rPr>
          <w:sz w:val="20"/>
          <w:lang w:val="fr-CA"/>
        </w:rPr>
        <w:t>, pour l’intervenante British Columbia Teachers’ Federation.</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r>
      <w:r w:rsidRPr="00676BD5">
        <w:rPr>
          <w:sz w:val="20"/>
          <w:lang w:val="fr-CA"/>
        </w:rPr>
        <w:t>Argumentation écrite seulement par</w:t>
      </w:r>
      <w:r w:rsidRPr="00676BD5">
        <w:rPr>
          <w:i/>
          <w:sz w:val="20"/>
          <w:lang w:val="fr-CA"/>
        </w:rPr>
        <w:t xml:space="preserve"> Gwen Brodsky</w:t>
      </w:r>
      <w:r w:rsidRPr="00676BD5">
        <w:rPr>
          <w:sz w:val="20"/>
          <w:lang w:val="fr-CA"/>
        </w:rPr>
        <w:t>, pour l’intervenant le Conseil des Canadiens avec déficiences.</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t>Anthony D. Griffin</w:t>
      </w:r>
      <w:r w:rsidRPr="00676BD5">
        <w:rPr>
          <w:sz w:val="20"/>
          <w:lang w:val="fr-CA"/>
        </w:rPr>
        <w:t>, pour les intervenantes la Commission ontarienne des droits de la personne, Saskatchewan Human Rights Commission et Alberta Human Rights Commission.</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t>Rahool P. Agarwal</w:t>
      </w:r>
      <w:r w:rsidRPr="00676BD5">
        <w:rPr>
          <w:sz w:val="20"/>
          <w:lang w:val="fr-CA"/>
        </w:rPr>
        <w:t xml:space="preserve">, </w:t>
      </w:r>
      <w:r w:rsidRPr="00676BD5">
        <w:rPr>
          <w:i/>
          <w:sz w:val="20"/>
          <w:lang w:val="fr-CA"/>
        </w:rPr>
        <w:t xml:space="preserve">Christopher W. Cummins </w:t>
      </w:r>
      <w:r w:rsidRPr="00676BD5">
        <w:rPr>
          <w:sz w:val="20"/>
          <w:lang w:val="fr-CA"/>
        </w:rPr>
        <w:t xml:space="preserve">et </w:t>
      </w:r>
      <w:r w:rsidRPr="00676BD5">
        <w:rPr>
          <w:i/>
          <w:sz w:val="20"/>
          <w:lang w:val="fr-CA"/>
        </w:rPr>
        <w:t>Rowan E. Weaver,</w:t>
      </w:r>
      <w:r w:rsidRPr="00676BD5">
        <w:rPr>
          <w:sz w:val="20"/>
          <w:lang w:val="fr-CA"/>
        </w:rPr>
        <w:t xml:space="preserve"> pour l’intervenante International Dyslexia Association, Ontario Branch.</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t xml:space="preserve">Brian Smith </w:t>
      </w:r>
      <w:r w:rsidRPr="00676BD5">
        <w:rPr>
          <w:sz w:val="20"/>
          <w:lang w:val="fr-CA"/>
        </w:rPr>
        <w:t>et</w:t>
      </w:r>
      <w:r w:rsidRPr="00676BD5">
        <w:rPr>
          <w:i/>
          <w:sz w:val="20"/>
          <w:lang w:val="fr-CA"/>
        </w:rPr>
        <w:t xml:space="preserve"> Philippe Dufresne</w:t>
      </w:r>
      <w:r w:rsidRPr="00676BD5">
        <w:rPr>
          <w:sz w:val="20"/>
          <w:lang w:val="fr-CA"/>
        </w:rPr>
        <w:t>, pour l’intervenante la Commission canadienne des droits de la personne.</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t>Yude M. Henteleff, c.r.</w:t>
      </w:r>
      <w:r w:rsidRPr="00676BD5">
        <w:rPr>
          <w:sz w:val="20"/>
          <w:lang w:val="fr-CA"/>
        </w:rPr>
        <w:t xml:space="preserve">, et </w:t>
      </w:r>
      <w:r w:rsidRPr="00676BD5">
        <w:rPr>
          <w:i/>
          <w:sz w:val="20"/>
          <w:lang w:val="fr-CA"/>
        </w:rPr>
        <w:t>Darla L. Rettie</w:t>
      </w:r>
      <w:r w:rsidRPr="00676BD5">
        <w:rPr>
          <w:sz w:val="20"/>
          <w:lang w:val="fr-CA"/>
        </w:rPr>
        <w:t>, pour l’intervenante l’Association canadienne des troubles d’apprentissage.</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t>Ranjan K. Agarwal</w:t>
      </w:r>
      <w:r w:rsidRPr="00676BD5">
        <w:rPr>
          <w:sz w:val="20"/>
          <w:lang w:val="fr-CA"/>
        </w:rPr>
        <w:t xml:space="preserve"> et </w:t>
      </w:r>
      <w:r w:rsidRPr="00676BD5">
        <w:rPr>
          <w:i/>
          <w:sz w:val="20"/>
          <w:lang w:val="fr-CA"/>
        </w:rPr>
        <w:t>Daniel Holden</w:t>
      </w:r>
      <w:r w:rsidRPr="00676BD5">
        <w:rPr>
          <w:sz w:val="20"/>
          <w:lang w:val="fr-CA"/>
        </w:rPr>
        <w:t>, pour l’intervenante Canadian Constitution Foundation.</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r>
      <w:r w:rsidRPr="00676BD5">
        <w:rPr>
          <w:sz w:val="20"/>
          <w:lang w:val="fr-CA"/>
        </w:rPr>
        <w:t>Argumentation écrite seulement par</w:t>
      </w:r>
      <w:r w:rsidRPr="00676BD5">
        <w:rPr>
          <w:i/>
          <w:sz w:val="20"/>
          <w:lang w:val="fr-CA"/>
        </w:rPr>
        <w:t xml:space="preserve"> Isha Khan</w:t>
      </w:r>
      <w:r w:rsidRPr="00676BD5">
        <w:rPr>
          <w:sz w:val="20"/>
          <w:lang w:val="fr-CA"/>
        </w:rPr>
        <w:t>, pour l’intervenante la Commission des droits de la personne du Manitoba.</w:t>
      </w:r>
    </w:p>
    <w:p w:rsidR="00676BD5" w:rsidRPr="00676BD5" w:rsidRDefault="00676BD5" w:rsidP="00676BD5">
      <w:pPr>
        <w:pStyle w:val="SCCNormalDoubleSpacing"/>
        <w:spacing w:line="240" w:lineRule="auto"/>
        <w:rPr>
          <w:i/>
          <w:sz w:val="20"/>
          <w:lang w:val="fr-CA"/>
        </w:rPr>
      </w:pPr>
    </w:p>
    <w:p w:rsidR="00676BD5" w:rsidRPr="00D03C2F" w:rsidRDefault="00676BD5" w:rsidP="00676BD5">
      <w:pPr>
        <w:pStyle w:val="SCCNormalDoubleSpacing"/>
        <w:spacing w:line="240" w:lineRule="auto"/>
        <w:rPr>
          <w:sz w:val="20"/>
          <w:lang w:val="en-US"/>
        </w:rPr>
      </w:pPr>
      <w:r w:rsidRPr="00676BD5">
        <w:rPr>
          <w:i/>
          <w:sz w:val="20"/>
          <w:lang w:val="fr-CA"/>
        </w:rPr>
        <w:tab/>
      </w:r>
      <w:r w:rsidRPr="00D03C2F">
        <w:rPr>
          <w:i/>
          <w:sz w:val="20"/>
          <w:lang w:val="en-US"/>
        </w:rPr>
        <w:t>Alison Dewar</w:t>
      </w:r>
      <w:r w:rsidRPr="00D03C2F">
        <w:rPr>
          <w:sz w:val="20"/>
          <w:lang w:val="en-US"/>
        </w:rPr>
        <w:t>, pour l’intervenant West Coast Women’s Legal Education and Action Fund.</w:t>
      </w:r>
    </w:p>
    <w:p w:rsidR="00676BD5" w:rsidRDefault="00676BD5" w:rsidP="00676BD5">
      <w:pPr>
        <w:pStyle w:val="SCCNormalDoubleSpacing"/>
        <w:spacing w:line="240" w:lineRule="auto"/>
        <w:rPr>
          <w:i/>
          <w:sz w:val="20"/>
          <w:lang w:val="en-US"/>
        </w:rPr>
      </w:pPr>
    </w:p>
    <w:p w:rsidR="00676BD5" w:rsidRPr="00676BD5" w:rsidRDefault="00676BD5" w:rsidP="00676BD5">
      <w:pPr>
        <w:pStyle w:val="SCCNormalDoubleSpacing"/>
        <w:spacing w:line="240" w:lineRule="auto"/>
        <w:rPr>
          <w:sz w:val="20"/>
          <w:lang w:val="fr-CA"/>
        </w:rPr>
      </w:pPr>
      <w:r w:rsidRPr="00D03C2F">
        <w:rPr>
          <w:i/>
          <w:sz w:val="20"/>
          <w:lang w:val="en-US"/>
        </w:rPr>
        <w:lastRenderedPageBreak/>
        <w:tab/>
      </w:r>
      <w:r w:rsidRPr="00676BD5">
        <w:rPr>
          <w:i/>
          <w:sz w:val="20"/>
          <w:lang w:val="fr-CA"/>
        </w:rPr>
        <w:t xml:space="preserve">Roberto Lattanzio </w:t>
      </w:r>
      <w:r w:rsidRPr="00676BD5">
        <w:rPr>
          <w:sz w:val="20"/>
          <w:lang w:val="fr-CA"/>
        </w:rPr>
        <w:t>et</w:t>
      </w:r>
      <w:r w:rsidRPr="00676BD5">
        <w:rPr>
          <w:i/>
          <w:sz w:val="20"/>
          <w:lang w:val="fr-CA"/>
        </w:rPr>
        <w:t xml:space="preserve"> Laurie Letheren</w:t>
      </w:r>
      <w:r w:rsidRPr="00676BD5">
        <w:rPr>
          <w:sz w:val="20"/>
          <w:lang w:val="fr-CA"/>
        </w:rPr>
        <w:t>, pour l’intervenante l’Association canadienne pour l’intégration communautaire.</w:t>
      </w:r>
    </w:p>
    <w:p w:rsidR="00676BD5" w:rsidRPr="00676BD5" w:rsidRDefault="00676BD5" w:rsidP="00676BD5">
      <w:pPr>
        <w:pStyle w:val="SCCNormalDoubleSpacing"/>
        <w:spacing w:line="240" w:lineRule="auto"/>
        <w:rPr>
          <w:i/>
          <w:sz w:val="20"/>
          <w:lang w:val="fr-CA"/>
        </w:rPr>
      </w:pPr>
    </w:p>
    <w:p w:rsidR="00676BD5" w:rsidRPr="00676BD5" w:rsidRDefault="00676BD5" w:rsidP="00676BD5">
      <w:pPr>
        <w:pStyle w:val="SCCNormalDoubleSpacing"/>
        <w:spacing w:line="240" w:lineRule="auto"/>
        <w:rPr>
          <w:sz w:val="20"/>
          <w:lang w:val="fr-CA"/>
        </w:rPr>
      </w:pPr>
      <w:r w:rsidRPr="00676BD5">
        <w:rPr>
          <w:i/>
          <w:sz w:val="20"/>
          <w:lang w:val="fr-CA"/>
        </w:rPr>
        <w:tab/>
        <w:t>Athanassia Bitzakidis</w:t>
      </w:r>
      <w:r w:rsidRPr="00676BD5">
        <w:rPr>
          <w:sz w:val="20"/>
          <w:lang w:val="fr-CA"/>
        </w:rPr>
        <w:t>, pour l’intervenante la Commission des droits de la personne et des droits de la jeunesse.</w:t>
      </w:r>
    </w:p>
    <w:p w:rsidR="00676BD5" w:rsidRPr="00676BD5" w:rsidRDefault="00676BD5" w:rsidP="00676BD5">
      <w:pPr>
        <w:pStyle w:val="SCCNormalDoubleSpacing"/>
        <w:spacing w:line="240" w:lineRule="auto"/>
        <w:rPr>
          <w:i/>
          <w:sz w:val="20"/>
          <w:lang w:val="fr-CA"/>
        </w:rPr>
      </w:pPr>
    </w:p>
    <w:p w:rsidR="00676BD5" w:rsidRPr="00D03C2F" w:rsidRDefault="00676BD5" w:rsidP="00676BD5">
      <w:pPr>
        <w:pStyle w:val="SCCNormalDoubleSpacing"/>
        <w:spacing w:line="240" w:lineRule="auto"/>
        <w:rPr>
          <w:sz w:val="20"/>
          <w:lang w:val="en-US"/>
        </w:rPr>
      </w:pPr>
      <w:r w:rsidRPr="00676BD5">
        <w:rPr>
          <w:i/>
          <w:sz w:val="20"/>
          <w:lang w:val="fr-CA"/>
        </w:rPr>
        <w:tab/>
      </w:r>
      <w:r w:rsidRPr="00D03C2F">
        <w:rPr>
          <w:i/>
          <w:sz w:val="20"/>
          <w:lang w:val="en-US"/>
        </w:rPr>
        <w:t>Denise E. Paluck</w:t>
      </w:r>
      <w:r w:rsidRPr="00D03C2F">
        <w:rPr>
          <w:sz w:val="20"/>
          <w:lang w:val="en-US"/>
        </w:rPr>
        <w:t>, pour l’intervenant British Columbia Human Rights Tribunal.</w:t>
      </w:r>
    </w:p>
    <w:p w:rsidR="00676BD5" w:rsidRDefault="00676BD5" w:rsidP="00676BD5">
      <w:pPr>
        <w:pStyle w:val="SCCNormalDoubleSpacing"/>
        <w:spacing w:line="240" w:lineRule="auto"/>
        <w:rPr>
          <w:i/>
          <w:sz w:val="20"/>
          <w:lang w:val="en-US"/>
        </w:rPr>
      </w:pPr>
    </w:p>
    <w:p w:rsidR="00676BD5" w:rsidRPr="00676BD5" w:rsidRDefault="00676BD5" w:rsidP="00676BD5">
      <w:pPr>
        <w:pStyle w:val="SCCNormalDoubleSpacing"/>
        <w:spacing w:line="240" w:lineRule="auto"/>
        <w:rPr>
          <w:sz w:val="20"/>
          <w:lang w:val="fr-CA"/>
        </w:rPr>
      </w:pPr>
      <w:r w:rsidRPr="00D03C2F">
        <w:rPr>
          <w:i/>
          <w:sz w:val="20"/>
          <w:lang w:val="en-US"/>
        </w:rPr>
        <w:tab/>
      </w:r>
      <w:r w:rsidRPr="00676BD5">
        <w:rPr>
          <w:i/>
          <w:sz w:val="20"/>
          <w:lang w:val="fr-CA"/>
        </w:rPr>
        <w:t>Nicholas McHaffie</w:t>
      </w:r>
      <w:r w:rsidRPr="00676BD5">
        <w:rPr>
          <w:sz w:val="20"/>
          <w:lang w:val="fr-CA"/>
        </w:rPr>
        <w:t xml:space="preserve"> et </w:t>
      </w:r>
      <w:r w:rsidRPr="00676BD5">
        <w:rPr>
          <w:i/>
          <w:sz w:val="20"/>
          <w:lang w:val="fr-CA"/>
        </w:rPr>
        <w:t>Sarah Clarke</w:t>
      </w:r>
      <w:r w:rsidRPr="00676BD5">
        <w:rPr>
          <w:sz w:val="20"/>
          <w:lang w:val="fr-CA"/>
        </w:rPr>
        <w:t>, pour l’intervenante la Société de soutien à l’enfance et à la famille des Premières Nations du Canada.</w:t>
      </w:r>
    </w:p>
    <w:p w:rsidR="00676BD5" w:rsidRPr="00676BD5" w:rsidRDefault="00676BD5" w:rsidP="00676BD5">
      <w:pPr>
        <w:pStyle w:val="SCCLawFirm"/>
        <w:spacing w:line="240" w:lineRule="auto"/>
        <w:rPr>
          <w:sz w:val="20"/>
          <w:lang w:val="fr-CA"/>
        </w:rPr>
      </w:pPr>
    </w:p>
    <w:p w:rsidR="00676BD5" w:rsidRPr="00676BD5" w:rsidRDefault="00676BD5" w:rsidP="00676BD5">
      <w:pPr>
        <w:pStyle w:val="SCCLawFirm"/>
        <w:spacing w:line="240" w:lineRule="auto"/>
        <w:rPr>
          <w:sz w:val="20"/>
          <w:lang w:val="fr-CA"/>
        </w:rPr>
      </w:pPr>
      <w:r w:rsidRPr="00676BD5">
        <w:rPr>
          <w:sz w:val="20"/>
          <w:lang w:val="fr-CA"/>
        </w:rPr>
        <w:tab/>
        <w:t>Procureur de l’appelant : Community Legal Assistance Society, Vancouver.</w:t>
      </w:r>
    </w:p>
    <w:p w:rsidR="00676BD5" w:rsidRPr="00676BD5" w:rsidRDefault="00676BD5" w:rsidP="00676BD5">
      <w:pPr>
        <w:pStyle w:val="SCCLawFirm"/>
        <w:spacing w:line="240" w:lineRule="auto"/>
        <w:rPr>
          <w:sz w:val="20"/>
          <w:lang w:val="fr-CA"/>
        </w:rPr>
      </w:pPr>
    </w:p>
    <w:p w:rsidR="00676BD5" w:rsidRPr="00676BD5" w:rsidRDefault="00676BD5" w:rsidP="00676BD5">
      <w:pPr>
        <w:pStyle w:val="SCCLawFirm"/>
        <w:spacing w:line="240" w:lineRule="auto"/>
        <w:rPr>
          <w:sz w:val="20"/>
          <w:lang w:val="fr-CA"/>
        </w:rPr>
      </w:pPr>
      <w:r w:rsidRPr="00676BD5">
        <w:rPr>
          <w:sz w:val="20"/>
          <w:lang w:val="fr-CA"/>
        </w:rPr>
        <w:tab/>
        <w:t>Procureur de l’intimée Sa Majesté la Reine du chef de la province de la Colombie</w:t>
      </w:r>
      <w:r w:rsidRPr="00676BD5">
        <w:rPr>
          <w:sz w:val="20"/>
          <w:lang w:val="fr-CA"/>
        </w:rPr>
        <w:noBreakHyphen/>
        <w:t>Britannique, représentée par le ministère de l’Éducation : Procureur général de la Colombie</w:t>
      </w:r>
      <w:r w:rsidRPr="00676BD5">
        <w:rPr>
          <w:sz w:val="20"/>
          <w:lang w:val="fr-CA"/>
        </w:rPr>
        <w:noBreakHyphen/>
        <w:t>Britannique, Victoria.</w:t>
      </w:r>
    </w:p>
    <w:p w:rsidR="00676BD5" w:rsidRPr="00676BD5" w:rsidRDefault="00676BD5" w:rsidP="00676BD5">
      <w:pPr>
        <w:pStyle w:val="SCCLawFirm"/>
        <w:spacing w:line="240" w:lineRule="auto"/>
        <w:rPr>
          <w:sz w:val="20"/>
          <w:lang w:val="fr-CA"/>
        </w:rPr>
      </w:pPr>
    </w:p>
    <w:p w:rsidR="00676BD5" w:rsidRPr="00D03C2F" w:rsidRDefault="00676BD5" w:rsidP="00676BD5">
      <w:pPr>
        <w:pStyle w:val="SCCLawFirm"/>
        <w:spacing w:line="240" w:lineRule="auto"/>
        <w:rPr>
          <w:sz w:val="20"/>
          <w:lang w:val="en-US"/>
        </w:rPr>
      </w:pPr>
      <w:r w:rsidRPr="00676BD5">
        <w:rPr>
          <w:sz w:val="20"/>
          <w:lang w:val="fr-CA"/>
        </w:rPr>
        <w:tab/>
      </w:r>
      <w:r w:rsidRPr="00D03C2F">
        <w:rPr>
          <w:sz w:val="20"/>
          <w:lang w:val="en-US"/>
        </w:rPr>
        <w:t>Procureurs de l’intimé Board of Education of School District No. 44 (North Vancouver), anciennement appelé The Board of School Trustees of School District No. 44 (North Vancouver</w:t>
      </w:r>
      <w:proofErr w:type="gramStart"/>
      <w:r w:rsidRPr="00D03C2F">
        <w:rPr>
          <w:sz w:val="20"/>
          <w:lang w:val="en-US"/>
        </w:rPr>
        <w:t>) :</w:t>
      </w:r>
      <w:proofErr w:type="gramEnd"/>
      <w:r w:rsidRPr="00D03C2F">
        <w:rPr>
          <w:sz w:val="20"/>
          <w:lang w:val="en-US"/>
        </w:rPr>
        <w:t> Guild Yule, Vancouver.</w:t>
      </w:r>
    </w:p>
    <w:p w:rsidR="00676BD5" w:rsidRDefault="00676BD5" w:rsidP="00676BD5">
      <w:pPr>
        <w:pStyle w:val="SCCLawFirm"/>
        <w:spacing w:line="240" w:lineRule="auto"/>
        <w:rPr>
          <w:sz w:val="20"/>
          <w:lang w:val="en-US"/>
        </w:rPr>
      </w:pPr>
    </w:p>
    <w:p w:rsidR="00676BD5" w:rsidRPr="00676BD5" w:rsidRDefault="00676BD5" w:rsidP="00676BD5">
      <w:pPr>
        <w:pStyle w:val="SCCLawFirm"/>
        <w:spacing w:line="240" w:lineRule="auto"/>
        <w:rPr>
          <w:sz w:val="20"/>
          <w:lang w:val="fr-CA"/>
        </w:rPr>
      </w:pPr>
      <w:r w:rsidRPr="00D03C2F">
        <w:rPr>
          <w:sz w:val="20"/>
          <w:lang w:val="en-US"/>
        </w:rPr>
        <w:tab/>
      </w:r>
      <w:r w:rsidRPr="00676BD5">
        <w:rPr>
          <w:sz w:val="20"/>
          <w:lang w:val="fr-CA"/>
        </w:rPr>
        <w:t>Procureur de l’intervenant le procureur général de l’Ontario : Procureur général de l’Ontario, Toronto.</w:t>
      </w:r>
    </w:p>
    <w:p w:rsidR="00676BD5" w:rsidRPr="00676BD5" w:rsidRDefault="00676BD5" w:rsidP="00676BD5">
      <w:pPr>
        <w:pStyle w:val="SCCLawFirm"/>
        <w:spacing w:line="240" w:lineRule="auto"/>
        <w:rPr>
          <w:sz w:val="20"/>
          <w:lang w:val="fr-CA"/>
        </w:rPr>
      </w:pPr>
    </w:p>
    <w:p w:rsidR="00676BD5" w:rsidRPr="00D03C2F" w:rsidRDefault="00676BD5" w:rsidP="00676BD5">
      <w:pPr>
        <w:pStyle w:val="SCCLawFirm"/>
        <w:spacing w:line="240" w:lineRule="auto"/>
        <w:rPr>
          <w:sz w:val="20"/>
          <w:lang w:val="en-US"/>
        </w:rPr>
      </w:pPr>
      <w:r w:rsidRPr="00676BD5">
        <w:rPr>
          <w:sz w:val="20"/>
          <w:lang w:val="fr-CA"/>
        </w:rPr>
        <w:tab/>
      </w:r>
      <w:r w:rsidRPr="00D03C2F">
        <w:rPr>
          <w:sz w:val="20"/>
          <w:lang w:val="en-US"/>
        </w:rPr>
        <w:t xml:space="preserve">Procureur de l’intervenante Justice for Children and </w:t>
      </w:r>
      <w:proofErr w:type="gramStart"/>
      <w:r w:rsidRPr="00D03C2F">
        <w:rPr>
          <w:sz w:val="20"/>
          <w:lang w:val="en-US"/>
        </w:rPr>
        <w:t>Youth :</w:t>
      </w:r>
      <w:proofErr w:type="gramEnd"/>
      <w:r w:rsidRPr="00D03C2F">
        <w:rPr>
          <w:sz w:val="20"/>
          <w:lang w:val="en-US"/>
        </w:rPr>
        <w:t> Canadian Foundation for Children, Youth and the Law, Toronto.</w:t>
      </w:r>
    </w:p>
    <w:p w:rsidR="00676BD5" w:rsidRDefault="00676BD5" w:rsidP="00676BD5">
      <w:pPr>
        <w:pStyle w:val="SCCLawFirm"/>
        <w:spacing w:line="240" w:lineRule="auto"/>
        <w:rPr>
          <w:sz w:val="20"/>
          <w:lang w:val="en-US"/>
        </w:rPr>
      </w:pPr>
    </w:p>
    <w:p w:rsidR="00676BD5" w:rsidRPr="00D03C2F" w:rsidRDefault="00676BD5" w:rsidP="00676BD5">
      <w:pPr>
        <w:pStyle w:val="SCCLawFirm"/>
        <w:spacing w:line="240" w:lineRule="auto"/>
        <w:rPr>
          <w:sz w:val="20"/>
          <w:lang w:val="en-US"/>
        </w:rPr>
      </w:pPr>
      <w:r w:rsidRPr="00D03C2F">
        <w:rPr>
          <w:sz w:val="20"/>
          <w:lang w:val="en-US"/>
        </w:rPr>
        <w:tab/>
        <w:t xml:space="preserve">Procureur de l’intervenante British Columbia Teachers’ </w:t>
      </w:r>
      <w:proofErr w:type="gramStart"/>
      <w:r w:rsidRPr="00D03C2F">
        <w:rPr>
          <w:sz w:val="20"/>
          <w:lang w:val="en-US"/>
        </w:rPr>
        <w:t>Federation :</w:t>
      </w:r>
      <w:proofErr w:type="gramEnd"/>
      <w:r w:rsidRPr="00D03C2F">
        <w:rPr>
          <w:sz w:val="20"/>
          <w:lang w:val="en-US"/>
        </w:rPr>
        <w:t> British Columbia Teachers’ Federation, Vancouver.</w:t>
      </w:r>
    </w:p>
    <w:p w:rsidR="00676BD5" w:rsidRDefault="00676BD5" w:rsidP="00676BD5">
      <w:pPr>
        <w:pStyle w:val="SCCLawFirm"/>
        <w:spacing w:line="240" w:lineRule="auto"/>
        <w:rPr>
          <w:sz w:val="20"/>
          <w:lang w:val="en-US"/>
        </w:rPr>
      </w:pPr>
    </w:p>
    <w:p w:rsidR="00676BD5" w:rsidRPr="00676BD5" w:rsidRDefault="00676BD5" w:rsidP="00676BD5">
      <w:pPr>
        <w:pStyle w:val="SCCLawFirm"/>
        <w:spacing w:line="240" w:lineRule="auto"/>
        <w:rPr>
          <w:sz w:val="20"/>
          <w:lang w:val="fr-CA"/>
        </w:rPr>
      </w:pPr>
      <w:r w:rsidRPr="00D03C2F">
        <w:rPr>
          <w:sz w:val="20"/>
          <w:lang w:val="en-US"/>
        </w:rPr>
        <w:tab/>
      </w:r>
      <w:r w:rsidRPr="00676BD5">
        <w:rPr>
          <w:sz w:val="20"/>
          <w:lang w:val="fr-CA"/>
        </w:rPr>
        <w:t>Procureurs de l’intervenant le Conseil des Canadiens avec déficiences : Camp Fiorante Matthews, Vancouver.</w:t>
      </w:r>
    </w:p>
    <w:p w:rsidR="00676BD5" w:rsidRPr="00676BD5" w:rsidRDefault="00676BD5" w:rsidP="00676BD5">
      <w:pPr>
        <w:pStyle w:val="SCCLawFirm"/>
        <w:spacing w:line="240" w:lineRule="auto"/>
        <w:rPr>
          <w:sz w:val="20"/>
          <w:lang w:val="fr-CA"/>
        </w:rPr>
      </w:pPr>
    </w:p>
    <w:p w:rsidR="00676BD5" w:rsidRPr="00676BD5" w:rsidRDefault="00676BD5" w:rsidP="00676BD5">
      <w:pPr>
        <w:pStyle w:val="SCCLawFirm"/>
        <w:spacing w:line="240" w:lineRule="auto"/>
        <w:rPr>
          <w:sz w:val="20"/>
          <w:lang w:val="fr-CA"/>
        </w:rPr>
      </w:pPr>
      <w:r w:rsidRPr="00676BD5">
        <w:rPr>
          <w:sz w:val="20"/>
          <w:lang w:val="fr-CA"/>
        </w:rPr>
        <w:tab/>
        <w:t>Procureur des intervenantes la Commission ontarienne des droits de la personne, Saskatchewan Human Rights Commission et Alberta Human Rights Commission : Commission ontarienne des droits de la personne, Toronto.</w:t>
      </w:r>
    </w:p>
    <w:p w:rsidR="00676BD5" w:rsidRPr="00676BD5" w:rsidRDefault="00676BD5" w:rsidP="00676BD5">
      <w:pPr>
        <w:pStyle w:val="SCCLawFirm"/>
        <w:spacing w:line="240" w:lineRule="auto"/>
        <w:rPr>
          <w:sz w:val="20"/>
          <w:lang w:val="fr-CA"/>
        </w:rPr>
      </w:pPr>
    </w:p>
    <w:p w:rsidR="00676BD5" w:rsidRPr="00676BD5" w:rsidRDefault="00676BD5" w:rsidP="00676BD5">
      <w:pPr>
        <w:pStyle w:val="SCCLawFirm"/>
        <w:spacing w:line="240" w:lineRule="auto"/>
        <w:rPr>
          <w:sz w:val="20"/>
          <w:lang w:val="fr-CA"/>
        </w:rPr>
      </w:pPr>
      <w:r w:rsidRPr="00676BD5">
        <w:rPr>
          <w:sz w:val="20"/>
          <w:lang w:val="fr-CA"/>
        </w:rPr>
        <w:tab/>
        <w:t>Procureurs de l’intervenante International Dyslexia Association, Ontario Branch : Norton Rose Canada, Toronto.</w:t>
      </w:r>
    </w:p>
    <w:p w:rsidR="00676BD5" w:rsidRPr="00676BD5" w:rsidRDefault="00676BD5" w:rsidP="00676BD5">
      <w:pPr>
        <w:pStyle w:val="SCCLawFirm"/>
        <w:spacing w:line="240" w:lineRule="auto"/>
        <w:rPr>
          <w:sz w:val="20"/>
          <w:lang w:val="fr-CA"/>
        </w:rPr>
      </w:pPr>
    </w:p>
    <w:p w:rsidR="00676BD5" w:rsidRPr="00676BD5" w:rsidRDefault="00676BD5" w:rsidP="00676BD5">
      <w:pPr>
        <w:pStyle w:val="SCCLawFirm"/>
        <w:spacing w:line="240" w:lineRule="auto"/>
        <w:rPr>
          <w:sz w:val="20"/>
          <w:lang w:val="fr-CA"/>
        </w:rPr>
      </w:pPr>
      <w:r w:rsidRPr="00676BD5">
        <w:rPr>
          <w:sz w:val="20"/>
          <w:lang w:val="fr-CA"/>
        </w:rPr>
        <w:tab/>
        <w:t>Procureur de l’intervenante la Commission canadienne des droits de la personne : Commission canadienne des droits de la personne, Ottawa.</w:t>
      </w:r>
    </w:p>
    <w:p w:rsidR="00676BD5" w:rsidRPr="00676BD5" w:rsidRDefault="00676BD5" w:rsidP="00676BD5">
      <w:pPr>
        <w:pStyle w:val="SCCLawFirm"/>
        <w:spacing w:line="240" w:lineRule="auto"/>
        <w:rPr>
          <w:sz w:val="20"/>
          <w:lang w:val="fr-CA"/>
        </w:rPr>
      </w:pPr>
    </w:p>
    <w:p w:rsidR="00676BD5" w:rsidRPr="00676BD5" w:rsidRDefault="00676BD5" w:rsidP="00676BD5">
      <w:pPr>
        <w:pStyle w:val="SCCLawFirm"/>
        <w:spacing w:line="240" w:lineRule="auto"/>
        <w:rPr>
          <w:sz w:val="20"/>
          <w:lang w:val="fr-CA"/>
        </w:rPr>
      </w:pPr>
      <w:r w:rsidRPr="00676BD5">
        <w:rPr>
          <w:sz w:val="20"/>
          <w:lang w:val="fr-CA"/>
        </w:rPr>
        <w:tab/>
        <w:t>Procureurs de l’intervenante l’Association canadienne des troubles d’apprentissage : Pitblado, Winnipeg.</w:t>
      </w:r>
    </w:p>
    <w:p w:rsidR="00676BD5" w:rsidRPr="00676BD5" w:rsidRDefault="00676BD5" w:rsidP="00676BD5">
      <w:pPr>
        <w:pStyle w:val="SCCLawFirm"/>
        <w:spacing w:line="240" w:lineRule="auto"/>
        <w:rPr>
          <w:sz w:val="20"/>
          <w:lang w:val="fr-CA"/>
        </w:rPr>
      </w:pPr>
    </w:p>
    <w:p w:rsidR="00676BD5" w:rsidRPr="00676BD5" w:rsidRDefault="00676BD5" w:rsidP="00676BD5">
      <w:pPr>
        <w:pStyle w:val="SCCLawFirm"/>
        <w:spacing w:line="240" w:lineRule="auto"/>
        <w:rPr>
          <w:sz w:val="20"/>
          <w:lang w:val="fr-CA"/>
        </w:rPr>
      </w:pPr>
      <w:r w:rsidRPr="00676BD5">
        <w:rPr>
          <w:sz w:val="20"/>
          <w:lang w:val="fr-CA"/>
        </w:rPr>
        <w:tab/>
        <w:t>Procureurs de l’intervenante Canadian Constitution Foundation : Bennett Jones, Ottawa.</w:t>
      </w:r>
    </w:p>
    <w:p w:rsidR="00676BD5" w:rsidRPr="00676BD5" w:rsidRDefault="00676BD5" w:rsidP="00676BD5">
      <w:pPr>
        <w:pStyle w:val="SCCLawFirm"/>
        <w:spacing w:line="240" w:lineRule="auto"/>
        <w:rPr>
          <w:sz w:val="20"/>
          <w:lang w:val="fr-CA"/>
        </w:rPr>
      </w:pPr>
    </w:p>
    <w:p w:rsidR="00676BD5" w:rsidRPr="00676BD5" w:rsidRDefault="00676BD5" w:rsidP="00676BD5">
      <w:pPr>
        <w:pStyle w:val="SCCLawFirm"/>
        <w:spacing w:line="240" w:lineRule="auto"/>
        <w:rPr>
          <w:sz w:val="20"/>
          <w:lang w:val="fr-CA"/>
        </w:rPr>
      </w:pPr>
      <w:r w:rsidRPr="00676BD5">
        <w:rPr>
          <w:sz w:val="20"/>
          <w:lang w:val="fr-CA"/>
        </w:rPr>
        <w:tab/>
        <w:t>Procureur de l’intervenante la Commission des droits de la personne du Manitoba : Commission des droits de la personne du Manitoba, Winnipeg.</w:t>
      </w:r>
    </w:p>
    <w:p w:rsidR="00676BD5" w:rsidRPr="00676BD5" w:rsidRDefault="00676BD5" w:rsidP="00676BD5">
      <w:pPr>
        <w:pStyle w:val="SCCLawFirm"/>
        <w:spacing w:line="240" w:lineRule="auto"/>
        <w:rPr>
          <w:sz w:val="20"/>
          <w:lang w:val="fr-CA"/>
        </w:rPr>
      </w:pPr>
    </w:p>
    <w:p w:rsidR="00676BD5" w:rsidRPr="00D03C2F" w:rsidRDefault="00676BD5" w:rsidP="00676BD5">
      <w:pPr>
        <w:pStyle w:val="SCCLawFirm"/>
        <w:spacing w:line="240" w:lineRule="auto"/>
        <w:rPr>
          <w:sz w:val="20"/>
          <w:lang w:val="en-US"/>
        </w:rPr>
      </w:pPr>
      <w:r w:rsidRPr="00676BD5">
        <w:rPr>
          <w:sz w:val="20"/>
          <w:lang w:val="fr-CA"/>
        </w:rPr>
        <w:tab/>
      </w:r>
      <w:r w:rsidRPr="00D03C2F">
        <w:rPr>
          <w:sz w:val="20"/>
          <w:lang w:val="en-US"/>
        </w:rPr>
        <w:t>Procureur de l’intervenant West Coast Women’s Legal Education and Action Fund : West Coast Women’s Legal Education and Action Fund, Vancouver.</w:t>
      </w:r>
    </w:p>
    <w:p w:rsidR="00676BD5" w:rsidRDefault="00676BD5" w:rsidP="00676BD5">
      <w:pPr>
        <w:pStyle w:val="SCCLawFirm"/>
        <w:spacing w:line="240" w:lineRule="auto"/>
        <w:rPr>
          <w:sz w:val="20"/>
          <w:lang w:val="en-US"/>
        </w:rPr>
      </w:pPr>
    </w:p>
    <w:p w:rsidR="00676BD5" w:rsidRPr="00676BD5" w:rsidRDefault="00676BD5" w:rsidP="00676BD5">
      <w:pPr>
        <w:pStyle w:val="SCCLawFirm"/>
        <w:spacing w:line="240" w:lineRule="auto"/>
        <w:rPr>
          <w:sz w:val="20"/>
          <w:lang w:val="fr-CA"/>
        </w:rPr>
      </w:pPr>
      <w:r w:rsidRPr="00D03C2F">
        <w:rPr>
          <w:sz w:val="20"/>
          <w:lang w:val="en-US"/>
        </w:rPr>
        <w:tab/>
      </w:r>
      <w:r w:rsidRPr="00676BD5">
        <w:rPr>
          <w:sz w:val="20"/>
          <w:lang w:val="fr-CA"/>
        </w:rPr>
        <w:t>Procureur de l’intervenante l’Association canadienne pour l’intégration communautaire : ARCH Disability Law Centre, Toronto.</w:t>
      </w:r>
    </w:p>
    <w:p w:rsidR="00676BD5" w:rsidRPr="00676BD5" w:rsidRDefault="00676BD5" w:rsidP="00676BD5">
      <w:pPr>
        <w:pStyle w:val="SCCLawFirm"/>
        <w:spacing w:line="240" w:lineRule="auto"/>
        <w:rPr>
          <w:sz w:val="20"/>
          <w:lang w:val="fr-CA"/>
        </w:rPr>
      </w:pPr>
    </w:p>
    <w:p w:rsidR="00676BD5" w:rsidRPr="00676BD5" w:rsidRDefault="00676BD5" w:rsidP="00676BD5">
      <w:pPr>
        <w:pStyle w:val="SCCLawFirm"/>
        <w:spacing w:line="240" w:lineRule="auto"/>
        <w:rPr>
          <w:sz w:val="20"/>
          <w:lang w:val="fr-CA"/>
        </w:rPr>
      </w:pPr>
      <w:r w:rsidRPr="00676BD5">
        <w:rPr>
          <w:sz w:val="20"/>
          <w:lang w:val="fr-CA"/>
        </w:rPr>
        <w:tab/>
        <w:t>Procureur de l’intervenante la Commission des droits de la personne et des droits de la jeunesse : Commission des droits de la personne et des droits de la jeunesse, Montréal.</w:t>
      </w:r>
    </w:p>
    <w:p w:rsidR="00676BD5" w:rsidRPr="00676BD5" w:rsidRDefault="00676BD5" w:rsidP="00676BD5">
      <w:pPr>
        <w:pStyle w:val="SCCLawFirm"/>
        <w:spacing w:line="240" w:lineRule="auto"/>
        <w:rPr>
          <w:sz w:val="20"/>
          <w:lang w:val="fr-CA"/>
        </w:rPr>
      </w:pPr>
    </w:p>
    <w:p w:rsidR="00676BD5" w:rsidRPr="00D03C2F" w:rsidRDefault="00676BD5" w:rsidP="00676BD5">
      <w:pPr>
        <w:pStyle w:val="SCCLawFirm"/>
        <w:spacing w:line="240" w:lineRule="auto"/>
        <w:rPr>
          <w:sz w:val="20"/>
          <w:lang w:val="en-US"/>
        </w:rPr>
      </w:pPr>
      <w:r w:rsidRPr="00676BD5">
        <w:rPr>
          <w:sz w:val="20"/>
          <w:lang w:val="fr-CA"/>
        </w:rPr>
        <w:lastRenderedPageBreak/>
        <w:tab/>
      </w:r>
      <w:r w:rsidRPr="00D03C2F">
        <w:rPr>
          <w:sz w:val="20"/>
          <w:lang w:val="en-US"/>
        </w:rPr>
        <w:t xml:space="preserve">Procureur de l’intervenant British Columbia Human Rights </w:t>
      </w:r>
      <w:proofErr w:type="gramStart"/>
      <w:r w:rsidRPr="00D03C2F">
        <w:rPr>
          <w:sz w:val="20"/>
          <w:lang w:val="en-US"/>
        </w:rPr>
        <w:t>Tribunal :</w:t>
      </w:r>
      <w:proofErr w:type="gramEnd"/>
      <w:r w:rsidRPr="00D03C2F">
        <w:rPr>
          <w:sz w:val="20"/>
          <w:lang w:val="en-US"/>
        </w:rPr>
        <w:t> British Columbia Human Rights Tribunal, Vancouver.</w:t>
      </w:r>
    </w:p>
    <w:p w:rsidR="00676BD5" w:rsidRDefault="00676BD5" w:rsidP="00676BD5">
      <w:pPr>
        <w:pStyle w:val="SCCLawFirm"/>
        <w:spacing w:line="240" w:lineRule="auto"/>
        <w:rPr>
          <w:sz w:val="20"/>
          <w:lang w:val="en-US"/>
        </w:rPr>
      </w:pPr>
    </w:p>
    <w:p w:rsidR="00676BD5" w:rsidRPr="00676BD5" w:rsidRDefault="00676BD5" w:rsidP="00676BD5">
      <w:pPr>
        <w:pStyle w:val="SCCLawFirm"/>
        <w:spacing w:line="240" w:lineRule="auto"/>
        <w:rPr>
          <w:sz w:val="20"/>
          <w:lang w:val="fr-CA"/>
        </w:rPr>
      </w:pPr>
      <w:r w:rsidRPr="00D03C2F">
        <w:rPr>
          <w:sz w:val="20"/>
          <w:lang w:val="en-US"/>
        </w:rPr>
        <w:tab/>
      </w:r>
      <w:r w:rsidRPr="00676BD5">
        <w:rPr>
          <w:sz w:val="20"/>
          <w:lang w:val="fr-CA"/>
        </w:rPr>
        <w:t>Procureurs de l’intervenante la Société de soutien à l’enfance et à la famille des Premières Nations du Canada : Stikeman Elliott, Ottawa.</w:t>
      </w:r>
    </w:p>
    <w:p w:rsidR="00256147" w:rsidRDefault="00256147" w:rsidP="00256147">
      <w:pPr>
        <w:rPr>
          <w:rFonts w:cs="Times New Roman"/>
          <w:sz w:val="20"/>
          <w:szCs w:val="20"/>
          <w:lang w:val="fr-CA"/>
        </w:rPr>
      </w:pPr>
    </w:p>
    <w:p w:rsidR="00256147" w:rsidRDefault="00BF3B03" w:rsidP="00256147">
      <w:pPr>
        <w:rPr>
          <w:rFonts w:cs="Times New Roman"/>
          <w:sz w:val="20"/>
          <w:szCs w:val="20"/>
          <w:lang w:val="fr-CA"/>
        </w:rPr>
      </w:pPr>
      <w:r w:rsidRPr="00BF3B03">
        <w:rPr>
          <w:rFonts w:cs="Times New Roman"/>
          <w:sz w:val="20"/>
          <w:szCs w:val="20"/>
          <w:lang w:val="fr-CA"/>
        </w:rPr>
        <w:pict>
          <v:rect id="_x0000_i1111" style="width:144.3pt;height:1pt" o:hrpct="300" o:hralign="center" o:hrstd="t" o:hrnoshade="t" o:hr="t" fillcolor="black [3213]" stroked="f"/>
        </w:pict>
      </w:r>
    </w:p>
    <w:p w:rsidR="00256147" w:rsidRDefault="00256147" w:rsidP="00256147">
      <w:pPr>
        <w:rPr>
          <w:sz w:val="20"/>
          <w:szCs w:val="20"/>
        </w:rPr>
      </w:pPr>
    </w:p>
    <w:p w:rsidR="00256147" w:rsidRDefault="00256147" w:rsidP="003B3977">
      <w:pPr>
        <w:rPr>
          <w:sz w:val="20"/>
          <w:szCs w:val="20"/>
        </w:rPr>
      </w:pPr>
    </w:p>
    <w:p w:rsidR="00256147" w:rsidRPr="003F4721" w:rsidRDefault="00256147" w:rsidP="003B3977">
      <w:pPr>
        <w:rPr>
          <w:sz w:val="20"/>
          <w:szCs w:val="20"/>
        </w:rPr>
      </w:pPr>
    </w:p>
    <w:p w:rsidR="005C6840" w:rsidRPr="00C50A5C" w:rsidRDefault="005C6840" w:rsidP="005C6840">
      <w:pPr>
        <w:jc w:val="both"/>
        <w:rPr>
          <w:sz w:val="20"/>
          <w:szCs w:val="20"/>
        </w:rPr>
      </w:pPr>
    </w:p>
    <w:p w:rsidR="00102926" w:rsidRPr="00C50A5C" w:rsidRDefault="00102926" w:rsidP="00782AE4">
      <w:pPr>
        <w:jc w:val="both"/>
        <w:rPr>
          <w:sz w:val="20"/>
          <w:szCs w:val="20"/>
        </w:rPr>
        <w:sectPr w:rsidR="00102926" w:rsidRPr="00C50A5C" w:rsidSect="00782AE4">
          <w:headerReference w:type="even" r:id="rId59"/>
          <w:headerReference w:type="default" r:id="rId60"/>
          <w:footerReference w:type="even" r:id="rId61"/>
          <w:footerReference w:type="default" r:id="rId62"/>
          <w:headerReference w:type="first" r:id="rId63"/>
          <w:footerReference w:type="first" r:id="rId64"/>
          <w:pgSz w:w="12240" w:h="15840"/>
          <w:pgMar w:top="720" w:right="965" w:bottom="1080" w:left="1656" w:header="576" w:footer="960" w:gutter="0"/>
          <w:cols w:space="720"/>
          <w:titlePg/>
          <w:docGrid w:linePitch="272"/>
        </w:sectPr>
      </w:pPr>
    </w:p>
    <w:p w:rsidR="00091FA6" w:rsidRPr="002E0C7E" w:rsidRDefault="00BF3B03" w:rsidP="00091FA6">
      <w:pPr>
        <w:widowControl w:val="0"/>
        <w:spacing w:line="180" w:lineRule="auto"/>
        <w:jc w:val="center"/>
        <w:rPr>
          <w:rFonts w:asciiTheme="minorHAnsi" w:hAnsiTheme="minorHAnsi" w:cstheme="minorHAnsi"/>
          <w:b/>
          <w:szCs w:val="24"/>
        </w:rPr>
      </w:pPr>
      <w:r w:rsidRPr="002E0C7E">
        <w:rPr>
          <w:rFonts w:asciiTheme="minorHAnsi" w:hAnsiTheme="minorHAnsi" w:cstheme="minorHAnsi"/>
          <w:b/>
          <w:szCs w:val="24"/>
        </w:rPr>
        <w:lastRenderedPageBreak/>
        <w:fldChar w:fldCharType="begin"/>
      </w:r>
      <w:r w:rsidR="00091FA6" w:rsidRPr="002E0C7E">
        <w:rPr>
          <w:rFonts w:asciiTheme="minorHAnsi" w:hAnsiTheme="minorHAnsi" w:cstheme="minorHAnsi"/>
          <w:b/>
          <w:szCs w:val="24"/>
        </w:rPr>
        <w:instrText xml:space="preserve"> SEQ CHAPTER \h \r 1</w:instrText>
      </w:r>
      <w:r w:rsidRPr="002E0C7E">
        <w:rPr>
          <w:rFonts w:asciiTheme="minorHAnsi" w:hAnsiTheme="minorHAnsi" w:cstheme="minorHAnsi"/>
          <w:b/>
          <w:szCs w:val="24"/>
        </w:rPr>
        <w:fldChar w:fldCharType="end"/>
      </w:r>
      <w:r w:rsidR="00091FA6" w:rsidRPr="002E0C7E">
        <w:rPr>
          <w:rFonts w:asciiTheme="minorHAnsi" w:hAnsiTheme="minorHAnsi" w:cstheme="minorHAnsi"/>
          <w:b/>
          <w:szCs w:val="24"/>
        </w:rPr>
        <w:t>SUPREME COURT OF CANADA SCHEDULE / CALENDRIER DE LA COUR SUPREME</w:t>
      </w:r>
    </w:p>
    <w:p w:rsidR="00091FA6" w:rsidRPr="002E0C7E" w:rsidRDefault="00091FA6" w:rsidP="00091FA6">
      <w:pPr>
        <w:widowControl w:val="0"/>
        <w:spacing w:line="180" w:lineRule="auto"/>
        <w:rPr>
          <w:rFonts w:asciiTheme="minorHAnsi" w:hAnsiTheme="minorHAnsi" w:cstheme="minorHAnsi"/>
          <w:szCs w:val="24"/>
        </w:rPr>
      </w:pPr>
    </w:p>
    <w:p w:rsidR="00091FA6" w:rsidRPr="002E0C7E" w:rsidRDefault="00091FA6" w:rsidP="00091FA6">
      <w:pPr>
        <w:widowControl w:val="0"/>
        <w:tabs>
          <w:tab w:val="center" w:pos="5400"/>
          <w:tab w:val="right" w:pos="10440"/>
        </w:tabs>
        <w:rPr>
          <w:rFonts w:ascii="Arial" w:hAnsi="Arial"/>
          <w:sz w:val="18"/>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2</w:t>
      </w:r>
      <w:r w:rsidRPr="002E0C7E">
        <w:rPr>
          <w:rFonts w:ascii="Arial" w:hAnsi="Arial"/>
          <w:i/>
          <w:sz w:val="36"/>
        </w:rPr>
        <w:t xml:space="preserve"> -</w:t>
      </w:r>
      <w:r w:rsidRPr="002E0C7E">
        <w:rPr>
          <w:rFonts w:ascii="Arial" w:hAnsi="Arial"/>
          <w:sz w:val="18"/>
        </w:rPr>
        <w:tab/>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50"/>
        <w:gridCol w:w="488"/>
        <w:gridCol w:w="469"/>
        <w:gridCol w:w="469"/>
        <w:gridCol w:w="463"/>
        <w:gridCol w:w="475"/>
        <w:gridCol w:w="469"/>
        <w:gridCol w:w="469"/>
        <w:gridCol w:w="469"/>
        <w:gridCol w:w="457"/>
        <w:gridCol w:w="506"/>
        <w:gridCol w:w="450"/>
        <w:gridCol w:w="484"/>
        <w:gridCol w:w="450"/>
        <w:gridCol w:w="468"/>
        <w:gridCol w:w="469"/>
        <w:gridCol w:w="536"/>
        <w:gridCol w:w="450"/>
        <w:gridCol w:w="540"/>
        <w:gridCol w:w="450"/>
        <w:gridCol w:w="450"/>
        <w:gridCol w:w="396"/>
        <w:gridCol w:w="470"/>
      </w:tblGrid>
      <w:tr w:rsidR="00091FA6" w:rsidRPr="002E0C7E" w:rsidTr="009D0C06">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091FA6" w:rsidRPr="002E0C7E" w:rsidRDefault="00091FA6" w:rsidP="009D0C06">
            <w:pPr>
              <w:widowControl w:val="0"/>
              <w:jc w:val="center"/>
              <w:rPr>
                <w:rFonts w:ascii="Arial" w:hAnsi="Arial"/>
                <w:sz w:val="14"/>
              </w:rPr>
            </w:pPr>
          </w:p>
        </w:tc>
        <w:tc>
          <w:tcPr>
            <w:tcW w:w="3284"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091FA6" w:rsidRPr="002E0C7E" w:rsidRDefault="00091FA6" w:rsidP="009D0C06">
            <w:pPr>
              <w:widowControl w:val="0"/>
              <w:jc w:val="center"/>
              <w:rPr>
                <w:rFonts w:ascii="Arial" w:hAnsi="Arial"/>
                <w:sz w:val="14"/>
              </w:rPr>
            </w:pPr>
          </w:p>
        </w:tc>
        <w:tc>
          <w:tcPr>
            <w:tcW w:w="3292"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DECEMBER - DÉCEMBRE</w:t>
            </w:r>
          </w:p>
        </w:tc>
      </w:tr>
      <w:tr w:rsidR="00091FA6" w:rsidRPr="002E0C7E" w:rsidTr="009D0C06">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D</w:t>
            </w:r>
          </w:p>
        </w:tc>
        <w:tc>
          <w:tcPr>
            <w:tcW w:w="48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M</w:t>
            </w:r>
          </w:p>
          <w:p w:rsidR="00091FA6" w:rsidRPr="002E0C7E" w:rsidRDefault="00091FA6" w:rsidP="009D0C06">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W</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J</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F</w:t>
            </w:r>
          </w:p>
          <w:p w:rsidR="00091FA6" w:rsidRPr="002E0C7E" w:rsidRDefault="00091FA6" w:rsidP="009D0C06">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D</w:t>
            </w:r>
          </w:p>
        </w:tc>
        <w:tc>
          <w:tcPr>
            <w:tcW w:w="457"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M</w:t>
            </w:r>
          </w:p>
          <w:p w:rsidR="00091FA6" w:rsidRPr="002E0C7E" w:rsidRDefault="00091FA6" w:rsidP="009D0C06">
            <w:pPr>
              <w:widowControl w:val="0"/>
              <w:jc w:val="center"/>
              <w:rPr>
                <w:rFonts w:ascii="Arial" w:hAnsi="Arial"/>
                <w:sz w:val="14"/>
              </w:rPr>
            </w:pPr>
            <w:r w:rsidRPr="002E0C7E">
              <w:rPr>
                <w:rFonts w:ascii="Arial" w:hAnsi="Arial"/>
                <w:sz w:val="14"/>
              </w:rPr>
              <w:t>L</w:t>
            </w:r>
          </w:p>
        </w:tc>
        <w:tc>
          <w:tcPr>
            <w:tcW w:w="50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W</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J</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F</w:t>
            </w:r>
          </w:p>
          <w:p w:rsidR="00091FA6" w:rsidRPr="002E0C7E" w:rsidRDefault="00091FA6" w:rsidP="009D0C06">
            <w:pPr>
              <w:widowControl w:val="0"/>
              <w:jc w:val="center"/>
              <w:rPr>
                <w:rFonts w:ascii="Arial" w:hAnsi="Arial"/>
                <w:sz w:val="14"/>
              </w:rPr>
            </w:pPr>
            <w:r w:rsidRPr="002E0C7E">
              <w:rPr>
                <w:rFonts w:ascii="Arial" w:hAnsi="Arial"/>
                <w:sz w:val="14"/>
              </w:rPr>
              <w:t>V</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536"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D</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M</w:t>
            </w:r>
          </w:p>
          <w:p w:rsidR="00091FA6" w:rsidRPr="002E0C7E" w:rsidRDefault="00091FA6" w:rsidP="009D0C06">
            <w:pPr>
              <w:widowControl w:val="0"/>
              <w:jc w:val="center"/>
              <w:rPr>
                <w:rFonts w:ascii="Arial" w:hAnsi="Arial"/>
                <w:sz w:val="14"/>
              </w:rPr>
            </w:pPr>
            <w:r w:rsidRPr="002E0C7E">
              <w:rPr>
                <w:rFonts w:ascii="Arial" w:hAnsi="Arial"/>
                <w:sz w:val="14"/>
              </w:rPr>
              <w:t>L</w:t>
            </w:r>
          </w:p>
        </w:tc>
        <w:tc>
          <w:tcPr>
            <w:tcW w:w="54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W</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J</w:t>
            </w:r>
          </w:p>
        </w:tc>
        <w:tc>
          <w:tcPr>
            <w:tcW w:w="39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F</w:t>
            </w:r>
          </w:p>
          <w:p w:rsidR="00091FA6" w:rsidRPr="002E0C7E" w:rsidRDefault="00091FA6" w:rsidP="009D0C06">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S</w:t>
            </w:r>
          </w:p>
        </w:tc>
      </w:tr>
      <w:tr w:rsidR="00091FA6" w:rsidRPr="002E0C7E" w:rsidTr="009D0C06">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88"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w:t>
            </w: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4</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57"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50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5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5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w:t>
            </w:r>
          </w:p>
        </w:tc>
      </w:tr>
      <w:tr w:rsidR="00091FA6" w:rsidRPr="002E0C7E" w:rsidTr="009D0C06">
        <w:trPr>
          <w:cantSplit/>
          <w:trHeight w:val="288"/>
          <w:jc w:val="center"/>
        </w:trPr>
        <w:tc>
          <w:tcPr>
            <w:tcW w:w="450"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7</w:t>
            </w:r>
          </w:p>
        </w:tc>
        <w:tc>
          <w:tcPr>
            <w:tcW w:w="488"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091FA6" w:rsidRPr="000C583B" w:rsidRDefault="00091FA6" w:rsidP="009D0C06">
            <w:pPr>
              <w:widowControl w:val="0"/>
              <w:jc w:val="center"/>
              <w:rPr>
                <w:rFonts w:ascii="Arial" w:hAnsi="Arial"/>
                <w:b/>
                <w:sz w:val="14"/>
              </w:rPr>
            </w:pPr>
            <w:r w:rsidRPr="000C583B">
              <w:rPr>
                <w:rFonts w:ascii="Arial" w:hAnsi="Arial"/>
                <w:b/>
                <w:sz w:val="14"/>
              </w:rPr>
              <w:t>H</w:t>
            </w:r>
          </w:p>
          <w:p w:rsidR="00091FA6" w:rsidRPr="002E0C7E" w:rsidRDefault="00091FA6" w:rsidP="009D0C06">
            <w:pPr>
              <w:widowControl w:val="0"/>
              <w:jc w:val="center"/>
              <w:rPr>
                <w:rFonts w:ascii="Arial" w:hAnsi="Arial"/>
                <w:sz w:val="14"/>
              </w:rPr>
            </w:pPr>
            <w:r>
              <w:rPr>
                <w:rFonts w:ascii="Arial" w:hAnsi="Arial"/>
                <w:sz w:val="14"/>
              </w:rPr>
              <w:t>8</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091FA6" w:rsidRPr="000C583B" w:rsidRDefault="00091FA6" w:rsidP="009D0C06">
            <w:pPr>
              <w:widowControl w:val="0"/>
              <w:jc w:val="center"/>
              <w:rPr>
                <w:rFonts w:ascii="Arial" w:hAnsi="Arial"/>
                <w:b/>
                <w:sz w:val="14"/>
              </w:rPr>
            </w:pPr>
            <w:r w:rsidRPr="000C583B">
              <w:rPr>
                <w:rFonts w:ascii="Arial" w:hAnsi="Arial"/>
                <w:b/>
                <w:sz w:val="14"/>
              </w:rPr>
              <w:t>M</w:t>
            </w:r>
          </w:p>
          <w:p w:rsidR="00091FA6" w:rsidRPr="002E0C7E" w:rsidRDefault="00091FA6" w:rsidP="009D0C06">
            <w:pPr>
              <w:widowControl w:val="0"/>
              <w:jc w:val="center"/>
              <w:rPr>
                <w:rFonts w:ascii="Arial" w:hAnsi="Arial"/>
                <w:sz w:val="14"/>
              </w:rPr>
            </w:pPr>
            <w:r>
              <w:rPr>
                <w:rFonts w:ascii="Arial" w:hAnsi="Arial"/>
                <w:sz w:val="14"/>
              </w:rPr>
              <w:t>9</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10</w:t>
            </w:r>
          </w:p>
        </w:tc>
        <w:tc>
          <w:tcPr>
            <w:tcW w:w="463" w:type="dxa"/>
            <w:tcBorders>
              <w:top w:val="single" w:sz="8" w:space="0" w:color="000000"/>
              <w:left w:val="single" w:sz="8" w:space="0" w:color="000000"/>
              <w:bottom w:val="nil"/>
              <w:right w:val="nil"/>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11</w:t>
            </w:r>
          </w:p>
        </w:tc>
        <w:tc>
          <w:tcPr>
            <w:tcW w:w="475"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13</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4</w:t>
            </w:r>
          </w:p>
        </w:tc>
        <w:tc>
          <w:tcPr>
            <w:tcW w:w="457"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M</w:t>
            </w:r>
          </w:p>
          <w:p w:rsidR="00091FA6" w:rsidRPr="002E0C7E" w:rsidRDefault="00091FA6" w:rsidP="009D0C06">
            <w:pPr>
              <w:widowControl w:val="0"/>
              <w:jc w:val="center"/>
              <w:rPr>
                <w:rFonts w:ascii="Arial" w:hAnsi="Arial"/>
                <w:sz w:val="14"/>
              </w:rPr>
            </w:pPr>
            <w:r>
              <w:rPr>
                <w:rFonts w:ascii="Arial" w:hAnsi="Arial"/>
                <w:sz w:val="14"/>
              </w:rPr>
              <w:t>5</w:t>
            </w:r>
          </w:p>
        </w:tc>
        <w:tc>
          <w:tcPr>
            <w:tcW w:w="506"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6</w:t>
            </w:r>
          </w:p>
        </w:tc>
        <w:tc>
          <w:tcPr>
            <w:tcW w:w="45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7</w:t>
            </w:r>
          </w:p>
        </w:tc>
        <w:tc>
          <w:tcPr>
            <w:tcW w:w="484" w:type="dxa"/>
            <w:tcBorders>
              <w:top w:val="single" w:sz="8" w:space="0" w:color="000000"/>
              <w:left w:val="single" w:sz="8" w:space="0" w:color="000000"/>
              <w:bottom w:val="nil"/>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8</w:t>
            </w:r>
          </w:p>
        </w:tc>
        <w:tc>
          <w:tcPr>
            <w:tcW w:w="45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9</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p>
        </w:tc>
        <w:tc>
          <w:tcPr>
            <w:tcW w:w="450"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M</w:t>
            </w:r>
          </w:p>
          <w:p w:rsidR="00091FA6" w:rsidRPr="002E0C7E" w:rsidRDefault="00091FA6" w:rsidP="009D0C06">
            <w:pPr>
              <w:widowControl w:val="0"/>
              <w:jc w:val="center"/>
              <w:rPr>
                <w:rFonts w:ascii="Arial" w:hAnsi="Arial"/>
                <w:sz w:val="14"/>
              </w:rPr>
            </w:pPr>
            <w:r>
              <w:rPr>
                <w:rFonts w:ascii="Arial" w:hAnsi="Arial"/>
                <w:sz w:val="14"/>
              </w:rPr>
              <w:t>3</w:t>
            </w:r>
          </w:p>
        </w:tc>
        <w:tc>
          <w:tcPr>
            <w:tcW w:w="540"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4</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5</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6</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8</w:t>
            </w:r>
          </w:p>
        </w:tc>
      </w:tr>
      <w:tr w:rsidR="00091FA6" w:rsidRPr="002E0C7E" w:rsidTr="009D0C06">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14</w:t>
            </w:r>
          </w:p>
        </w:tc>
        <w:tc>
          <w:tcPr>
            <w:tcW w:w="488"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0C583B" w:rsidRDefault="00091FA6" w:rsidP="009D0C06">
            <w:pPr>
              <w:widowControl w:val="0"/>
              <w:jc w:val="center"/>
              <w:rPr>
                <w:rFonts w:ascii="Arial" w:hAnsi="Arial"/>
                <w:b/>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0C583B"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7</w:t>
            </w:r>
          </w:p>
        </w:tc>
        <w:tc>
          <w:tcPr>
            <w:tcW w:w="463"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8</w:t>
            </w:r>
          </w:p>
        </w:tc>
        <w:tc>
          <w:tcPr>
            <w:tcW w:w="475"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20</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11</w:t>
            </w:r>
          </w:p>
        </w:tc>
        <w:tc>
          <w:tcPr>
            <w:tcW w:w="457"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091FA6" w:rsidRPr="004030BA" w:rsidRDefault="00091FA6" w:rsidP="009D0C06">
            <w:pPr>
              <w:widowControl w:val="0"/>
              <w:jc w:val="center"/>
              <w:rPr>
                <w:rFonts w:ascii="Arial" w:hAnsi="Arial"/>
                <w:sz w:val="14"/>
              </w:rPr>
            </w:pPr>
            <w:r>
              <w:rPr>
                <w:rFonts w:ascii="Arial" w:hAnsi="Arial"/>
                <w:b/>
                <w:sz w:val="14"/>
              </w:rPr>
              <w:t>H</w:t>
            </w: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2</w:t>
            </w:r>
          </w:p>
        </w:tc>
        <w:tc>
          <w:tcPr>
            <w:tcW w:w="506" w:type="dxa"/>
            <w:tcBorders>
              <w:top w:val="single" w:sz="8" w:space="0" w:color="000000"/>
              <w:left w:val="double" w:sz="6" w:space="0" w:color="000000"/>
              <w:bottom w:val="nil"/>
              <w:right w:val="nil"/>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13</w:t>
            </w:r>
          </w:p>
        </w:tc>
        <w:tc>
          <w:tcPr>
            <w:tcW w:w="45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4</w:t>
            </w:r>
          </w:p>
        </w:tc>
        <w:tc>
          <w:tcPr>
            <w:tcW w:w="484"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5</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6</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9</w:t>
            </w:r>
          </w:p>
        </w:tc>
        <w:tc>
          <w:tcPr>
            <w:tcW w:w="450"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0</w:t>
            </w:r>
          </w:p>
        </w:tc>
        <w:tc>
          <w:tcPr>
            <w:tcW w:w="5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1</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2</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3</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5</w:t>
            </w:r>
          </w:p>
        </w:tc>
      </w:tr>
      <w:tr w:rsidR="00091FA6" w:rsidRPr="002E0C7E" w:rsidTr="009D0C06">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r w:rsidRPr="002E0C7E">
              <w:rPr>
                <w:rFonts w:ascii="Arial" w:hAnsi="Arial"/>
                <w:sz w:val="14"/>
              </w:rPr>
              <w:t>1</w:t>
            </w:r>
          </w:p>
        </w:tc>
        <w:tc>
          <w:tcPr>
            <w:tcW w:w="488"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24</w:t>
            </w:r>
          </w:p>
        </w:tc>
        <w:tc>
          <w:tcPr>
            <w:tcW w:w="463"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5</w:t>
            </w:r>
          </w:p>
        </w:tc>
        <w:tc>
          <w:tcPr>
            <w:tcW w:w="475"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18</w:t>
            </w:r>
          </w:p>
        </w:tc>
        <w:tc>
          <w:tcPr>
            <w:tcW w:w="457" w:type="dxa"/>
            <w:tcBorders>
              <w:top w:val="double" w:sz="6" w:space="0" w:color="000000"/>
              <w:left w:val="single" w:sz="8" w:space="0" w:color="000000"/>
              <w:bottom w:val="nil"/>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9</w:t>
            </w:r>
          </w:p>
        </w:tc>
        <w:tc>
          <w:tcPr>
            <w:tcW w:w="506" w:type="dxa"/>
            <w:tcBorders>
              <w:top w:val="single" w:sz="8" w:space="0" w:color="000000"/>
              <w:left w:val="single" w:sz="8" w:space="0" w:color="000000"/>
              <w:bottom w:val="nil"/>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0</w:t>
            </w:r>
          </w:p>
        </w:tc>
        <w:tc>
          <w:tcPr>
            <w:tcW w:w="450" w:type="dxa"/>
            <w:tcBorders>
              <w:top w:val="single" w:sz="8" w:space="0" w:color="000000"/>
              <w:left w:val="single" w:sz="8" w:space="0" w:color="000000"/>
              <w:bottom w:val="nil"/>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1</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2</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3</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6</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7</w:t>
            </w:r>
          </w:p>
        </w:tc>
        <w:tc>
          <w:tcPr>
            <w:tcW w:w="54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18</w:t>
            </w:r>
          </w:p>
        </w:tc>
        <w:tc>
          <w:tcPr>
            <w:tcW w:w="45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9</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0</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1</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2</w:t>
            </w:r>
          </w:p>
        </w:tc>
      </w:tr>
      <w:tr w:rsidR="00091FA6" w:rsidRPr="002E0C7E" w:rsidTr="009D0C06">
        <w:trPr>
          <w:cantSplit/>
          <w:trHeight w:val="288"/>
          <w:jc w:val="center"/>
        </w:trPr>
        <w:tc>
          <w:tcPr>
            <w:tcW w:w="450"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28</w:t>
            </w:r>
          </w:p>
        </w:tc>
        <w:tc>
          <w:tcPr>
            <w:tcW w:w="48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31</w:t>
            </w:r>
          </w:p>
        </w:tc>
        <w:tc>
          <w:tcPr>
            <w:tcW w:w="463"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75"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5</w:t>
            </w:r>
          </w:p>
        </w:tc>
        <w:tc>
          <w:tcPr>
            <w:tcW w:w="457"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6</w:t>
            </w:r>
          </w:p>
        </w:tc>
        <w:tc>
          <w:tcPr>
            <w:tcW w:w="50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7</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28</w:t>
            </w:r>
          </w:p>
        </w:tc>
        <w:tc>
          <w:tcPr>
            <w:tcW w:w="484"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29</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30</w:t>
            </w:r>
          </w:p>
        </w:tc>
        <w:tc>
          <w:tcPr>
            <w:tcW w:w="468"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536"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Pr>
                <w:rFonts w:ascii="Arial" w:hAnsi="Arial"/>
                <w:sz w:val="14"/>
              </w:rPr>
              <w:t>23</w:t>
            </w:r>
          </w:p>
          <w:p w:rsidR="00091FA6" w:rsidRPr="002E0C7E" w:rsidRDefault="00091FA6" w:rsidP="009D0C06">
            <w:pPr>
              <w:widowControl w:val="0"/>
              <w:jc w:val="center"/>
              <w:rPr>
                <w:rFonts w:ascii="Arial" w:hAnsi="Arial"/>
                <w:sz w:val="14"/>
              </w:rPr>
            </w:pPr>
            <w:r>
              <w:rPr>
                <w:rFonts w:ascii="Arial" w:hAnsi="Arial"/>
                <w:sz w:val="14"/>
              </w:rPr>
              <w:t xml:space="preserve">  30</w:t>
            </w:r>
          </w:p>
        </w:tc>
        <w:tc>
          <w:tcPr>
            <w:tcW w:w="450" w:type="dxa"/>
            <w:tcBorders>
              <w:top w:val="single" w:sz="8" w:space="0" w:color="000000"/>
              <w:left w:val="single" w:sz="8" w:space="0" w:color="000000"/>
              <w:bottom w:val="doub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Pr>
                <w:rFonts w:ascii="Arial" w:hAnsi="Arial"/>
                <w:sz w:val="14"/>
              </w:rPr>
              <w:t>24</w:t>
            </w:r>
          </w:p>
          <w:p w:rsidR="00091FA6" w:rsidRPr="002E0C7E" w:rsidRDefault="00091FA6" w:rsidP="009D0C06">
            <w:pPr>
              <w:widowControl w:val="0"/>
              <w:jc w:val="center"/>
              <w:rPr>
                <w:rFonts w:ascii="Arial" w:hAnsi="Arial"/>
                <w:sz w:val="14"/>
              </w:rPr>
            </w:pPr>
            <w:r>
              <w:rPr>
                <w:rFonts w:ascii="Arial" w:hAnsi="Arial"/>
                <w:sz w:val="14"/>
              </w:rPr>
              <w:t xml:space="preserve">  31</w:t>
            </w:r>
          </w:p>
        </w:tc>
        <w:tc>
          <w:tcPr>
            <w:tcW w:w="540" w:type="dxa"/>
            <w:tcBorders>
              <w:top w:val="double" w:sz="6" w:space="0" w:color="000000"/>
              <w:left w:val="double" w:sz="6" w:space="0" w:color="000000"/>
              <w:bottom w:val="doub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H</w:t>
            </w: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5</w:t>
            </w:r>
          </w:p>
        </w:tc>
        <w:tc>
          <w:tcPr>
            <w:tcW w:w="450" w:type="dxa"/>
            <w:tcBorders>
              <w:top w:val="double" w:sz="6" w:space="0" w:color="000000"/>
              <w:left w:val="double" w:sz="6" w:space="0" w:color="000000"/>
              <w:bottom w:val="doub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6</w:t>
            </w:r>
          </w:p>
        </w:tc>
        <w:tc>
          <w:tcPr>
            <w:tcW w:w="450" w:type="dxa"/>
            <w:tcBorders>
              <w:top w:val="single" w:sz="8" w:space="0" w:color="000000"/>
              <w:left w:val="double" w:sz="6"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7</w:t>
            </w:r>
          </w:p>
        </w:tc>
        <w:tc>
          <w:tcPr>
            <w:tcW w:w="39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29</w:t>
            </w:r>
          </w:p>
        </w:tc>
      </w:tr>
    </w:tbl>
    <w:p w:rsidR="00091FA6" w:rsidRPr="002E0C7E" w:rsidRDefault="00091FA6" w:rsidP="00091FA6">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3</w:t>
      </w:r>
      <w:r w:rsidRPr="002E0C7E">
        <w:rPr>
          <w:rFonts w:ascii="Arial" w:hAnsi="Arial"/>
          <w:i/>
          <w:sz w:val="36"/>
        </w:rPr>
        <w:t xml:space="preserve"> -</w:t>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98"/>
        <w:gridCol w:w="440"/>
        <w:gridCol w:w="469"/>
        <w:gridCol w:w="469"/>
        <w:gridCol w:w="469"/>
        <w:gridCol w:w="469"/>
        <w:gridCol w:w="469"/>
        <w:gridCol w:w="469"/>
        <w:gridCol w:w="469"/>
        <w:gridCol w:w="469"/>
        <w:gridCol w:w="486"/>
        <w:gridCol w:w="452"/>
        <w:gridCol w:w="469"/>
        <w:gridCol w:w="469"/>
        <w:gridCol w:w="469"/>
        <w:gridCol w:w="480"/>
        <w:gridCol w:w="458"/>
        <w:gridCol w:w="442"/>
        <w:gridCol w:w="450"/>
        <w:gridCol w:w="516"/>
        <w:gridCol w:w="470"/>
      </w:tblGrid>
      <w:tr w:rsidR="00091FA6" w:rsidRPr="002E0C7E" w:rsidTr="009D0C06">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091FA6" w:rsidRPr="002E0C7E" w:rsidRDefault="00091FA6" w:rsidP="009D0C06">
            <w:pPr>
              <w:widowControl w:val="0"/>
              <w:jc w:val="center"/>
              <w:rPr>
                <w:rFonts w:ascii="Arial" w:hAnsi="Arial"/>
                <w:sz w:val="14"/>
              </w:rPr>
            </w:pPr>
          </w:p>
        </w:tc>
        <w:tc>
          <w:tcPr>
            <w:tcW w:w="3283"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091FA6" w:rsidRPr="002E0C7E" w:rsidRDefault="00091FA6" w:rsidP="009D0C06">
            <w:pPr>
              <w:widowControl w:val="0"/>
              <w:jc w:val="center"/>
              <w:rPr>
                <w:rFonts w:ascii="Arial" w:hAnsi="Arial"/>
                <w:sz w:val="14"/>
              </w:rPr>
            </w:pPr>
          </w:p>
        </w:tc>
        <w:tc>
          <w:tcPr>
            <w:tcW w:w="3285"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MARCH - MARS</w:t>
            </w:r>
          </w:p>
        </w:tc>
      </w:tr>
      <w:tr w:rsidR="00091FA6" w:rsidRPr="002E0C7E" w:rsidTr="009D0C06">
        <w:trPr>
          <w:cantSplit/>
          <w:jc w:val="center"/>
        </w:trPr>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M</w:t>
            </w:r>
          </w:p>
          <w:p w:rsidR="00091FA6" w:rsidRPr="002E0C7E" w:rsidRDefault="00091FA6" w:rsidP="009D0C06">
            <w:pPr>
              <w:widowControl w:val="0"/>
              <w:jc w:val="center"/>
              <w:rPr>
                <w:rFonts w:ascii="Arial" w:hAnsi="Arial"/>
                <w:sz w:val="14"/>
              </w:rPr>
            </w:pPr>
            <w:r w:rsidRPr="002E0C7E">
              <w:rPr>
                <w:rFonts w:ascii="Arial" w:hAnsi="Arial"/>
                <w:sz w:val="14"/>
              </w:rPr>
              <w:t>L</w:t>
            </w:r>
          </w:p>
        </w:tc>
        <w:tc>
          <w:tcPr>
            <w:tcW w:w="498" w:type="dxa"/>
            <w:tcBorders>
              <w:top w:val="doub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4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W</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F</w:t>
            </w:r>
          </w:p>
          <w:p w:rsidR="00091FA6" w:rsidRPr="002E0C7E" w:rsidRDefault="00091FA6" w:rsidP="009D0C06">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M</w:t>
            </w:r>
          </w:p>
          <w:p w:rsidR="00091FA6" w:rsidRPr="002E0C7E" w:rsidRDefault="00091FA6" w:rsidP="009D0C06">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W</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8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J</w:t>
            </w:r>
          </w:p>
        </w:tc>
        <w:tc>
          <w:tcPr>
            <w:tcW w:w="45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F</w:t>
            </w:r>
          </w:p>
          <w:p w:rsidR="00091FA6" w:rsidRPr="002E0C7E" w:rsidRDefault="00091FA6" w:rsidP="009D0C06">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D</w:t>
            </w:r>
          </w:p>
        </w:tc>
        <w:tc>
          <w:tcPr>
            <w:tcW w:w="48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M</w:t>
            </w:r>
          </w:p>
          <w:p w:rsidR="00091FA6" w:rsidRPr="002E0C7E" w:rsidRDefault="00091FA6" w:rsidP="009D0C06">
            <w:pPr>
              <w:widowControl w:val="0"/>
              <w:jc w:val="center"/>
              <w:rPr>
                <w:rFonts w:ascii="Arial" w:hAnsi="Arial"/>
                <w:sz w:val="14"/>
              </w:rPr>
            </w:pPr>
            <w:r w:rsidRPr="002E0C7E">
              <w:rPr>
                <w:rFonts w:ascii="Arial" w:hAnsi="Arial"/>
                <w:sz w:val="14"/>
              </w:rPr>
              <w:t>L</w:t>
            </w:r>
          </w:p>
        </w:tc>
        <w:tc>
          <w:tcPr>
            <w:tcW w:w="45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4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W</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J</w:t>
            </w:r>
          </w:p>
        </w:tc>
        <w:tc>
          <w:tcPr>
            <w:tcW w:w="51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F</w:t>
            </w:r>
          </w:p>
          <w:p w:rsidR="00091FA6" w:rsidRPr="002E0C7E" w:rsidRDefault="00091FA6" w:rsidP="009D0C06">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S</w:t>
            </w:r>
          </w:p>
        </w:tc>
      </w:tr>
      <w:tr w:rsidR="00091FA6" w:rsidRPr="002E0C7E" w:rsidTr="009D0C06">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98"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091FA6" w:rsidRPr="00317A69" w:rsidRDefault="00091FA6" w:rsidP="009D0C06">
            <w:pPr>
              <w:widowControl w:val="0"/>
              <w:jc w:val="center"/>
              <w:rPr>
                <w:rFonts w:ascii="Arial" w:hAnsi="Arial"/>
                <w:b/>
                <w:sz w:val="14"/>
              </w:rPr>
            </w:pPr>
            <w:r>
              <w:rPr>
                <w:rFonts w:ascii="Arial" w:hAnsi="Arial"/>
                <w:b/>
                <w:sz w:val="14"/>
              </w:rPr>
              <w:t>H</w:t>
            </w:r>
          </w:p>
          <w:p w:rsidR="00091FA6" w:rsidRPr="002E0C7E" w:rsidRDefault="00091FA6" w:rsidP="009D0C06">
            <w:pPr>
              <w:widowControl w:val="0"/>
              <w:jc w:val="center"/>
              <w:rPr>
                <w:rFonts w:ascii="Arial" w:hAnsi="Arial"/>
                <w:sz w:val="14"/>
              </w:rPr>
            </w:pPr>
            <w:r>
              <w:rPr>
                <w:rFonts w:ascii="Arial" w:hAnsi="Arial"/>
                <w:sz w:val="14"/>
              </w:rPr>
              <w:t>1</w:t>
            </w:r>
          </w:p>
        </w:tc>
        <w:tc>
          <w:tcPr>
            <w:tcW w:w="44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5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51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p>
        </w:tc>
      </w:tr>
      <w:tr w:rsidR="00091FA6" w:rsidRPr="002E0C7E" w:rsidTr="009D0C06">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7</w:t>
            </w:r>
          </w:p>
        </w:tc>
        <w:tc>
          <w:tcPr>
            <w:tcW w:w="498"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8</w:t>
            </w:r>
          </w:p>
        </w:tc>
        <w:tc>
          <w:tcPr>
            <w:tcW w:w="44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6</w:t>
            </w:r>
          </w:p>
        </w:tc>
        <w:tc>
          <w:tcPr>
            <w:tcW w:w="486"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7</w:t>
            </w:r>
          </w:p>
        </w:tc>
        <w:tc>
          <w:tcPr>
            <w:tcW w:w="452"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w:t>
            </w: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4</w:t>
            </w: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5</w:t>
            </w: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6</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7</w:t>
            </w:r>
          </w:p>
        </w:tc>
        <w:tc>
          <w:tcPr>
            <w:tcW w:w="51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8</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9</w:t>
            </w:r>
          </w:p>
        </w:tc>
      </w:tr>
      <w:tr w:rsidR="00091FA6" w:rsidRPr="002E0C7E" w:rsidTr="009D0C06">
        <w:trPr>
          <w:cantSplit/>
          <w:jc w:val="center"/>
        </w:trPr>
        <w:tc>
          <w:tcPr>
            <w:tcW w:w="469"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091FA6" w:rsidRPr="007255AD" w:rsidRDefault="00091FA6" w:rsidP="009D0C06">
            <w:pPr>
              <w:widowControl w:val="0"/>
              <w:jc w:val="center"/>
              <w:rPr>
                <w:rFonts w:ascii="Arial" w:hAnsi="Arial"/>
                <w:b/>
                <w:sz w:val="14"/>
              </w:rPr>
            </w:pPr>
            <w:r>
              <w:rPr>
                <w:rFonts w:ascii="Arial" w:hAnsi="Arial"/>
                <w:b/>
                <w:sz w:val="14"/>
              </w:rPr>
              <w:t>M</w:t>
            </w: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4</w:t>
            </w:r>
          </w:p>
        </w:tc>
        <w:tc>
          <w:tcPr>
            <w:tcW w:w="498"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5</w:t>
            </w:r>
          </w:p>
        </w:tc>
        <w:tc>
          <w:tcPr>
            <w:tcW w:w="4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18</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091FA6" w:rsidRPr="000E2B85" w:rsidRDefault="00091FA6" w:rsidP="009D0C06">
            <w:pPr>
              <w:widowControl w:val="0"/>
              <w:jc w:val="center"/>
              <w:rPr>
                <w:rFonts w:ascii="Arial" w:hAnsi="Arial"/>
                <w:b/>
                <w:sz w:val="14"/>
              </w:rPr>
            </w:pPr>
            <w:r>
              <w:rPr>
                <w:rFonts w:ascii="Arial" w:hAnsi="Arial"/>
                <w:b/>
                <w:sz w:val="14"/>
              </w:rPr>
              <w:t>M</w:t>
            </w: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13</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4</w:t>
            </w:r>
          </w:p>
        </w:tc>
        <w:tc>
          <w:tcPr>
            <w:tcW w:w="45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0</w:t>
            </w:r>
          </w:p>
        </w:tc>
        <w:tc>
          <w:tcPr>
            <w:tcW w:w="480"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1</w:t>
            </w:r>
          </w:p>
        </w:tc>
        <w:tc>
          <w:tcPr>
            <w:tcW w:w="458"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2</w:t>
            </w:r>
          </w:p>
        </w:tc>
        <w:tc>
          <w:tcPr>
            <w:tcW w:w="442"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3</w:t>
            </w:r>
          </w:p>
        </w:tc>
        <w:tc>
          <w:tcPr>
            <w:tcW w:w="45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4</w:t>
            </w:r>
          </w:p>
        </w:tc>
        <w:tc>
          <w:tcPr>
            <w:tcW w:w="516"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5</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6</w:t>
            </w:r>
          </w:p>
        </w:tc>
      </w:tr>
      <w:tr w:rsidR="00091FA6" w:rsidRPr="002E0C7E" w:rsidTr="009D0C06">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1</w:t>
            </w:r>
          </w:p>
        </w:tc>
        <w:tc>
          <w:tcPr>
            <w:tcW w:w="498"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2</w:t>
            </w:r>
          </w:p>
        </w:tc>
        <w:tc>
          <w:tcPr>
            <w:tcW w:w="44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0</w:t>
            </w:r>
          </w:p>
        </w:tc>
        <w:tc>
          <w:tcPr>
            <w:tcW w:w="486"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1</w:t>
            </w:r>
          </w:p>
        </w:tc>
        <w:tc>
          <w:tcPr>
            <w:tcW w:w="452"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7</w:t>
            </w:r>
          </w:p>
        </w:tc>
        <w:tc>
          <w:tcPr>
            <w:tcW w:w="480"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091FA6" w:rsidRPr="00D34238" w:rsidRDefault="00091FA6" w:rsidP="009D0C06">
            <w:pPr>
              <w:widowControl w:val="0"/>
              <w:jc w:val="center"/>
              <w:rPr>
                <w:rFonts w:ascii="Arial" w:hAnsi="Arial"/>
                <w:b/>
                <w:sz w:val="14"/>
              </w:rPr>
            </w:pPr>
            <w:r>
              <w:rPr>
                <w:rFonts w:ascii="Arial" w:hAnsi="Arial"/>
                <w:b/>
                <w:sz w:val="14"/>
              </w:rPr>
              <w:t>M</w:t>
            </w: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8</w:t>
            </w:r>
          </w:p>
        </w:tc>
        <w:tc>
          <w:tcPr>
            <w:tcW w:w="458"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19</w:t>
            </w:r>
          </w:p>
        </w:tc>
        <w:tc>
          <w:tcPr>
            <w:tcW w:w="44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0</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1</w:t>
            </w:r>
          </w:p>
        </w:tc>
        <w:tc>
          <w:tcPr>
            <w:tcW w:w="516" w:type="dxa"/>
            <w:tcBorders>
              <w:top w:val="single" w:sz="8" w:space="0" w:color="000000"/>
              <w:left w:val="single" w:sz="8" w:space="0" w:color="000000"/>
              <w:bottom w:val="double" w:sz="6"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3</w:t>
            </w:r>
          </w:p>
        </w:tc>
      </w:tr>
      <w:tr w:rsidR="00091FA6" w:rsidRPr="002E0C7E" w:rsidTr="009D0C06">
        <w:trPr>
          <w:cantSplit/>
          <w:jc w:val="center"/>
        </w:trPr>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28</w:t>
            </w:r>
          </w:p>
        </w:tc>
        <w:tc>
          <w:tcPr>
            <w:tcW w:w="49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29</w:t>
            </w:r>
          </w:p>
        </w:tc>
        <w:tc>
          <w:tcPr>
            <w:tcW w:w="44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7</w:t>
            </w: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28</w:t>
            </w:r>
          </w:p>
        </w:tc>
        <w:tc>
          <w:tcPr>
            <w:tcW w:w="45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Pr>
                <w:rFonts w:ascii="Arial" w:hAnsi="Arial"/>
                <w:sz w:val="14"/>
              </w:rPr>
              <w:t>24</w:t>
            </w:r>
          </w:p>
          <w:p w:rsidR="00091FA6" w:rsidRPr="002E0C7E" w:rsidRDefault="00091FA6" w:rsidP="009D0C06">
            <w:pPr>
              <w:widowControl w:val="0"/>
              <w:jc w:val="center"/>
              <w:rPr>
                <w:rFonts w:ascii="Arial" w:hAnsi="Arial"/>
                <w:sz w:val="14"/>
              </w:rPr>
            </w:pPr>
            <w:r>
              <w:rPr>
                <w:rFonts w:ascii="Arial" w:hAnsi="Arial"/>
                <w:sz w:val="14"/>
              </w:rPr>
              <w:t xml:space="preserve">  31</w:t>
            </w:r>
          </w:p>
        </w:tc>
        <w:tc>
          <w:tcPr>
            <w:tcW w:w="480" w:type="dxa"/>
            <w:tcBorders>
              <w:top w:val="double" w:sz="6" w:space="0" w:color="000000"/>
              <w:left w:val="single" w:sz="8" w:space="0" w:color="000000"/>
              <w:bottom w:val="doub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5</w:t>
            </w:r>
          </w:p>
        </w:tc>
        <w:tc>
          <w:tcPr>
            <w:tcW w:w="458" w:type="dxa"/>
            <w:tcBorders>
              <w:top w:val="single" w:sz="8" w:space="0" w:color="000000"/>
              <w:left w:val="single" w:sz="8" w:space="0" w:color="000000"/>
              <w:bottom w:val="doub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6</w:t>
            </w:r>
          </w:p>
        </w:tc>
        <w:tc>
          <w:tcPr>
            <w:tcW w:w="442" w:type="dxa"/>
            <w:tcBorders>
              <w:top w:val="single" w:sz="8" w:space="0" w:color="000000"/>
              <w:left w:val="single" w:sz="8" w:space="0" w:color="000000"/>
              <w:bottom w:val="doub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7</w:t>
            </w:r>
          </w:p>
        </w:tc>
        <w:tc>
          <w:tcPr>
            <w:tcW w:w="450" w:type="dxa"/>
            <w:tcBorders>
              <w:top w:val="single" w:sz="8" w:space="0" w:color="000000"/>
              <w:left w:val="single" w:sz="8" w:space="0" w:color="000000"/>
              <w:bottom w:val="double" w:sz="8" w:space="0" w:color="000000"/>
              <w:right w:val="double" w:sz="6"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8</w:t>
            </w:r>
          </w:p>
        </w:tc>
        <w:tc>
          <w:tcPr>
            <w:tcW w:w="516" w:type="dxa"/>
            <w:tcBorders>
              <w:top w:val="double" w:sz="6" w:space="0" w:color="000000"/>
              <w:left w:val="double" w:sz="6" w:space="0" w:color="000000"/>
              <w:bottom w:val="double" w:sz="8" w:space="0" w:color="000000"/>
              <w:right w:val="double" w:sz="6" w:space="0" w:color="000000"/>
            </w:tcBorders>
            <w:tcMar>
              <w:top w:w="72" w:type="dxa"/>
              <w:left w:w="0" w:type="dxa"/>
              <w:bottom w:w="43" w:type="dxa"/>
              <w:right w:w="0" w:type="dxa"/>
            </w:tcMar>
          </w:tcPr>
          <w:p w:rsidR="00091FA6" w:rsidRPr="00261B35" w:rsidRDefault="00091FA6" w:rsidP="009D0C06">
            <w:pPr>
              <w:widowControl w:val="0"/>
              <w:jc w:val="center"/>
              <w:rPr>
                <w:rFonts w:ascii="Arial" w:hAnsi="Arial"/>
                <w:b/>
                <w:sz w:val="14"/>
              </w:rPr>
            </w:pPr>
            <w:r w:rsidRPr="00261B35">
              <w:rPr>
                <w:rFonts w:ascii="Arial" w:hAnsi="Arial"/>
                <w:b/>
                <w:sz w:val="14"/>
              </w:rPr>
              <w:t>H</w:t>
            </w:r>
          </w:p>
          <w:p w:rsidR="00091FA6" w:rsidRPr="002E0C7E" w:rsidRDefault="00091FA6" w:rsidP="009D0C06">
            <w:pPr>
              <w:widowControl w:val="0"/>
              <w:jc w:val="center"/>
              <w:rPr>
                <w:rFonts w:ascii="Arial" w:hAnsi="Arial"/>
                <w:sz w:val="14"/>
              </w:rPr>
            </w:pPr>
            <w:r>
              <w:rPr>
                <w:rFonts w:ascii="Arial" w:hAnsi="Arial"/>
                <w:sz w:val="14"/>
              </w:rPr>
              <w:t>29</w:t>
            </w:r>
          </w:p>
        </w:tc>
        <w:tc>
          <w:tcPr>
            <w:tcW w:w="470" w:type="dxa"/>
            <w:tcBorders>
              <w:top w:val="single" w:sz="8" w:space="0" w:color="000000"/>
              <w:left w:val="double" w:sz="6" w:space="0" w:color="000000"/>
              <w:bottom w:val="doub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3</w:t>
            </w:r>
            <w:r>
              <w:rPr>
                <w:rFonts w:ascii="Arial" w:hAnsi="Arial"/>
                <w:sz w:val="14"/>
              </w:rPr>
              <w:t>0</w:t>
            </w:r>
          </w:p>
        </w:tc>
      </w:tr>
    </w:tbl>
    <w:p w:rsidR="00091FA6" w:rsidRPr="002E0C7E" w:rsidRDefault="00091FA6" w:rsidP="00091FA6">
      <w:pPr>
        <w:widowControl w:val="0"/>
        <w:rPr>
          <w:rFonts w:ascii="Arial" w:hAnsi="Arial"/>
          <w:vanish/>
          <w:szCs w:val="24"/>
        </w:rPr>
      </w:pP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46"/>
        <w:gridCol w:w="492"/>
        <w:gridCol w:w="469"/>
        <w:gridCol w:w="469"/>
        <w:gridCol w:w="469"/>
        <w:gridCol w:w="469"/>
        <w:gridCol w:w="469"/>
        <w:gridCol w:w="469"/>
        <w:gridCol w:w="473"/>
        <w:gridCol w:w="466"/>
        <w:gridCol w:w="469"/>
        <w:gridCol w:w="469"/>
        <w:gridCol w:w="486"/>
        <w:gridCol w:w="450"/>
        <w:gridCol w:w="472"/>
        <w:gridCol w:w="518"/>
        <w:gridCol w:w="420"/>
        <w:gridCol w:w="480"/>
        <w:gridCol w:w="458"/>
        <w:gridCol w:w="469"/>
        <w:gridCol w:w="469"/>
        <w:gridCol w:w="469"/>
        <w:gridCol w:w="470"/>
      </w:tblGrid>
      <w:tr w:rsidR="00091FA6" w:rsidRPr="002E0C7E" w:rsidTr="009D0C06">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APRIL - AVRIL</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091FA6" w:rsidRPr="002E0C7E" w:rsidRDefault="00091FA6" w:rsidP="009D0C06">
            <w:pPr>
              <w:widowControl w:val="0"/>
              <w:jc w:val="center"/>
              <w:rPr>
                <w:rFonts w:ascii="Arial" w:hAnsi="Arial"/>
                <w:sz w:val="14"/>
              </w:rPr>
            </w:pPr>
          </w:p>
        </w:tc>
        <w:tc>
          <w:tcPr>
            <w:tcW w:w="3285"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MAY - MAI</w:t>
            </w:r>
          </w:p>
        </w:tc>
        <w:tc>
          <w:tcPr>
            <w:tcW w:w="518" w:type="dxa"/>
            <w:tcBorders>
              <w:top w:val="nil"/>
              <w:left w:val="double" w:sz="6" w:space="0" w:color="000000"/>
              <w:bottom w:val="nil"/>
              <w:right w:val="double" w:sz="6" w:space="0" w:color="000000"/>
            </w:tcBorders>
            <w:tcMar>
              <w:top w:w="72" w:type="dxa"/>
              <w:left w:w="0" w:type="dxa"/>
              <w:bottom w:w="72" w:type="dxa"/>
              <w:right w:w="0" w:type="dxa"/>
            </w:tcMar>
          </w:tcPr>
          <w:p w:rsidR="00091FA6" w:rsidRPr="002E0C7E" w:rsidRDefault="00091FA6" w:rsidP="009D0C06">
            <w:pPr>
              <w:widowControl w:val="0"/>
              <w:jc w:val="center"/>
              <w:rPr>
                <w:rFonts w:ascii="Arial" w:hAnsi="Arial"/>
                <w:sz w:val="14"/>
              </w:rPr>
            </w:pPr>
          </w:p>
        </w:tc>
        <w:tc>
          <w:tcPr>
            <w:tcW w:w="3235"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091FA6" w:rsidRPr="002E0C7E" w:rsidRDefault="00091FA6" w:rsidP="009D0C06">
            <w:pPr>
              <w:widowControl w:val="0"/>
              <w:jc w:val="center"/>
              <w:rPr>
                <w:rFonts w:ascii="Arial" w:hAnsi="Arial"/>
                <w:sz w:val="14"/>
              </w:rPr>
            </w:pPr>
            <w:r w:rsidRPr="002E0C7E">
              <w:rPr>
                <w:rFonts w:ascii="Arial" w:hAnsi="Arial"/>
                <w:b/>
                <w:sz w:val="14"/>
              </w:rPr>
              <w:t>JUNE - JUIN</w:t>
            </w:r>
          </w:p>
        </w:tc>
      </w:tr>
      <w:tr w:rsidR="00091FA6" w:rsidRPr="002E0C7E" w:rsidTr="009D0C06">
        <w:trPr>
          <w:cantSplit/>
          <w:jc w:val="center"/>
        </w:trPr>
        <w:tc>
          <w:tcPr>
            <w:tcW w:w="446"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D</w:t>
            </w:r>
          </w:p>
        </w:tc>
        <w:tc>
          <w:tcPr>
            <w:tcW w:w="492" w:type="dxa"/>
            <w:tcBorders>
              <w:top w:val="doub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M</w:t>
            </w:r>
          </w:p>
          <w:p w:rsidR="00091FA6" w:rsidRPr="002E0C7E" w:rsidRDefault="00091FA6" w:rsidP="009D0C06">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W</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F</w:t>
            </w:r>
          </w:p>
          <w:p w:rsidR="00091FA6" w:rsidRPr="002E0C7E" w:rsidRDefault="00091FA6" w:rsidP="009D0C06">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73"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D</w:t>
            </w:r>
          </w:p>
        </w:tc>
        <w:tc>
          <w:tcPr>
            <w:tcW w:w="46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M</w:t>
            </w:r>
          </w:p>
          <w:p w:rsidR="00091FA6" w:rsidRPr="002E0C7E" w:rsidRDefault="00091FA6" w:rsidP="009D0C06">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W</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8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J</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F</w:t>
            </w:r>
          </w:p>
          <w:p w:rsidR="00091FA6" w:rsidRPr="002E0C7E" w:rsidRDefault="00091FA6" w:rsidP="009D0C06">
            <w:pPr>
              <w:widowControl w:val="0"/>
              <w:jc w:val="center"/>
              <w:rPr>
                <w:rFonts w:ascii="Arial" w:hAnsi="Arial"/>
                <w:sz w:val="14"/>
              </w:rPr>
            </w:pPr>
            <w:r w:rsidRPr="002E0C7E">
              <w:rPr>
                <w:rFonts w:ascii="Arial" w:hAnsi="Arial"/>
                <w:sz w:val="14"/>
              </w:rPr>
              <w:t>V</w:t>
            </w:r>
          </w:p>
        </w:tc>
        <w:tc>
          <w:tcPr>
            <w:tcW w:w="472"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S</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20"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D</w:t>
            </w:r>
          </w:p>
        </w:tc>
        <w:tc>
          <w:tcPr>
            <w:tcW w:w="48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M</w:t>
            </w:r>
          </w:p>
          <w:p w:rsidR="00091FA6" w:rsidRPr="002E0C7E" w:rsidRDefault="00091FA6" w:rsidP="009D0C06">
            <w:pPr>
              <w:widowControl w:val="0"/>
              <w:jc w:val="center"/>
              <w:rPr>
                <w:rFonts w:ascii="Arial" w:hAnsi="Arial"/>
                <w:sz w:val="14"/>
              </w:rPr>
            </w:pPr>
            <w:r w:rsidRPr="002E0C7E">
              <w:rPr>
                <w:rFonts w:ascii="Arial" w:hAnsi="Arial"/>
                <w:sz w:val="14"/>
              </w:rPr>
              <w:t>L</w:t>
            </w:r>
          </w:p>
        </w:tc>
        <w:tc>
          <w:tcPr>
            <w:tcW w:w="45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W</w:t>
            </w:r>
          </w:p>
          <w:p w:rsidR="00091FA6" w:rsidRPr="002E0C7E" w:rsidRDefault="00091FA6" w:rsidP="009D0C06">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T</w:t>
            </w:r>
          </w:p>
          <w:p w:rsidR="00091FA6" w:rsidRPr="002E0C7E" w:rsidRDefault="00091FA6" w:rsidP="009D0C06">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F</w:t>
            </w:r>
          </w:p>
          <w:p w:rsidR="00091FA6" w:rsidRPr="002E0C7E" w:rsidRDefault="00091FA6" w:rsidP="009D0C06">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sidRPr="002E0C7E">
              <w:rPr>
                <w:rFonts w:ascii="Arial" w:hAnsi="Arial"/>
                <w:sz w:val="14"/>
              </w:rPr>
              <w:t>s</w:t>
            </w:r>
          </w:p>
          <w:p w:rsidR="00091FA6" w:rsidRPr="002E0C7E" w:rsidRDefault="00091FA6" w:rsidP="009D0C06">
            <w:pPr>
              <w:widowControl w:val="0"/>
              <w:jc w:val="center"/>
              <w:rPr>
                <w:rFonts w:ascii="Arial" w:hAnsi="Arial"/>
                <w:sz w:val="14"/>
              </w:rPr>
            </w:pPr>
            <w:r w:rsidRPr="002E0C7E">
              <w:rPr>
                <w:rFonts w:ascii="Arial" w:hAnsi="Arial"/>
                <w:sz w:val="14"/>
              </w:rPr>
              <w:t>s</w:t>
            </w:r>
          </w:p>
        </w:tc>
      </w:tr>
      <w:tr w:rsidR="00091FA6" w:rsidRPr="002E0C7E" w:rsidTr="009D0C06">
        <w:trPr>
          <w:cantSplit/>
          <w:trHeight w:val="422"/>
          <w:jc w:val="center"/>
        </w:trPr>
        <w:tc>
          <w:tcPr>
            <w:tcW w:w="446"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92"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091FA6" w:rsidRPr="002453E3" w:rsidRDefault="00091FA6" w:rsidP="009D0C06">
            <w:pPr>
              <w:widowControl w:val="0"/>
              <w:jc w:val="center"/>
              <w:rPr>
                <w:rFonts w:ascii="Arial" w:hAnsi="Arial"/>
                <w:b/>
                <w:sz w:val="14"/>
              </w:rPr>
            </w:pPr>
            <w:r w:rsidRPr="002453E3">
              <w:rPr>
                <w:rFonts w:ascii="Arial" w:hAnsi="Arial"/>
                <w:b/>
                <w:sz w:val="14"/>
              </w:rPr>
              <w:t>H</w:t>
            </w:r>
          </w:p>
          <w:p w:rsidR="00091FA6" w:rsidRPr="002E0C7E" w:rsidRDefault="00091FA6" w:rsidP="009D0C06">
            <w:pPr>
              <w:widowControl w:val="0"/>
              <w:jc w:val="center"/>
              <w:rPr>
                <w:rFonts w:ascii="Arial" w:hAnsi="Arial"/>
                <w:sz w:val="14"/>
              </w:rPr>
            </w:pPr>
            <w:r>
              <w:rPr>
                <w:rFonts w:ascii="Arial" w:hAnsi="Arial"/>
                <w:sz w:val="14"/>
              </w:rPr>
              <w:t>1</w:t>
            </w: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b/>
                <w:sz w:val="14"/>
              </w:rPr>
            </w:pPr>
          </w:p>
          <w:p w:rsidR="00091FA6" w:rsidRPr="002E0C7E" w:rsidRDefault="00091FA6" w:rsidP="009D0C06">
            <w:pPr>
              <w:widowControl w:val="0"/>
              <w:jc w:val="center"/>
              <w:rPr>
                <w:rFonts w:ascii="Arial" w:hAnsi="Arial"/>
                <w:sz w:val="14"/>
              </w:rPr>
            </w:pPr>
            <w:r>
              <w:rPr>
                <w:rFonts w:ascii="Arial" w:hAnsi="Arial"/>
                <w:sz w:val="14"/>
              </w:rPr>
              <w:t>3</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4</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w:t>
            </w:r>
          </w:p>
        </w:tc>
      </w:tr>
      <w:tr w:rsidR="00091FA6" w:rsidRPr="002E0C7E" w:rsidTr="009D0C06">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7</w:t>
            </w:r>
          </w:p>
        </w:tc>
        <w:tc>
          <w:tcPr>
            <w:tcW w:w="492" w:type="dxa"/>
            <w:tcBorders>
              <w:top w:val="double" w:sz="6"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091FA6" w:rsidRPr="00710C8B" w:rsidRDefault="00091FA6" w:rsidP="009D0C06">
            <w:pPr>
              <w:widowControl w:val="0"/>
              <w:jc w:val="center"/>
              <w:rPr>
                <w:rFonts w:ascii="Arial" w:hAnsi="Arial"/>
                <w:b/>
                <w:sz w:val="14"/>
              </w:rPr>
            </w:pPr>
          </w:p>
          <w:p w:rsidR="00091FA6" w:rsidRPr="002E0C7E" w:rsidRDefault="00091FA6" w:rsidP="009D0C06">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5</w:t>
            </w:r>
          </w:p>
        </w:tc>
        <w:tc>
          <w:tcPr>
            <w:tcW w:w="466"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8</w:t>
            </w:r>
          </w:p>
        </w:tc>
        <w:tc>
          <w:tcPr>
            <w:tcW w:w="486"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9</w:t>
            </w:r>
          </w:p>
        </w:tc>
        <w:tc>
          <w:tcPr>
            <w:tcW w:w="45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0</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1</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w:t>
            </w:r>
          </w:p>
        </w:tc>
        <w:tc>
          <w:tcPr>
            <w:tcW w:w="480"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w:t>
            </w:r>
          </w:p>
        </w:tc>
        <w:tc>
          <w:tcPr>
            <w:tcW w:w="458"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8</w:t>
            </w:r>
          </w:p>
        </w:tc>
      </w:tr>
      <w:tr w:rsidR="00091FA6" w:rsidRPr="002E0C7E" w:rsidTr="009D0C06">
        <w:trPr>
          <w:cantSplit/>
          <w:jc w:val="center"/>
        </w:trPr>
        <w:tc>
          <w:tcPr>
            <w:tcW w:w="446"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14</w:t>
            </w:r>
          </w:p>
        </w:tc>
        <w:tc>
          <w:tcPr>
            <w:tcW w:w="492"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091FA6" w:rsidRPr="00DB5777" w:rsidRDefault="00091FA6" w:rsidP="009D0C06">
            <w:pPr>
              <w:widowControl w:val="0"/>
              <w:jc w:val="center"/>
              <w:rPr>
                <w:rFonts w:ascii="Arial" w:hAnsi="Arial"/>
                <w:b/>
                <w:sz w:val="14"/>
              </w:rPr>
            </w:pPr>
            <w:r w:rsidRPr="00DB5777">
              <w:rPr>
                <w:rFonts w:ascii="Arial" w:hAnsi="Arial"/>
                <w:b/>
                <w:sz w:val="14"/>
              </w:rPr>
              <w:t>M</w:t>
            </w: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2</w:t>
            </w:r>
          </w:p>
        </w:tc>
        <w:tc>
          <w:tcPr>
            <w:tcW w:w="466"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091FA6" w:rsidRPr="002453E3" w:rsidRDefault="00091FA6" w:rsidP="009D0C06">
            <w:pPr>
              <w:widowControl w:val="0"/>
              <w:jc w:val="center"/>
              <w:rPr>
                <w:rFonts w:ascii="Arial" w:hAnsi="Arial"/>
                <w:b/>
                <w:sz w:val="14"/>
              </w:rPr>
            </w:pPr>
            <w:r w:rsidRPr="002453E3">
              <w:rPr>
                <w:rFonts w:ascii="Arial" w:hAnsi="Arial"/>
                <w:b/>
                <w:sz w:val="14"/>
              </w:rPr>
              <w:t>M</w:t>
            </w: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5</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6</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7</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8</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9</w:t>
            </w:r>
          </w:p>
        </w:tc>
        <w:tc>
          <w:tcPr>
            <w:tcW w:w="480"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091FA6" w:rsidRPr="006A1E8D" w:rsidRDefault="00091FA6" w:rsidP="009D0C06">
            <w:pPr>
              <w:widowControl w:val="0"/>
              <w:jc w:val="center"/>
              <w:rPr>
                <w:rFonts w:ascii="Arial" w:hAnsi="Arial"/>
                <w:b/>
                <w:sz w:val="14"/>
              </w:rPr>
            </w:pPr>
            <w:r w:rsidRPr="006A1E8D">
              <w:rPr>
                <w:rFonts w:ascii="Arial" w:hAnsi="Arial"/>
                <w:b/>
                <w:sz w:val="14"/>
              </w:rPr>
              <w:t>M</w:t>
            </w: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0</w:t>
            </w:r>
          </w:p>
        </w:tc>
        <w:tc>
          <w:tcPr>
            <w:tcW w:w="458"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5</w:t>
            </w:r>
          </w:p>
        </w:tc>
      </w:tr>
      <w:tr w:rsidR="00091FA6" w:rsidRPr="002E0C7E" w:rsidTr="009D0C06">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21</w:t>
            </w:r>
          </w:p>
        </w:tc>
        <w:tc>
          <w:tcPr>
            <w:tcW w:w="492"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vAlign w:val="cente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double" w:sz="6"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19</w:t>
            </w:r>
          </w:p>
        </w:tc>
        <w:tc>
          <w:tcPr>
            <w:tcW w:w="466"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091FA6" w:rsidRPr="002453E3" w:rsidRDefault="00091FA6" w:rsidP="009D0C06">
            <w:pPr>
              <w:widowControl w:val="0"/>
              <w:jc w:val="center"/>
              <w:rPr>
                <w:rFonts w:ascii="Arial" w:hAnsi="Arial"/>
                <w:b/>
                <w:sz w:val="14"/>
              </w:rPr>
            </w:pPr>
            <w:r>
              <w:rPr>
                <w:rFonts w:ascii="Arial" w:hAnsi="Arial"/>
                <w:b/>
                <w:sz w:val="14"/>
              </w:rPr>
              <w:t>H</w:t>
            </w: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2</w:t>
            </w:r>
          </w:p>
        </w:tc>
        <w:tc>
          <w:tcPr>
            <w:tcW w:w="486"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3</w:t>
            </w:r>
          </w:p>
        </w:tc>
        <w:tc>
          <w:tcPr>
            <w:tcW w:w="45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4</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5</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6</w:t>
            </w:r>
          </w:p>
        </w:tc>
        <w:tc>
          <w:tcPr>
            <w:tcW w:w="480"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7</w:t>
            </w:r>
          </w:p>
        </w:tc>
        <w:tc>
          <w:tcPr>
            <w:tcW w:w="458"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1</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2</w:t>
            </w:r>
          </w:p>
        </w:tc>
      </w:tr>
      <w:tr w:rsidR="00091FA6" w:rsidRPr="002E0C7E" w:rsidTr="009D0C06">
        <w:trPr>
          <w:cantSplit/>
          <w:jc w:val="center"/>
        </w:trPr>
        <w:tc>
          <w:tcPr>
            <w:tcW w:w="446"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28</w:t>
            </w:r>
          </w:p>
        </w:tc>
        <w:tc>
          <w:tcPr>
            <w:tcW w:w="49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73"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6</w:t>
            </w:r>
          </w:p>
        </w:tc>
        <w:tc>
          <w:tcPr>
            <w:tcW w:w="466" w:type="dxa"/>
            <w:tcBorders>
              <w:top w:val="double" w:sz="6"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29</w:t>
            </w: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3</w:t>
            </w:r>
            <w:r>
              <w:rPr>
                <w:rFonts w:ascii="Arial" w:hAnsi="Arial"/>
                <w:sz w:val="14"/>
              </w:rPr>
              <w:t>0</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31</w:t>
            </w:r>
          </w:p>
        </w:tc>
        <w:tc>
          <w:tcPr>
            <w:tcW w:w="472"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tc>
        <w:tc>
          <w:tcPr>
            <w:tcW w:w="420"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r>
              <w:rPr>
                <w:rFonts w:ascii="Arial" w:hAnsi="Arial"/>
                <w:sz w:val="14"/>
              </w:rPr>
              <w:t>23</w:t>
            </w:r>
          </w:p>
          <w:p w:rsidR="00091FA6" w:rsidRPr="002E0C7E" w:rsidRDefault="00091FA6" w:rsidP="009D0C06">
            <w:pPr>
              <w:widowControl w:val="0"/>
              <w:jc w:val="center"/>
              <w:rPr>
                <w:rFonts w:ascii="Arial" w:hAnsi="Arial"/>
                <w:sz w:val="14"/>
              </w:rPr>
            </w:pPr>
            <w:r>
              <w:rPr>
                <w:rFonts w:ascii="Arial" w:hAnsi="Arial"/>
                <w:sz w:val="14"/>
              </w:rPr>
              <w:t xml:space="preserve">  30</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4</w:t>
            </w:r>
          </w:p>
        </w:tc>
        <w:tc>
          <w:tcPr>
            <w:tcW w:w="45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sidRPr="002E0C7E">
              <w:rPr>
                <w:rFonts w:ascii="Arial" w:hAnsi="Arial"/>
                <w:sz w:val="14"/>
              </w:rPr>
              <w:t>2</w:t>
            </w:r>
            <w:r>
              <w:rPr>
                <w:rFonts w:ascii="Arial" w:hAnsi="Arial"/>
                <w:sz w:val="14"/>
              </w:rPr>
              <w:t>8</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091FA6" w:rsidRPr="002E0C7E" w:rsidRDefault="00091FA6" w:rsidP="009D0C06">
            <w:pPr>
              <w:widowControl w:val="0"/>
              <w:jc w:val="center"/>
              <w:rPr>
                <w:rFonts w:ascii="Arial" w:hAnsi="Arial"/>
                <w:sz w:val="14"/>
              </w:rPr>
            </w:pPr>
          </w:p>
          <w:p w:rsidR="00091FA6" w:rsidRPr="002E0C7E" w:rsidRDefault="00091FA6" w:rsidP="009D0C06">
            <w:pPr>
              <w:widowControl w:val="0"/>
              <w:jc w:val="center"/>
              <w:rPr>
                <w:rFonts w:ascii="Arial" w:hAnsi="Arial"/>
                <w:sz w:val="14"/>
              </w:rPr>
            </w:pPr>
            <w:r>
              <w:rPr>
                <w:rFonts w:ascii="Arial" w:hAnsi="Arial"/>
                <w:sz w:val="14"/>
              </w:rPr>
              <w:t>29</w:t>
            </w:r>
          </w:p>
        </w:tc>
      </w:tr>
    </w:tbl>
    <w:p w:rsidR="00091FA6" w:rsidRPr="002E0C7E" w:rsidRDefault="00091FA6" w:rsidP="00091FA6">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tblPr>
      <w:tblGrid>
        <w:gridCol w:w="1710"/>
        <w:gridCol w:w="540"/>
        <w:gridCol w:w="8370"/>
      </w:tblGrid>
      <w:tr w:rsidR="00091FA6" w:rsidRPr="002E0C7E" w:rsidTr="009D0C06">
        <w:trPr>
          <w:cantSplit/>
        </w:trPr>
        <w:tc>
          <w:tcPr>
            <w:tcW w:w="1710" w:type="dxa"/>
            <w:tcBorders>
              <w:top w:val="nil"/>
              <w:left w:val="nil"/>
              <w:bottom w:val="nil"/>
              <w:right w:val="nil"/>
            </w:tcBorders>
            <w:tcMar>
              <w:top w:w="43" w:type="dxa"/>
              <w:left w:w="120" w:type="dxa"/>
              <w:bottom w:w="29" w:type="dxa"/>
              <w:right w:w="120" w:type="dxa"/>
            </w:tcMar>
          </w:tcPr>
          <w:p w:rsidR="00091FA6" w:rsidRPr="002E0C7E" w:rsidRDefault="00091FA6" w:rsidP="009D0C06">
            <w:pPr>
              <w:widowControl w:val="0"/>
              <w:rPr>
                <w:rFonts w:ascii="Arial" w:hAnsi="Arial"/>
                <w:sz w:val="16"/>
              </w:rPr>
            </w:pPr>
            <w:r w:rsidRPr="002E0C7E">
              <w:rPr>
                <w:rFonts w:ascii="Arial" w:hAnsi="Arial"/>
                <w:sz w:val="16"/>
              </w:rPr>
              <w:t>Sittings of the court:</w:t>
            </w:r>
          </w:p>
          <w:p w:rsidR="00091FA6" w:rsidRPr="002E0C7E" w:rsidRDefault="00091FA6" w:rsidP="009D0C06">
            <w:pPr>
              <w:widowControl w:val="0"/>
              <w:rPr>
                <w:rFonts w:ascii="Arial" w:hAnsi="Arial"/>
                <w:sz w:val="16"/>
              </w:rPr>
            </w:pPr>
            <w:r w:rsidRPr="002E0C7E">
              <w:rPr>
                <w:rFonts w:ascii="Arial" w:hAnsi="Arial"/>
                <w:sz w:val="16"/>
              </w:rPr>
              <w:t>Séances de la cour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091FA6" w:rsidRPr="002E0C7E" w:rsidRDefault="00091FA6" w:rsidP="009D0C06">
            <w:pPr>
              <w:widowControl w:val="0"/>
              <w:rPr>
                <w:rFonts w:ascii="Arial" w:hAnsi="Arial"/>
                <w:sz w:val="16"/>
              </w:rPr>
            </w:pPr>
          </w:p>
          <w:p w:rsidR="00091FA6" w:rsidRPr="002E0C7E" w:rsidRDefault="00091FA6" w:rsidP="009D0C06">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091FA6" w:rsidRPr="00B058C3"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18  sitting weeks/semaines séances de la cour</w:t>
            </w:r>
          </w:p>
          <w:p w:rsidR="00091FA6" w:rsidRPr="00B058C3"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87  sitting days/journées séances de la cour</w:t>
            </w:r>
          </w:p>
          <w:p w:rsidR="00091FA6" w:rsidRPr="00B058C3"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9    motion and conference days/ journées des requêtes et des conférences</w:t>
            </w:r>
          </w:p>
          <w:p w:rsidR="00091FA6" w:rsidRPr="002E0C7E"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sidRPr="002E0C7E">
              <w:rPr>
                <w:rFonts w:ascii="Arial" w:hAnsi="Arial"/>
                <w:b/>
                <w:sz w:val="16"/>
              </w:rPr>
              <w:t>3    holidays during sitting days/ jours fériés durant les sessions</w:t>
            </w:r>
          </w:p>
          <w:p w:rsidR="00091FA6" w:rsidRPr="002E0C7E"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091FA6" w:rsidRPr="002E0C7E" w:rsidTr="009D0C06">
        <w:trPr>
          <w:cantSplit/>
        </w:trPr>
        <w:tc>
          <w:tcPr>
            <w:tcW w:w="1710" w:type="dxa"/>
            <w:tcBorders>
              <w:top w:val="nil"/>
              <w:left w:val="nil"/>
              <w:bottom w:val="nil"/>
              <w:right w:val="double" w:sz="8" w:space="0" w:color="000000"/>
            </w:tcBorders>
            <w:tcMar>
              <w:top w:w="43" w:type="dxa"/>
              <w:left w:w="120" w:type="dxa"/>
              <w:bottom w:w="29" w:type="dxa"/>
              <w:right w:w="120" w:type="dxa"/>
            </w:tcMar>
          </w:tcPr>
          <w:p w:rsidR="00091FA6" w:rsidRPr="002E0C7E"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091FA6" w:rsidRPr="002E0C7E"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Requêtes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091FA6" w:rsidRPr="002E0C7E"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091FA6" w:rsidRPr="002E0C7E"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091FA6" w:rsidRPr="002E0C7E" w:rsidTr="009D0C06">
        <w:trPr>
          <w:cantSplit/>
        </w:trPr>
        <w:tc>
          <w:tcPr>
            <w:tcW w:w="1710" w:type="dxa"/>
            <w:tcBorders>
              <w:top w:val="nil"/>
              <w:left w:val="nil"/>
              <w:bottom w:val="nil"/>
              <w:right w:val="double" w:sz="8" w:space="0" w:color="000000"/>
            </w:tcBorders>
            <w:tcMar>
              <w:top w:w="43" w:type="dxa"/>
              <w:left w:w="120" w:type="dxa"/>
              <w:bottom w:w="29" w:type="dxa"/>
              <w:right w:w="120" w:type="dxa"/>
            </w:tcMar>
          </w:tcPr>
          <w:p w:rsidR="00091FA6" w:rsidRPr="002E0C7E"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091FA6" w:rsidRPr="002E0C7E"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091FA6" w:rsidRPr="002E0C7E" w:rsidRDefault="00091FA6" w:rsidP="009D0C06">
            <w:pPr>
              <w:widowControl w:val="0"/>
              <w:tabs>
                <w:tab w:val="center" w:pos="150"/>
              </w:tabs>
              <w:rPr>
                <w:rFonts w:ascii="Arial" w:hAnsi="Arial"/>
                <w:sz w:val="16"/>
              </w:rPr>
            </w:pPr>
            <w:r w:rsidRPr="002E0C7E">
              <w:rPr>
                <w:rFonts w:ascii="Arial" w:hAnsi="Arial"/>
                <w:b/>
                <w:sz w:val="16"/>
              </w:rPr>
              <w:tab/>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091FA6" w:rsidRPr="002E0C7E" w:rsidRDefault="00091FA6" w:rsidP="009D0C0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091FA6" w:rsidRPr="002E0C7E" w:rsidRDefault="00091FA6" w:rsidP="00091FA6">
      <w:pPr>
        <w:widowControl w:val="0"/>
        <w:rPr>
          <w:rFonts w:ascii="Arial" w:hAnsi="Arial"/>
          <w:sz w:val="16"/>
        </w:rPr>
      </w:pPr>
    </w:p>
    <w:p w:rsidR="002410B8" w:rsidRPr="0022323B" w:rsidRDefault="002410B8" w:rsidP="00E903A1">
      <w:pPr>
        <w:jc w:val="center"/>
        <w:rPr>
          <w:lang w:val="fr-CA"/>
        </w:rPr>
      </w:pPr>
    </w:p>
    <w:sectPr w:rsidR="002410B8" w:rsidRPr="0022323B" w:rsidSect="00924065">
      <w:headerReference w:type="default" r:id="rId65"/>
      <w:footerReference w:type="default" r:id="rId66"/>
      <w:pgSz w:w="12240" w:h="15840" w:code="1"/>
      <w:pgMar w:top="720" w:right="720" w:bottom="1110" w:left="1080" w:header="144"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D1F" w:rsidRDefault="00DC2D1F" w:rsidP="00A87207">
      <w:r>
        <w:separator/>
      </w:r>
    </w:p>
  </w:endnote>
  <w:endnote w:type="continuationSeparator" w:id="0">
    <w:p w:rsidR="00DC2D1F" w:rsidRDefault="00DC2D1F" w:rsidP="00A8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Footer"/>
      <w:rPr>
        <w:lang w:val="fr-CA"/>
      </w:rPr>
    </w:pPr>
    <w:r w:rsidRPr="00BF3B03">
      <w:rPr>
        <w:lang w:val="fr-CA"/>
      </w:rPr>
      <w:pict>
        <v:rect id="_x0000_i1087" style="width:480.95pt;height:1pt" o:hralign="center" o:hrstd="t" o:hrnoshade="t" o:hr="t" fillcolor="black [3213]" stroked="f"/>
      </w:pict>
    </w:r>
  </w:p>
  <w:p w:rsidR="00DC2D1F" w:rsidRDefault="00DC2D1F" w:rsidP="00245129">
    <w:pPr>
      <w:tabs>
        <w:tab w:val="center" w:pos="4680"/>
      </w:tabs>
    </w:pPr>
    <w:r>
      <w:tab/>
    </w:r>
    <w:r w:rsidRPr="0009648D">
      <w:t xml:space="preserve">- </w:t>
    </w:r>
    <w:fldSimple w:instr=" PAGE   \* MERGEFORMAT ">
      <w:r>
        <w:rPr>
          <w:noProof/>
        </w:rPr>
        <w:t>1681</w:t>
      </w:r>
    </w:fldSimple>
    <w:r w:rsidRPr="0009648D">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C2D1F" w:rsidRDefault="00DC2D1F">
    <w:pPr>
      <w:tabs>
        <w:tab w:val="center" w:pos="4740"/>
      </w:tabs>
    </w:pPr>
    <w:r>
      <w:tab/>
      <w:t xml:space="preserve">- </w:t>
    </w:r>
    <w:r>
      <w:pgNum/>
    </w:r>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755F22">
    <w:pPr>
      <w:tabs>
        <w:tab w:val="left" w:pos="-1440"/>
        <w:tab w:val="left" w:pos="-720"/>
      </w:tabs>
    </w:pPr>
    <w:r>
      <w:pict>
        <v:rect id="_x0000_i1091" style="width:480.95pt;height:1pt" o:hralign="center" o:hrstd="t" o:hrnoshade="t" o:hr="t" fillcolor="black [3213]" stroked="f"/>
      </w:pict>
    </w:r>
  </w:p>
  <w:p w:rsidR="00DC2D1F" w:rsidRDefault="00DC2D1F" w:rsidP="00EB2B90">
    <w:pPr>
      <w:tabs>
        <w:tab w:val="center" w:pos="4680"/>
      </w:tabs>
    </w:pPr>
    <w:r>
      <w:tab/>
      <w:t xml:space="preserve">- </w:t>
    </w:r>
    <w:fldSimple w:instr=" PAGE   \* MERGEFORMAT ">
      <w:r>
        <w:rPr>
          <w:noProof/>
        </w:rPr>
        <w:t>1724</w:t>
      </w:r>
    </w:fldSimple>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EB2B90">
    <w:pPr>
      <w:tabs>
        <w:tab w:val="center" w:pos="4680"/>
      </w:tabs>
    </w:pPr>
    <w:r>
      <w:pict>
        <v:rect id="_x0000_i1092" style="width:480.95pt;height:1pt" o:hralign="center" o:hrstd="t" o:hrnoshade="t" o:hr="t" fillcolor="black [3213]" stroked="f"/>
      </w:pict>
    </w:r>
  </w:p>
  <w:p w:rsidR="00DC2D1F" w:rsidRPr="0031432F" w:rsidRDefault="00DC2D1F" w:rsidP="00EB2B90">
    <w:pPr>
      <w:tabs>
        <w:tab w:val="center" w:pos="4680"/>
      </w:tabs>
    </w:pPr>
    <w:r>
      <w:tab/>
      <w:t xml:space="preserve">- </w:t>
    </w:r>
    <w:fldSimple w:instr=" PAGE   \* MERGEFORMAT ">
      <w:r>
        <w:rPr>
          <w:noProof/>
        </w:rPr>
        <w:t>1722</w:t>
      </w:r>
    </w:fldSimple>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C2D1F" w:rsidRDefault="00DC2D1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C2D1F" w:rsidRDefault="00DC2D1F">
    <w:pPr>
      <w:widowControl w:val="0"/>
      <w:tabs>
        <w:tab w:val="center" w:pos="4740"/>
      </w:tabs>
    </w:pPr>
    <w:r>
      <w:tab/>
      <w:t xml:space="preserve">- </w:t>
    </w:r>
    <w:r>
      <w:pgNum/>
    </w:r>
    <w: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F3B03">
      <w:rPr>
        <w:lang w:val="fr-CA"/>
      </w:rPr>
      <w:pict>
        <v:rect id="_x0000_i1094" style="width:480.95pt;height:1pt" o:hralign="center" o:hrstd="t" o:hrnoshade="t" o:hr="t" fillcolor="black [3213]" stroked="f"/>
      </w:pict>
    </w:r>
  </w:p>
  <w:p w:rsidR="00DC2D1F" w:rsidRDefault="00DC2D1F" w:rsidP="00697C62">
    <w:pPr>
      <w:tabs>
        <w:tab w:val="center" w:pos="4680"/>
      </w:tabs>
    </w:pPr>
    <w:r>
      <w:tab/>
      <w:t xml:space="preserve">- </w:t>
    </w:r>
    <w:r w:rsidRPr="00B74FED">
      <w:rPr>
        <w:szCs w:val="24"/>
      </w:rPr>
      <w:fldChar w:fldCharType="begin"/>
    </w:r>
    <w:r w:rsidRPr="00B74FED">
      <w:rPr>
        <w:szCs w:val="24"/>
      </w:rPr>
      <w:instrText xml:space="preserve"> PAGE   \* MERGEFORMAT </w:instrText>
    </w:r>
    <w:r w:rsidRPr="00B74FED">
      <w:rPr>
        <w:szCs w:val="24"/>
      </w:rPr>
      <w:fldChar w:fldCharType="separate"/>
    </w:r>
    <w:r>
      <w:rPr>
        <w:noProof/>
        <w:szCs w:val="24"/>
      </w:rPr>
      <w:t>1710</w:t>
    </w:r>
    <w:r w:rsidRPr="00B74FED">
      <w:rPr>
        <w:szCs w:val="24"/>
      </w:rPr>
      <w:fldChar w:fldCharType="end"/>
    </w:r>
    <w: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802863">
    <w:pPr>
      <w:widowControl w:val="0"/>
      <w:tabs>
        <w:tab w:val="left" w:pos="-1440"/>
        <w:tab w:val="left" w:pos="-720"/>
      </w:tabs>
    </w:pPr>
    <w:r w:rsidRPr="00BF3B03">
      <w:rPr>
        <w:lang w:val="fr-CA"/>
      </w:rPr>
      <w:pict>
        <v:rect id="_x0000_i1095" style="width:480.95pt;height:1pt" o:hralign="center" o:hrstd="t" o:hrnoshade="t" o:hr="t" fillcolor="black [3213]" stroked="f"/>
      </w:pict>
    </w:r>
  </w:p>
  <w:p w:rsidR="00DC2D1F" w:rsidRPr="00180897" w:rsidRDefault="00DC2D1F" w:rsidP="00697C62">
    <w:pPr>
      <w:tabs>
        <w:tab w:val="center" w:pos="4680"/>
      </w:tabs>
    </w:pPr>
    <w:r>
      <w:tab/>
      <w:t xml:space="preserve">- </w:t>
    </w:r>
    <w:r w:rsidRPr="00B74FED">
      <w:rPr>
        <w:szCs w:val="24"/>
      </w:rPr>
      <w:fldChar w:fldCharType="begin"/>
    </w:r>
    <w:r w:rsidRPr="00B74FED">
      <w:rPr>
        <w:szCs w:val="24"/>
      </w:rPr>
      <w:instrText xml:space="preserve"> PAGE   \* MERGEFORMAT </w:instrText>
    </w:r>
    <w:r w:rsidRPr="00B74FED">
      <w:rPr>
        <w:szCs w:val="24"/>
      </w:rPr>
      <w:fldChar w:fldCharType="separate"/>
    </w:r>
    <w:r>
      <w:rPr>
        <w:noProof/>
        <w:szCs w:val="24"/>
      </w:rPr>
      <w:t>1725</w:t>
    </w:r>
    <w:r w:rsidRPr="00B74FED">
      <w:rPr>
        <w:szCs w:val="24"/>
      </w:rPr>
      <w:fldChar w:fldCharType="end"/>
    </w:r>
    <w: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C2D1F" w:rsidRDefault="00DC2D1F">
    <w:pPr>
      <w:tabs>
        <w:tab w:val="center" w:pos="4740"/>
      </w:tabs>
    </w:pPr>
    <w:r>
      <w:tab/>
      <w:t xml:space="preserve">- </w:t>
    </w:r>
    <w:r>
      <w:pgNum/>
    </w:r>
    <w: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732DB7">
    <w:r>
      <w:pict>
        <v:rect id="_x0000_i1099" style="width:480.95pt;height:1pt" o:hralign="center" o:hrstd="t" o:hrnoshade="t" o:hr="t" fillcolor="black" stroked="f"/>
      </w:pict>
    </w:r>
  </w:p>
  <w:p w:rsidR="00DC2D1F" w:rsidRDefault="00DC2D1F">
    <w:pPr>
      <w:tabs>
        <w:tab w:val="center" w:pos="4740"/>
      </w:tabs>
      <w:spacing w:line="0" w:lineRule="atLeast"/>
    </w:pPr>
    <w:r>
      <w:tab/>
      <w:t xml:space="preserve">- </w:t>
    </w:r>
    <w:r>
      <w:pgNum/>
    </w:r>
    <w: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Footer"/>
    </w:pPr>
    <w:r>
      <w:pict>
        <v:rect id="_x0000_i1100" style="width:480.95pt;height:1pt" o:hralign="center" o:hrstd="t" o:hrnoshade="t" o:hr="t" fillcolor="black" stroked="f"/>
      </w:pict>
    </w:r>
  </w:p>
  <w:p w:rsidR="00DC2D1F" w:rsidRPr="00283C52" w:rsidRDefault="00DC2D1F">
    <w:pPr>
      <w:pStyle w:val="Footer"/>
    </w:pPr>
    <w:r>
      <w:tab/>
    </w:r>
    <w:r w:rsidRPr="00283C52">
      <w:t xml:space="preserve">- </w:t>
    </w:r>
    <w:r w:rsidRPr="00283C52">
      <w:pgNum/>
    </w:r>
    <w:r w:rsidRPr="00283C52">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C2D1F" w:rsidRDefault="00DC2D1F">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732DB7">
    <w:r>
      <w:pict>
        <v:rect id="_x0000_i1104" style="width:480.95pt;height:1pt" o:hralign="center" o:hrstd="t" o:hrnoshade="t" o:hr="t" fillcolor="black" stroked="f"/>
      </w:pict>
    </w:r>
  </w:p>
  <w:p w:rsidR="00DC2D1F" w:rsidRDefault="00DC2D1F">
    <w:pPr>
      <w:tabs>
        <w:tab w:val="center" w:pos="4740"/>
      </w:tabs>
      <w:spacing w:line="0" w:lineRule="atLeast"/>
    </w:pPr>
    <w:r>
      <w:tab/>
      <w:t xml:space="preserve">- </w:t>
    </w:r>
    <w:r>
      <w:pgNum/>
    </w:r>
    <w: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Footer"/>
    </w:pPr>
    <w:r>
      <w:pict>
        <v:rect id="_x0000_i1105" style="width:480.95pt;height:1pt" o:hralign="center" o:hrstd="t" o:hrnoshade="t" o:hr="t" fillcolor="black [3213]" stroked="f"/>
      </w:pict>
    </w:r>
  </w:p>
  <w:p w:rsidR="00DC2D1F" w:rsidRPr="003C2C0F" w:rsidRDefault="00DC2D1F" w:rsidP="00697C62">
    <w:pPr>
      <w:tabs>
        <w:tab w:val="center" w:pos="4680"/>
      </w:tabs>
    </w:pPr>
    <w:r>
      <w:tab/>
      <w:t xml:space="preserve">- </w:t>
    </w:r>
    <w:fldSimple w:instr=" PAGE   \* MERGEFORMAT ">
      <w:r>
        <w:rPr>
          <w:noProof/>
        </w:rPr>
        <w:t>1728</w:t>
      </w:r>
    </w:fldSimple>
    <w: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C2D1F" w:rsidRDefault="00DC2D1F">
    <w:pPr>
      <w:tabs>
        <w:tab w:val="center" w:pos="4740"/>
      </w:tabs>
    </w:pPr>
    <w:r>
      <w:tab/>
      <w:t xml:space="preserve">- </w:t>
    </w:r>
    <w:r>
      <w:pgNum/>
    </w:r>
    <w: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112" style="width:480.95pt;height:1pt" o:hralign="center" o:hrstd="t" o:hrnoshade="t" o:hr="t" fillcolor="black [3213]" stroked="f"/>
      </w:pict>
    </w:r>
  </w:p>
  <w:p w:rsidR="00DC2D1F" w:rsidRDefault="00DC2D1F"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1747</w:t>
    </w:r>
    <w:r w:rsidRPr="001775C1">
      <w:rPr>
        <w:szCs w:val="24"/>
      </w:rPr>
      <w:fldChar w:fldCharType="end"/>
    </w:r>
    <w:r>
      <w:t xml:space="preserve"> -</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782AE4">
    <w:pPr>
      <w:tabs>
        <w:tab w:val="center" w:pos="4680"/>
      </w:tabs>
    </w:pPr>
    <w:r>
      <w:pict>
        <v:rect id="_x0000_i1113" style="width:480.95pt;height:1pt" o:hralign="center" o:hrstd="t" o:hrnoshade="t" o:hr="t" fillcolor="black [3213]" stroked="f"/>
      </w:pict>
    </w:r>
  </w:p>
  <w:p w:rsidR="00DC2D1F" w:rsidRDefault="00DC2D1F"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Pr>
        <w:noProof/>
        <w:szCs w:val="24"/>
      </w:rPr>
      <w:t>1730</w:t>
    </w:r>
    <w:r w:rsidRPr="001775C1">
      <w:rPr>
        <w:szCs w:val="24"/>
      </w:rPr>
      <w:fldChar w:fldCharType="end"/>
    </w:r>
    <w:r>
      <w:t xml:space="preserve"> -</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Pr="00924065" w:rsidRDefault="00DC2D1F" w:rsidP="00924065">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A87207">
    <w:pPr>
      <w:pStyle w:val="Footer"/>
    </w:pPr>
    <w:r>
      <w:pict>
        <v:rect id="_x0000_i1037" style="width:480.95pt;height:1pt" o:hralign="center" o:hrstd="t" o:hrnoshade="t" o:hr="t" fillcolor="black [3213]" stroked="f"/>
      </w:pict>
    </w:r>
  </w:p>
  <w:p w:rsidR="00DC2D1F" w:rsidRPr="00B7374B" w:rsidRDefault="00DC2D1F"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7F7AE8">
      <w:rPr>
        <w:noProof/>
        <w:szCs w:val="24"/>
      </w:rPr>
      <w:t>1679</w:t>
    </w:r>
    <w:r w:rsidRPr="00954D22">
      <w:rPr>
        <w:szCs w:val="24"/>
      </w:rPr>
      <w:fldChar w:fldCharType="end"/>
    </w:r>
    <w:r w:rsidRPr="00954D22">
      <w:rPr>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755F22">
    <w:pPr>
      <w:tabs>
        <w:tab w:val="left" w:pos="-1440"/>
        <w:tab w:val="left" w:pos="-720"/>
      </w:tabs>
    </w:pPr>
    <w:r>
      <w:pict>
        <v:rect id="_x0000_i1038" style="width:480.95pt;height:1pt" o:hralign="center" o:hrstd="t" o:hrnoshade="t" o:hr="t" fillcolor="black [3213]" stroked="f"/>
      </w:pict>
    </w:r>
  </w:p>
  <w:p w:rsidR="00DC2D1F" w:rsidRPr="00954D22" w:rsidRDefault="00DC2D1F"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7F7AE8">
      <w:rPr>
        <w:noProof/>
        <w:szCs w:val="24"/>
      </w:rPr>
      <w:t>1678</w:t>
    </w:r>
    <w:r>
      <w:rPr>
        <w:szCs w:val="24"/>
      </w:rPr>
      <w:fldChar w:fldCharType="end"/>
    </w:r>
    <w:r w:rsidRPr="00954D22">
      <w:rPr>
        <w:szCs w:val="24"/>
      </w:rPr>
      <w:t xml:space="preserve"> -</w:t>
    </w:r>
  </w:p>
  <w:p w:rsidR="00DC2D1F" w:rsidRDefault="00DC2D1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A87207">
    <w:pPr>
      <w:pStyle w:val="Footer"/>
    </w:pPr>
    <w:r>
      <w:pict>
        <v:rect id="_x0000_i1040" style="width:480.95pt;height:1pt" o:hralign="center" o:hrstd="t" o:hrnoshade="t" o:hr="t" fillcolor="black [3213]" stroked="f"/>
      </w:pict>
    </w:r>
  </w:p>
  <w:p w:rsidR="00DC2D1F" w:rsidRPr="00B7374B" w:rsidRDefault="00DC2D1F"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1681</w:t>
    </w:r>
    <w:r w:rsidRPr="00954D22">
      <w:rPr>
        <w:szCs w:val="24"/>
      </w:rPr>
      <w:fldChar w:fldCharType="end"/>
    </w:r>
    <w:r>
      <w:rPr>
        <w:szCs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41" style="width:480.95pt;height:1pt" o:hralign="center" o:hrstd="t" o:hrnoshade="t" o:hr="t" fillcolor="black [3213]" stroked="f"/>
      </w:pict>
    </w:r>
  </w:p>
  <w:p w:rsidR="00DC2D1F" w:rsidRPr="00954D22" w:rsidRDefault="00DC2D1F"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1680</w:t>
    </w:r>
    <w:r w:rsidRPr="00954D22">
      <w:rPr>
        <w:szCs w:val="24"/>
      </w:rPr>
      <w:fldChar w:fldCharType="end"/>
    </w:r>
    <w:r w:rsidRPr="00954D22">
      <w:rPr>
        <w:szCs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C2D1F" w:rsidRDefault="00DC2D1F">
    <w:pPr>
      <w:tabs>
        <w:tab w:val="center" w:pos="4740"/>
      </w:tabs>
    </w:pPr>
    <w:r>
      <w:tab/>
      <w:t xml:space="preserve">- </w:t>
    </w:r>
    <w:r>
      <w:pgNum/>
    </w: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BF3B03">
      <w:rPr>
        <w:lang w:val="fr-CA"/>
      </w:rPr>
      <w:pict>
        <v:rect id="_x0000_i1086" style="width:480.95pt;height:1pt" o:hralign="center" o:hrstd="t" o:hrnoshade="t" o:hr="t" fillcolor="black [3213]" stroked="f"/>
      </w:pict>
    </w:r>
  </w:p>
  <w:p w:rsidR="00DC2D1F" w:rsidRPr="0009648D" w:rsidRDefault="00DC2D1F" w:rsidP="00ED7E83">
    <w:pPr>
      <w:tabs>
        <w:tab w:val="center" w:pos="4680"/>
      </w:tabs>
    </w:pPr>
    <w:r>
      <w:tab/>
    </w:r>
    <w:r w:rsidRPr="0009648D">
      <w:t xml:space="preserve">- </w:t>
    </w:r>
    <w:fldSimple w:instr=" PAGE   \* MERGEFORMAT ">
      <w:r>
        <w:rPr>
          <w:noProof/>
        </w:rPr>
        <w:t>1721</w:t>
      </w:r>
    </w:fldSimple>
    <w:r w:rsidRPr="0009648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D1F" w:rsidRDefault="00DC2D1F" w:rsidP="00A87207">
      <w:r>
        <w:separator/>
      </w:r>
    </w:p>
  </w:footnote>
  <w:footnote w:type="continuationSeparator" w:id="0">
    <w:p w:rsidR="00DC2D1F" w:rsidRDefault="00DC2D1F" w:rsidP="00A87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DC2D1F">
      <w:tc>
        <w:tcPr>
          <w:tcW w:w="4230" w:type="dxa"/>
          <w:tcMar>
            <w:left w:w="0" w:type="dxa"/>
            <w:right w:w="0" w:type="dxa"/>
          </w:tcMar>
        </w:tcPr>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DC2D1F" w:rsidRDefault="00DC2D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C2D1F" w:rsidRDefault="00DC2D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DC2D1F">
      <w:trPr>
        <w:gridAfter w:val="2"/>
        <w:wAfter w:w="5250" w:type="dxa"/>
      </w:trPr>
      <w:tc>
        <w:tcPr>
          <w:tcW w:w="4230" w:type="dxa"/>
          <w:tcMar>
            <w:left w:w="0" w:type="dxa"/>
            <w:right w:w="0" w:type="dxa"/>
          </w:tcMar>
        </w:tcPr>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DC2D1F" w:rsidRPr="00755F22" w:rsidTr="00245129">
      <w:tc>
        <w:tcPr>
          <w:tcW w:w="4230" w:type="dxa"/>
          <w:tcMar>
            <w:left w:w="0" w:type="dxa"/>
            <w:right w:w="0" w:type="dxa"/>
          </w:tcMar>
        </w:tcPr>
        <w:p w:rsidR="00DC2D1F" w:rsidRPr="00755F22" w:rsidRDefault="00DC2D1F" w:rsidP="00831CA9">
          <w:pPr>
            <w:keepNext/>
            <w:keepLines/>
            <w:rPr>
              <w:sz w:val="20"/>
              <w:szCs w:val="20"/>
            </w:rPr>
          </w:pPr>
          <w:r w:rsidRPr="00755F22">
            <w:rPr>
              <w:sz w:val="20"/>
              <w:szCs w:val="20"/>
            </w:rPr>
            <w:t>MOTIONS</w:t>
          </w:r>
        </w:p>
      </w:tc>
      <w:tc>
        <w:tcPr>
          <w:tcW w:w="1170" w:type="dxa"/>
          <w:tcMar>
            <w:left w:w="0" w:type="dxa"/>
            <w:right w:w="0" w:type="dxa"/>
          </w:tcMar>
        </w:tcPr>
        <w:p w:rsidR="00DC2D1F" w:rsidRPr="00755F22" w:rsidRDefault="00DC2D1F" w:rsidP="00831CA9">
          <w:pPr>
            <w:keepLines/>
            <w:jc w:val="center"/>
            <w:rPr>
              <w:sz w:val="20"/>
              <w:szCs w:val="20"/>
            </w:rPr>
          </w:pPr>
        </w:p>
        <w:p w:rsidR="00DC2D1F" w:rsidRPr="00755F22" w:rsidRDefault="00DC2D1F" w:rsidP="00831CA9">
          <w:pPr>
            <w:keepLines/>
            <w:tabs>
              <w:tab w:val="left" w:pos="-1440"/>
              <w:tab w:val="left" w:pos="-720"/>
            </w:tabs>
            <w:jc w:val="center"/>
            <w:rPr>
              <w:sz w:val="20"/>
              <w:szCs w:val="20"/>
            </w:rPr>
          </w:pPr>
        </w:p>
      </w:tc>
      <w:tc>
        <w:tcPr>
          <w:tcW w:w="4080" w:type="dxa"/>
          <w:tcMar>
            <w:left w:w="0" w:type="dxa"/>
            <w:right w:w="0" w:type="dxa"/>
          </w:tcMar>
        </w:tcPr>
        <w:p w:rsidR="00DC2D1F" w:rsidRPr="00BA6468" w:rsidRDefault="00DC2D1F" w:rsidP="00BA6468">
          <w:pPr>
            <w:keepLines/>
            <w:rPr>
              <w:sz w:val="20"/>
              <w:szCs w:val="20"/>
              <w:lang w:val="fr-CA"/>
            </w:rPr>
          </w:pPr>
          <w:r w:rsidRPr="00BA6468">
            <w:rPr>
              <w:sz w:val="20"/>
              <w:szCs w:val="20"/>
              <w:lang w:val="fr-CA"/>
            </w:rPr>
            <w:t>REQUÊTES</w:t>
          </w:r>
        </w:p>
      </w:tc>
    </w:tr>
  </w:tbl>
  <w:p w:rsidR="00DC2D1F" w:rsidRDefault="00DC2D1F" w:rsidP="00831CA9">
    <w:pPr>
      <w:jc w:val="both"/>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DC2D1F" w:rsidRPr="00DC2D1F">
      <w:tc>
        <w:tcPr>
          <w:tcW w:w="4200" w:type="dxa"/>
          <w:tcMar>
            <w:left w:w="0" w:type="dxa"/>
            <w:right w:w="0" w:type="dxa"/>
          </w:tcMar>
        </w:tcPr>
        <w:p w:rsidR="00DC2D1F" w:rsidRDefault="00DC2D1F">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DISCONTINUANCE FILED SINCE LAST ISSUE</w:t>
          </w:r>
        </w:p>
        <w:p w:rsidR="00DC2D1F" w:rsidRDefault="00DC2D1F">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200" w:type="dxa"/>
          <w:tcMar>
            <w:left w:w="0" w:type="dxa"/>
            <w:right w:w="0" w:type="dxa"/>
          </w:tcMar>
        </w:tcPr>
        <w:p w:rsidR="00DC2D1F" w:rsidRDefault="00DC2D1F">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C2D1F" w:rsidRPr="009256DC" w:rsidRDefault="00DC2D1F">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9256DC">
            <w:rPr>
              <w:lang w:val="fr-CA"/>
            </w:rPr>
            <w:t>AVIS DE DÉSISTEMENT DÉPOSÉS DEPUIS LA DERNIÈRE PARUTION</w:t>
          </w:r>
        </w:p>
        <w:p w:rsidR="00DC2D1F" w:rsidRPr="009256DC" w:rsidRDefault="00DC2D1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DC2D1F" w:rsidRPr="009256DC" w:rsidRDefault="00DC2D1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rPr>
        <w:lang w:val="fr-CA"/>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C2D1F" w:rsidRPr="00DC2D1F" w:rsidTr="00245129">
      <w:tc>
        <w:tcPr>
          <w:tcW w:w="4200" w:type="dxa"/>
          <w:tcMar>
            <w:left w:w="0" w:type="dxa"/>
            <w:right w:w="0" w:type="dxa"/>
          </w:tcMar>
        </w:tcPr>
        <w:p w:rsidR="00DC2D1F" w:rsidRPr="00802863" w:rsidRDefault="00DC2D1F" w:rsidP="00697C6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02863">
            <w:rPr>
              <w:sz w:val="20"/>
              <w:szCs w:val="20"/>
            </w:rPr>
            <w:t>NOTICE OF DISCONTINUANCE FILED SINCE LAST ISSUE</w:t>
          </w:r>
        </w:p>
      </w:tc>
      <w:tc>
        <w:tcPr>
          <w:tcW w:w="1200" w:type="dxa"/>
          <w:tcMar>
            <w:left w:w="0" w:type="dxa"/>
            <w:right w:w="0" w:type="dxa"/>
          </w:tcMar>
        </w:tcPr>
        <w:p w:rsidR="00DC2D1F" w:rsidRPr="00802863" w:rsidRDefault="00DC2D1F" w:rsidP="00802863">
          <w:pPr>
            <w:keepNext/>
            <w:keepLines/>
            <w:widowControl w:val="0"/>
            <w:tabs>
              <w:tab w:val="left" w:pos="-1440"/>
              <w:tab w:val="left" w:pos="-720"/>
            </w:tabs>
            <w:jc w:val="center"/>
            <w:rPr>
              <w:sz w:val="20"/>
              <w:szCs w:val="20"/>
            </w:rPr>
          </w:pPr>
        </w:p>
        <w:p w:rsidR="00DC2D1F" w:rsidRPr="00802863" w:rsidRDefault="00DC2D1F" w:rsidP="00802863">
          <w:pPr>
            <w:keepNext/>
            <w:keepLines/>
            <w:widowControl w:val="0"/>
            <w:tabs>
              <w:tab w:val="left" w:pos="-1440"/>
              <w:tab w:val="left" w:pos="-720"/>
            </w:tabs>
            <w:jc w:val="center"/>
            <w:rPr>
              <w:sz w:val="20"/>
              <w:szCs w:val="20"/>
            </w:rPr>
          </w:pPr>
        </w:p>
        <w:p w:rsidR="00DC2D1F" w:rsidRPr="00802863" w:rsidRDefault="00DC2D1F" w:rsidP="00802863">
          <w:pPr>
            <w:keepNext/>
            <w:keepLines/>
            <w:widowControl w:val="0"/>
            <w:tabs>
              <w:tab w:val="left" w:pos="-1440"/>
              <w:tab w:val="left" w:pos="-720"/>
            </w:tabs>
            <w:jc w:val="center"/>
            <w:rPr>
              <w:sz w:val="20"/>
              <w:szCs w:val="20"/>
            </w:rPr>
          </w:pPr>
        </w:p>
      </w:tc>
      <w:tc>
        <w:tcPr>
          <w:tcW w:w="4080" w:type="dxa"/>
          <w:tcMar>
            <w:left w:w="0" w:type="dxa"/>
            <w:right w:w="0" w:type="dxa"/>
          </w:tcMar>
        </w:tcPr>
        <w:p w:rsidR="00DC2D1F" w:rsidRPr="00802863" w:rsidRDefault="00DC2D1F" w:rsidP="00697C62">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802863">
            <w:rPr>
              <w:sz w:val="20"/>
              <w:szCs w:val="20"/>
              <w:lang w:val="fr-CA"/>
            </w:rPr>
            <w:t>AVIS DE DÉSISTEMENT DÉPOSÉS DEPUIS LA DERNIÈRE PARUTION</w:t>
          </w:r>
        </w:p>
      </w:tc>
    </w:tr>
  </w:tbl>
  <w:p w:rsidR="00DC2D1F" w:rsidRPr="009256DC" w:rsidRDefault="00DC2D1F" w:rsidP="00697C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fr-CA"/>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DC2D1F" w:rsidRPr="00DC2D1F">
      <w:tc>
        <w:tcPr>
          <w:tcW w:w="4200" w:type="dxa"/>
          <w:tcMar>
            <w:left w:w="0" w:type="dxa"/>
            <w:right w:w="0" w:type="dxa"/>
          </w:tcMar>
        </w:tcPr>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C2D1F" w:rsidRPr="00283C52" w:rsidRDefault="00DC2D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DC2D1F" w:rsidRPr="00283C52"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DC2D1F" w:rsidRPr="00283C52"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C2D1F" w:rsidRPr="00DC2D1F" w:rsidTr="00245129">
      <w:tc>
        <w:tcPr>
          <w:tcW w:w="4200" w:type="dxa"/>
          <w:tcMar>
            <w:left w:w="0" w:type="dxa"/>
            <w:right w:w="0" w:type="dxa"/>
          </w:tcMar>
        </w:tcPr>
        <w:p w:rsidR="00DC2D1F" w:rsidRPr="00732DB7" w:rsidRDefault="00DC2D1F" w:rsidP="00732DB7">
          <w:pPr>
            <w:keepNext/>
            <w:keepLines/>
            <w:tabs>
              <w:tab w:val="left" w:pos="-1440"/>
              <w:tab w:val="left" w:pos="-720"/>
            </w:tabs>
            <w:rPr>
              <w:sz w:val="20"/>
              <w:szCs w:val="20"/>
            </w:rPr>
          </w:pPr>
          <w:r w:rsidRPr="00732DB7">
            <w:rPr>
              <w:sz w:val="20"/>
              <w:szCs w:val="20"/>
            </w:rPr>
            <w:t>APPEALS HEARD SINCE LAST ISSUE AND DISPOSITION</w:t>
          </w:r>
        </w:p>
      </w:tc>
      <w:tc>
        <w:tcPr>
          <w:tcW w:w="1200" w:type="dxa"/>
          <w:tcMar>
            <w:left w:w="0" w:type="dxa"/>
            <w:right w:w="0" w:type="dxa"/>
          </w:tcMar>
        </w:tcPr>
        <w:p w:rsidR="00DC2D1F" w:rsidRPr="00732DB7" w:rsidRDefault="00DC2D1F" w:rsidP="00732DB7">
          <w:pPr>
            <w:keepNext/>
            <w:keepLines/>
            <w:tabs>
              <w:tab w:val="left" w:pos="-1440"/>
              <w:tab w:val="left" w:pos="-720"/>
            </w:tabs>
            <w:jc w:val="center"/>
            <w:rPr>
              <w:sz w:val="20"/>
              <w:szCs w:val="20"/>
            </w:rPr>
          </w:pPr>
        </w:p>
        <w:p w:rsidR="00DC2D1F" w:rsidRPr="00732DB7" w:rsidRDefault="00DC2D1F" w:rsidP="00732DB7">
          <w:pPr>
            <w:keepNext/>
            <w:keepLines/>
            <w:tabs>
              <w:tab w:val="left" w:pos="-1440"/>
              <w:tab w:val="left" w:pos="-720"/>
            </w:tabs>
            <w:jc w:val="center"/>
            <w:rPr>
              <w:sz w:val="20"/>
              <w:szCs w:val="20"/>
            </w:rPr>
          </w:pPr>
        </w:p>
        <w:p w:rsidR="00DC2D1F" w:rsidRPr="00732DB7" w:rsidRDefault="00DC2D1F" w:rsidP="00732DB7">
          <w:pPr>
            <w:keepNext/>
            <w:keepLines/>
            <w:tabs>
              <w:tab w:val="left" w:pos="-1440"/>
              <w:tab w:val="left" w:pos="-720"/>
            </w:tabs>
            <w:jc w:val="center"/>
            <w:rPr>
              <w:sz w:val="20"/>
              <w:szCs w:val="20"/>
            </w:rPr>
          </w:pPr>
        </w:p>
      </w:tc>
      <w:tc>
        <w:tcPr>
          <w:tcW w:w="4080" w:type="dxa"/>
          <w:tcMar>
            <w:left w:w="0" w:type="dxa"/>
            <w:right w:w="0" w:type="dxa"/>
          </w:tcMar>
        </w:tcPr>
        <w:p w:rsidR="00DC2D1F" w:rsidRPr="00732DB7" w:rsidRDefault="00DC2D1F"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DC2D1F" w:rsidRPr="00283C52" w:rsidRDefault="00DC2D1F"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DC2D1F" w:rsidRPr="00DC2D1F">
      <w:tc>
        <w:tcPr>
          <w:tcW w:w="4200" w:type="dxa"/>
          <w:tcMar>
            <w:left w:w="0" w:type="dxa"/>
            <w:right w:w="0" w:type="dxa"/>
          </w:tcMar>
        </w:tcPr>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DC2D1F" w:rsidRPr="003C2C0F" w:rsidRDefault="00DC2D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DC2D1F" w:rsidRPr="003C2C0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DC2D1F" w:rsidRPr="003C2C0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C2D1F" w:rsidRPr="00DC2D1F" w:rsidTr="00245129">
      <w:tc>
        <w:tcPr>
          <w:tcW w:w="4200" w:type="dxa"/>
          <w:tcMar>
            <w:left w:w="0" w:type="dxa"/>
            <w:right w:w="0" w:type="dxa"/>
          </w:tcMar>
        </w:tcPr>
        <w:p w:rsidR="00DC2D1F" w:rsidRPr="00FF6EEC" w:rsidRDefault="00DC2D1F" w:rsidP="00FF6EEC">
          <w:pPr>
            <w:rPr>
              <w:sz w:val="20"/>
              <w:szCs w:val="20"/>
            </w:rPr>
          </w:pPr>
          <w:r w:rsidRPr="00FF6EEC">
            <w:rPr>
              <w:sz w:val="20"/>
              <w:szCs w:val="20"/>
            </w:rPr>
            <w:t>PRONOUNCEMENTS OF APPEALS RESERVED</w:t>
          </w:r>
        </w:p>
      </w:tc>
      <w:tc>
        <w:tcPr>
          <w:tcW w:w="1200" w:type="dxa"/>
          <w:tcMar>
            <w:left w:w="0" w:type="dxa"/>
            <w:right w:w="0" w:type="dxa"/>
          </w:tcMar>
        </w:tcPr>
        <w:p w:rsidR="00DC2D1F" w:rsidRPr="00FF6EEC" w:rsidRDefault="00DC2D1F" w:rsidP="00FF6EEC">
          <w:pPr>
            <w:jc w:val="center"/>
            <w:rPr>
              <w:sz w:val="20"/>
              <w:szCs w:val="20"/>
            </w:rPr>
          </w:pPr>
        </w:p>
        <w:p w:rsidR="00DC2D1F" w:rsidRPr="00FF6EEC" w:rsidRDefault="00DC2D1F" w:rsidP="00FF6EEC">
          <w:pPr>
            <w:jc w:val="center"/>
            <w:rPr>
              <w:sz w:val="20"/>
              <w:szCs w:val="20"/>
            </w:rPr>
          </w:pPr>
        </w:p>
        <w:p w:rsidR="00DC2D1F" w:rsidRPr="00FF6EEC" w:rsidRDefault="00DC2D1F" w:rsidP="00FF6EEC">
          <w:pPr>
            <w:jc w:val="center"/>
            <w:rPr>
              <w:sz w:val="20"/>
              <w:szCs w:val="20"/>
            </w:rPr>
          </w:pPr>
        </w:p>
      </w:tc>
      <w:tc>
        <w:tcPr>
          <w:tcW w:w="4080" w:type="dxa"/>
          <w:tcMar>
            <w:left w:w="0" w:type="dxa"/>
            <w:right w:w="0" w:type="dxa"/>
          </w:tcMar>
        </w:tcPr>
        <w:p w:rsidR="00DC2D1F" w:rsidRPr="00FF6EEC" w:rsidRDefault="00DC2D1F" w:rsidP="00FF6EEC">
          <w:pPr>
            <w:rPr>
              <w:sz w:val="20"/>
              <w:szCs w:val="20"/>
              <w:lang w:val="fr-CA"/>
            </w:rPr>
          </w:pPr>
          <w:r w:rsidRPr="00FF6EEC">
            <w:rPr>
              <w:sz w:val="20"/>
              <w:szCs w:val="20"/>
              <w:lang w:val="fr-CA"/>
            </w:rPr>
            <w:t>JUGEMENTS RENDUS SUR LES APPELS EN DÉLIBÉRÉ</w:t>
          </w:r>
        </w:p>
      </w:tc>
    </w:tr>
  </w:tbl>
  <w:p w:rsidR="00DC2D1F" w:rsidRPr="003C2C0F" w:rsidRDefault="00DC2D1F"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DC2D1F">
      <w:tc>
        <w:tcPr>
          <w:tcW w:w="4230" w:type="dxa"/>
          <w:tcMar>
            <w:left w:w="0" w:type="dxa"/>
            <w:right w:w="0" w:type="dxa"/>
          </w:tcMar>
        </w:tcPr>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DC2D1F" w:rsidRDefault="00DC2D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DC2D1F"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DC2D1F" w:rsidRPr="00782AE4" w:rsidTr="00245129">
      <w:tc>
        <w:tcPr>
          <w:tcW w:w="4230" w:type="dxa"/>
          <w:tcMar>
            <w:left w:w="0" w:type="dxa"/>
            <w:right w:w="0" w:type="dxa"/>
          </w:tcMar>
        </w:tcPr>
        <w:p w:rsidR="00DC2D1F" w:rsidRPr="00782AE4" w:rsidRDefault="00DC2D1F" w:rsidP="00102926">
          <w:pPr>
            <w:keepNext/>
            <w:keepLines/>
            <w:tabs>
              <w:tab w:val="left" w:pos="-1440"/>
              <w:tab w:val="left" w:pos="-720"/>
            </w:tabs>
            <w:rPr>
              <w:sz w:val="20"/>
              <w:szCs w:val="20"/>
            </w:rPr>
          </w:pPr>
          <w:r w:rsidRPr="00782AE4">
            <w:rPr>
              <w:sz w:val="20"/>
              <w:szCs w:val="20"/>
            </w:rPr>
            <w:t xml:space="preserve">HEADNOTES OF RECENT </w:t>
          </w:r>
        </w:p>
        <w:p w:rsidR="00DC2D1F" w:rsidRPr="00782AE4"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DC2D1F" w:rsidRDefault="00DC2D1F" w:rsidP="00102926">
          <w:pPr>
            <w:keepNext/>
            <w:keepLines/>
            <w:tabs>
              <w:tab w:val="left" w:pos="-1440"/>
              <w:tab w:val="left" w:pos="-720"/>
            </w:tabs>
            <w:jc w:val="center"/>
            <w:rPr>
              <w:sz w:val="20"/>
              <w:szCs w:val="20"/>
            </w:rPr>
          </w:pPr>
        </w:p>
        <w:p w:rsidR="00DC2D1F" w:rsidRDefault="00DC2D1F" w:rsidP="00102926">
          <w:pPr>
            <w:keepNext/>
            <w:keepLines/>
            <w:tabs>
              <w:tab w:val="left" w:pos="-1440"/>
              <w:tab w:val="left" w:pos="-720"/>
            </w:tabs>
            <w:jc w:val="center"/>
            <w:rPr>
              <w:sz w:val="20"/>
              <w:szCs w:val="20"/>
            </w:rPr>
          </w:pPr>
        </w:p>
        <w:p w:rsidR="00DC2D1F" w:rsidRPr="00782AE4" w:rsidRDefault="00DC2D1F" w:rsidP="00102926">
          <w:pPr>
            <w:keepNext/>
            <w:keepLines/>
            <w:tabs>
              <w:tab w:val="left" w:pos="-1440"/>
              <w:tab w:val="left" w:pos="-720"/>
            </w:tabs>
            <w:jc w:val="center"/>
            <w:rPr>
              <w:sz w:val="20"/>
              <w:szCs w:val="20"/>
            </w:rPr>
          </w:pPr>
        </w:p>
      </w:tc>
      <w:tc>
        <w:tcPr>
          <w:tcW w:w="4080" w:type="dxa"/>
          <w:tcMar>
            <w:left w:w="0" w:type="dxa"/>
            <w:right w:w="0" w:type="dxa"/>
          </w:tcMar>
        </w:tcPr>
        <w:p w:rsidR="00DC2D1F" w:rsidRPr="00102926"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DC2D1F" w:rsidRPr="00782AE4" w:rsidRDefault="00DC2D1F" w:rsidP="00102926">
          <w:pPr>
            <w:keepLines/>
            <w:tabs>
              <w:tab w:val="left" w:pos="-1440"/>
              <w:tab w:val="left" w:pos="-720"/>
            </w:tabs>
            <w:rPr>
              <w:sz w:val="20"/>
              <w:szCs w:val="20"/>
            </w:rPr>
          </w:pPr>
          <w:r w:rsidRPr="00102926">
            <w:rPr>
              <w:sz w:val="20"/>
              <w:szCs w:val="20"/>
              <w:lang w:val="fr-CA"/>
            </w:rPr>
            <w:t>RÉCENTS</w:t>
          </w:r>
        </w:p>
      </w:tc>
    </w:tr>
  </w:tbl>
  <w:p w:rsidR="00DC2D1F" w:rsidRDefault="00DC2D1F"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Ind w:w="-90" w:type="dxa"/>
      <w:tblBorders>
        <w:bottom w:val="single" w:sz="8" w:space="0" w:color="auto"/>
      </w:tblBorders>
      <w:tblLayout w:type="fixed"/>
      <w:tblCellMar>
        <w:left w:w="0" w:type="dxa"/>
        <w:right w:w="0" w:type="dxa"/>
      </w:tblCellMar>
      <w:tblLook w:val="0000"/>
    </w:tblPr>
    <w:tblGrid>
      <w:gridCol w:w="4290"/>
      <w:gridCol w:w="1200"/>
      <w:gridCol w:w="4320"/>
    </w:tblGrid>
    <w:tr w:rsidR="00DC2D1F" w:rsidRPr="0044776A" w:rsidTr="00245129">
      <w:tc>
        <w:tcPr>
          <w:tcW w:w="4290" w:type="dxa"/>
          <w:tcMar>
            <w:left w:w="0" w:type="dxa"/>
            <w:right w:w="0" w:type="dxa"/>
          </w:tcMar>
        </w:tcPr>
        <w:p w:rsidR="00DC2D1F" w:rsidRPr="0044776A" w:rsidRDefault="00DC2D1F"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DC2D1F" w:rsidRPr="0044776A" w:rsidRDefault="00DC2D1F" w:rsidP="002E2327">
          <w:pPr>
            <w:keepNext/>
            <w:keepLines/>
            <w:tabs>
              <w:tab w:val="left" w:pos="-1440"/>
              <w:tab w:val="left" w:pos="-720"/>
            </w:tabs>
            <w:jc w:val="center"/>
            <w:rPr>
              <w:sz w:val="20"/>
              <w:szCs w:val="20"/>
            </w:rPr>
          </w:pPr>
        </w:p>
        <w:p w:rsidR="00DC2D1F" w:rsidRPr="0044776A" w:rsidRDefault="00DC2D1F" w:rsidP="002E2327">
          <w:pPr>
            <w:keepNext/>
            <w:keepLines/>
            <w:tabs>
              <w:tab w:val="left" w:pos="-1440"/>
              <w:tab w:val="left" w:pos="-720"/>
            </w:tabs>
            <w:jc w:val="center"/>
            <w:rPr>
              <w:sz w:val="20"/>
              <w:szCs w:val="20"/>
            </w:rPr>
          </w:pPr>
        </w:p>
        <w:p w:rsidR="00DC2D1F" w:rsidRPr="0044776A" w:rsidRDefault="00DC2D1F" w:rsidP="002E2327">
          <w:pPr>
            <w:keepNext/>
            <w:keepLines/>
            <w:tabs>
              <w:tab w:val="left" w:pos="-1440"/>
              <w:tab w:val="left" w:pos="-720"/>
            </w:tabs>
            <w:jc w:val="center"/>
            <w:rPr>
              <w:sz w:val="20"/>
              <w:szCs w:val="20"/>
            </w:rPr>
          </w:pPr>
        </w:p>
      </w:tc>
      <w:tc>
        <w:tcPr>
          <w:tcW w:w="4320" w:type="dxa"/>
          <w:tcMar>
            <w:left w:w="0" w:type="dxa"/>
            <w:right w:w="0" w:type="dxa"/>
          </w:tcMar>
        </w:tcPr>
        <w:p w:rsidR="00DC2D1F" w:rsidRPr="0044776A" w:rsidRDefault="00DC2D1F" w:rsidP="002E2327">
          <w:pPr>
            <w:keepLines/>
            <w:rPr>
              <w:sz w:val="20"/>
              <w:szCs w:val="20"/>
              <w:lang w:val="fr-CA"/>
            </w:rPr>
          </w:pPr>
          <w:r w:rsidRPr="0044776A">
            <w:rPr>
              <w:sz w:val="20"/>
              <w:szCs w:val="20"/>
              <w:lang w:val="fr-CA"/>
            </w:rPr>
            <w:t>DEMANDES D'AUTORISATION D'APPEL DÉPOSÉES</w:t>
          </w:r>
        </w:p>
      </w:tc>
    </w:tr>
  </w:tbl>
  <w:p w:rsidR="00DC2D1F" w:rsidRDefault="00DC2D1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C2D1F" w:rsidRPr="00DC2D1F" w:rsidTr="00245129">
      <w:tc>
        <w:tcPr>
          <w:tcW w:w="4200" w:type="dxa"/>
          <w:tcMar>
            <w:left w:w="0" w:type="dxa"/>
            <w:right w:w="0" w:type="dxa"/>
          </w:tcMar>
        </w:tcPr>
        <w:p w:rsidR="00DC2D1F" w:rsidRPr="0044776A" w:rsidRDefault="00DC2D1F" w:rsidP="0044776A">
          <w:pPr>
            <w:keepNext/>
            <w:keepLines/>
            <w:widowControl w:val="0"/>
            <w:rPr>
              <w:sz w:val="20"/>
              <w:szCs w:val="20"/>
            </w:rPr>
          </w:pPr>
          <w:r>
            <w:rPr>
              <w:sz w:val="20"/>
              <w:szCs w:val="20"/>
            </w:rPr>
            <w:t>APPLICATIONS FOR LEAVE</w:t>
          </w:r>
        </w:p>
        <w:p w:rsidR="00DC2D1F" w:rsidRPr="0044776A" w:rsidRDefault="00DC2D1F"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DC2D1F" w:rsidRPr="0044776A" w:rsidRDefault="00DC2D1F" w:rsidP="0044776A">
          <w:pPr>
            <w:keepNext/>
            <w:keepLines/>
            <w:widowControl w:val="0"/>
            <w:jc w:val="center"/>
            <w:rPr>
              <w:sz w:val="20"/>
              <w:szCs w:val="20"/>
            </w:rPr>
          </w:pPr>
        </w:p>
        <w:p w:rsidR="00DC2D1F" w:rsidRPr="0044776A" w:rsidRDefault="00DC2D1F" w:rsidP="0044776A">
          <w:pPr>
            <w:keepNext/>
            <w:keepLines/>
            <w:widowControl w:val="0"/>
            <w:jc w:val="center"/>
            <w:rPr>
              <w:sz w:val="20"/>
              <w:szCs w:val="20"/>
            </w:rPr>
          </w:pPr>
        </w:p>
        <w:p w:rsidR="00DC2D1F" w:rsidRPr="0044776A" w:rsidRDefault="00DC2D1F" w:rsidP="0044776A">
          <w:pPr>
            <w:keepNext/>
            <w:keepLines/>
            <w:widowControl w:val="0"/>
            <w:jc w:val="center"/>
            <w:rPr>
              <w:sz w:val="20"/>
              <w:szCs w:val="20"/>
            </w:rPr>
          </w:pPr>
        </w:p>
      </w:tc>
      <w:tc>
        <w:tcPr>
          <w:tcW w:w="4080" w:type="dxa"/>
          <w:tcMar>
            <w:left w:w="0" w:type="dxa"/>
            <w:right w:w="0" w:type="dxa"/>
          </w:tcMar>
        </w:tcPr>
        <w:p w:rsidR="00DC2D1F" w:rsidRPr="0044776A" w:rsidRDefault="00DC2D1F" w:rsidP="0044776A">
          <w:pPr>
            <w:keepLines/>
            <w:widowControl w:val="0"/>
            <w:rPr>
              <w:sz w:val="20"/>
              <w:szCs w:val="20"/>
              <w:lang w:val="fr-CA"/>
            </w:rPr>
          </w:pPr>
          <w:r w:rsidRPr="0044776A">
            <w:rPr>
              <w:sz w:val="20"/>
              <w:szCs w:val="20"/>
              <w:lang w:val="fr-CA"/>
            </w:rPr>
            <w:t>DEMANDES SOUMISES À LA COUR DEPUIS LA DERNIÈRE PARUTION</w:t>
          </w:r>
        </w:p>
        <w:p w:rsidR="00DC2D1F" w:rsidRPr="0044776A" w:rsidRDefault="00DC2D1F" w:rsidP="0044776A">
          <w:pPr>
            <w:widowControl w:val="0"/>
            <w:rPr>
              <w:sz w:val="20"/>
              <w:szCs w:val="20"/>
              <w:lang w:val="fr-CA"/>
            </w:rPr>
          </w:pPr>
        </w:p>
      </w:tc>
    </w:tr>
  </w:tbl>
  <w:p w:rsidR="00DC2D1F" w:rsidRPr="002E2327" w:rsidRDefault="00DC2D1F">
    <w:pPr>
      <w:pStyle w:val="Header"/>
      <w:rPr>
        <w:lang w:val="fr-CA"/>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1F" w:rsidRDefault="00DC2D1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DC2D1F" w:rsidRPr="00DC2D1F">
      <w:tc>
        <w:tcPr>
          <w:tcW w:w="4200" w:type="dxa"/>
          <w:tcMar>
            <w:left w:w="0" w:type="dxa"/>
            <w:right w:w="0" w:type="dxa"/>
          </w:tcMar>
        </w:tcPr>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DC2D1F"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DC2D1F" w:rsidRDefault="00DC2D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C2D1F" w:rsidRPr="00FF6BA5" w:rsidRDefault="00DC2D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DC2D1F" w:rsidRPr="00FF6BA5"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DC2D1F" w:rsidRPr="00FF6BA5"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DC2D1F" w:rsidRPr="00FF6BA5" w:rsidRDefault="00DC2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C2D1F" w:rsidRPr="00DC2D1F" w:rsidTr="00245129">
      <w:tc>
        <w:tcPr>
          <w:tcW w:w="4200" w:type="dxa"/>
          <w:tcMar>
            <w:left w:w="0" w:type="dxa"/>
            <w:right w:w="0" w:type="dxa"/>
          </w:tcMar>
        </w:tcPr>
        <w:p w:rsidR="00DC2D1F" w:rsidRPr="00755F22"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DC2D1F" w:rsidRPr="00755F22" w:rsidRDefault="00DC2D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DC2D1F" w:rsidRPr="00755F22" w:rsidRDefault="00DC2D1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DC2D1F" w:rsidRPr="00755F22" w:rsidRDefault="00DC2D1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DC2D1F" w:rsidRPr="00755F22" w:rsidRDefault="00DC2D1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DC2D1F" w:rsidRPr="00755F22" w:rsidRDefault="00DC2D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DC2D1F" w:rsidRPr="00FF6BA5" w:rsidRDefault="00DC2D1F" w:rsidP="00755F22">
    <w:pPr>
      <w:tabs>
        <w:tab w:val="left" w:pos="-1440"/>
        <w:tab w:val="left" w:pos="-720"/>
      </w:tabs>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grammar="clean"/>
  <w:defaultTabStop w:val="720"/>
  <w:drawingGridHorizontalSpacing w:val="120"/>
  <w:displayHorizontalDrawingGridEvery w:val="2"/>
  <w:characterSpacingControl w:val="doNotCompress"/>
  <w:hdrShapeDefaults>
    <o:shapedefaults v:ext="edit" spidmax="46097"/>
  </w:hdrShapeDefaults>
  <w:footnotePr>
    <w:footnote w:id="-1"/>
    <w:footnote w:id="0"/>
  </w:footnotePr>
  <w:endnotePr>
    <w:endnote w:id="-1"/>
    <w:endnote w:id="0"/>
  </w:endnotePr>
  <w:compat/>
  <w:rsids>
    <w:rsidRoot w:val="009D0C06"/>
    <w:rsid w:val="0003223B"/>
    <w:rsid w:val="000327B2"/>
    <w:rsid w:val="000851FB"/>
    <w:rsid w:val="00085DE2"/>
    <w:rsid w:val="00091FA6"/>
    <w:rsid w:val="00096BD9"/>
    <w:rsid w:val="000B3C9A"/>
    <w:rsid w:val="000B40A2"/>
    <w:rsid w:val="000B4624"/>
    <w:rsid w:val="000C0ACD"/>
    <w:rsid w:val="00102926"/>
    <w:rsid w:val="0010587F"/>
    <w:rsid w:val="00111C6B"/>
    <w:rsid w:val="00115D3F"/>
    <w:rsid w:val="0012102B"/>
    <w:rsid w:val="0013369E"/>
    <w:rsid w:val="00164E6D"/>
    <w:rsid w:val="00182E71"/>
    <w:rsid w:val="001B157C"/>
    <w:rsid w:val="001B5C23"/>
    <w:rsid w:val="001C4DF3"/>
    <w:rsid w:val="001D0D5F"/>
    <w:rsid w:val="001D6B8C"/>
    <w:rsid w:val="001F1F83"/>
    <w:rsid w:val="002021A9"/>
    <w:rsid w:val="002139A7"/>
    <w:rsid w:val="00215F7C"/>
    <w:rsid w:val="0022323B"/>
    <w:rsid w:val="002410B8"/>
    <w:rsid w:val="00242AEE"/>
    <w:rsid w:val="00245129"/>
    <w:rsid w:val="00245879"/>
    <w:rsid w:val="00247396"/>
    <w:rsid w:val="00256147"/>
    <w:rsid w:val="00267FD5"/>
    <w:rsid w:val="002868D0"/>
    <w:rsid w:val="00294BC8"/>
    <w:rsid w:val="002A27D1"/>
    <w:rsid w:val="002A4AFA"/>
    <w:rsid w:val="002B516C"/>
    <w:rsid w:val="002C4A64"/>
    <w:rsid w:val="002C5DDA"/>
    <w:rsid w:val="002D72EB"/>
    <w:rsid w:val="002E1AA8"/>
    <w:rsid w:val="002E2327"/>
    <w:rsid w:val="002E3583"/>
    <w:rsid w:val="002E5576"/>
    <w:rsid w:val="002F79DF"/>
    <w:rsid w:val="003117D0"/>
    <w:rsid w:val="00312CAC"/>
    <w:rsid w:val="00324E42"/>
    <w:rsid w:val="00331B52"/>
    <w:rsid w:val="003359D3"/>
    <w:rsid w:val="00355967"/>
    <w:rsid w:val="0036566A"/>
    <w:rsid w:val="00382C47"/>
    <w:rsid w:val="00384384"/>
    <w:rsid w:val="003866AE"/>
    <w:rsid w:val="003957EF"/>
    <w:rsid w:val="003B3977"/>
    <w:rsid w:val="003C2DDC"/>
    <w:rsid w:val="003C4E56"/>
    <w:rsid w:val="003D5714"/>
    <w:rsid w:val="003F697D"/>
    <w:rsid w:val="004016D1"/>
    <w:rsid w:val="00401E04"/>
    <w:rsid w:val="00405D65"/>
    <w:rsid w:val="00432989"/>
    <w:rsid w:val="00433892"/>
    <w:rsid w:val="004401CE"/>
    <w:rsid w:val="00440E24"/>
    <w:rsid w:val="0044776A"/>
    <w:rsid w:val="00460AFC"/>
    <w:rsid w:val="0047471F"/>
    <w:rsid w:val="004814B2"/>
    <w:rsid w:val="00483D29"/>
    <w:rsid w:val="004B195E"/>
    <w:rsid w:val="004B640C"/>
    <w:rsid w:val="004B66B4"/>
    <w:rsid w:val="004B7F60"/>
    <w:rsid w:val="004C1AAC"/>
    <w:rsid w:val="004D7851"/>
    <w:rsid w:val="004E1E0A"/>
    <w:rsid w:val="004F090E"/>
    <w:rsid w:val="004F2BEC"/>
    <w:rsid w:val="00516FD5"/>
    <w:rsid w:val="00527CC7"/>
    <w:rsid w:val="005324FE"/>
    <w:rsid w:val="005427C2"/>
    <w:rsid w:val="00565D14"/>
    <w:rsid w:val="00571CA4"/>
    <w:rsid w:val="00582136"/>
    <w:rsid w:val="005B1F40"/>
    <w:rsid w:val="005B4C57"/>
    <w:rsid w:val="005B5C4D"/>
    <w:rsid w:val="005C4AB1"/>
    <w:rsid w:val="005C6840"/>
    <w:rsid w:val="005D1C57"/>
    <w:rsid w:val="005F263E"/>
    <w:rsid w:val="00600252"/>
    <w:rsid w:val="00612A40"/>
    <w:rsid w:val="00613480"/>
    <w:rsid w:val="00624B5C"/>
    <w:rsid w:val="0062714A"/>
    <w:rsid w:val="00657EE6"/>
    <w:rsid w:val="00675479"/>
    <w:rsid w:val="00676BD5"/>
    <w:rsid w:val="00680709"/>
    <w:rsid w:val="00680B0A"/>
    <w:rsid w:val="00696BF9"/>
    <w:rsid w:val="006975EA"/>
    <w:rsid w:val="00697C62"/>
    <w:rsid w:val="006A329B"/>
    <w:rsid w:val="006A6EF2"/>
    <w:rsid w:val="006A7EB8"/>
    <w:rsid w:val="006B12EE"/>
    <w:rsid w:val="006B6926"/>
    <w:rsid w:val="006C3F47"/>
    <w:rsid w:val="006C5F7A"/>
    <w:rsid w:val="006E06AF"/>
    <w:rsid w:val="006F350F"/>
    <w:rsid w:val="00706EDA"/>
    <w:rsid w:val="007175E7"/>
    <w:rsid w:val="00732DB7"/>
    <w:rsid w:val="0074238B"/>
    <w:rsid w:val="00745EF7"/>
    <w:rsid w:val="00755F22"/>
    <w:rsid w:val="00766E4A"/>
    <w:rsid w:val="0077555D"/>
    <w:rsid w:val="00781F72"/>
    <w:rsid w:val="007820CE"/>
    <w:rsid w:val="00782AE4"/>
    <w:rsid w:val="0079724F"/>
    <w:rsid w:val="007A1180"/>
    <w:rsid w:val="007A3EAE"/>
    <w:rsid w:val="007C04FC"/>
    <w:rsid w:val="007C40B1"/>
    <w:rsid w:val="007D3E0F"/>
    <w:rsid w:val="007E4282"/>
    <w:rsid w:val="007F387B"/>
    <w:rsid w:val="007F7AE8"/>
    <w:rsid w:val="00802863"/>
    <w:rsid w:val="008111C9"/>
    <w:rsid w:val="00815B3C"/>
    <w:rsid w:val="0082783A"/>
    <w:rsid w:val="00831CA9"/>
    <w:rsid w:val="00850E1F"/>
    <w:rsid w:val="0085476B"/>
    <w:rsid w:val="0085599B"/>
    <w:rsid w:val="00880E10"/>
    <w:rsid w:val="00883278"/>
    <w:rsid w:val="00890FEB"/>
    <w:rsid w:val="008A5889"/>
    <w:rsid w:val="008D292F"/>
    <w:rsid w:val="008E03DC"/>
    <w:rsid w:val="009151CA"/>
    <w:rsid w:val="00924065"/>
    <w:rsid w:val="00930D68"/>
    <w:rsid w:val="00932DB4"/>
    <w:rsid w:val="00941A4B"/>
    <w:rsid w:val="00946242"/>
    <w:rsid w:val="0095096B"/>
    <w:rsid w:val="009618B7"/>
    <w:rsid w:val="00970CD3"/>
    <w:rsid w:val="009723FA"/>
    <w:rsid w:val="00984546"/>
    <w:rsid w:val="009935E6"/>
    <w:rsid w:val="00996510"/>
    <w:rsid w:val="009B199B"/>
    <w:rsid w:val="009C0687"/>
    <w:rsid w:val="009D0C06"/>
    <w:rsid w:val="009D1F15"/>
    <w:rsid w:val="009D555E"/>
    <w:rsid w:val="009E2DDF"/>
    <w:rsid w:val="009F3024"/>
    <w:rsid w:val="00A0355E"/>
    <w:rsid w:val="00A375D1"/>
    <w:rsid w:val="00A51D10"/>
    <w:rsid w:val="00A52A83"/>
    <w:rsid w:val="00A6552C"/>
    <w:rsid w:val="00A655B0"/>
    <w:rsid w:val="00A740D1"/>
    <w:rsid w:val="00A77928"/>
    <w:rsid w:val="00A81A07"/>
    <w:rsid w:val="00A87207"/>
    <w:rsid w:val="00A935AA"/>
    <w:rsid w:val="00AB2201"/>
    <w:rsid w:val="00AD3259"/>
    <w:rsid w:val="00AE1D14"/>
    <w:rsid w:val="00AF1715"/>
    <w:rsid w:val="00AF31B3"/>
    <w:rsid w:val="00AF3904"/>
    <w:rsid w:val="00B010C0"/>
    <w:rsid w:val="00B4740D"/>
    <w:rsid w:val="00B61629"/>
    <w:rsid w:val="00B670AC"/>
    <w:rsid w:val="00B7374B"/>
    <w:rsid w:val="00B803D5"/>
    <w:rsid w:val="00B90DC0"/>
    <w:rsid w:val="00BA116A"/>
    <w:rsid w:val="00BA37D8"/>
    <w:rsid w:val="00BA5582"/>
    <w:rsid w:val="00BA6468"/>
    <w:rsid w:val="00BB1D44"/>
    <w:rsid w:val="00BC7C7F"/>
    <w:rsid w:val="00BD06DA"/>
    <w:rsid w:val="00BD4217"/>
    <w:rsid w:val="00BF25F3"/>
    <w:rsid w:val="00BF3B03"/>
    <w:rsid w:val="00C1697B"/>
    <w:rsid w:val="00C21CB5"/>
    <w:rsid w:val="00C4561E"/>
    <w:rsid w:val="00C46290"/>
    <w:rsid w:val="00C50A5C"/>
    <w:rsid w:val="00C50FDF"/>
    <w:rsid w:val="00C63381"/>
    <w:rsid w:val="00C66993"/>
    <w:rsid w:val="00C73D06"/>
    <w:rsid w:val="00C73E1B"/>
    <w:rsid w:val="00C759B4"/>
    <w:rsid w:val="00C77713"/>
    <w:rsid w:val="00C80CA7"/>
    <w:rsid w:val="00C85BB7"/>
    <w:rsid w:val="00CB43D5"/>
    <w:rsid w:val="00CC4D84"/>
    <w:rsid w:val="00CC7F28"/>
    <w:rsid w:val="00CE198A"/>
    <w:rsid w:val="00CE2CFA"/>
    <w:rsid w:val="00D3651F"/>
    <w:rsid w:val="00D41C9D"/>
    <w:rsid w:val="00D43A9E"/>
    <w:rsid w:val="00D64901"/>
    <w:rsid w:val="00D65563"/>
    <w:rsid w:val="00D72FDB"/>
    <w:rsid w:val="00D76BDF"/>
    <w:rsid w:val="00D862C1"/>
    <w:rsid w:val="00D8701C"/>
    <w:rsid w:val="00D878AF"/>
    <w:rsid w:val="00D93B50"/>
    <w:rsid w:val="00D94670"/>
    <w:rsid w:val="00DA46F6"/>
    <w:rsid w:val="00DC2D1F"/>
    <w:rsid w:val="00DD0B49"/>
    <w:rsid w:val="00DE7FA8"/>
    <w:rsid w:val="00E06DFA"/>
    <w:rsid w:val="00E20A0A"/>
    <w:rsid w:val="00E356C7"/>
    <w:rsid w:val="00E45C23"/>
    <w:rsid w:val="00E45FE4"/>
    <w:rsid w:val="00E47F18"/>
    <w:rsid w:val="00E64FA7"/>
    <w:rsid w:val="00E770CB"/>
    <w:rsid w:val="00E819B8"/>
    <w:rsid w:val="00E823AA"/>
    <w:rsid w:val="00E903A1"/>
    <w:rsid w:val="00E91C2F"/>
    <w:rsid w:val="00E940EB"/>
    <w:rsid w:val="00E9703F"/>
    <w:rsid w:val="00EB2B90"/>
    <w:rsid w:val="00EB5134"/>
    <w:rsid w:val="00ED7E83"/>
    <w:rsid w:val="00EF4B63"/>
    <w:rsid w:val="00F0068D"/>
    <w:rsid w:val="00F0576D"/>
    <w:rsid w:val="00F14E6D"/>
    <w:rsid w:val="00F15EA8"/>
    <w:rsid w:val="00F16C8D"/>
    <w:rsid w:val="00F26C61"/>
    <w:rsid w:val="00F33CCE"/>
    <w:rsid w:val="00F40249"/>
    <w:rsid w:val="00F526C8"/>
    <w:rsid w:val="00F54F93"/>
    <w:rsid w:val="00F86C0A"/>
    <w:rsid w:val="00F9272D"/>
    <w:rsid w:val="00F9518C"/>
    <w:rsid w:val="00FA316E"/>
    <w:rsid w:val="00FA59EF"/>
    <w:rsid w:val="00FB19A2"/>
    <w:rsid w:val="00FB2259"/>
    <w:rsid w:val="00FB7CFF"/>
    <w:rsid w:val="00FF2383"/>
    <w:rsid w:val="00FF6E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6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7207"/>
    <w:pPr>
      <w:tabs>
        <w:tab w:val="center" w:pos="4680"/>
        <w:tab w:val="right" w:pos="9360"/>
      </w:tabs>
    </w:pPr>
  </w:style>
  <w:style w:type="character" w:customStyle="1" w:styleId="HeaderChar">
    <w:name w:val="Header Char"/>
    <w:basedOn w:val="DefaultParagraphFont"/>
    <w:link w:val="Header"/>
    <w:uiPriority w:val="99"/>
    <w:semiHidden/>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Ind w:w="0" w:type="dxa"/>
      <w:tblCellMar>
        <w:top w:w="0" w:type="dxa"/>
        <w:left w:w="576" w:type="dxa"/>
        <w:bottom w:w="0"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Ind w:w="0" w:type="dxa"/>
      <w:tblCellMar>
        <w:top w:w="0" w:type="dxa"/>
        <w:left w:w="576" w:type="dxa"/>
        <w:bottom w:w="0"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i/>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i/>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lang w:val="fr-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SCCLsocParty">
    <w:name w:val="SCC.Lsoc.Party"/>
    <w:basedOn w:val="Normal"/>
    <w:next w:val="Normal"/>
    <w:link w:val="SCCLsocPartyChar"/>
    <w:rsid w:val="003C2DDC"/>
    <w:pPr>
      <w:jc w:val="both"/>
    </w:pPr>
    <w:rPr>
      <w:rFonts w:eastAsia="Calibri" w:cs="Times New Roman"/>
      <w:i/>
      <w:lang w:val="fr-CA"/>
    </w:rPr>
  </w:style>
  <w:style w:type="character" w:customStyle="1" w:styleId="SCCLsocPartyChar">
    <w:name w:val="SCC.Lsoc.Party Char"/>
    <w:basedOn w:val="DefaultParagraphFont"/>
    <w:link w:val="SCCLsocParty"/>
    <w:rsid w:val="003C2DDC"/>
    <w:rPr>
      <w:rFonts w:eastAsia="Calibri" w:cs="Times New Roman"/>
      <w:i/>
      <w:lang w:val="fr-CA"/>
    </w:rPr>
  </w:style>
  <w:style w:type="paragraph" w:customStyle="1" w:styleId="SCCLsocSubfileSeparator">
    <w:name w:val="SCC.Lsoc.SubfileSeparator"/>
    <w:basedOn w:val="Normal"/>
    <w:next w:val="Normal"/>
    <w:link w:val="SCCLsocSubfileSeparatorChar"/>
    <w:uiPriority w:val="99"/>
    <w:rsid w:val="009151CA"/>
    <w:pPr>
      <w:jc w:val="both"/>
    </w:pPr>
    <w:rPr>
      <w:rFonts w:eastAsia="Calibri" w:cs="Times New Roman"/>
      <w:b/>
      <w:szCs w:val="24"/>
    </w:rPr>
  </w:style>
  <w:style w:type="character" w:customStyle="1" w:styleId="SCCLsocSubfileSeparatorChar">
    <w:name w:val="SCC.Lsoc.SubfileSeparator Char"/>
    <w:basedOn w:val="DefaultParagraphFont"/>
    <w:link w:val="SCCLsocSubfileSeparator"/>
    <w:uiPriority w:val="99"/>
    <w:rsid w:val="009151CA"/>
    <w:rPr>
      <w:rFonts w:eastAsia="Calibri" w:cs="Times New Roman"/>
      <w:b/>
      <w:szCs w:val="24"/>
      <w:lang w:val="en-CA"/>
    </w:rPr>
  </w:style>
  <w:style w:type="paragraph" w:customStyle="1" w:styleId="loose">
    <w:name w:val="loose"/>
    <w:basedOn w:val="Normal"/>
    <w:rsid w:val="009151CA"/>
    <w:pPr>
      <w:spacing w:before="182"/>
    </w:pPr>
    <w:rPr>
      <w:rFonts w:eastAsia="Times New Roman" w:cs="Times New Roman"/>
      <w:szCs w:val="24"/>
      <w:lang w:val="en-US"/>
    </w:rPr>
  </w:style>
  <w:style w:type="character" w:customStyle="1" w:styleId="italic1">
    <w:name w:val="italic1"/>
    <w:basedOn w:val="DefaultParagraphFont"/>
    <w:rsid w:val="009151CA"/>
    <w:rPr>
      <w:i/>
      <w:iCs/>
    </w:rPr>
  </w:style>
  <w:style w:type="paragraph" w:customStyle="1" w:styleId="SCCLowerCourtNameLowercase">
    <w:name w:val="SCC.LowerCourtNameLowercase"/>
    <w:basedOn w:val="SCCNormalDoubleSpacing"/>
    <w:next w:val="SCCNormalDoubleSpacing"/>
    <w:rsid w:val="00883278"/>
    <w:pPr>
      <w:tabs>
        <w:tab w:val="left" w:pos="1168"/>
      </w:tabs>
    </w:pPr>
    <w:rPr>
      <w:smallCaps/>
    </w:rPr>
  </w:style>
  <w:style w:type="paragraph" w:styleId="BodyText">
    <w:name w:val="Body Text"/>
    <w:basedOn w:val="Normal"/>
    <w:link w:val="BodyTextChar"/>
    <w:rsid w:val="00E823AA"/>
    <w:pPr>
      <w:spacing w:after="240"/>
    </w:pPr>
    <w:rPr>
      <w:rFonts w:eastAsia="Times New Roman" w:cs="Times New Roman"/>
      <w:szCs w:val="24"/>
    </w:rPr>
  </w:style>
  <w:style w:type="character" w:customStyle="1" w:styleId="BodyTextChar">
    <w:name w:val="Body Text Char"/>
    <w:basedOn w:val="DefaultParagraphFont"/>
    <w:link w:val="BodyText"/>
    <w:rsid w:val="00E823AA"/>
    <w:rPr>
      <w:rFonts w:eastAsia="Times New Roman" w:cs="Times New Roman"/>
      <w:szCs w:val="24"/>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lexisnexis.com:80/ca/legal/search/runRemoteLink.do?langcountry=CA&amp;linkInfo=F%23CA%23SCC%23onum%2561%25decisiondate%252011%25year%252011%25sel1%252011%25&amp;risb=21_T15526864848&amp;bct=A&amp;service=citation&amp;A=0.12490587876893422" TargetMode="Externa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footer" Target="footer18.xml"/><Relationship Id="rId55" Type="http://schemas.openxmlformats.org/officeDocument/2006/relationships/footer" Target="footer20.xml"/><Relationship Id="rId63" Type="http://schemas.openxmlformats.org/officeDocument/2006/relationships/header" Target="header2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22.xml"/><Relationship Id="rId66"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www.lexisnexis.com:80/ca/legal/search/runRemoteLink.do?langcountry=CA&amp;linkInfo=F%23CA%23SCC%23onum%2561%25decisiondate%252011%25year%252011%25sel1%252011%25&amp;risb=21_T15526864848&amp;bct=A&amp;service=citation&amp;A=0.12490587876893422" TargetMode="External"/><Relationship Id="rId36" Type="http://schemas.openxmlformats.org/officeDocument/2006/relationships/header" Target="header12.xml"/><Relationship Id="rId49" Type="http://schemas.openxmlformats.org/officeDocument/2006/relationships/footer" Target="footer17.xml"/><Relationship Id="rId57" Type="http://schemas.openxmlformats.org/officeDocument/2006/relationships/header" Target="header22.xml"/><Relationship Id="rId61" Type="http://schemas.openxmlformats.org/officeDocument/2006/relationships/footer" Target="footer23.xml"/><Relationship Id="rId10" Type="http://schemas.openxmlformats.org/officeDocument/2006/relationships/hyperlink" Target="http://www.scc-csc.gc.ca" TargetMode="External"/><Relationship Id="rId19" Type="http://schemas.openxmlformats.org/officeDocument/2006/relationships/header" Target="header5.xml"/><Relationship Id="rId31" Type="http://schemas.openxmlformats.org/officeDocument/2006/relationships/footer" Target="footer8.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yperlink" Target="http://www.scc-csc.gc.ca"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lexisnexis.com:80/ca/legal/search/runRemoteLink.do?langcountry=CA&amp;linkInfo=F%23CA%23SCR%23sel2%253%25year%252011%25page%25654%25sel1%252011%25vol%253%25&amp;risb=21_T15526864848&amp;bct=A&amp;service=citation&amp;A=0.19470649077687052" TargetMode="Externa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header" Target="header18.xml"/><Relationship Id="rId56" Type="http://schemas.openxmlformats.org/officeDocument/2006/relationships/footer" Target="footer21.xml"/><Relationship Id="rId64" Type="http://schemas.openxmlformats.org/officeDocument/2006/relationships/footer" Target="footer25.xml"/><Relationship Id="rId8" Type="http://schemas.openxmlformats.org/officeDocument/2006/relationships/image" Target="media/image1.wmf"/><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lexisnexis.com:80/ca/legal/search/runRemoteLink.do?langcountry=CA&amp;linkInfo=F%23CA%23SCR%23sel2%253%25year%252011%25page%25654%25sel1%252011%25vol%253%25&amp;risb=21_T15526864848&amp;bct=A&amp;service=citation&amp;A=0.19470649077687052" TargetMode="Externa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4.xml"/><Relationship Id="rId54" Type="http://schemas.openxmlformats.org/officeDocument/2006/relationships/header" Target="header21.xml"/><Relationship Id="rId62"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D003-607B-4F64-987E-C9F18956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30147</Words>
  <Characters>171843</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2012-11-09T17:56:00Z</dcterms:created>
  <dcterms:modified xsi:type="dcterms:W3CDTF">2012-11-13T14:27:00Z</dcterms:modified>
</cp:coreProperties>
</file>