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549C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549C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549C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549C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549CB" w:rsidTr="002E5576">
        <w:tc>
          <w:tcPr>
            <w:tcW w:w="4518" w:type="dxa"/>
          </w:tcPr>
          <w:p w:rsidR="00BF25F3" w:rsidRPr="002E2327" w:rsidRDefault="007F0A1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F0A1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549C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549C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875EC1">
        <w:rPr>
          <w:lang w:val="fr-CA"/>
        </w:rPr>
        <w:t>4</w:t>
      </w:r>
      <w:r w:rsidR="00440E24" w:rsidRPr="00675479">
        <w:rPr>
          <w:lang w:val="fr-CA"/>
        </w:rPr>
        <w:t>, 201</w:t>
      </w:r>
      <w:r w:rsidR="00875EC1">
        <w:rPr>
          <w:lang w:val="fr-CA"/>
        </w:rPr>
        <w:t>3</w:t>
      </w:r>
      <w:r w:rsidR="00F0068D" w:rsidRPr="00675479">
        <w:rPr>
          <w:lang w:val="fr-CA"/>
        </w:rPr>
        <w:tab/>
        <w:t xml:space="preserve">1 - </w:t>
      </w:r>
      <w:r w:rsidR="00987CE7">
        <w:rPr>
          <w:lang w:val="fr-CA"/>
        </w:rPr>
        <w:t>32</w:t>
      </w:r>
      <w:r w:rsidR="00440E24" w:rsidRPr="00675479">
        <w:rPr>
          <w:lang w:val="fr-CA"/>
        </w:rPr>
        <w:tab/>
      </w:r>
      <w:r w:rsidR="00440E24" w:rsidRPr="002E2327">
        <w:rPr>
          <w:lang w:val="fr-CA"/>
        </w:rPr>
        <w:t>Le</w:t>
      </w:r>
      <w:r>
        <w:rPr>
          <w:lang w:val="fr-CA"/>
        </w:rPr>
        <w:t xml:space="preserve"> </w:t>
      </w:r>
      <w:r w:rsidR="00875EC1">
        <w:rPr>
          <w:lang w:val="fr-CA"/>
        </w:rPr>
        <w:t>4</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875EC1">
        <w:rPr>
          <w:lang w:val="fr-CA"/>
        </w:rPr>
        <w:t>3</w:t>
      </w:r>
    </w:p>
    <w:p w:rsidR="00440E24" w:rsidRPr="00675479" w:rsidRDefault="00440E24" w:rsidP="00440E24">
      <w:pPr>
        <w:pBdr>
          <w:bottom w:val="single" w:sz="6" w:space="1" w:color="auto"/>
        </w:pBdr>
        <w:tabs>
          <w:tab w:val="right" w:pos="9360"/>
        </w:tabs>
        <w:rPr>
          <w:lang w:val="fr-CA"/>
        </w:rPr>
      </w:pPr>
    </w:p>
    <w:p w:rsidR="00440E24" w:rsidRPr="00875EC1" w:rsidRDefault="00440E24" w:rsidP="00440E24">
      <w:pPr>
        <w:pBdr>
          <w:bottom w:val="single" w:sz="6" w:space="1" w:color="auto"/>
        </w:pBdr>
        <w:tabs>
          <w:tab w:val="right" w:pos="9360"/>
        </w:tabs>
        <w:rPr>
          <w:sz w:val="18"/>
          <w:szCs w:val="18"/>
        </w:rPr>
      </w:pPr>
      <w:r w:rsidRPr="00875EC1">
        <w:rPr>
          <w:sz w:val="18"/>
          <w:szCs w:val="18"/>
        </w:rPr>
        <w:t>© Supreme Court of Canada (201</w:t>
      </w:r>
      <w:r w:rsidR="00875EC1">
        <w:rPr>
          <w:sz w:val="18"/>
          <w:szCs w:val="18"/>
        </w:rPr>
        <w:t>3</w:t>
      </w:r>
      <w:r w:rsidRPr="00875EC1">
        <w:rPr>
          <w:sz w:val="18"/>
          <w:szCs w:val="18"/>
        </w:rPr>
        <w:t>)</w:t>
      </w:r>
      <w:r w:rsidRPr="00875EC1">
        <w:rPr>
          <w:sz w:val="18"/>
          <w:szCs w:val="18"/>
        </w:rPr>
        <w:tab/>
        <w:t xml:space="preserve">© </w:t>
      </w:r>
      <w:proofErr w:type="spellStart"/>
      <w:r w:rsidRPr="00875EC1">
        <w:rPr>
          <w:sz w:val="18"/>
          <w:szCs w:val="18"/>
        </w:rPr>
        <w:t>Cour</w:t>
      </w:r>
      <w:proofErr w:type="spellEnd"/>
      <w:r w:rsidRPr="00875EC1">
        <w:rPr>
          <w:sz w:val="18"/>
          <w:szCs w:val="18"/>
        </w:rPr>
        <w:t xml:space="preserve"> </w:t>
      </w:r>
      <w:proofErr w:type="spellStart"/>
      <w:r w:rsidRPr="00875EC1">
        <w:rPr>
          <w:sz w:val="18"/>
          <w:szCs w:val="18"/>
        </w:rPr>
        <w:t>suprême</w:t>
      </w:r>
      <w:proofErr w:type="spellEnd"/>
      <w:r w:rsidRPr="00875EC1">
        <w:rPr>
          <w:sz w:val="18"/>
          <w:szCs w:val="18"/>
        </w:rPr>
        <w:t xml:space="preserve"> du Canada (201</w:t>
      </w:r>
      <w:r w:rsidR="00875EC1">
        <w:rPr>
          <w:sz w:val="18"/>
          <w:szCs w:val="18"/>
        </w:rPr>
        <w:t>3</w:t>
      </w:r>
      <w:r w:rsidRPr="00875EC1">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lastRenderedPageBreak/>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C1789F">
            <w:pPr>
              <w:tabs>
                <w:tab w:val="right" w:pos="9360"/>
              </w:tabs>
              <w:rPr>
                <w:rFonts w:cs="Times New Roman"/>
                <w:sz w:val="20"/>
                <w:szCs w:val="20"/>
              </w:rPr>
            </w:pPr>
          </w:p>
        </w:tc>
        <w:tc>
          <w:tcPr>
            <w:tcW w:w="1980" w:type="dxa"/>
          </w:tcPr>
          <w:p w:rsidR="0095096B" w:rsidRPr="002E2327" w:rsidRDefault="000903A1" w:rsidP="0095096B">
            <w:pPr>
              <w:jc w:val="center"/>
              <w:rPr>
                <w:rFonts w:cs="Times New Roman"/>
                <w:sz w:val="20"/>
                <w:szCs w:val="20"/>
              </w:rPr>
            </w:pPr>
            <w:r>
              <w:rPr>
                <w:rFonts w:cs="Times New Roman"/>
                <w:sz w:val="20"/>
                <w:szCs w:val="20"/>
              </w:rPr>
              <w:t>1</w:t>
            </w:r>
            <w:r w:rsidR="007F0A1D" w:rsidRPr="002E2327">
              <w:rPr>
                <w:rFonts w:cs="Times New Roman"/>
                <w:sz w:val="20"/>
                <w:szCs w:val="20"/>
              </w:rPr>
              <w:fldChar w:fldCharType="begin"/>
            </w:r>
            <w:r w:rsidR="0095096B" w:rsidRPr="002E2327">
              <w:rPr>
                <w:rFonts w:cs="Times New Roman"/>
                <w:sz w:val="20"/>
                <w:szCs w:val="20"/>
              </w:rPr>
              <w:instrText xml:space="preserve"> SEQ CHAPTER \h \r 1</w:instrText>
            </w:r>
            <w:r w:rsidR="007F0A1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E75FC" w:rsidP="0095096B">
            <w:pPr>
              <w:jc w:val="center"/>
              <w:rPr>
                <w:rFonts w:cs="Times New Roman"/>
                <w:sz w:val="20"/>
                <w:szCs w:val="20"/>
              </w:rPr>
            </w:pPr>
            <w:r>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E75FC" w:rsidP="0095096B">
            <w:pPr>
              <w:jc w:val="center"/>
              <w:rPr>
                <w:rFonts w:cs="Times New Roman"/>
                <w:sz w:val="20"/>
                <w:szCs w:val="20"/>
              </w:rPr>
            </w:pPr>
            <w:r>
              <w:rPr>
                <w:rFonts w:cs="Times New Roman"/>
                <w:sz w:val="20"/>
                <w:szCs w:val="20"/>
              </w:rPr>
              <w:t xml:space="preserve">3 </w:t>
            </w:r>
            <w:r w:rsidR="0095096B" w:rsidRPr="002E2327">
              <w:rPr>
                <w:rFonts w:cs="Times New Roman"/>
                <w:sz w:val="20"/>
                <w:szCs w:val="20"/>
              </w:rPr>
              <w:t>-</w:t>
            </w:r>
            <w:r w:rsidR="00987CE7">
              <w:rPr>
                <w:rFonts w:cs="Times New Roman"/>
                <w:sz w:val="20"/>
                <w:szCs w:val="20"/>
              </w:rPr>
              <w:t xml:space="preserve"> 12</w:t>
            </w:r>
          </w:p>
          <w:p w:rsidR="0095096B" w:rsidRPr="002E2327" w:rsidRDefault="0095096B" w:rsidP="0095096B">
            <w:pPr>
              <w:jc w:val="center"/>
              <w:rPr>
                <w:rFonts w:cs="Times New Roman"/>
                <w:sz w:val="20"/>
                <w:szCs w:val="20"/>
              </w:rPr>
            </w:pPr>
          </w:p>
          <w:p w:rsidR="0095096B" w:rsidRPr="002E2327" w:rsidRDefault="00987CE7" w:rsidP="0095096B">
            <w:pPr>
              <w:jc w:val="center"/>
              <w:rPr>
                <w:rFonts w:cs="Times New Roman"/>
                <w:sz w:val="20"/>
                <w:szCs w:val="20"/>
              </w:rPr>
            </w:pPr>
            <w:r>
              <w:rPr>
                <w:rFonts w:cs="Times New Roman"/>
                <w:sz w:val="20"/>
                <w:szCs w:val="20"/>
              </w:rPr>
              <w:t>13</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3E75FC" w:rsidRDefault="00987CE7" w:rsidP="0095096B">
            <w:pPr>
              <w:jc w:val="center"/>
              <w:rPr>
                <w:rFonts w:cs="Times New Roman"/>
                <w:sz w:val="20"/>
                <w:szCs w:val="20"/>
              </w:rPr>
            </w:pPr>
            <w:r>
              <w:rPr>
                <w:rFonts w:cs="Times New Roman"/>
                <w:sz w:val="20"/>
                <w:szCs w:val="20"/>
              </w:rPr>
              <w:t>14</w:t>
            </w:r>
          </w:p>
          <w:p w:rsidR="003E75FC" w:rsidRPr="002E2327" w:rsidRDefault="003E75FC" w:rsidP="0095096B">
            <w:pPr>
              <w:jc w:val="center"/>
              <w:rPr>
                <w:rFonts w:cs="Times New Roman"/>
                <w:sz w:val="20"/>
                <w:szCs w:val="20"/>
              </w:rPr>
            </w:pPr>
          </w:p>
          <w:p w:rsidR="0095096B" w:rsidRPr="002E2327" w:rsidRDefault="00987CE7" w:rsidP="0095096B">
            <w:pPr>
              <w:jc w:val="center"/>
              <w:rPr>
                <w:rFonts w:cs="Times New Roman"/>
                <w:sz w:val="20"/>
                <w:szCs w:val="20"/>
              </w:rPr>
            </w:pPr>
            <w:r>
              <w:rPr>
                <w:rFonts w:cs="Times New Roman"/>
                <w:sz w:val="20"/>
                <w:szCs w:val="20"/>
              </w:rPr>
              <w:t xml:space="preserve">15 </w:t>
            </w:r>
            <w:r w:rsidR="0095096B" w:rsidRPr="002E2327">
              <w:rPr>
                <w:rFonts w:cs="Times New Roman"/>
                <w:sz w:val="20"/>
                <w:szCs w:val="20"/>
              </w:rPr>
              <w:t>-</w:t>
            </w:r>
            <w:r>
              <w:rPr>
                <w:rFonts w:cs="Times New Roman"/>
                <w:sz w:val="20"/>
                <w:szCs w:val="20"/>
              </w:rPr>
              <w:t xml:space="preserve"> 32</w:t>
            </w:r>
          </w:p>
          <w:p w:rsidR="00A87207" w:rsidRPr="002E2327" w:rsidRDefault="00A87207" w:rsidP="003E75FC">
            <w:pPr>
              <w:jc w:val="center"/>
              <w:rPr>
                <w:rFonts w:cs="Times New Roman"/>
                <w:sz w:val="20"/>
                <w:szCs w:val="20"/>
              </w:rPr>
            </w:pPr>
          </w:p>
        </w:tc>
        <w:tc>
          <w:tcPr>
            <w:tcW w:w="3888" w:type="dxa"/>
          </w:tcPr>
          <w:p w:rsidR="0095096B" w:rsidRPr="002E2327" w:rsidRDefault="007F0A1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C1789F">
            <w:pPr>
              <w:tabs>
                <w:tab w:val="right" w:pos="9360"/>
              </w:tabs>
              <w:rPr>
                <w:rFonts w:cs="Times New Roman"/>
                <w:sz w:val="20"/>
                <w:szCs w:val="20"/>
                <w:lang w:val="fr-CA"/>
              </w:rPr>
            </w:pPr>
          </w:p>
        </w:tc>
      </w:tr>
    </w:tbl>
    <w:p w:rsidR="0095096B" w:rsidRDefault="0095096B" w:rsidP="0095096B">
      <w:pPr>
        <w:tabs>
          <w:tab w:val="right" w:pos="9360"/>
        </w:tabs>
      </w:pPr>
    </w:p>
    <w:p w:rsidR="00F55DF6" w:rsidRDefault="00F55DF6" w:rsidP="0095096B">
      <w:pPr>
        <w:tabs>
          <w:tab w:val="right" w:pos="9360"/>
        </w:tabs>
      </w:pPr>
    </w:p>
    <w:p w:rsidR="00F55DF6" w:rsidRDefault="00F55DF6" w:rsidP="0095096B">
      <w:pPr>
        <w:tabs>
          <w:tab w:val="right" w:pos="9360"/>
        </w:tabs>
      </w:pPr>
    </w:p>
    <w:p w:rsidR="00F55DF6" w:rsidRDefault="00F55DF6" w:rsidP="0095096B">
      <w:pPr>
        <w:tabs>
          <w:tab w:val="right" w:pos="9360"/>
        </w:tabs>
      </w:pPr>
    </w:p>
    <w:p w:rsidR="00F55DF6" w:rsidRDefault="00F55DF6" w:rsidP="0095096B">
      <w:pPr>
        <w:tabs>
          <w:tab w:val="right" w:pos="9360"/>
        </w:tabs>
      </w:pPr>
    </w:p>
    <w:p w:rsidR="00F55DF6" w:rsidRDefault="00F55DF6" w:rsidP="0095096B">
      <w:pPr>
        <w:tabs>
          <w:tab w:val="right" w:pos="9360"/>
        </w:tabs>
      </w:pPr>
    </w:p>
    <w:p w:rsidR="00F55DF6" w:rsidRPr="002E2327" w:rsidRDefault="00F55DF6" w:rsidP="0095096B">
      <w:pPr>
        <w:tabs>
          <w:tab w:val="right" w:pos="9360"/>
        </w:tabs>
      </w:pPr>
    </w:p>
    <w:tbl>
      <w:tblPr>
        <w:tblStyle w:val="TableGrid"/>
        <w:tblW w:w="0" w:type="auto"/>
        <w:tblLook w:val="04A0"/>
      </w:tblPr>
      <w:tblGrid>
        <w:gridCol w:w="9576"/>
      </w:tblGrid>
      <w:tr w:rsidR="0079724F" w:rsidRPr="00A549C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53D4" w:rsidRDefault="00A953D4" w:rsidP="003B3977">
            <w:pPr>
              <w:rPr>
                <w:b/>
                <w:sz w:val="20"/>
                <w:szCs w:val="20"/>
                <w:lang w:val="fr-CA"/>
              </w:rPr>
            </w:pPr>
            <w:r w:rsidRPr="00A953D4">
              <w:rPr>
                <w:b/>
                <w:sz w:val="20"/>
                <w:szCs w:val="20"/>
                <w:lang w:val="fr-CA"/>
              </w:rPr>
              <w:t>Procureur général du Canada</w:t>
            </w:r>
          </w:p>
          <w:p w:rsidR="00242AEE" w:rsidRPr="00A953D4" w:rsidRDefault="00242AEE" w:rsidP="003B3977">
            <w:pPr>
              <w:tabs>
                <w:tab w:val="left" w:pos="-1440"/>
                <w:tab w:val="left" w:pos="-720"/>
              </w:tabs>
              <w:rPr>
                <w:sz w:val="20"/>
                <w:szCs w:val="20"/>
                <w:lang w:val="fr-CA"/>
              </w:rPr>
            </w:pPr>
            <w:r w:rsidRPr="00A953D4">
              <w:rPr>
                <w:sz w:val="20"/>
                <w:szCs w:val="20"/>
                <w:lang w:val="fr-CA"/>
              </w:rPr>
              <w:tab/>
            </w:r>
            <w:r w:rsidR="00A953D4" w:rsidRPr="00A953D4">
              <w:rPr>
                <w:sz w:val="20"/>
                <w:szCs w:val="20"/>
                <w:lang w:val="fr-CA"/>
              </w:rPr>
              <w:t>Linda Mercier</w:t>
            </w:r>
          </w:p>
          <w:p w:rsidR="00242AEE" w:rsidRPr="00A953D4" w:rsidRDefault="00242AEE" w:rsidP="003B3977">
            <w:pPr>
              <w:tabs>
                <w:tab w:val="left" w:pos="-1440"/>
                <w:tab w:val="left" w:pos="-720"/>
              </w:tabs>
              <w:rPr>
                <w:sz w:val="20"/>
                <w:szCs w:val="20"/>
                <w:lang w:val="fr-CA"/>
              </w:rPr>
            </w:pPr>
            <w:r w:rsidRPr="00A953D4">
              <w:rPr>
                <w:sz w:val="20"/>
                <w:szCs w:val="20"/>
                <w:lang w:val="fr-CA"/>
              </w:rPr>
              <w:tab/>
            </w:r>
            <w:r w:rsidR="00A953D4">
              <w:rPr>
                <w:sz w:val="20"/>
                <w:szCs w:val="20"/>
                <w:lang w:val="fr-CA"/>
              </w:rPr>
              <w:t>P.G. du Canada</w:t>
            </w:r>
          </w:p>
          <w:p w:rsidR="00242AEE" w:rsidRPr="00A953D4" w:rsidRDefault="00242AEE" w:rsidP="003B3977">
            <w:pPr>
              <w:tabs>
                <w:tab w:val="left" w:pos="-1440"/>
                <w:tab w:val="left" w:pos="-720"/>
              </w:tabs>
              <w:rPr>
                <w:sz w:val="20"/>
                <w:szCs w:val="20"/>
                <w:lang w:val="fr-CA"/>
              </w:rPr>
            </w:pPr>
          </w:p>
          <w:p w:rsidR="00242AEE" w:rsidRPr="00A953D4" w:rsidRDefault="00242AEE" w:rsidP="003B3977">
            <w:pPr>
              <w:tabs>
                <w:tab w:val="left" w:pos="-1440"/>
                <w:tab w:val="left" w:pos="-720"/>
              </w:tabs>
              <w:rPr>
                <w:sz w:val="20"/>
                <w:szCs w:val="20"/>
                <w:lang w:val="fr-CA"/>
              </w:rPr>
            </w:pPr>
            <w:r w:rsidRPr="00A953D4">
              <w:rPr>
                <w:sz w:val="20"/>
                <w:szCs w:val="20"/>
                <w:lang w:val="fr-CA"/>
              </w:rPr>
              <w:tab/>
            </w:r>
            <w:r w:rsidR="00A953D4">
              <w:rPr>
                <w:sz w:val="20"/>
                <w:szCs w:val="20"/>
                <w:lang w:val="fr-CA"/>
              </w:rPr>
              <w:t>c</w:t>
            </w:r>
            <w:r w:rsidRPr="00A953D4">
              <w:rPr>
                <w:sz w:val="20"/>
                <w:szCs w:val="20"/>
                <w:lang w:val="fr-CA"/>
              </w:rPr>
              <w:t>. (3</w:t>
            </w:r>
            <w:r w:rsidR="002E3D9A" w:rsidRPr="00A953D4">
              <w:rPr>
                <w:sz w:val="20"/>
                <w:szCs w:val="20"/>
                <w:lang w:val="fr-CA"/>
              </w:rPr>
              <w:t>5</w:t>
            </w:r>
            <w:r w:rsidR="00A953D4">
              <w:rPr>
                <w:sz w:val="20"/>
                <w:szCs w:val="20"/>
                <w:lang w:val="fr-CA"/>
              </w:rPr>
              <w:t>124</w:t>
            </w:r>
            <w:r w:rsidRPr="00A953D4">
              <w:rPr>
                <w:sz w:val="20"/>
                <w:szCs w:val="20"/>
                <w:lang w:val="fr-CA"/>
              </w:rPr>
              <w:t>)</w:t>
            </w:r>
          </w:p>
          <w:p w:rsidR="00242AEE" w:rsidRPr="00A953D4" w:rsidRDefault="00242AEE" w:rsidP="003B3977">
            <w:pPr>
              <w:tabs>
                <w:tab w:val="left" w:pos="-1440"/>
                <w:tab w:val="left" w:pos="-720"/>
              </w:tabs>
              <w:rPr>
                <w:sz w:val="20"/>
                <w:szCs w:val="20"/>
                <w:lang w:val="fr-CA"/>
              </w:rPr>
            </w:pPr>
          </w:p>
          <w:p w:rsidR="00242AEE" w:rsidRPr="00A953D4" w:rsidRDefault="00A953D4" w:rsidP="003B3977">
            <w:pPr>
              <w:tabs>
                <w:tab w:val="left" w:pos="-1440"/>
                <w:tab w:val="left" w:pos="-720"/>
              </w:tabs>
              <w:rPr>
                <w:b/>
                <w:sz w:val="20"/>
                <w:szCs w:val="20"/>
                <w:lang w:val="fr-CA"/>
              </w:rPr>
            </w:pPr>
            <w:r w:rsidRPr="00A953D4">
              <w:rPr>
                <w:b/>
                <w:sz w:val="20"/>
                <w:szCs w:val="20"/>
                <w:lang w:val="fr-CA"/>
              </w:rPr>
              <w:t xml:space="preserve">Confédération des syndicats nationaux </w:t>
            </w:r>
            <w:r>
              <w:rPr>
                <w:b/>
                <w:sz w:val="20"/>
                <w:szCs w:val="20"/>
                <w:lang w:val="fr-CA"/>
              </w:rPr>
              <w:t xml:space="preserve">et autre </w:t>
            </w:r>
            <w:r w:rsidR="00242AEE" w:rsidRPr="00A953D4">
              <w:rPr>
                <w:b/>
                <w:sz w:val="20"/>
                <w:szCs w:val="20"/>
                <w:lang w:val="fr-CA"/>
              </w:rPr>
              <w:t>(</w:t>
            </w:r>
            <w:proofErr w:type="spellStart"/>
            <w:r w:rsidRPr="00A953D4">
              <w:rPr>
                <w:b/>
                <w:sz w:val="20"/>
                <w:szCs w:val="20"/>
                <w:lang w:val="fr-CA"/>
              </w:rPr>
              <w:t>Qc</w:t>
            </w:r>
            <w:proofErr w:type="spellEnd"/>
            <w:r w:rsidR="00242AEE" w:rsidRPr="00A953D4">
              <w:rPr>
                <w:b/>
                <w:sz w:val="20"/>
                <w:szCs w:val="20"/>
                <w:lang w:val="fr-CA"/>
              </w:rPr>
              <w:t>)</w:t>
            </w:r>
          </w:p>
          <w:p w:rsidR="00242AEE" w:rsidRPr="00A953D4" w:rsidRDefault="00242AEE" w:rsidP="003B3977">
            <w:pPr>
              <w:tabs>
                <w:tab w:val="left" w:pos="-1440"/>
                <w:tab w:val="left" w:pos="-720"/>
              </w:tabs>
              <w:rPr>
                <w:sz w:val="20"/>
                <w:szCs w:val="20"/>
                <w:lang w:val="fr-CA"/>
              </w:rPr>
            </w:pPr>
            <w:r w:rsidRPr="00A953D4">
              <w:rPr>
                <w:sz w:val="20"/>
                <w:szCs w:val="20"/>
                <w:lang w:val="fr-CA"/>
              </w:rPr>
              <w:tab/>
            </w:r>
            <w:r w:rsidR="00A953D4">
              <w:rPr>
                <w:sz w:val="20"/>
                <w:szCs w:val="20"/>
                <w:lang w:val="fr-CA"/>
              </w:rPr>
              <w:t>Guy Martin</w:t>
            </w:r>
          </w:p>
          <w:p w:rsidR="00242AEE" w:rsidRPr="00A953D4" w:rsidRDefault="00242AEE" w:rsidP="003B3977">
            <w:pPr>
              <w:tabs>
                <w:tab w:val="left" w:pos="-1440"/>
                <w:tab w:val="left" w:pos="-720"/>
              </w:tabs>
              <w:rPr>
                <w:sz w:val="20"/>
                <w:szCs w:val="20"/>
                <w:lang w:val="fr-CA"/>
              </w:rPr>
            </w:pPr>
            <w:r w:rsidRPr="00A953D4">
              <w:rPr>
                <w:sz w:val="20"/>
                <w:szCs w:val="20"/>
                <w:lang w:val="fr-CA"/>
              </w:rPr>
              <w:tab/>
            </w:r>
            <w:r w:rsidR="00A953D4">
              <w:rPr>
                <w:sz w:val="20"/>
                <w:szCs w:val="20"/>
                <w:lang w:val="fr-CA"/>
              </w:rPr>
              <w:t>Roy Évangéliste avocats</w:t>
            </w:r>
          </w:p>
          <w:p w:rsidR="00242AEE" w:rsidRPr="00A953D4" w:rsidRDefault="00242AEE" w:rsidP="003B3977">
            <w:pPr>
              <w:tabs>
                <w:tab w:val="left" w:pos="-1440"/>
                <w:tab w:val="left" w:pos="-720"/>
              </w:tabs>
              <w:rPr>
                <w:sz w:val="20"/>
                <w:szCs w:val="20"/>
                <w:lang w:val="fr-CA"/>
              </w:rPr>
            </w:pPr>
          </w:p>
          <w:p w:rsidR="00242AEE" w:rsidRPr="00A953D4" w:rsidRDefault="00242AEE" w:rsidP="003B3977">
            <w:pPr>
              <w:rPr>
                <w:sz w:val="20"/>
                <w:szCs w:val="20"/>
                <w:lang w:val="fr-CA"/>
              </w:rPr>
            </w:pPr>
            <w:r w:rsidRPr="00A953D4">
              <w:rPr>
                <w:sz w:val="20"/>
                <w:szCs w:val="20"/>
                <w:lang w:val="fr-CA"/>
              </w:rPr>
              <w:t>DATE</w:t>
            </w:r>
            <w:r w:rsidR="00A953D4" w:rsidRPr="00A953D4">
              <w:rPr>
                <w:sz w:val="20"/>
                <w:szCs w:val="20"/>
                <w:lang w:val="fr-CA"/>
              </w:rPr>
              <w:t xml:space="preserve"> DE PRODUCTION </w:t>
            </w:r>
            <w:r w:rsidRPr="00A953D4">
              <w:rPr>
                <w:sz w:val="20"/>
                <w:szCs w:val="20"/>
                <w:lang w:val="fr-CA"/>
              </w:rPr>
              <w:t xml:space="preserve">: </w:t>
            </w:r>
            <w:r w:rsidR="00A953D4" w:rsidRPr="00A953D4">
              <w:rPr>
                <w:sz w:val="20"/>
                <w:szCs w:val="20"/>
                <w:lang w:val="fr-CA"/>
              </w:rPr>
              <w:t>10</w:t>
            </w:r>
            <w:r w:rsidRPr="00A953D4">
              <w:rPr>
                <w:sz w:val="20"/>
                <w:szCs w:val="20"/>
                <w:lang w:val="fr-CA"/>
              </w:rPr>
              <w:t>.</w:t>
            </w:r>
            <w:r w:rsidR="002E3D9A" w:rsidRPr="00A953D4">
              <w:rPr>
                <w:sz w:val="20"/>
                <w:szCs w:val="20"/>
                <w:lang w:val="fr-CA"/>
              </w:rPr>
              <w:t>12</w:t>
            </w:r>
            <w:r w:rsidRPr="00A953D4">
              <w:rPr>
                <w:sz w:val="20"/>
                <w:szCs w:val="20"/>
                <w:lang w:val="fr-CA"/>
              </w:rPr>
              <w:t>.201</w:t>
            </w:r>
            <w:r w:rsidR="002E3D9A" w:rsidRPr="00A953D4">
              <w:rPr>
                <w:sz w:val="20"/>
                <w:szCs w:val="20"/>
                <w:lang w:val="fr-CA"/>
              </w:rPr>
              <w:t>2</w:t>
            </w:r>
          </w:p>
          <w:p w:rsidR="00242AEE" w:rsidRPr="00A935AA" w:rsidRDefault="007F0A1D" w:rsidP="003B3977">
            <w:pPr>
              <w:rPr>
                <w:sz w:val="20"/>
                <w:szCs w:val="20"/>
              </w:rPr>
            </w:pPr>
            <w:r w:rsidRPr="007F0A1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953D4" w:rsidP="003B3977">
            <w:pPr>
              <w:keepNext/>
              <w:keepLines/>
              <w:tabs>
                <w:tab w:val="left" w:pos="-1440"/>
                <w:tab w:val="left" w:pos="-720"/>
              </w:tabs>
              <w:rPr>
                <w:b/>
                <w:sz w:val="20"/>
                <w:szCs w:val="20"/>
              </w:rPr>
            </w:pPr>
            <w:r>
              <w:rPr>
                <w:b/>
                <w:sz w:val="20"/>
                <w:szCs w:val="20"/>
              </w:rPr>
              <w:t>William Edward Henderson</w:t>
            </w:r>
          </w:p>
          <w:p w:rsidR="00242AEE" w:rsidRPr="00A935AA" w:rsidRDefault="00242AEE" w:rsidP="003B3977">
            <w:pPr>
              <w:keepNext/>
              <w:keepLines/>
              <w:tabs>
                <w:tab w:val="left" w:pos="-1440"/>
                <w:tab w:val="left" w:pos="-720"/>
              </w:tabs>
              <w:rPr>
                <w:sz w:val="20"/>
                <w:szCs w:val="20"/>
              </w:rPr>
            </w:pPr>
            <w:r w:rsidRPr="00A935AA">
              <w:rPr>
                <w:sz w:val="20"/>
                <w:szCs w:val="20"/>
              </w:rPr>
              <w:tab/>
            </w:r>
            <w:r w:rsidR="00A953D4">
              <w:rPr>
                <w:sz w:val="20"/>
                <w:szCs w:val="20"/>
              </w:rPr>
              <w:t>Martin D. Glazer</w:t>
            </w:r>
          </w:p>
          <w:p w:rsidR="00242AEE" w:rsidRPr="00A935AA" w:rsidRDefault="00242AEE" w:rsidP="003B3977">
            <w:pPr>
              <w:keepNext/>
              <w:keepLines/>
              <w:tabs>
                <w:tab w:val="left" w:pos="-1440"/>
                <w:tab w:val="left" w:pos="-720"/>
              </w:tabs>
              <w:rPr>
                <w:sz w:val="20"/>
                <w:szCs w:val="20"/>
              </w:rPr>
            </w:pPr>
          </w:p>
          <w:p w:rsidR="00242AEE" w:rsidRPr="00A953D4" w:rsidRDefault="00242AEE" w:rsidP="003B3977">
            <w:pPr>
              <w:keepNext/>
              <w:keepLines/>
              <w:tabs>
                <w:tab w:val="left" w:pos="-1440"/>
                <w:tab w:val="left" w:pos="-720"/>
              </w:tabs>
              <w:rPr>
                <w:sz w:val="20"/>
                <w:szCs w:val="20"/>
              </w:rPr>
            </w:pPr>
            <w:r w:rsidRPr="00A935AA">
              <w:rPr>
                <w:sz w:val="20"/>
                <w:szCs w:val="20"/>
              </w:rPr>
              <w:tab/>
            </w:r>
            <w:r w:rsidRPr="00A953D4">
              <w:rPr>
                <w:sz w:val="20"/>
                <w:szCs w:val="20"/>
              </w:rPr>
              <w:t>v. (3</w:t>
            </w:r>
            <w:r w:rsidR="002E3D9A" w:rsidRPr="00A953D4">
              <w:rPr>
                <w:sz w:val="20"/>
                <w:szCs w:val="20"/>
              </w:rPr>
              <w:t>5</w:t>
            </w:r>
            <w:r w:rsidR="00A953D4">
              <w:rPr>
                <w:sz w:val="20"/>
                <w:szCs w:val="20"/>
              </w:rPr>
              <w:t>125</w:t>
            </w:r>
            <w:r w:rsidRPr="00A953D4">
              <w:rPr>
                <w:sz w:val="20"/>
                <w:szCs w:val="20"/>
              </w:rPr>
              <w:t>)</w:t>
            </w:r>
          </w:p>
          <w:p w:rsidR="00242AEE" w:rsidRPr="00A953D4" w:rsidRDefault="00242AEE" w:rsidP="003B3977">
            <w:pPr>
              <w:keepNext/>
              <w:keepLines/>
              <w:tabs>
                <w:tab w:val="left" w:pos="-1440"/>
                <w:tab w:val="left" w:pos="-720"/>
              </w:tabs>
              <w:rPr>
                <w:sz w:val="20"/>
                <w:szCs w:val="20"/>
              </w:rPr>
            </w:pPr>
          </w:p>
          <w:p w:rsidR="00242AEE" w:rsidRPr="00A953D4" w:rsidRDefault="00A953D4" w:rsidP="003B3977">
            <w:pPr>
              <w:keepNext/>
              <w:keepLines/>
              <w:tabs>
                <w:tab w:val="left" w:pos="-1440"/>
                <w:tab w:val="left" w:pos="-720"/>
              </w:tabs>
              <w:rPr>
                <w:b/>
                <w:sz w:val="20"/>
                <w:szCs w:val="20"/>
              </w:rPr>
            </w:pPr>
            <w:r>
              <w:rPr>
                <w:b/>
                <w:sz w:val="20"/>
                <w:szCs w:val="20"/>
              </w:rPr>
              <w:t xml:space="preserve">Her Majesty the Queen in Right of the Province of Manitoba </w:t>
            </w:r>
            <w:r w:rsidR="00242AEE" w:rsidRPr="00A953D4">
              <w:rPr>
                <w:b/>
                <w:sz w:val="20"/>
                <w:szCs w:val="20"/>
              </w:rPr>
              <w:t>(</w:t>
            </w:r>
            <w:r>
              <w:rPr>
                <w:b/>
                <w:sz w:val="20"/>
                <w:szCs w:val="20"/>
              </w:rPr>
              <w:t>Ma</w:t>
            </w:r>
            <w:r w:rsidR="00242AEE" w:rsidRPr="00A953D4">
              <w:rPr>
                <w:b/>
                <w:sz w:val="20"/>
                <w:szCs w:val="20"/>
              </w:rPr>
              <w:t>n.)</w:t>
            </w:r>
          </w:p>
          <w:p w:rsidR="00242AEE" w:rsidRPr="00A953D4" w:rsidRDefault="00242AEE" w:rsidP="003B3977">
            <w:pPr>
              <w:keepNext/>
              <w:keepLines/>
              <w:tabs>
                <w:tab w:val="left" w:pos="-1440"/>
                <w:tab w:val="left" w:pos="-720"/>
              </w:tabs>
              <w:rPr>
                <w:sz w:val="20"/>
                <w:szCs w:val="20"/>
              </w:rPr>
            </w:pPr>
            <w:r w:rsidRPr="00A953D4">
              <w:rPr>
                <w:sz w:val="20"/>
                <w:szCs w:val="20"/>
              </w:rPr>
              <w:tab/>
            </w:r>
            <w:r w:rsidR="00A953D4">
              <w:rPr>
                <w:sz w:val="20"/>
                <w:szCs w:val="20"/>
              </w:rPr>
              <w:t xml:space="preserve">Christopher </w:t>
            </w:r>
            <w:proofErr w:type="spellStart"/>
            <w:r w:rsidR="00A953D4">
              <w:rPr>
                <w:sz w:val="20"/>
                <w:szCs w:val="20"/>
              </w:rPr>
              <w:t>Vanderhooft</w:t>
            </w:r>
            <w:proofErr w:type="spellEnd"/>
          </w:p>
          <w:p w:rsidR="00242AEE" w:rsidRPr="00A953D4" w:rsidRDefault="00242AEE" w:rsidP="003B3977">
            <w:pPr>
              <w:keepNext/>
              <w:keepLines/>
              <w:tabs>
                <w:tab w:val="left" w:pos="-1440"/>
                <w:tab w:val="left" w:pos="-720"/>
              </w:tabs>
              <w:rPr>
                <w:sz w:val="20"/>
                <w:szCs w:val="20"/>
              </w:rPr>
            </w:pPr>
            <w:r w:rsidRPr="00A953D4">
              <w:rPr>
                <w:sz w:val="20"/>
                <w:szCs w:val="20"/>
              </w:rPr>
              <w:tab/>
            </w:r>
            <w:r w:rsidR="00A953D4">
              <w:rPr>
                <w:sz w:val="20"/>
                <w:szCs w:val="20"/>
              </w:rPr>
              <w:t>A.G. of Manitoba</w:t>
            </w:r>
          </w:p>
          <w:p w:rsidR="00242AEE" w:rsidRPr="00A953D4" w:rsidRDefault="00242AEE" w:rsidP="003B3977">
            <w:pPr>
              <w:keepNext/>
              <w:keepLines/>
              <w:tabs>
                <w:tab w:val="left" w:pos="-1440"/>
                <w:tab w:val="left" w:pos="-720"/>
              </w:tabs>
              <w:rPr>
                <w:sz w:val="20"/>
                <w:szCs w:val="20"/>
              </w:rPr>
            </w:pPr>
          </w:p>
          <w:p w:rsidR="00242AEE" w:rsidRPr="00A935AA" w:rsidRDefault="00242AEE" w:rsidP="00A953D4">
            <w:pPr>
              <w:rPr>
                <w:sz w:val="20"/>
                <w:szCs w:val="20"/>
              </w:rPr>
            </w:pPr>
            <w:r w:rsidRPr="00A935AA">
              <w:rPr>
                <w:sz w:val="20"/>
                <w:szCs w:val="20"/>
              </w:rPr>
              <w:t xml:space="preserve">FILING DATE: </w:t>
            </w:r>
            <w:r w:rsidR="00A953D4">
              <w:rPr>
                <w:sz w:val="20"/>
                <w:szCs w:val="20"/>
              </w:rPr>
              <w:t>10</w:t>
            </w:r>
            <w:r w:rsidRPr="00A935AA">
              <w:rPr>
                <w:sz w:val="20"/>
                <w:szCs w:val="20"/>
              </w:rPr>
              <w:t>.</w:t>
            </w:r>
            <w:r w:rsidR="002E3D9A">
              <w:rPr>
                <w:sz w:val="20"/>
                <w:szCs w:val="20"/>
              </w:rPr>
              <w:t>12</w:t>
            </w:r>
            <w:r w:rsidRPr="00A935AA">
              <w:rPr>
                <w:sz w:val="20"/>
                <w:szCs w:val="20"/>
              </w:rPr>
              <w:t>.201</w:t>
            </w:r>
            <w:r w:rsidR="002E3D9A">
              <w:rPr>
                <w:sz w:val="20"/>
                <w:szCs w:val="20"/>
              </w:rPr>
              <w:t>2</w:t>
            </w:r>
            <w:r w:rsidR="007F0A1D" w:rsidRPr="007F0A1D">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75EC1">
          <w:headerReference w:type="default" r:id="rId10"/>
          <w:footerReference w:type="default" r:id="rId11"/>
          <w:headerReference w:type="first" r:id="rId12"/>
          <w:footerReference w:type="first" r:id="rId13"/>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549C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BE1CFB">
              <w:rPr>
                <w:b/>
                <w:szCs w:val="24"/>
                <w:lang w:val="fr-CA"/>
              </w:rPr>
              <w:t>DEMANDES SOUMISES À LA COUR DEPUIS LA DERNIÈRE PARU</w:t>
            </w:r>
            <w:r w:rsidRPr="001D0D5F">
              <w:rPr>
                <w:b/>
                <w:szCs w:val="24"/>
                <w:lang w:val="fr-CA"/>
              </w:rPr>
              <w:t>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5F23DE" w:rsidP="004B7F60">
      <w:pPr>
        <w:widowControl w:val="0"/>
        <w:rPr>
          <w:b/>
          <w:sz w:val="20"/>
          <w:szCs w:val="20"/>
        </w:rPr>
      </w:pPr>
      <w:r>
        <w:rPr>
          <w:b/>
          <w:sz w:val="20"/>
          <w:szCs w:val="20"/>
        </w:rPr>
        <w:t>DECEM</w:t>
      </w:r>
      <w:r w:rsidR="004B7F60">
        <w:rPr>
          <w:b/>
          <w:sz w:val="20"/>
          <w:szCs w:val="20"/>
        </w:rPr>
        <w:t>BER</w:t>
      </w:r>
      <w:r w:rsidR="004B7F60" w:rsidRPr="00C50A5C">
        <w:rPr>
          <w:b/>
          <w:sz w:val="20"/>
          <w:szCs w:val="20"/>
        </w:rPr>
        <w:t xml:space="preserve"> </w:t>
      </w:r>
      <w:r>
        <w:rPr>
          <w:b/>
          <w:sz w:val="20"/>
          <w:szCs w:val="20"/>
        </w:rPr>
        <w:t>31</w:t>
      </w:r>
      <w:r w:rsidR="004B7F60" w:rsidRPr="00C50A5C">
        <w:rPr>
          <w:b/>
          <w:sz w:val="20"/>
          <w:szCs w:val="20"/>
        </w:rPr>
        <w:t>, 201</w:t>
      </w:r>
      <w:r w:rsidR="0062714A">
        <w:rPr>
          <w:b/>
          <w:sz w:val="20"/>
          <w:szCs w:val="20"/>
        </w:rPr>
        <w:t>2</w:t>
      </w:r>
      <w:r w:rsidR="004B7F60" w:rsidRPr="00C50A5C">
        <w:rPr>
          <w:b/>
          <w:sz w:val="20"/>
          <w:szCs w:val="20"/>
        </w:rPr>
        <w:t xml:space="preserve"> / LE </w:t>
      </w:r>
      <w:r>
        <w:rPr>
          <w:b/>
          <w:sz w:val="20"/>
          <w:szCs w:val="20"/>
        </w:rPr>
        <w:t>31</w:t>
      </w:r>
      <w:r w:rsidR="004B7F60">
        <w:rPr>
          <w:b/>
          <w:sz w:val="20"/>
          <w:szCs w:val="20"/>
        </w:rPr>
        <w:t xml:space="preserve"> </w:t>
      </w:r>
      <w:r>
        <w:rPr>
          <w:b/>
          <w:sz w:val="20"/>
          <w:szCs w:val="20"/>
        </w:rPr>
        <w:t>DÉCEM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BE1CFB" w:rsidP="004B7F60">
      <w:pPr>
        <w:pStyle w:val="ListParagraph"/>
        <w:widowControl w:val="0"/>
        <w:numPr>
          <w:ilvl w:val="0"/>
          <w:numId w:val="1"/>
        </w:numPr>
        <w:ind w:hanging="720"/>
        <w:jc w:val="both"/>
        <w:rPr>
          <w:sz w:val="20"/>
          <w:szCs w:val="20"/>
        </w:rPr>
      </w:pPr>
      <w:r w:rsidRPr="00BE1CFB">
        <w:rPr>
          <w:i/>
          <w:sz w:val="20"/>
          <w:szCs w:val="20"/>
        </w:rPr>
        <w:t>Canadian Union of Skilled Workers et al. v. Independent Electricity System Operator et al.</w:t>
      </w:r>
      <w:r w:rsidRPr="00BE1CFB">
        <w:rPr>
          <w:sz w:val="20"/>
          <w:szCs w:val="20"/>
        </w:rPr>
        <w:t xml:space="preserve"> (Ont.) (Civil) (By</w:t>
      </w:r>
      <w:r>
        <w:rPr>
          <w:sz w:val="20"/>
          <w:szCs w:val="20"/>
        </w:rPr>
        <w:t> </w:t>
      </w:r>
      <w:r w:rsidRPr="00BE1CFB">
        <w:rPr>
          <w:sz w:val="20"/>
          <w:szCs w:val="20"/>
        </w:rPr>
        <w:t>Leave)</w:t>
      </w:r>
      <w:r w:rsidRPr="00C50A5C">
        <w:rPr>
          <w:sz w:val="20"/>
          <w:szCs w:val="20"/>
        </w:rPr>
        <w:t xml:space="preserve"> </w:t>
      </w:r>
      <w:r w:rsidR="004B7F60" w:rsidRPr="00C50A5C">
        <w:rPr>
          <w:sz w:val="20"/>
          <w:szCs w:val="20"/>
        </w:rPr>
        <w:t>(3</w:t>
      </w:r>
      <w:r w:rsidR="004B7F60">
        <w:rPr>
          <w:sz w:val="20"/>
          <w:szCs w:val="20"/>
        </w:rPr>
        <w:t>4</w:t>
      </w:r>
      <w:r>
        <w:rPr>
          <w:sz w:val="20"/>
          <w:szCs w:val="20"/>
        </w:rPr>
        <w:t>9</w:t>
      </w:r>
      <w:r w:rsidR="004B7F60">
        <w:rPr>
          <w:sz w:val="20"/>
          <w:szCs w:val="20"/>
        </w:rPr>
        <w:t>1</w:t>
      </w:r>
      <w:r>
        <w:rPr>
          <w:sz w:val="20"/>
          <w:szCs w:val="20"/>
        </w:rPr>
        <w:t>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BE1CFB" w:rsidP="004B7F60">
      <w:pPr>
        <w:pStyle w:val="ListParagraph"/>
        <w:widowControl w:val="0"/>
        <w:numPr>
          <w:ilvl w:val="0"/>
          <w:numId w:val="1"/>
        </w:numPr>
        <w:ind w:hanging="720"/>
        <w:jc w:val="both"/>
        <w:rPr>
          <w:sz w:val="20"/>
          <w:szCs w:val="20"/>
        </w:rPr>
      </w:pPr>
      <w:r>
        <w:rPr>
          <w:i/>
          <w:sz w:val="20"/>
          <w:szCs w:val="20"/>
        </w:rPr>
        <w:t xml:space="preserve">Sandra </w:t>
      </w:r>
      <w:proofErr w:type="spellStart"/>
      <w:r>
        <w:rPr>
          <w:i/>
          <w:sz w:val="20"/>
          <w:szCs w:val="20"/>
        </w:rPr>
        <w:t>Buscha</w:t>
      </w:r>
      <w:proofErr w:type="spellEnd"/>
      <w:r w:rsidRPr="00BE1CFB">
        <w:rPr>
          <w:i/>
          <w:sz w:val="20"/>
          <w:szCs w:val="20"/>
        </w:rPr>
        <w:t xml:space="preserve"> et al. v. Rogers Communications Incorporated</w:t>
      </w:r>
      <w:r w:rsidRPr="00BE1CFB">
        <w:rPr>
          <w:sz w:val="20"/>
          <w:szCs w:val="20"/>
        </w:rPr>
        <w:t xml:space="preserve"> (F</w:t>
      </w:r>
      <w:r>
        <w:rPr>
          <w:sz w:val="20"/>
          <w:szCs w:val="20"/>
        </w:rPr>
        <w:t>.</w:t>
      </w:r>
      <w:r w:rsidRPr="00BE1CFB">
        <w:rPr>
          <w:sz w:val="20"/>
          <w:szCs w:val="20"/>
        </w:rPr>
        <w:t>C</w:t>
      </w:r>
      <w:r>
        <w:rPr>
          <w:sz w:val="20"/>
          <w:szCs w:val="20"/>
        </w:rPr>
        <w:t>.</w:t>
      </w:r>
      <w:r w:rsidRPr="00BE1CFB">
        <w:rPr>
          <w:sz w:val="20"/>
          <w:szCs w:val="20"/>
        </w:rPr>
        <w:t>) (Civil) (By Leave)</w:t>
      </w:r>
      <w:r w:rsidRPr="00C612D0">
        <w:rPr>
          <w:sz w:val="20"/>
          <w:szCs w:val="20"/>
        </w:rPr>
        <w:t xml:space="preserve"> </w:t>
      </w:r>
      <w:r w:rsidR="004B7F60" w:rsidRPr="00C612D0">
        <w:rPr>
          <w:sz w:val="20"/>
          <w:szCs w:val="20"/>
        </w:rPr>
        <w:t>(3</w:t>
      </w:r>
      <w:r>
        <w:rPr>
          <w:sz w:val="20"/>
          <w:szCs w:val="20"/>
        </w:rPr>
        <w:t>50</w:t>
      </w:r>
      <w:r w:rsidR="004B7F60" w:rsidRPr="00C612D0">
        <w:rPr>
          <w:sz w:val="20"/>
          <w:szCs w:val="20"/>
        </w:rPr>
        <w:t>42)</w:t>
      </w:r>
    </w:p>
    <w:p w:rsidR="004B7F60" w:rsidRDefault="004B7F60" w:rsidP="004B7F60">
      <w:pPr>
        <w:widowControl w:val="0"/>
        <w:jc w:val="both"/>
        <w:rPr>
          <w:sz w:val="20"/>
          <w:szCs w:val="20"/>
        </w:rPr>
      </w:pPr>
    </w:p>
    <w:p w:rsidR="00BE1CFB" w:rsidRDefault="00BE1CFB" w:rsidP="004B7F60">
      <w:pPr>
        <w:widowControl w:val="0"/>
        <w:jc w:val="both"/>
        <w:rPr>
          <w:sz w:val="20"/>
          <w:szCs w:val="20"/>
        </w:rPr>
      </w:pPr>
    </w:p>
    <w:p w:rsidR="00BE1CFB" w:rsidRPr="00C50A5C" w:rsidRDefault="00BE1CFB" w:rsidP="00BE1CFB">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BE1CFB" w:rsidRPr="00C50A5C" w:rsidRDefault="00BE1CFB" w:rsidP="00BE1CFB">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BE1CFB" w:rsidRPr="00C16CB3" w:rsidRDefault="00BE1CFB" w:rsidP="00BE1CFB">
      <w:pPr>
        <w:widowControl w:val="0"/>
        <w:jc w:val="both"/>
        <w:rPr>
          <w:sz w:val="20"/>
          <w:szCs w:val="20"/>
          <w:lang w:val="fr-CA"/>
        </w:rPr>
      </w:pPr>
    </w:p>
    <w:p w:rsidR="004B7F60" w:rsidRPr="00C50A5C" w:rsidRDefault="00BE1CFB" w:rsidP="004B7F60">
      <w:pPr>
        <w:pStyle w:val="ListParagraph"/>
        <w:widowControl w:val="0"/>
        <w:numPr>
          <w:ilvl w:val="0"/>
          <w:numId w:val="1"/>
        </w:numPr>
        <w:ind w:hanging="720"/>
        <w:jc w:val="both"/>
        <w:rPr>
          <w:sz w:val="20"/>
          <w:szCs w:val="20"/>
        </w:rPr>
      </w:pPr>
      <w:r w:rsidRPr="00BE1CFB">
        <w:rPr>
          <w:i/>
          <w:sz w:val="20"/>
          <w:szCs w:val="20"/>
        </w:rPr>
        <w:t xml:space="preserve">Jorge Sosa also known as Jorge </w:t>
      </w:r>
      <w:proofErr w:type="spellStart"/>
      <w:r w:rsidRPr="00BE1CFB">
        <w:rPr>
          <w:i/>
          <w:sz w:val="20"/>
          <w:szCs w:val="20"/>
        </w:rPr>
        <w:t>Vinicio</w:t>
      </w:r>
      <w:proofErr w:type="spellEnd"/>
      <w:r w:rsidRPr="00BE1CFB">
        <w:rPr>
          <w:i/>
          <w:sz w:val="20"/>
          <w:szCs w:val="20"/>
        </w:rPr>
        <w:t xml:space="preserve"> Sosa </w:t>
      </w:r>
      <w:proofErr w:type="spellStart"/>
      <w:r w:rsidRPr="00BE1CFB">
        <w:rPr>
          <w:i/>
          <w:sz w:val="20"/>
          <w:szCs w:val="20"/>
        </w:rPr>
        <w:t>Orantes</w:t>
      </w:r>
      <w:proofErr w:type="spellEnd"/>
      <w:r w:rsidRPr="00BE1CFB">
        <w:rPr>
          <w:i/>
          <w:sz w:val="20"/>
          <w:szCs w:val="20"/>
        </w:rPr>
        <w:t xml:space="preserve"> v. Attorney General of Canada (On behalf of the United States of America)</w:t>
      </w:r>
      <w:r w:rsidRPr="00BE1CFB">
        <w:rPr>
          <w:sz w:val="20"/>
          <w:szCs w:val="20"/>
        </w:rPr>
        <w:t xml:space="preserve"> (Alta.) (Crim</w:t>
      </w:r>
      <w:r>
        <w:rPr>
          <w:sz w:val="20"/>
          <w:szCs w:val="20"/>
        </w:rPr>
        <w:t>.</w:t>
      </w:r>
      <w:r w:rsidRPr="00BE1CFB">
        <w:rPr>
          <w:sz w:val="20"/>
          <w:szCs w:val="20"/>
        </w:rPr>
        <w:t>) (By Leave)</w:t>
      </w:r>
      <w:r w:rsidRPr="00940CAD">
        <w:rPr>
          <w:sz w:val="20"/>
          <w:szCs w:val="20"/>
        </w:rPr>
        <w:t xml:space="preserve"> </w:t>
      </w:r>
      <w:r w:rsidR="004B7F60" w:rsidRPr="00940CAD">
        <w:rPr>
          <w:sz w:val="20"/>
          <w:szCs w:val="20"/>
        </w:rPr>
        <w:t>(3</w:t>
      </w:r>
      <w:r>
        <w:rPr>
          <w:sz w:val="20"/>
          <w:szCs w:val="20"/>
        </w:rPr>
        <w:t>5047</w:t>
      </w:r>
      <w:r w:rsidR="004B7F60" w:rsidRPr="00940CAD">
        <w:rPr>
          <w:sz w:val="20"/>
          <w:szCs w:val="20"/>
        </w:rPr>
        <w:t>)</w:t>
      </w:r>
    </w:p>
    <w:p w:rsidR="004B7F60" w:rsidRPr="00C50A5C" w:rsidRDefault="004B7F60" w:rsidP="004B7F60">
      <w:pPr>
        <w:widowControl w:val="0"/>
        <w:rPr>
          <w:sz w:val="20"/>
          <w:szCs w:val="20"/>
        </w:rPr>
      </w:pPr>
    </w:p>
    <w:p w:rsidR="004B7F60" w:rsidRPr="00BE1CFB" w:rsidRDefault="00BE1CFB" w:rsidP="004B7F60">
      <w:pPr>
        <w:pStyle w:val="ListParagraph"/>
        <w:widowControl w:val="0"/>
        <w:numPr>
          <w:ilvl w:val="0"/>
          <w:numId w:val="1"/>
        </w:numPr>
        <w:ind w:hanging="720"/>
        <w:jc w:val="both"/>
        <w:rPr>
          <w:sz w:val="20"/>
          <w:szCs w:val="20"/>
          <w:lang w:val="fr-CA"/>
        </w:rPr>
      </w:pPr>
      <w:r w:rsidRPr="00BE1CFB">
        <w:rPr>
          <w:i/>
          <w:sz w:val="20"/>
          <w:szCs w:val="20"/>
          <w:lang w:val="fr-CA"/>
        </w:rPr>
        <w:t xml:space="preserve">Hélène </w:t>
      </w:r>
      <w:proofErr w:type="spellStart"/>
      <w:r w:rsidRPr="00BE1CFB">
        <w:rPr>
          <w:i/>
          <w:sz w:val="20"/>
          <w:szCs w:val="20"/>
          <w:lang w:val="fr-CA"/>
        </w:rPr>
        <w:t>Plasse</w:t>
      </w:r>
      <w:proofErr w:type="spellEnd"/>
      <w:r w:rsidRPr="00BE1CFB">
        <w:rPr>
          <w:i/>
          <w:sz w:val="20"/>
          <w:szCs w:val="20"/>
          <w:lang w:val="fr-CA"/>
        </w:rPr>
        <w:t xml:space="preserve"> c. Ville de St-Jean-sur-Richelieu</w:t>
      </w:r>
      <w:r w:rsidRPr="00BE1CFB">
        <w:rPr>
          <w:sz w:val="20"/>
          <w:szCs w:val="20"/>
          <w:lang w:val="fr-CA"/>
        </w:rPr>
        <w:t xml:space="preserve"> (</w:t>
      </w:r>
      <w:proofErr w:type="spellStart"/>
      <w:r w:rsidRPr="00BE1CFB">
        <w:rPr>
          <w:sz w:val="20"/>
          <w:szCs w:val="20"/>
          <w:lang w:val="fr-CA"/>
        </w:rPr>
        <w:t>Qc</w:t>
      </w:r>
      <w:proofErr w:type="spellEnd"/>
      <w:r w:rsidRPr="00BE1CFB">
        <w:rPr>
          <w:sz w:val="20"/>
          <w:szCs w:val="20"/>
          <w:lang w:val="fr-CA"/>
        </w:rPr>
        <w:t xml:space="preserve">) (Civile) (Autorisation) </w:t>
      </w:r>
      <w:r w:rsidR="004B7F60" w:rsidRPr="00BE1CFB">
        <w:rPr>
          <w:sz w:val="20"/>
          <w:szCs w:val="20"/>
          <w:lang w:val="fr-CA"/>
        </w:rPr>
        <w:t>(3</w:t>
      </w:r>
      <w:r w:rsidRPr="00BE1CFB">
        <w:rPr>
          <w:sz w:val="20"/>
          <w:szCs w:val="20"/>
          <w:lang w:val="fr-CA"/>
        </w:rPr>
        <w:t>5087</w:t>
      </w:r>
      <w:r w:rsidR="004B7F60" w:rsidRPr="00BE1CFB">
        <w:rPr>
          <w:sz w:val="20"/>
          <w:szCs w:val="20"/>
          <w:lang w:val="fr-CA"/>
        </w:rPr>
        <w:t>)</w:t>
      </w:r>
    </w:p>
    <w:p w:rsidR="004B7F60" w:rsidRPr="00BE1CFB" w:rsidRDefault="004B7F60" w:rsidP="004B7F60">
      <w:pPr>
        <w:widowControl w:val="0"/>
        <w:jc w:val="both"/>
        <w:rPr>
          <w:sz w:val="20"/>
          <w:szCs w:val="20"/>
          <w:lang w:val="fr-CA"/>
        </w:rPr>
      </w:pPr>
    </w:p>
    <w:p w:rsidR="004B7F60" w:rsidRPr="00BE1CFB" w:rsidRDefault="004B7F60" w:rsidP="004B7F60">
      <w:pPr>
        <w:widowControl w:val="0"/>
        <w:jc w:val="both"/>
        <w:rPr>
          <w:sz w:val="20"/>
          <w:szCs w:val="20"/>
          <w:lang w:val="fr-CA"/>
        </w:rPr>
      </w:pPr>
    </w:p>
    <w:p w:rsidR="00BE1CFB" w:rsidRPr="00C50A5C" w:rsidRDefault="00BE1CFB" w:rsidP="00BE1CFB">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BE1CFB" w:rsidRPr="00C50A5C" w:rsidRDefault="00BE1CFB" w:rsidP="00BE1CFB">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BE1CFB" w:rsidRPr="00BE1CFB" w:rsidRDefault="00BE1CFB" w:rsidP="004B7F60">
      <w:pPr>
        <w:widowControl w:val="0"/>
        <w:jc w:val="both"/>
        <w:rPr>
          <w:sz w:val="20"/>
          <w:szCs w:val="20"/>
          <w:lang w:val="fr-CA"/>
        </w:rPr>
      </w:pPr>
    </w:p>
    <w:p w:rsidR="004B7F60" w:rsidRPr="00C612D0" w:rsidRDefault="00BE1CFB" w:rsidP="004B7F60">
      <w:pPr>
        <w:pStyle w:val="ListParagraph"/>
        <w:widowControl w:val="0"/>
        <w:numPr>
          <w:ilvl w:val="0"/>
          <w:numId w:val="1"/>
        </w:numPr>
        <w:ind w:hanging="720"/>
        <w:jc w:val="both"/>
        <w:rPr>
          <w:sz w:val="20"/>
          <w:szCs w:val="20"/>
          <w:lang w:val="fr-CA"/>
        </w:rPr>
      </w:pPr>
      <w:proofErr w:type="spellStart"/>
      <w:r w:rsidRPr="00BE1CFB">
        <w:rPr>
          <w:i/>
          <w:sz w:val="20"/>
          <w:szCs w:val="20"/>
        </w:rPr>
        <w:t>Inderjit</w:t>
      </w:r>
      <w:proofErr w:type="spellEnd"/>
      <w:r w:rsidRPr="00BE1CFB">
        <w:rPr>
          <w:i/>
          <w:sz w:val="20"/>
          <w:szCs w:val="20"/>
        </w:rPr>
        <w:t xml:space="preserve"> Singh </w:t>
      </w:r>
      <w:proofErr w:type="spellStart"/>
      <w:r w:rsidRPr="00BE1CFB">
        <w:rPr>
          <w:i/>
          <w:sz w:val="20"/>
          <w:szCs w:val="20"/>
        </w:rPr>
        <w:t>Reyat</w:t>
      </w:r>
      <w:proofErr w:type="spellEnd"/>
      <w:r w:rsidRPr="00BE1CFB">
        <w:rPr>
          <w:i/>
          <w:sz w:val="20"/>
          <w:szCs w:val="20"/>
        </w:rPr>
        <w:t xml:space="preserve"> v. Her Majesty the Queen</w:t>
      </w:r>
      <w:r w:rsidRPr="00BE1CFB">
        <w:rPr>
          <w:sz w:val="20"/>
          <w:szCs w:val="20"/>
        </w:rPr>
        <w:t xml:space="preserve"> (B.C.) (Crim</w:t>
      </w:r>
      <w:r>
        <w:rPr>
          <w:sz w:val="20"/>
          <w:szCs w:val="20"/>
        </w:rPr>
        <w:t>.</w:t>
      </w:r>
      <w:r w:rsidRPr="00BE1CFB">
        <w:rPr>
          <w:sz w:val="20"/>
          <w:szCs w:val="20"/>
        </w:rPr>
        <w:t>) (By Leave)</w:t>
      </w:r>
      <w:r w:rsidRPr="00C612D0">
        <w:rPr>
          <w:sz w:val="20"/>
          <w:szCs w:val="20"/>
          <w:lang w:val="fr-CA"/>
        </w:rPr>
        <w:t xml:space="preserve"> </w:t>
      </w:r>
      <w:r w:rsidR="004B7F60" w:rsidRPr="00C612D0">
        <w:rPr>
          <w:sz w:val="20"/>
          <w:szCs w:val="20"/>
          <w:lang w:val="fr-CA"/>
        </w:rPr>
        <w:t>(3</w:t>
      </w:r>
      <w:r>
        <w:rPr>
          <w:sz w:val="20"/>
          <w:szCs w:val="20"/>
          <w:lang w:val="fr-CA"/>
        </w:rPr>
        <w:t>50</w:t>
      </w:r>
      <w:r w:rsidR="004B7F60" w:rsidRPr="00C612D0">
        <w:rPr>
          <w:sz w:val="20"/>
          <w:szCs w:val="20"/>
          <w:lang w:val="fr-CA"/>
        </w:rPr>
        <w:t>3</w:t>
      </w:r>
      <w:r>
        <w:rPr>
          <w:sz w:val="20"/>
          <w:szCs w:val="20"/>
          <w:lang w:val="fr-CA"/>
        </w:rPr>
        <w:t>0</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BE1CFB" w:rsidP="004B7F60">
      <w:pPr>
        <w:pStyle w:val="ListParagraph"/>
        <w:widowControl w:val="0"/>
        <w:numPr>
          <w:ilvl w:val="0"/>
          <w:numId w:val="1"/>
        </w:numPr>
        <w:ind w:hanging="720"/>
        <w:jc w:val="both"/>
        <w:rPr>
          <w:sz w:val="20"/>
          <w:szCs w:val="20"/>
          <w:lang w:val="fr-CA"/>
        </w:rPr>
      </w:pPr>
      <w:r w:rsidRPr="00BE1CFB">
        <w:rPr>
          <w:i/>
          <w:sz w:val="20"/>
          <w:szCs w:val="20"/>
        </w:rPr>
        <w:t xml:space="preserve">Communications, Energy &amp; </w:t>
      </w:r>
      <w:proofErr w:type="spellStart"/>
      <w:r w:rsidRPr="00BE1CFB">
        <w:rPr>
          <w:i/>
          <w:sz w:val="20"/>
          <w:szCs w:val="20"/>
        </w:rPr>
        <w:t>Paperworkers</w:t>
      </w:r>
      <w:proofErr w:type="spellEnd"/>
      <w:r w:rsidRPr="00BE1CFB">
        <w:rPr>
          <w:i/>
          <w:sz w:val="20"/>
          <w:szCs w:val="20"/>
        </w:rPr>
        <w:t xml:space="preserve">’ Union of Canada, Local 298 et al. v. </w:t>
      </w:r>
      <w:proofErr w:type="spellStart"/>
      <w:r w:rsidRPr="00BE1CFB">
        <w:rPr>
          <w:i/>
          <w:sz w:val="20"/>
          <w:szCs w:val="20"/>
        </w:rPr>
        <w:t>Eurocan</w:t>
      </w:r>
      <w:proofErr w:type="spellEnd"/>
      <w:r w:rsidRPr="00BE1CFB">
        <w:rPr>
          <w:i/>
          <w:sz w:val="20"/>
          <w:szCs w:val="20"/>
        </w:rPr>
        <w:t xml:space="preserve"> Pulp &amp; Paper Co. et al.</w:t>
      </w:r>
      <w:r w:rsidRPr="00BE1CFB">
        <w:rPr>
          <w:sz w:val="20"/>
          <w:szCs w:val="20"/>
        </w:rPr>
        <w:t xml:space="preserve"> (B.C.) (Civil) (By Leave)</w:t>
      </w:r>
      <w:r>
        <w:rPr>
          <w:sz w:val="20"/>
          <w:szCs w:val="20"/>
        </w:rPr>
        <w:t xml:space="preserve"> </w:t>
      </w:r>
      <w:r w:rsidR="004B7F60" w:rsidRPr="00115C9E">
        <w:rPr>
          <w:sz w:val="20"/>
          <w:szCs w:val="20"/>
          <w:lang w:val="fr-CA"/>
        </w:rPr>
        <w:t>(35</w:t>
      </w:r>
      <w:r>
        <w:rPr>
          <w:sz w:val="20"/>
          <w:szCs w:val="20"/>
          <w:lang w:val="fr-CA"/>
        </w:rPr>
        <w:t>029</w:t>
      </w:r>
      <w:r w:rsidR="004B7F60" w:rsidRPr="00115C9E">
        <w:rPr>
          <w:sz w:val="20"/>
          <w:szCs w:val="20"/>
          <w:lang w:val="fr-CA"/>
        </w:rPr>
        <w:t>)</w:t>
      </w:r>
    </w:p>
    <w:p w:rsidR="002E2327" w:rsidRPr="00C50A5C" w:rsidRDefault="002E2327" w:rsidP="002E2327">
      <w:pPr>
        <w:widowControl w:val="0"/>
        <w:rPr>
          <w:sz w:val="20"/>
          <w:szCs w:val="20"/>
          <w:lang w:val="fr-CA"/>
        </w:rPr>
      </w:pPr>
    </w:p>
    <w:p w:rsidR="002E2327" w:rsidRDefault="007F0A1D" w:rsidP="002E2327">
      <w:pPr>
        <w:widowControl w:val="0"/>
        <w:rPr>
          <w:sz w:val="20"/>
          <w:szCs w:val="20"/>
        </w:rPr>
      </w:pPr>
      <w:r w:rsidRPr="007F0A1D">
        <w:rPr>
          <w:sz w:val="20"/>
          <w:szCs w:val="20"/>
        </w:rPr>
        <w:pict>
          <v:rect id="_x0000_i1029" style="width:2in;height:1pt" o:hrpct="0" o:hralign="center" o:hrstd="t" o:hrnoshade="t" o:hr="t" fillcolor="black [3213]" stroked="f"/>
        </w:pict>
      </w:r>
    </w:p>
    <w:p w:rsidR="00BE1CFB" w:rsidRPr="00C50A5C" w:rsidRDefault="00BE1CFB"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14.12.2012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WAGNER J. / LE JUGE WAGNER</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87CE7" w:rsidRPr="00987CE7" w:rsidTr="00FE081C">
        <w:tc>
          <w:tcPr>
            <w:tcW w:w="4338" w:type="dxa"/>
            <w:gridSpan w:val="2"/>
          </w:tcPr>
          <w:p w:rsidR="00987CE7" w:rsidRPr="00987CE7" w:rsidRDefault="00987CE7" w:rsidP="00987CE7">
            <w:pPr>
              <w:rPr>
                <w:b/>
              </w:rPr>
            </w:pPr>
            <w:r w:rsidRPr="00987CE7">
              <w:rPr>
                <w:b/>
              </w:rPr>
              <w:t>Motion for leave to intervene</w:t>
            </w:r>
            <w:r w:rsidRPr="00987CE7">
              <w:rPr>
                <w:lang w:val="en-US"/>
              </w:rPr>
              <w:t xml:space="preserve"> </w:t>
            </w:r>
            <w:r w:rsidR="007F0A1D" w:rsidRPr="00987CE7">
              <w:rPr>
                <w:lang w:val="en-US"/>
              </w:rPr>
              <w:fldChar w:fldCharType="begin"/>
            </w:r>
            <w:r w:rsidRPr="00987CE7">
              <w:instrText xml:space="preserve"> SEQ CHAPTER \h \r 1</w:instrText>
            </w:r>
            <w:r w:rsidR="007F0A1D" w:rsidRPr="00987CE7">
              <w:rPr>
                <w:lang w:val="en-US"/>
              </w:rPr>
              <w:fldChar w:fldCharType="end"/>
            </w:r>
          </w:p>
        </w:tc>
        <w:tc>
          <w:tcPr>
            <w:tcW w:w="1170" w:type="dxa"/>
          </w:tcPr>
          <w:p w:rsidR="00987CE7" w:rsidRPr="00987CE7" w:rsidRDefault="00987CE7" w:rsidP="00987CE7"/>
          <w:p w:rsidR="00987CE7" w:rsidRPr="00987CE7" w:rsidRDefault="00987CE7" w:rsidP="00987CE7"/>
        </w:tc>
        <w:tc>
          <w:tcPr>
            <w:tcW w:w="4327" w:type="dxa"/>
          </w:tcPr>
          <w:p w:rsidR="00987CE7" w:rsidRPr="00987CE7" w:rsidRDefault="00987CE7" w:rsidP="00987CE7">
            <w:pPr>
              <w:rPr>
                <w:b/>
              </w:rPr>
            </w:pPr>
            <w:r w:rsidRPr="00987CE7">
              <w:rPr>
                <w:b/>
                <w:bCs/>
                <w:lang w:val="fr-CA"/>
              </w:rPr>
              <w:t>Requête en autorisation d’intervenir</w:t>
            </w:r>
            <w:r w:rsidRPr="00987CE7">
              <w:rPr>
                <w:lang w:val="en-US"/>
              </w:rPr>
              <w:t xml:space="preserve"> </w:t>
            </w:r>
            <w:r w:rsidR="007F0A1D" w:rsidRPr="00987CE7">
              <w:rPr>
                <w:lang w:val="en-US"/>
              </w:rPr>
              <w:fldChar w:fldCharType="begin"/>
            </w:r>
            <w:r w:rsidRPr="00987CE7">
              <w:instrText xml:space="preserve"> SEQ CHAPTER \h \r 1</w:instrText>
            </w:r>
            <w:r w:rsidR="007F0A1D" w:rsidRPr="00987CE7">
              <w:rPr>
                <w:lang w:val="en-US"/>
              </w:rPr>
              <w:fldChar w:fldCharType="end"/>
            </w:r>
          </w:p>
        </w:tc>
      </w:tr>
      <w:tr w:rsidR="00987CE7" w:rsidRPr="00987CE7" w:rsidTr="00FE081C">
        <w:tc>
          <w:tcPr>
            <w:tcW w:w="1368" w:type="dxa"/>
          </w:tcPr>
          <w:p w:rsidR="00987CE7" w:rsidRPr="00987CE7" w:rsidRDefault="00987CE7" w:rsidP="00987CE7">
            <w:r w:rsidRPr="00987CE7">
              <w:t>BY / PAR</w:t>
            </w:r>
          </w:p>
        </w:tc>
        <w:tc>
          <w:tcPr>
            <w:tcW w:w="2970" w:type="dxa"/>
          </w:tcPr>
          <w:p w:rsidR="00987CE7" w:rsidRPr="00987CE7" w:rsidRDefault="00987CE7" w:rsidP="00987CE7">
            <w:r w:rsidRPr="00987CE7">
              <w:t>Canadian Civil Liberties Association</w:t>
            </w:r>
          </w:p>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pPr>
              <w:rPr>
                <w:lang w:val="en-US"/>
              </w:rPr>
            </w:pPr>
          </w:p>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r w:rsidRPr="00987CE7">
              <w:t>IN / DANS :</w:t>
            </w:r>
          </w:p>
        </w:tc>
        <w:tc>
          <w:tcPr>
            <w:tcW w:w="2970" w:type="dxa"/>
          </w:tcPr>
          <w:p w:rsidR="00987CE7" w:rsidRPr="00987CE7" w:rsidRDefault="00987CE7" w:rsidP="00987CE7">
            <w:proofErr w:type="spellStart"/>
            <w:r w:rsidRPr="00987CE7">
              <w:t>Tissa</w:t>
            </w:r>
            <w:proofErr w:type="spellEnd"/>
            <w:r w:rsidRPr="00987CE7">
              <w:t xml:space="preserve"> </w:t>
            </w:r>
            <w:proofErr w:type="spellStart"/>
            <w:r w:rsidRPr="00987CE7">
              <w:t>Amaratunga</w:t>
            </w:r>
            <w:proofErr w:type="spellEnd"/>
          </w:p>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r w:rsidRPr="00987CE7">
              <w:tab/>
              <w:t>v. (34501)</w:t>
            </w:r>
          </w:p>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pPr>
              <w:jc w:val="both"/>
            </w:pPr>
            <w:r w:rsidRPr="00987CE7">
              <w:t>Northwest Atlantic Fisheries Organization, a body corporate (N.S.)</w:t>
            </w:r>
          </w:p>
        </w:tc>
        <w:tc>
          <w:tcPr>
            <w:tcW w:w="1170" w:type="dxa"/>
          </w:tcPr>
          <w:p w:rsidR="00987CE7" w:rsidRPr="00987CE7" w:rsidRDefault="00987CE7" w:rsidP="00987CE7"/>
        </w:tc>
        <w:tc>
          <w:tcPr>
            <w:tcW w:w="4327" w:type="dxa"/>
          </w:tcPr>
          <w:p w:rsidR="00987CE7" w:rsidRPr="00987CE7" w:rsidRDefault="00987CE7" w:rsidP="00987CE7"/>
        </w:tc>
      </w:tr>
    </w:tbl>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r w:rsidRPr="00987CE7">
        <w:rPr>
          <w:rFonts w:eastAsia="Times New Roman" w:cs="Times New Roman"/>
          <w:b/>
          <w:sz w:val="20"/>
          <w:szCs w:val="20"/>
          <w:lang w:eastAsia="en-CA"/>
        </w:rPr>
        <w:t>GRANTED / ACCORDÉE</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spacing w:line="233" w:lineRule="auto"/>
        <w:jc w:val="both"/>
        <w:rPr>
          <w:rFonts w:eastAsia="Times New Roman" w:cs="Times New Roman"/>
          <w:b/>
          <w:sz w:val="20"/>
          <w:szCs w:val="20"/>
          <w:lang w:eastAsia="en-CA"/>
        </w:rPr>
      </w:pPr>
      <w:r w:rsidRPr="00987CE7">
        <w:rPr>
          <w:rFonts w:eastAsia="Times New Roman" w:cs="Times New Roman"/>
          <w:b/>
          <w:sz w:val="20"/>
          <w:szCs w:val="20"/>
          <w:lang w:val="en-US" w:eastAsia="en-CA"/>
        </w:rPr>
        <w:t xml:space="preserve">UPON APPLICATION </w:t>
      </w:r>
      <w:r w:rsidRPr="00987CE7">
        <w:rPr>
          <w:rFonts w:eastAsia="Times New Roman" w:cs="Times New Roman"/>
          <w:sz w:val="20"/>
          <w:szCs w:val="20"/>
          <w:lang w:val="en-US" w:eastAsia="en-CA"/>
        </w:rPr>
        <w:t xml:space="preserve">by </w:t>
      </w:r>
      <w:r w:rsidRPr="00987CE7">
        <w:rPr>
          <w:rFonts w:eastAsia="Times New Roman" w:cs="Times New Roman"/>
          <w:sz w:val="20"/>
          <w:szCs w:val="20"/>
          <w:lang w:eastAsia="en-CA"/>
        </w:rPr>
        <w:t xml:space="preserve">the Canadian Civil Liberties Association </w:t>
      </w:r>
      <w:r w:rsidRPr="00987CE7">
        <w:rPr>
          <w:rFonts w:eastAsia="Times New Roman" w:cs="Times New Roman"/>
          <w:sz w:val="20"/>
          <w:szCs w:val="20"/>
          <w:lang w:val="en-US" w:eastAsia="en-CA"/>
        </w:rPr>
        <w:t>for leave to intervene in the above appeal;</w:t>
      </w:r>
    </w:p>
    <w:p w:rsidR="00987CE7" w:rsidRPr="00987CE7" w:rsidRDefault="00987CE7" w:rsidP="00987CE7">
      <w:pPr>
        <w:spacing w:line="233" w:lineRule="auto"/>
        <w:jc w:val="both"/>
        <w:rPr>
          <w:rFonts w:eastAsia="Times New Roman" w:cs="Times New Roman"/>
          <w:sz w:val="20"/>
          <w:szCs w:val="20"/>
          <w:lang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IT IS HEREBY ORDERED THAT:</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The motion for leave to intervene by the Canadian Civil Liberties Association is granted and the said intervener shall be entitled to serve and file a factum not to exceed 10 pages in length on or before February 26, 2013.</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987CE7" w:rsidRPr="00987CE7" w:rsidRDefault="00987CE7" w:rsidP="00987CE7">
      <w:pPr>
        <w:spacing w:line="230" w:lineRule="auto"/>
        <w:jc w:val="both"/>
        <w:rPr>
          <w:rFonts w:eastAsia="Times New Roman" w:cs="Times New Roman"/>
          <w:sz w:val="20"/>
          <w:szCs w:val="20"/>
          <w:lang w:val="en-US" w:eastAsia="en-CA"/>
        </w:rPr>
      </w:pPr>
    </w:p>
    <w:p w:rsidR="00987CE7" w:rsidRPr="00987CE7" w:rsidRDefault="007F0A1D" w:rsidP="00987CE7">
      <w:pPr>
        <w:jc w:val="both"/>
        <w:rPr>
          <w:rFonts w:eastAsia="Times New Roman" w:cs="Times New Roman"/>
          <w:bCs/>
          <w:sz w:val="20"/>
          <w:szCs w:val="20"/>
          <w:lang w:val="en-US" w:eastAsia="en-CA"/>
        </w:rPr>
      </w:pPr>
      <w:r w:rsidRPr="00987CE7">
        <w:rPr>
          <w:rFonts w:eastAsia="Times New Roman" w:cs="Times New Roman"/>
          <w:sz w:val="20"/>
          <w:szCs w:val="20"/>
          <w:lang w:eastAsia="en-CA"/>
        </w:rPr>
        <w:fldChar w:fldCharType="begin"/>
      </w:r>
      <w:r w:rsidR="00987CE7" w:rsidRPr="00987CE7">
        <w:rPr>
          <w:rFonts w:eastAsia="Times New Roman" w:cs="Times New Roman"/>
          <w:sz w:val="20"/>
          <w:szCs w:val="20"/>
          <w:lang w:eastAsia="en-CA"/>
        </w:rPr>
        <w:instrText xml:space="preserve"> SEQ CHAPTER \h \r 1</w:instrText>
      </w:r>
      <w:r w:rsidRPr="00987CE7">
        <w:rPr>
          <w:rFonts w:eastAsia="Times New Roman" w:cs="Times New Roman"/>
          <w:sz w:val="20"/>
          <w:szCs w:val="20"/>
          <w:lang w:eastAsia="en-CA"/>
        </w:rPr>
        <w:fldChar w:fldCharType="end"/>
      </w:r>
      <w:r w:rsidR="00987CE7" w:rsidRPr="00987CE7">
        <w:rPr>
          <w:rFonts w:eastAsia="Times New Roman" w:cs="Times New Roman"/>
          <w:bCs/>
          <w:sz w:val="20"/>
          <w:szCs w:val="20"/>
          <w:lang w:val="en-US" w:eastAsia="en-CA"/>
        </w:rPr>
        <w:t>The intervener is not entitled to raise new issues or to adduce further evidence or otherwise to supplement the record of the parties.</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Pursuant to Rule 59(1</w:t>
      </w:r>
      <w:proofErr w:type="gramStart"/>
      <w:r w:rsidRPr="00987CE7">
        <w:rPr>
          <w:rFonts w:eastAsia="Times New Roman" w:cs="Times New Roman"/>
          <w:sz w:val="20"/>
          <w:szCs w:val="20"/>
          <w:lang w:val="en-US" w:eastAsia="en-CA"/>
        </w:rPr>
        <w:t>)(</w:t>
      </w:r>
      <w:proofErr w:type="gramEnd"/>
      <w:r w:rsidRPr="00987CE7">
        <w:rPr>
          <w:rFonts w:eastAsia="Times New Roman" w:cs="Times New Roman"/>
          <w:i/>
          <w:iCs/>
          <w:sz w:val="20"/>
          <w:szCs w:val="20"/>
          <w:lang w:val="en-US" w:eastAsia="en-CA"/>
        </w:rPr>
        <w:t>a</w:t>
      </w:r>
      <w:r w:rsidRPr="00987CE7">
        <w:rPr>
          <w:rFonts w:eastAsia="Times New Roman" w:cs="Times New Roman"/>
          <w:sz w:val="20"/>
          <w:szCs w:val="20"/>
          <w:lang w:val="en-US" w:eastAsia="en-CA"/>
        </w:rPr>
        <w:t xml:space="preserve">) of the </w:t>
      </w:r>
      <w:r w:rsidRPr="00987CE7">
        <w:rPr>
          <w:rFonts w:eastAsia="Times New Roman" w:cs="Times New Roman"/>
          <w:i/>
          <w:iCs/>
          <w:sz w:val="20"/>
          <w:szCs w:val="20"/>
          <w:lang w:val="en-US" w:eastAsia="en-CA"/>
        </w:rPr>
        <w:t>Rules of the Supreme Court of Canada</w:t>
      </w:r>
      <w:r w:rsidRPr="00987CE7">
        <w:rPr>
          <w:rFonts w:eastAsia="Times New Roman" w:cs="Times New Roman"/>
          <w:sz w:val="20"/>
          <w:szCs w:val="20"/>
          <w:lang w:val="en-US" w:eastAsia="en-CA"/>
        </w:rPr>
        <w:t>, the intervener shall pay to the appellant and respondent any additional disbursements occasioned to the appellant and respondent by its intervention.</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spacing w:line="233" w:lineRule="auto"/>
        <w:jc w:val="both"/>
        <w:rPr>
          <w:rFonts w:eastAsia="Times New Roman" w:cs="Times New Roman"/>
          <w:b/>
          <w:sz w:val="20"/>
          <w:szCs w:val="20"/>
          <w:lang w:val="fr-CA" w:eastAsia="en-CA"/>
        </w:rPr>
      </w:pPr>
      <w:r w:rsidRPr="00987CE7">
        <w:rPr>
          <w:rFonts w:eastAsia="Times New Roman" w:cs="Times New Roman"/>
          <w:b/>
          <w:sz w:val="20"/>
          <w:szCs w:val="20"/>
          <w:lang w:val="fr-CA" w:eastAsia="en-CA"/>
        </w:rPr>
        <w:t xml:space="preserve">À LA SUITE DE LA DEMANDE </w:t>
      </w:r>
      <w:r w:rsidRPr="00987CE7">
        <w:rPr>
          <w:rFonts w:eastAsia="Times New Roman" w:cs="Times New Roman"/>
          <w:sz w:val="20"/>
          <w:szCs w:val="20"/>
          <w:lang w:val="fr-CA" w:eastAsia="en-CA"/>
        </w:rPr>
        <w:t>présentée par l’Association canadienne des libertés civiles en autorisation d’intervenir dans l’appel;</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APRÈS EXAMEN</w:t>
      </w:r>
      <w:r w:rsidRPr="00987CE7">
        <w:rPr>
          <w:rFonts w:eastAsia="Times New Roman" w:cs="Times New Roman"/>
          <w:sz w:val="20"/>
          <w:szCs w:val="20"/>
          <w:lang w:val="fr-CA" w:eastAsia="en-CA"/>
        </w:rPr>
        <w:t xml:space="preserve"> des documents déposés;</w:t>
      </w:r>
    </w:p>
    <w:p w:rsidR="00987CE7" w:rsidRPr="00987CE7" w:rsidRDefault="00987CE7" w:rsidP="00987CE7">
      <w:pPr>
        <w:spacing w:line="233" w:lineRule="auto"/>
        <w:jc w:val="center"/>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IL EST ORDONNÉ CE QUI SUIT :</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La requête en autorisation d’intervenir présentée par l’Association canadienne des libertés civiles est accordée, et cette intervenante pourra signifier et déposer un mémoire d’au plus dix pages au plus tard le 26 février 2013.</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La décision sur la requête en vue de présenter des plaidoiries orales sera rendue après réception et examen des arguments écrits des parties et de l’intervenante.</w:t>
      </w:r>
    </w:p>
    <w:p w:rsidR="00987CE7" w:rsidRPr="00987CE7" w:rsidRDefault="00987CE7" w:rsidP="00987CE7">
      <w:pPr>
        <w:spacing w:line="230" w:lineRule="auto"/>
        <w:rPr>
          <w:rFonts w:eastAsia="Times New Roman" w:cs="Times New Roman"/>
          <w:sz w:val="20"/>
          <w:szCs w:val="20"/>
          <w:lang w:val="fr-CA" w:eastAsia="en-CA"/>
        </w:rPr>
      </w:pPr>
    </w:p>
    <w:p w:rsidR="00987CE7" w:rsidRPr="00987CE7" w:rsidRDefault="00987CE7" w:rsidP="00987CE7">
      <w:pPr>
        <w:jc w:val="both"/>
        <w:rPr>
          <w:rFonts w:eastAsia="Times New Roman" w:cs="Times New Roman"/>
          <w:bCs/>
          <w:sz w:val="20"/>
          <w:szCs w:val="20"/>
          <w:lang w:val="fr-CA" w:eastAsia="en-CA"/>
        </w:rPr>
      </w:pPr>
      <w:r w:rsidRPr="00987CE7">
        <w:rPr>
          <w:rFonts w:eastAsia="Times New Roman" w:cs="Times New Roman"/>
          <w:sz w:val="20"/>
          <w:szCs w:val="20"/>
          <w:lang w:val="fr-CA" w:eastAsia="en-CA"/>
        </w:rPr>
        <w:t>L’intervenante n’a pas le droit de soulever de nouvelles questions, de produire d’autres éléments de preuve ni de compléter de quelque autre façon le dossier des parties.</w:t>
      </w:r>
      <w:r w:rsidR="007F0A1D" w:rsidRPr="00987CE7">
        <w:rPr>
          <w:rFonts w:eastAsia="Times New Roman" w:cs="Times New Roman"/>
          <w:sz w:val="20"/>
          <w:szCs w:val="20"/>
          <w:lang w:eastAsia="en-CA"/>
        </w:rPr>
        <w:fldChar w:fldCharType="begin"/>
      </w:r>
      <w:r w:rsidRPr="00987CE7">
        <w:rPr>
          <w:rFonts w:eastAsia="Times New Roman" w:cs="Times New Roman"/>
          <w:sz w:val="20"/>
          <w:szCs w:val="20"/>
          <w:lang w:val="fr-CA" w:eastAsia="en-CA"/>
        </w:rPr>
        <w:instrText xml:space="preserve"> SEQ CHAPTER \h \r 1</w:instrText>
      </w:r>
      <w:r w:rsidR="007F0A1D" w:rsidRPr="00987CE7">
        <w:rPr>
          <w:rFonts w:eastAsia="Times New Roman" w:cs="Times New Roman"/>
          <w:sz w:val="20"/>
          <w:szCs w:val="20"/>
          <w:lang w:eastAsia="en-CA"/>
        </w:rPr>
        <w:fldChar w:fldCharType="end"/>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lastRenderedPageBreak/>
        <w:t>Conformément à l’alinéa 59(1)</w:t>
      </w:r>
      <w:r w:rsidRPr="00987CE7">
        <w:rPr>
          <w:rFonts w:eastAsia="Times New Roman" w:cs="Times New Roman"/>
          <w:i/>
          <w:sz w:val="20"/>
          <w:szCs w:val="20"/>
          <w:lang w:val="fr-CA" w:eastAsia="en-CA"/>
        </w:rPr>
        <w:t>a</w:t>
      </w:r>
      <w:r w:rsidRPr="00987CE7">
        <w:rPr>
          <w:rFonts w:eastAsia="Times New Roman" w:cs="Times New Roman"/>
          <w:sz w:val="20"/>
          <w:szCs w:val="20"/>
          <w:lang w:val="fr-CA" w:eastAsia="en-CA"/>
        </w:rPr>
        <w:t xml:space="preserve">) des </w:t>
      </w:r>
      <w:r w:rsidRPr="00987CE7">
        <w:rPr>
          <w:rFonts w:eastAsia="Times New Roman" w:cs="Times New Roman"/>
          <w:i/>
          <w:sz w:val="20"/>
          <w:szCs w:val="20"/>
          <w:lang w:val="fr-CA" w:eastAsia="en-CA"/>
        </w:rPr>
        <w:t>Règles de la Cour suprême du Canada</w:t>
      </w:r>
      <w:r w:rsidRPr="00987CE7">
        <w:rPr>
          <w:rFonts w:eastAsia="Times New Roman" w:cs="Times New Roman"/>
          <w:sz w:val="20"/>
          <w:szCs w:val="20"/>
          <w:lang w:val="fr-CA" w:eastAsia="en-CA"/>
        </w:rPr>
        <w:t>, l’intervenante paiera à l’appelant et à l’intimée tous débours supplémentaires résultant de son intervention.</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7F0A1D" w:rsidP="00987CE7">
      <w:pPr>
        <w:tabs>
          <w:tab w:val="left" w:pos="-1440"/>
          <w:tab w:val="left" w:pos="-720"/>
        </w:tabs>
        <w:jc w:val="both"/>
        <w:rPr>
          <w:rFonts w:eastAsia="Times New Roman" w:cs="Times New Roman"/>
          <w:sz w:val="20"/>
          <w:szCs w:val="20"/>
          <w:lang w:val="fr-CA" w:eastAsia="en-CA"/>
        </w:rPr>
      </w:pPr>
      <w:r w:rsidRPr="007F0A1D">
        <w:rPr>
          <w:rFonts w:eastAsia="Times New Roman" w:cs="Times New Roman"/>
          <w:sz w:val="20"/>
          <w:szCs w:val="20"/>
          <w:lang w:val="fr-CA" w:eastAsia="en-CA"/>
        </w:rPr>
        <w:pict>
          <v:rect id="_x0000_i1032"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17.12.2012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THE CHIEF JUSTICE / LA JUGE EN CHEF</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87CE7" w:rsidRPr="00A549CB" w:rsidTr="00FE081C">
        <w:tc>
          <w:tcPr>
            <w:tcW w:w="4338" w:type="dxa"/>
          </w:tcPr>
          <w:p w:rsidR="00987CE7" w:rsidRPr="00987CE7" w:rsidRDefault="00987CE7" w:rsidP="00987CE7">
            <w:pPr>
              <w:tabs>
                <w:tab w:val="left" w:pos="-1440"/>
                <w:tab w:val="left" w:pos="-720"/>
              </w:tabs>
              <w:jc w:val="both"/>
              <w:rPr>
                <w:b/>
              </w:rPr>
            </w:pPr>
            <w:r w:rsidRPr="00987CE7">
              <w:rPr>
                <w:b/>
                <w:bCs/>
                <w:lang w:val="en-US"/>
              </w:rPr>
              <w:t>Motion to state constitutional questions and motion for directions</w:t>
            </w:r>
            <w:r w:rsidRPr="00987CE7">
              <w:rPr>
                <w:lang w:val="en-US"/>
              </w:rPr>
              <w:t xml:space="preserve"> </w:t>
            </w:r>
            <w:r w:rsidR="007F0A1D" w:rsidRPr="00987CE7">
              <w:rPr>
                <w:lang w:val="en-US"/>
              </w:rPr>
              <w:fldChar w:fldCharType="begin"/>
            </w:r>
            <w:r w:rsidRPr="00987CE7">
              <w:rPr>
                <w:lang w:val="en-US"/>
              </w:rPr>
              <w:instrText xml:space="preserve"> SEQ CHAPTER \h \r 1</w:instrText>
            </w:r>
            <w:r w:rsidR="007F0A1D" w:rsidRPr="00987CE7">
              <w:rPr>
                <w:lang w:val="en-US"/>
              </w:rPr>
              <w:fldChar w:fldCharType="end"/>
            </w:r>
          </w:p>
        </w:tc>
        <w:tc>
          <w:tcPr>
            <w:tcW w:w="1170" w:type="dxa"/>
          </w:tcPr>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tc>
        <w:tc>
          <w:tcPr>
            <w:tcW w:w="4327" w:type="dxa"/>
          </w:tcPr>
          <w:p w:rsidR="00987CE7" w:rsidRPr="00987CE7" w:rsidRDefault="00987CE7" w:rsidP="00987CE7">
            <w:pPr>
              <w:tabs>
                <w:tab w:val="left" w:pos="-1440"/>
                <w:tab w:val="left" w:pos="-720"/>
              </w:tabs>
              <w:jc w:val="both"/>
              <w:rPr>
                <w:lang w:val="fr-CA"/>
              </w:rPr>
            </w:pPr>
            <w:r w:rsidRPr="00987CE7">
              <w:rPr>
                <w:b/>
                <w:bCs/>
                <w:lang w:val="fr-CA"/>
              </w:rPr>
              <w:t>Requête en formulation de questions constitutionnelles et r</w:t>
            </w:r>
            <w:r w:rsidR="007F0A1D" w:rsidRPr="00987CE7">
              <w:rPr>
                <w:lang w:val="en-US"/>
              </w:rPr>
              <w:fldChar w:fldCharType="begin"/>
            </w:r>
            <w:r w:rsidRPr="00987CE7">
              <w:rPr>
                <w:lang w:val="fr-CA"/>
              </w:rPr>
              <w:instrText xml:space="preserve"> SEQ CHAPTER \h \r 1</w:instrText>
            </w:r>
            <w:r w:rsidR="007F0A1D" w:rsidRPr="00987CE7">
              <w:rPr>
                <w:lang w:val="en-US"/>
              </w:rPr>
              <w:fldChar w:fldCharType="end"/>
            </w:r>
            <w:r w:rsidRPr="00987CE7">
              <w:rPr>
                <w:b/>
                <w:bCs/>
                <w:lang w:val="fr-CA"/>
              </w:rPr>
              <w:t>equête en vue d’obtenir des instructions</w:t>
            </w:r>
            <w:r w:rsidRPr="00987CE7">
              <w:rPr>
                <w:lang w:val="fr-CA"/>
              </w:rPr>
              <w:t xml:space="preserve"> </w:t>
            </w:r>
            <w:r w:rsidR="007F0A1D" w:rsidRPr="00987CE7">
              <w:rPr>
                <w:lang w:val="en-US"/>
              </w:rPr>
              <w:fldChar w:fldCharType="begin"/>
            </w:r>
            <w:r w:rsidRPr="00987CE7">
              <w:rPr>
                <w:lang w:val="fr-CA"/>
              </w:rPr>
              <w:instrText xml:space="preserve"> SEQ CHAPTER \h \r 1</w:instrText>
            </w:r>
            <w:r w:rsidR="007F0A1D" w:rsidRPr="00987CE7">
              <w:rPr>
                <w:lang w:val="en-US"/>
              </w:rPr>
              <w:fldChar w:fldCharType="end"/>
            </w:r>
          </w:p>
        </w:tc>
      </w:tr>
      <w:tr w:rsidR="00987CE7" w:rsidRPr="00987CE7" w:rsidTr="00FE081C">
        <w:tc>
          <w:tcPr>
            <w:tcW w:w="4338" w:type="dxa"/>
          </w:tcPr>
          <w:p w:rsidR="00987CE7" w:rsidRPr="00987CE7" w:rsidRDefault="00987CE7" w:rsidP="00987CE7">
            <w:pPr>
              <w:tabs>
                <w:tab w:val="left" w:pos="-1440"/>
                <w:tab w:val="left" w:pos="-720"/>
              </w:tabs>
              <w:jc w:val="both"/>
            </w:pPr>
            <w:r w:rsidRPr="00987CE7">
              <w:t>Attorney General of Canada</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ab/>
              <w:t>v. (34788)</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rPr>
                <w:lang w:val="fr-CA"/>
              </w:rPr>
              <w:t xml:space="preserve">Terri Jean Bedford et al. </w:t>
            </w:r>
            <w:r w:rsidRPr="00987CE7">
              <w:t>(Ont.)</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 xml:space="preserve">- and between - </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Attorney General of Ontario</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rPr>
                <w:lang w:val="fr-CA"/>
              </w:rPr>
            </w:pPr>
            <w:r w:rsidRPr="00987CE7">
              <w:tab/>
            </w:r>
            <w:r w:rsidRPr="00987CE7">
              <w:rPr>
                <w:lang w:val="fr-CA"/>
              </w:rPr>
              <w:t>v. (34788)</w:t>
            </w:r>
          </w:p>
          <w:p w:rsidR="00987CE7" w:rsidRPr="00987CE7" w:rsidRDefault="00987CE7" w:rsidP="00987CE7">
            <w:pPr>
              <w:tabs>
                <w:tab w:val="left" w:pos="-1440"/>
                <w:tab w:val="left" w:pos="-720"/>
              </w:tabs>
              <w:jc w:val="both"/>
              <w:rPr>
                <w:lang w:val="fr-CA"/>
              </w:rPr>
            </w:pPr>
          </w:p>
          <w:p w:rsidR="00987CE7" w:rsidRPr="00987CE7" w:rsidRDefault="00987CE7" w:rsidP="00987CE7">
            <w:pPr>
              <w:tabs>
                <w:tab w:val="left" w:pos="-1440"/>
                <w:tab w:val="left" w:pos="-720"/>
              </w:tabs>
              <w:jc w:val="both"/>
            </w:pPr>
            <w:r w:rsidRPr="00987CE7">
              <w:rPr>
                <w:lang w:val="fr-CA"/>
              </w:rPr>
              <w:t xml:space="preserve">Terri Jean Bedford et al. </w:t>
            </w:r>
            <w:r w:rsidRPr="00987CE7">
              <w:t>(Ont.)</w:t>
            </w:r>
          </w:p>
        </w:tc>
        <w:tc>
          <w:tcPr>
            <w:tcW w:w="1170" w:type="dxa"/>
          </w:tcPr>
          <w:p w:rsidR="00987CE7" w:rsidRPr="00987CE7" w:rsidRDefault="00987CE7" w:rsidP="00987CE7">
            <w:pPr>
              <w:tabs>
                <w:tab w:val="left" w:pos="-1440"/>
                <w:tab w:val="left" w:pos="-720"/>
              </w:tabs>
              <w:jc w:val="both"/>
            </w:pPr>
          </w:p>
        </w:tc>
        <w:tc>
          <w:tcPr>
            <w:tcW w:w="4327" w:type="dxa"/>
          </w:tcPr>
          <w:p w:rsidR="00987CE7" w:rsidRPr="00987CE7" w:rsidRDefault="00987CE7" w:rsidP="00987CE7">
            <w:pPr>
              <w:tabs>
                <w:tab w:val="left" w:pos="-1440"/>
                <w:tab w:val="left" w:pos="-720"/>
              </w:tabs>
              <w:jc w:val="both"/>
            </w:pPr>
          </w:p>
        </w:tc>
      </w:tr>
    </w:tbl>
    <w:p w:rsidR="00987CE7" w:rsidRPr="00987CE7" w:rsidRDefault="00987CE7" w:rsidP="00987CE7">
      <w:pPr>
        <w:tabs>
          <w:tab w:val="left" w:pos="-1440"/>
          <w:tab w:val="left" w:pos="-720"/>
        </w:tabs>
        <w:jc w:val="both"/>
        <w:rPr>
          <w:rFonts w:eastAsia="Times New Roman" w:cs="Times New Roman"/>
          <w:sz w:val="20"/>
          <w:szCs w:val="20"/>
          <w:lang w:val="en-US" w:eastAsia="en-CA"/>
        </w:rPr>
      </w:pPr>
    </w:p>
    <w:p w:rsidR="00987CE7" w:rsidRDefault="00987CE7" w:rsidP="00987CE7">
      <w:pPr>
        <w:rPr>
          <w:rFonts w:eastAsia="Times New Roman" w:cs="Times New Roman"/>
          <w:b/>
          <w:bCs/>
          <w:sz w:val="20"/>
          <w:szCs w:val="20"/>
          <w:lang w:val="en-US" w:eastAsia="en-CA"/>
        </w:rPr>
      </w:pPr>
      <w:r>
        <w:rPr>
          <w:rFonts w:eastAsia="Times New Roman" w:cs="Times New Roman"/>
          <w:b/>
          <w:bCs/>
          <w:sz w:val="20"/>
          <w:szCs w:val="20"/>
          <w:lang w:val="en-US" w:eastAsia="en-CA"/>
        </w:rPr>
        <w:t>GRANTED / ACCORDÉES</w:t>
      </w:r>
    </w:p>
    <w:p w:rsidR="00987CE7" w:rsidRPr="00987CE7" w:rsidRDefault="00987CE7" w:rsidP="00987CE7">
      <w:pPr>
        <w:rPr>
          <w:rFonts w:eastAsia="Times New Roman" w:cs="Times New Roman"/>
          <w:bCs/>
          <w:sz w:val="20"/>
          <w:szCs w:val="20"/>
          <w:lang w:val="en-US" w:eastAsia="en-CA"/>
        </w:rPr>
      </w:pPr>
    </w:p>
    <w:p w:rsidR="00987CE7" w:rsidRPr="00987CE7" w:rsidRDefault="00987CE7" w:rsidP="00987CE7">
      <w:pPr>
        <w:rPr>
          <w:rFonts w:eastAsia="Times New Roman" w:cs="Times New Roman"/>
          <w:sz w:val="20"/>
          <w:szCs w:val="20"/>
          <w:lang w:eastAsia="en-CA"/>
        </w:rPr>
      </w:pPr>
      <w:r w:rsidRPr="00987CE7">
        <w:rPr>
          <w:rFonts w:eastAsia="Times New Roman" w:cs="Times New Roman"/>
          <w:b/>
          <w:bCs/>
          <w:sz w:val="20"/>
          <w:szCs w:val="20"/>
          <w:lang w:val="en-US" w:eastAsia="en-CA"/>
        </w:rPr>
        <w:t>UPON APPLICATION</w:t>
      </w:r>
      <w:r w:rsidRPr="00987CE7">
        <w:rPr>
          <w:rFonts w:eastAsia="Times New Roman" w:cs="Times New Roman"/>
          <w:sz w:val="20"/>
          <w:szCs w:val="20"/>
          <w:lang w:val="en-US" w:eastAsia="en-CA"/>
        </w:rPr>
        <w:t xml:space="preserve"> by the</w:t>
      </w:r>
      <w:r w:rsidRPr="00987CE7">
        <w:rPr>
          <w:rFonts w:eastAsia="Times New Roman" w:cs="Times New Roman"/>
          <w:sz w:val="20"/>
          <w:szCs w:val="20"/>
          <w:lang w:eastAsia="en-CA"/>
        </w:rPr>
        <w:t xml:space="preserve"> appellant, the Attorney General of Canada, for an order stating constitutional questions in the above appeal and cross-appeal;</w:t>
      </w:r>
    </w:p>
    <w:p w:rsidR="00987CE7" w:rsidRPr="00987CE7" w:rsidRDefault="00987CE7" w:rsidP="00987CE7">
      <w:pPr>
        <w:jc w:val="both"/>
        <w:rPr>
          <w:rFonts w:eastAsia="Times New Roman" w:cs="Times New Roman"/>
          <w:sz w:val="20"/>
          <w:szCs w:val="20"/>
          <w:lang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UPON APPLICATION</w:t>
      </w:r>
      <w:r w:rsidRPr="00987CE7">
        <w:rPr>
          <w:rFonts w:eastAsia="Times New Roman" w:cs="Times New Roman"/>
          <w:sz w:val="20"/>
          <w:szCs w:val="20"/>
          <w:lang w:val="en-US" w:eastAsia="en-CA"/>
        </w:rPr>
        <w:t xml:space="preserve"> by the appellant, the Attorney General of Canada, for an order respecting factum lengths and filing dates;</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b/>
          <w:sz w:val="20"/>
          <w:szCs w:val="20"/>
          <w:lang w:val="en-US" w:eastAsia="en-CA"/>
        </w:rPr>
      </w:pPr>
      <w:r w:rsidRPr="00987CE7">
        <w:rPr>
          <w:rFonts w:eastAsia="Times New Roman" w:cs="Times New Roman"/>
          <w:b/>
          <w:bCs/>
          <w:sz w:val="20"/>
          <w:szCs w:val="20"/>
          <w:lang w:val="en-US" w:eastAsia="en-CA"/>
        </w:rPr>
        <w:t>IT IS HEREBY ORDERED THAT:</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bCs/>
          <w:sz w:val="20"/>
          <w:szCs w:val="20"/>
          <w:lang w:eastAsia="en-CA"/>
        </w:rPr>
      </w:pPr>
      <w:r w:rsidRPr="00987CE7">
        <w:rPr>
          <w:rFonts w:eastAsia="Times New Roman" w:cs="Times New Roman"/>
          <w:sz w:val="20"/>
          <w:szCs w:val="20"/>
          <w:lang w:val="en-US" w:eastAsia="en-CA"/>
        </w:rPr>
        <w:t>The constitutional questions are</w:t>
      </w:r>
      <w:r w:rsidRPr="00987CE7">
        <w:rPr>
          <w:rFonts w:eastAsia="Times New Roman" w:cs="Times New Roman"/>
          <w:sz w:val="20"/>
          <w:szCs w:val="20"/>
          <w:lang w:eastAsia="en-CA"/>
        </w:rPr>
        <w:t xml:space="preserve"> stated as follows</w:t>
      </w:r>
      <w:r w:rsidRPr="00987CE7">
        <w:rPr>
          <w:rFonts w:eastAsia="Times New Roman" w:cs="Times New Roman"/>
          <w:bCs/>
          <w:sz w:val="20"/>
          <w:szCs w:val="20"/>
          <w:lang w:eastAsia="en-CA"/>
        </w:rPr>
        <w:t>:</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color w:val="000000"/>
          <w:sz w:val="20"/>
          <w:szCs w:val="20"/>
        </w:rPr>
        <w:t xml:space="preserve">Does s. 210 of the </w:t>
      </w:r>
      <w:r w:rsidRPr="00987CE7">
        <w:rPr>
          <w:rFonts w:cs="Times New Roman"/>
          <w:i/>
          <w:iCs/>
          <w:color w:val="000000"/>
          <w:sz w:val="20"/>
          <w:szCs w:val="20"/>
        </w:rPr>
        <w:t>Criminal Code</w:t>
      </w:r>
      <w:r w:rsidRPr="00987CE7">
        <w:rPr>
          <w:rFonts w:cs="Times New Roman"/>
          <w:color w:val="000000"/>
          <w:sz w:val="20"/>
          <w:szCs w:val="20"/>
        </w:rPr>
        <w:t xml:space="preserve">, R.S.C. 1985, </w:t>
      </w:r>
      <w:proofErr w:type="gramStart"/>
      <w:r w:rsidRPr="00987CE7">
        <w:rPr>
          <w:rFonts w:cs="Times New Roman"/>
          <w:color w:val="000000"/>
          <w:sz w:val="20"/>
          <w:szCs w:val="20"/>
        </w:rPr>
        <w:t>c</w:t>
      </w:r>
      <w:proofErr w:type="gramEnd"/>
      <w:r w:rsidRPr="00987CE7">
        <w:rPr>
          <w:rFonts w:cs="Times New Roman"/>
          <w:color w:val="000000"/>
          <w:sz w:val="20"/>
          <w:szCs w:val="20"/>
        </w:rPr>
        <w:t xml:space="preserve">. C-46, as it relates to common bawdy-houses kept or occupied or resorted to for the purpose of prostitution, infringe s. 7 of the </w:t>
      </w:r>
      <w:r w:rsidRPr="00987CE7">
        <w:rPr>
          <w:rFonts w:cs="Times New Roman"/>
          <w:i/>
          <w:iCs/>
          <w:color w:val="000000"/>
          <w:sz w:val="20"/>
          <w:szCs w:val="20"/>
        </w:rPr>
        <w:t>Canadian Charter of Rights and Freedoms</w:t>
      </w:r>
      <w:r w:rsidRPr="00987CE7">
        <w:rPr>
          <w:rFonts w:cs="Times New Roman"/>
          <w:color w:val="000000"/>
          <w:sz w:val="20"/>
          <w:szCs w:val="20"/>
        </w:rPr>
        <w:t>?</w:t>
      </w:r>
    </w:p>
    <w:p w:rsidR="00987CE7" w:rsidRPr="00987CE7" w:rsidRDefault="00987CE7" w:rsidP="00987CE7">
      <w:pPr>
        <w:spacing w:after="200"/>
        <w:ind w:left="630"/>
        <w:contextualSpacing/>
        <w:jc w:val="both"/>
        <w:rPr>
          <w:rFonts w:cs="Times New Roman"/>
          <w:color w:val="000000"/>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 xml:space="preserve">If so, is the infringement a reasonable limit prescribed by law as can be demonstrably justified in a free and democratic society under s. 1 of the </w:t>
      </w:r>
      <w:r w:rsidRPr="00987CE7">
        <w:rPr>
          <w:rFonts w:cs="Times New Roman"/>
          <w:i/>
          <w:iCs/>
          <w:sz w:val="20"/>
          <w:szCs w:val="20"/>
        </w:rPr>
        <w:t>Canadian Charter of Rights and Freedoms</w:t>
      </w:r>
      <w:r w:rsidRPr="00987CE7">
        <w:rPr>
          <w:rFonts w:cs="Times New Roman"/>
          <w:sz w:val="20"/>
          <w:szCs w:val="20"/>
        </w:rPr>
        <w:t>?</w:t>
      </w:r>
    </w:p>
    <w:p w:rsidR="00987CE7" w:rsidRPr="00987CE7" w:rsidRDefault="00987CE7" w:rsidP="00987CE7">
      <w:pPr>
        <w:ind w:left="720"/>
        <w:contextualSpacing/>
        <w:jc w:val="both"/>
        <w:rPr>
          <w:rFonts w:cs="Times New Roman"/>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Does section 212(1</w:t>
      </w:r>
      <w:proofErr w:type="gramStart"/>
      <w:r w:rsidRPr="00987CE7">
        <w:rPr>
          <w:rFonts w:cs="Times New Roman"/>
          <w:sz w:val="20"/>
          <w:szCs w:val="20"/>
        </w:rPr>
        <w:t>)(</w:t>
      </w:r>
      <w:proofErr w:type="gramEnd"/>
      <w:r w:rsidRPr="00987CE7">
        <w:rPr>
          <w:rFonts w:cs="Times New Roman"/>
          <w:i/>
          <w:iCs/>
          <w:sz w:val="20"/>
          <w:szCs w:val="20"/>
        </w:rPr>
        <w:t>j</w:t>
      </w:r>
      <w:r w:rsidRPr="00987CE7">
        <w:rPr>
          <w:rFonts w:cs="Times New Roman"/>
          <w:sz w:val="20"/>
          <w:szCs w:val="20"/>
        </w:rPr>
        <w:t xml:space="preserve">) of the </w:t>
      </w:r>
      <w:r w:rsidRPr="00987CE7">
        <w:rPr>
          <w:rFonts w:cs="Times New Roman"/>
          <w:i/>
          <w:iCs/>
          <w:sz w:val="20"/>
          <w:szCs w:val="20"/>
        </w:rPr>
        <w:t xml:space="preserve">Criminal </w:t>
      </w:r>
      <w:r w:rsidRPr="00987CE7">
        <w:rPr>
          <w:rFonts w:cs="Times New Roman"/>
          <w:sz w:val="20"/>
          <w:szCs w:val="20"/>
        </w:rPr>
        <w:t xml:space="preserve">Code, R.S.C. 1985, c. C-46, infringe s. 7 of the </w:t>
      </w:r>
      <w:r w:rsidRPr="00987CE7">
        <w:rPr>
          <w:rFonts w:cs="Times New Roman"/>
          <w:i/>
          <w:iCs/>
          <w:sz w:val="20"/>
          <w:szCs w:val="20"/>
        </w:rPr>
        <w:t>Canadian Charter of Rights and Freedoms</w:t>
      </w:r>
      <w:r w:rsidRPr="00987CE7">
        <w:rPr>
          <w:rFonts w:cs="Times New Roman"/>
          <w:sz w:val="20"/>
          <w:szCs w:val="20"/>
        </w:rPr>
        <w:t xml:space="preserve">? </w:t>
      </w:r>
    </w:p>
    <w:p w:rsidR="00987CE7" w:rsidRPr="00987CE7" w:rsidRDefault="00987CE7" w:rsidP="00987CE7">
      <w:pPr>
        <w:ind w:left="720"/>
        <w:contextualSpacing/>
        <w:jc w:val="both"/>
        <w:rPr>
          <w:rFonts w:cs="Times New Roman"/>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 xml:space="preserve">If so, is the infringement a reasonable limit prescribed by law as can be demonstrably justified in a free and democratic society under s. 1 of the </w:t>
      </w:r>
      <w:r w:rsidRPr="00987CE7">
        <w:rPr>
          <w:rFonts w:cs="Times New Roman"/>
          <w:i/>
          <w:iCs/>
          <w:sz w:val="20"/>
          <w:szCs w:val="20"/>
        </w:rPr>
        <w:t>Canadian Charter of Rights and Freedoms</w:t>
      </w:r>
      <w:r w:rsidRPr="00987CE7">
        <w:rPr>
          <w:rFonts w:cs="Times New Roman"/>
          <w:sz w:val="20"/>
          <w:szCs w:val="20"/>
        </w:rPr>
        <w:t>?</w:t>
      </w:r>
    </w:p>
    <w:p w:rsidR="00987CE7" w:rsidRPr="00987CE7" w:rsidRDefault="00987CE7" w:rsidP="00987CE7">
      <w:pPr>
        <w:ind w:left="720"/>
        <w:contextualSpacing/>
        <w:jc w:val="both"/>
        <w:rPr>
          <w:rFonts w:cs="Times New Roman"/>
          <w:color w:val="000000"/>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lastRenderedPageBreak/>
        <w:t>Does section 213(1</w:t>
      </w:r>
      <w:proofErr w:type="gramStart"/>
      <w:r w:rsidRPr="00987CE7">
        <w:rPr>
          <w:rFonts w:cs="Times New Roman"/>
          <w:sz w:val="20"/>
          <w:szCs w:val="20"/>
        </w:rPr>
        <w:t>)(</w:t>
      </w:r>
      <w:proofErr w:type="gramEnd"/>
      <w:r w:rsidRPr="00987CE7">
        <w:rPr>
          <w:rFonts w:cs="Times New Roman"/>
          <w:i/>
          <w:iCs/>
          <w:sz w:val="20"/>
          <w:szCs w:val="20"/>
        </w:rPr>
        <w:t>c</w:t>
      </w:r>
      <w:r w:rsidRPr="00987CE7">
        <w:rPr>
          <w:rFonts w:cs="Times New Roman"/>
          <w:sz w:val="20"/>
          <w:szCs w:val="20"/>
        </w:rPr>
        <w:t xml:space="preserve">) of the </w:t>
      </w:r>
      <w:r w:rsidRPr="00987CE7">
        <w:rPr>
          <w:rFonts w:cs="Times New Roman"/>
          <w:i/>
          <w:iCs/>
          <w:sz w:val="20"/>
          <w:szCs w:val="20"/>
        </w:rPr>
        <w:t xml:space="preserve">Criminal </w:t>
      </w:r>
      <w:r w:rsidRPr="00987CE7">
        <w:rPr>
          <w:rFonts w:cs="Times New Roman"/>
          <w:sz w:val="20"/>
          <w:szCs w:val="20"/>
        </w:rPr>
        <w:t xml:space="preserve">Code, R.S.C. 1985, c. C-46, infringe s. 7 of the </w:t>
      </w:r>
      <w:r w:rsidRPr="00987CE7">
        <w:rPr>
          <w:rFonts w:cs="Times New Roman"/>
          <w:i/>
          <w:iCs/>
          <w:sz w:val="20"/>
          <w:szCs w:val="20"/>
        </w:rPr>
        <w:t>Canadian Charter of Rights and Freedoms</w:t>
      </w:r>
      <w:r w:rsidRPr="00987CE7">
        <w:rPr>
          <w:rFonts w:cs="Times New Roman"/>
          <w:sz w:val="20"/>
          <w:szCs w:val="20"/>
        </w:rPr>
        <w:t xml:space="preserve">? </w:t>
      </w:r>
    </w:p>
    <w:p w:rsidR="00987CE7" w:rsidRPr="00987CE7" w:rsidRDefault="00987CE7" w:rsidP="00987CE7">
      <w:pPr>
        <w:ind w:left="720"/>
        <w:contextualSpacing/>
        <w:jc w:val="both"/>
        <w:rPr>
          <w:rFonts w:cs="Times New Roman"/>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 xml:space="preserve">If so, is the infringement a reasonable limit prescribed by law as can be demonstrably justified in a free and democratic society under s. 1 of the </w:t>
      </w:r>
      <w:r w:rsidRPr="00987CE7">
        <w:rPr>
          <w:rFonts w:cs="Times New Roman"/>
          <w:i/>
          <w:iCs/>
          <w:sz w:val="20"/>
          <w:szCs w:val="20"/>
        </w:rPr>
        <w:t>Canadian Charter of Rights and Freedoms</w:t>
      </w:r>
      <w:r w:rsidRPr="00987CE7">
        <w:rPr>
          <w:rFonts w:cs="Times New Roman"/>
          <w:sz w:val="20"/>
          <w:szCs w:val="20"/>
        </w:rPr>
        <w:t>?</w:t>
      </w:r>
    </w:p>
    <w:p w:rsidR="00987CE7" w:rsidRPr="00987CE7" w:rsidRDefault="00987CE7" w:rsidP="00987CE7">
      <w:pPr>
        <w:ind w:left="720"/>
        <w:contextualSpacing/>
        <w:jc w:val="both"/>
        <w:rPr>
          <w:rFonts w:cs="Times New Roman"/>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Does section 213(1</w:t>
      </w:r>
      <w:proofErr w:type="gramStart"/>
      <w:r w:rsidRPr="00987CE7">
        <w:rPr>
          <w:rFonts w:cs="Times New Roman"/>
          <w:sz w:val="20"/>
          <w:szCs w:val="20"/>
        </w:rPr>
        <w:t>)(</w:t>
      </w:r>
      <w:proofErr w:type="gramEnd"/>
      <w:r w:rsidRPr="00987CE7">
        <w:rPr>
          <w:rFonts w:cs="Times New Roman"/>
          <w:i/>
          <w:iCs/>
          <w:sz w:val="20"/>
          <w:szCs w:val="20"/>
        </w:rPr>
        <w:t>c</w:t>
      </w:r>
      <w:r w:rsidRPr="00987CE7">
        <w:rPr>
          <w:rFonts w:cs="Times New Roman"/>
          <w:sz w:val="20"/>
          <w:szCs w:val="20"/>
        </w:rPr>
        <w:t xml:space="preserve">) of the </w:t>
      </w:r>
      <w:r w:rsidRPr="00987CE7">
        <w:rPr>
          <w:rFonts w:cs="Times New Roman"/>
          <w:i/>
          <w:iCs/>
          <w:sz w:val="20"/>
          <w:szCs w:val="20"/>
        </w:rPr>
        <w:t xml:space="preserve">Criminal </w:t>
      </w:r>
      <w:r w:rsidRPr="00987CE7">
        <w:rPr>
          <w:rFonts w:cs="Times New Roman"/>
          <w:sz w:val="20"/>
          <w:szCs w:val="20"/>
        </w:rPr>
        <w:t>Code, R.S.C. 1985, c. C-46, infringe s. 2(</w:t>
      </w:r>
      <w:r w:rsidRPr="00987CE7">
        <w:rPr>
          <w:rFonts w:cs="Times New Roman"/>
          <w:i/>
          <w:iCs/>
          <w:sz w:val="20"/>
          <w:szCs w:val="20"/>
        </w:rPr>
        <w:t>b</w:t>
      </w:r>
      <w:r w:rsidRPr="00987CE7">
        <w:rPr>
          <w:rFonts w:cs="Times New Roman"/>
          <w:sz w:val="20"/>
          <w:szCs w:val="20"/>
        </w:rPr>
        <w:t xml:space="preserve">) of the </w:t>
      </w:r>
      <w:r w:rsidRPr="00987CE7">
        <w:rPr>
          <w:rFonts w:cs="Times New Roman"/>
          <w:i/>
          <w:iCs/>
          <w:sz w:val="20"/>
          <w:szCs w:val="20"/>
        </w:rPr>
        <w:t>Canadian Charter of Rights and Freedoms</w:t>
      </w:r>
      <w:r w:rsidRPr="00987CE7">
        <w:rPr>
          <w:rFonts w:cs="Times New Roman"/>
          <w:sz w:val="20"/>
          <w:szCs w:val="20"/>
        </w:rPr>
        <w:t xml:space="preserve">? </w:t>
      </w:r>
    </w:p>
    <w:p w:rsidR="00987CE7" w:rsidRPr="00987CE7" w:rsidRDefault="00987CE7" w:rsidP="00987CE7">
      <w:pPr>
        <w:ind w:left="720"/>
        <w:contextualSpacing/>
        <w:jc w:val="both"/>
        <w:rPr>
          <w:rFonts w:cs="Times New Roman"/>
          <w:sz w:val="20"/>
          <w:szCs w:val="20"/>
        </w:rPr>
      </w:pPr>
    </w:p>
    <w:p w:rsidR="00987CE7" w:rsidRPr="00987CE7" w:rsidRDefault="00987CE7" w:rsidP="00987CE7">
      <w:pPr>
        <w:numPr>
          <w:ilvl w:val="0"/>
          <w:numId w:val="5"/>
        </w:numPr>
        <w:autoSpaceDE w:val="0"/>
        <w:autoSpaceDN w:val="0"/>
        <w:spacing w:after="200"/>
        <w:ind w:left="630"/>
        <w:contextualSpacing/>
        <w:jc w:val="both"/>
        <w:rPr>
          <w:rFonts w:cs="Times New Roman"/>
          <w:color w:val="000000"/>
          <w:sz w:val="20"/>
          <w:szCs w:val="20"/>
        </w:rPr>
      </w:pPr>
      <w:r w:rsidRPr="00987CE7">
        <w:rPr>
          <w:rFonts w:cs="Times New Roman"/>
          <w:sz w:val="20"/>
          <w:szCs w:val="20"/>
        </w:rPr>
        <w:t xml:space="preserve">If so, is the infringement a reasonable limit prescribed by law as can be demonstrably justified in a free and democratic society under s. 1 of the </w:t>
      </w:r>
      <w:r w:rsidRPr="00987CE7">
        <w:rPr>
          <w:rFonts w:cs="Times New Roman"/>
          <w:i/>
          <w:iCs/>
          <w:sz w:val="20"/>
          <w:szCs w:val="20"/>
        </w:rPr>
        <w:t>Canadian Charter of Rights and Freedoms</w:t>
      </w:r>
      <w:r w:rsidRPr="00987CE7">
        <w:rPr>
          <w:rFonts w:cs="Times New Roman"/>
          <w:sz w:val="20"/>
          <w:szCs w:val="20"/>
        </w:rPr>
        <w:t>?</w:t>
      </w:r>
    </w:p>
    <w:p w:rsidR="00987CE7" w:rsidRDefault="00987CE7" w:rsidP="00987CE7">
      <w:pPr>
        <w:jc w:val="both"/>
        <w:rPr>
          <w:rFonts w:eastAsia="Times New Roman" w:cs="Times New Roman"/>
          <w:sz w:val="20"/>
          <w:szCs w:val="20"/>
          <w:lang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sz w:val="20"/>
          <w:szCs w:val="20"/>
          <w:lang w:eastAsia="en-CA"/>
        </w:rPr>
        <w:t xml:space="preserve">The schedule for serving and filing material is set as follows: </w:t>
      </w:r>
    </w:p>
    <w:p w:rsidR="00987CE7" w:rsidRPr="00987CE7" w:rsidRDefault="00987CE7" w:rsidP="00987CE7">
      <w:pPr>
        <w:jc w:val="both"/>
        <w:rPr>
          <w:rFonts w:eastAsia="Times New Roman" w:cs="Times New Roman"/>
          <w:sz w:val="20"/>
          <w:szCs w:val="20"/>
          <w:lang w:eastAsia="en-CA"/>
        </w:rPr>
      </w:pPr>
    </w:p>
    <w:p w:rsidR="00987CE7" w:rsidRPr="00987CE7" w:rsidRDefault="00987CE7" w:rsidP="00987CE7">
      <w:pPr>
        <w:numPr>
          <w:ilvl w:val="0"/>
          <w:numId w:val="6"/>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The Attorney General of Canada shall serve and file a factum, not exceeding 50 pages (Parts I to V), to address issues on the appeal no later than March 7, 2013;</w:t>
      </w:r>
    </w:p>
    <w:p w:rsidR="00987CE7" w:rsidRPr="00987CE7" w:rsidRDefault="00987CE7" w:rsidP="00987CE7">
      <w:pPr>
        <w:numPr>
          <w:ilvl w:val="0"/>
          <w:numId w:val="6"/>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 xml:space="preserve">The Attorney General of Canada may serve and file a respondent’s factum on cross-appeal, which may not exceed 10 pages (Parts I to V), to address issues on the cross-appeal no later than May 30, 2013; </w:t>
      </w:r>
    </w:p>
    <w:p w:rsidR="00987CE7" w:rsidRPr="00987CE7" w:rsidRDefault="00987CE7" w:rsidP="00987CE7">
      <w:pPr>
        <w:numPr>
          <w:ilvl w:val="0"/>
          <w:numId w:val="6"/>
        </w:numPr>
        <w:spacing w:after="240"/>
        <w:jc w:val="both"/>
        <w:rPr>
          <w:rFonts w:eastAsia="Times New Roman" w:cs="Times New Roman"/>
          <w:sz w:val="20"/>
          <w:szCs w:val="20"/>
          <w:lang w:val="en-US" w:eastAsia="en-CA"/>
        </w:rPr>
      </w:pPr>
      <w:r w:rsidRPr="00987CE7">
        <w:rPr>
          <w:rFonts w:eastAsiaTheme="minorEastAsia" w:cs="Times New Roman"/>
          <w:sz w:val="20"/>
          <w:szCs w:val="20"/>
          <w:lang w:val="en-US" w:bidi="en-US"/>
        </w:rPr>
        <w:t>The Attorney General of Ontario shall serve and file the appellant's factum no later than March 21, 2013.  The Attorney General of Ontario shall serve and file a respondent's factum on the cross-appeal no later than May 30, 2013</w:t>
      </w:r>
      <w:r w:rsidRPr="00987CE7">
        <w:rPr>
          <w:rFonts w:eastAsia="Times New Roman" w:cs="Times New Roman"/>
          <w:sz w:val="20"/>
          <w:szCs w:val="20"/>
          <w:lang w:val="en-US" w:eastAsia="en-CA"/>
        </w:rPr>
        <w:t>;</w:t>
      </w:r>
    </w:p>
    <w:p w:rsidR="00987CE7" w:rsidRPr="00987CE7" w:rsidRDefault="00987CE7" w:rsidP="00987CE7">
      <w:pPr>
        <w:numPr>
          <w:ilvl w:val="0"/>
          <w:numId w:val="6"/>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 xml:space="preserve">The Attorney General of Ontario may serve and file an appellant’s factum of 40-50 pages (Parts I to V) and a respondent’s factum on cross-appeal of 10-20 pages (Parts I to V) but may not exceed the combined page allowance of 60 pages for these two </w:t>
      </w:r>
      <w:proofErr w:type="spellStart"/>
      <w:r w:rsidRPr="00987CE7">
        <w:rPr>
          <w:rFonts w:eastAsia="Times New Roman" w:cs="Times New Roman"/>
          <w:sz w:val="20"/>
          <w:szCs w:val="20"/>
          <w:lang w:val="en-US" w:eastAsia="en-CA"/>
        </w:rPr>
        <w:t>facta</w:t>
      </w:r>
      <w:proofErr w:type="spellEnd"/>
      <w:r w:rsidRPr="00987CE7">
        <w:rPr>
          <w:rFonts w:eastAsia="Times New Roman" w:cs="Times New Roman"/>
          <w:sz w:val="20"/>
          <w:szCs w:val="20"/>
          <w:lang w:val="en-US" w:eastAsia="en-CA"/>
        </w:rPr>
        <w:t xml:space="preserve">, as provided for under the </w:t>
      </w:r>
      <w:r w:rsidRPr="00987CE7">
        <w:rPr>
          <w:rFonts w:eastAsia="Times New Roman" w:cs="Times New Roman"/>
          <w:i/>
          <w:sz w:val="20"/>
          <w:szCs w:val="20"/>
          <w:lang w:val="en-US" w:eastAsia="en-CA"/>
        </w:rPr>
        <w:t>Rules</w:t>
      </w:r>
      <w:r w:rsidRPr="00987CE7">
        <w:rPr>
          <w:rFonts w:eastAsia="Times New Roman" w:cs="Times New Roman"/>
          <w:sz w:val="20"/>
          <w:szCs w:val="20"/>
          <w:lang w:val="en-US" w:eastAsia="en-CA"/>
        </w:rPr>
        <w:t>;</w:t>
      </w:r>
    </w:p>
    <w:p w:rsidR="00987CE7" w:rsidRPr="00987CE7" w:rsidRDefault="00987CE7" w:rsidP="00987CE7">
      <w:pPr>
        <w:numPr>
          <w:ilvl w:val="0"/>
          <w:numId w:val="6"/>
        </w:numPr>
        <w:spacing w:after="240"/>
        <w:jc w:val="both"/>
        <w:rPr>
          <w:rFonts w:eastAsiaTheme="minorEastAsia" w:cs="Times New Roman"/>
          <w:sz w:val="20"/>
          <w:szCs w:val="20"/>
          <w:lang w:val="en-US" w:bidi="en-US"/>
        </w:rPr>
      </w:pPr>
      <w:r w:rsidRPr="00987CE7">
        <w:rPr>
          <w:rFonts w:eastAsiaTheme="minorEastAsia"/>
          <w:sz w:val="20"/>
          <w:szCs w:val="20"/>
          <w:lang w:val="en-US" w:bidi="en-US"/>
        </w:rPr>
        <w:t>Any application for leave to intervene to be served and filed no later than April 11, 2013;</w:t>
      </w:r>
    </w:p>
    <w:p w:rsidR="00987CE7" w:rsidRPr="00987CE7" w:rsidRDefault="00987CE7" w:rsidP="00987CE7">
      <w:pPr>
        <w:numPr>
          <w:ilvl w:val="0"/>
          <w:numId w:val="6"/>
        </w:numPr>
        <w:spacing w:after="240"/>
        <w:jc w:val="both"/>
        <w:rPr>
          <w:rFonts w:eastAsiaTheme="minorEastAsia" w:cs="Times New Roman"/>
          <w:sz w:val="20"/>
          <w:szCs w:val="20"/>
          <w:lang w:val="en-US" w:bidi="en-US"/>
        </w:rPr>
      </w:pPr>
      <w:r w:rsidRPr="00987CE7">
        <w:rPr>
          <w:rFonts w:eastAsiaTheme="minorEastAsia"/>
          <w:sz w:val="20"/>
          <w:szCs w:val="20"/>
          <w:lang w:val="en-US" w:bidi="en-US"/>
        </w:rPr>
        <w:t>The responses to any application for leave to intervene to be served and filed no later than April 18, 2013;</w:t>
      </w:r>
    </w:p>
    <w:p w:rsidR="00987CE7" w:rsidRPr="00987CE7" w:rsidRDefault="00987CE7" w:rsidP="00987CE7">
      <w:pPr>
        <w:numPr>
          <w:ilvl w:val="0"/>
          <w:numId w:val="6"/>
        </w:numPr>
        <w:spacing w:after="240"/>
        <w:jc w:val="both"/>
        <w:rPr>
          <w:rFonts w:eastAsiaTheme="minorEastAsia"/>
          <w:sz w:val="20"/>
          <w:szCs w:val="20"/>
          <w:lang w:val="en-US" w:bidi="en-US"/>
        </w:rPr>
      </w:pPr>
      <w:r w:rsidRPr="00987CE7">
        <w:rPr>
          <w:rFonts w:eastAsiaTheme="minorEastAsia"/>
          <w:sz w:val="20"/>
          <w:szCs w:val="20"/>
          <w:lang w:val="en-US" w:bidi="en-US"/>
        </w:rPr>
        <w:t>The replies on any application for leave to intervene to be served and filed no later than April 23, 2013;</w:t>
      </w:r>
    </w:p>
    <w:p w:rsidR="00987CE7" w:rsidRPr="00987CE7" w:rsidRDefault="00987CE7" w:rsidP="00987CE7">
      <w:pPr>
        <w:numPr>
          <w:ilvl w:val="0"/>
          <w:numId w:val="6"/>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The respondents shall jointly serve and file their factum on the appeal and the cross-appeal no later than May 2, 2013. The factum shall not exceed 60 pages as provided for under the Rules;</w:t>
      </w:r>
    </w:p>
    <w:p w:rsidR="00987CE7" w:rsidRPr="00987CE7" w:rsidRDefault="00987CE7" w:rsidP="00987CE7">
      <w:pPr>
        <w:numPr>
          <w:ilvl w:val="0"/>
          <w:numId w:val="6"/>
        </w:numPr>
        <w:spacing w:after="240"/>
        <w:jc w:val="both"/>
        <w:rPr>
          <w:rFonts w:eastAsiaTheme="minorEastAsia"/>
          <w:sz w:val="20"/>
          <w:szCs w:val="20"/>
          <w:lang w:val="en-US" w:bidi="en-US"/>
        </w:rPr>
      </w:pPr>
      <w:r w:rsidRPr="00987CE7">
        <w:rPr>
          <w:rFonts w:eastAsiaTheme="minorEastAsia"/>
          <w:sz w:val="20"/>
          <w:szCs w:val="20"/>
          <w:lang w:val="en-US" w:bidi="en-US"/>
        </w:rPr>
        <w:t xml:space="preserve">The intervener’s factums to be served and filed in accordance with the date set in the order granting leave to intervene; and, </w:t>
      </w:r>
    </w:p>
    <w:p w:rsidR="00987CE7" w:rsidRPr="00987CE7" w:rsidRDefault="00987CE7" w:rsidP="00987CE7">
      <w:pPr>
        <w:numPr>
          <w:ilvl w:val="0"/>
          <w:numId w:val="6"/>
        </w:numPr>
        <w:spacing w:after="240"/>
        <w:jc w:val="both"/>
        <w:rPr>
          <w:rFonts w:eastAsiaTheme="minorEastAsia"/>
          <w:sz w:val="20"/>
          <w:szCs w:val="20"/>
          <w:lang w:val="en-US" w:bidi="en-US"/>
        </w:rPr>
      </w:pPr>
      <w:r w:rsidRPr="00987CE7">
        <w:rPr>
          <w:rFonts w:eastAsiaTheme="minorEastAsia" w:cs="Times New Roman"/>
          <w:sz w:val="20"/>
          <w:szCs w:val="20"/>
          <w:lang w:val="en-US" w:bidi="en-US"/>
        </w:rPr>
        <w:t>The appeal is to be heard on June 12, 2013.</w:t>
      </w:r>
    </w:p>
    <w:p w:rsidR="00987CE7" w:rsidRPr="00987CE7" w:rsidRDefault="00987CE7" w:rsidP="00987CE7">
      <w:pPr>
        <w:spacing w:after="240"/>
        <w:jc w:val="both"/>
        <w:rPr>
          <w:rFonts w:eastAsiaTheme="minorEastAsia"/>
          <w:sz w:val="20"/>
          <w:szCs w:val="20"/>
          <w:lang w:val="en-US" w:bidi="en-US"/>
        </w:rPr>
      </w:pPr>
      <w:r w:rsidRPr="00987CE7">
        <w:rPr>
          <w:rFonts w:eastAsiaTheme="minorEastAsia" w:cs="Times New Roman"/>
          <w:sz w:val="20"/>
          <w:szCs w:val="20"/>
          <w:lang w:val="en-US" w:bidi="en-US"/>
        </w:rPr>
        <w:t>The preparation of the appellants’ materials is as follows:</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That the appellants may jointly serve and file an appellants’ Record;</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That Parts IV and V of the appellants’ Record may contain all documents filed in the court appealed from;</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That the appellants shall arrange, pursuant to section 63 of the</w:t>
      </w:r>
      <w:r w:rsidRPr="00987CE7">
        <w:rPr>
          <w:rFonts w:eastAsia="Times New Roman" w:cs="Times New Roman"/>
          <w:i/>
          <w:sz w:val="20"/>
          <w:szCs w:val="20"/>
          <w:lang w:val="en-US" w:eastAsia="en-CA"/>
        </w:rPr>
        <w:t xml:space="preserve"> Supreme Court Act</w:t>
      </w:r>
      <w:r w:rsidRPr="00987CE7">
        <w:rPr>
          <w:rFonts w:eastAsia="Times New Roman" w:cs="Times New Roman"/>
          <w:sz w:val="20"/>
          <w:szCs w:val="20"/>
          <w:lang w:val="en-US" w:eastAsia="en-CA"/>
        </w:rPr>
        <w:t xml:space="preserve">, for the transmission to the Registrar, of </w:t>
      </w:r>
    </w:p>
    <w:p w:rsidR="00987CE7" w:rsidRPr="00987CE7" w:rsidRDefault="00987CE7" w:rsidP="00987CE7">
      <w:pPr>
        <w:numPr>
          <w:ilvl w:val="0"/>
          <w:numId w:val="4"/>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lastRenderedPageBreak/>
        <w:t>the printed version of the following documents filed in the court appealed from: the 86-volume Joint Application Record (containing page numbering from 1 to 26396), the two volume Supplementary Joint Application Record (containing page numbering from 26397 to 26957), the Appeal Book (containing page number from AB1 to AB268), and the factums and books of authorities filed in the courts below; and</w:t>
      </w:r>
    </w:p>
    <w:p w:rsidR="00987CE7" w:rsidRPr="00987CE7" w:rsidRDefault="00987CE7" w:rsidP="00987CE7">
      <w:pPr>
        <w:numPr>
          <w:ilvl w:val="0"/>
          <w:numId w:val="4"/>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 xml:space="preserve">the electronic version of the documents filed on a disc in the court appealed from, which was prepared in accordance with the Rule 21(1) and the </w:t>
      </w:r>
      <w:r w:rsidRPr="00987CE7">
        <w:rPr>
          <w:rFonts w:eastAsia="Times New Roman" w:cs="Times New Roman"/>
          <w:i/>
          <w:sz w:val="20"/>
          <w:szCs w:val="20"/>
          <w:lang w:val="en-US" w:eastAsia="en-CA"/>
        </w:rPr>
        <w:t>Guidelines for Preparing Documents</w:t>
      </w:r>
      <w:r w:rsidRPr="00987CE7">
        <w:rPr>
          <w:rFonts w:eastAsia="Times New Roman" w:cs="Times New Roman"/>
          <w:sz w:val="20"/>
          <w:szCs w:val="20"/>
          <w:lang w:val="en-US" w:eastAsia="en-CA"/>
        </w:rPr>
        <w:t xml:space="preserve"> in relation to such features as bookmarks and optical character recognition;</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 xml:space="preserve">That the appellants shall serve and file the documents in Parts I to III of their Record by printing, but printing of the documents in Parts IV and V is dispensed with, and the appellants may serve and file those documents in electronic form only; </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That, notwithstanding the previous paragraph, the appellants may serve and file a printed version only, and not an electronic version, of the following documents: the affidavits and transcripts of cross-examinations of certain affiants</w:t>
      </w:r>
      <w:r w:rsidRPr="00987CE7">
        <w:rPr>
          <w:rFonts w:eastAsiaTheme="minorEastAsia" w:cs="Times New Roman"/>
          <w:sz w:val="20"/>
          <w:szCs w:val="20"/>
          <w:lang w:val="en-US" w:bidi="en-US"/>
        </w:rPr>
        <w:t xml:space="preserve">, namely, the evidence of those women currently or formerly engaged in prostitution that had not been previously included in the electronic version of the record </w:t>
      </w:r>
      <w:r w:rsidRPr="00987CE7">
        <w:rPr>
          <w:rFonts w:eastAsia="Times New Roman" w:cs="Times New Roman"/>
          <w:sz w:val="20"/>
          <w:szCs w:val="20"/>
          <w:lang w:val="en-US" w:eastAsia="en-CA"/>
        </w:rPr>
        <w:t xml:space="preserve">found at pages 9448 to 9753 of the Joint Application Record filed in the court appealed from.  These affidavits are subject to the Order of the </w:t>
      </w:r>
      <w:proofErr w:type="spellStart"/>
      <w:r w:rsidRPr="00987CE7">
        <w:rPr>
          <w:rFonts w:eastAsia="Times New Roman" w:cs="Times New Roman"/>
          <w:sz w:val="20"/>
          <w:szCs w:val="20"/>
          <w:lang w:val="en-US" w:eastAsia="en-CA"/>
        </w:rPr>
        <w:t>Honourable</w:t>
      </w:r>
      <w:proofErr w:type="spellEnd"/>
      <w:r w:rsidRPr="00987CE7">
        <w:rPr>
          <w:rFonts w:eastAsia="Times New Roman" w:cs="Times New Roman"/>
          <w:sz w:val="20"/>
          <w:szCs w:val="20"/>
          <w:lang w:val="en-US" w:eastAsia="en-CA"/>
        </w:rPr>
        <w:t xml:space="preserve"> Mr. Justice C.L. Campbell, dated December 12, 2007 </w:t>
      </w:r>
      <w:r w:rsidRPr="00987CE7">
        <w:rPr>
          <w:rFonts w:eastAsiaTheme="minorEastAsia" w:cs="Times New Roman"/>
          <w:sz w:val="20"/>
          <w:szCs w:val="20"/>
          <w:lang w:val="en-US" w:eastAsia="en-CA" w:bidi="en-US"/>
        </w:rPr>
        <w:t xml:space="preserve">allowing them to be served and filed on an </w:t>
      </w:r>
      <w:proofErr w:type="spellStart"/>
      <w:r w:rsidRPr="00987CE7">
        <w:rPr>
          <w:rFonts w:eastAsiaTheme="minorEastAsia" w:cs="Times New Roman"/>
          <w:sz w:val="20"/>
          <w:szCs w:val="20"/>
          <w:lang w:val="en-US" w:eastAsia="en-CA" w:bidi="en-US"/>
        </w:rPr>
        <w:t>anonymized</w:t>
      </w:r>
      <w:proofErr w:type="spellEnd"/>
      <w:r w:rsidRPr="00987CE7">
        <w:rPr>
          <w:rFonts w:eastAsiaTheme="minorEastAsia" w:cs="Times New Roman"/>
          <w:sz w:val="20"/>
          <w:szCs w:val="20"/>
          <w:lang w:val="en-US" w:eastAsia="en-CA" w:bidi="en-US"/>
        </w:rPr>
        <w:t xml:space="preserve"> basis.  These affidavits were made subject to personal undertakings of all counsel that this evidence not be electronically distributed and they were not made part of the electronic record</w:t>
      </w:r>
      <w:r w:rsidRPr="00987CE7">
        <w:rPr>
          <w:rFonts w:eastAsia="Times New Roman" w:cs="Times New Roman"/>
          <w:sz w:val="20"/>
          <w:szCs w:val="20"/>
          <w:lang w:val="en-US" w:eastAsia="en-CA"/>
        </w:rPr>
        <w:t>.</w:t>
      </w:r>
    </w:p>
    <w:p w:rsidR="00987CE7" w:rsidRPr="00987CE7" w:rsidRDefault="00987CE7" w:rsidP="00987CE7">
      <w:pPr>
        <w:numPr>
          <w:ilvl w:val="0"/>
          <w:numId w:val="2"/>
        </w:numPr>
        <w:spacing w:after="240"/>
        <w:jc w:val="both"/>
        <w:rPr>
          <w:rFonts w:eastAsia="Times New Roman" w:cs="Times New Roman"/>
          <w:sz w:val="20"/>
          <w:szCs w:val="20"/>
          <w:lang w:val="en-US" w:eastAsia="en-CA"/>
        </w:rPr>
      </w:pPr>
      <w:r w:rsidRPr="00987CE7">
        <w:rPr>
          <w:rFonts w:eastAsia="Times New Roman" w:cs="Times New Roman"/>
          <w:sz w:val="20"/>
          <w:szCs w:val="20"/>
          <w:lang w:val="en-US" w:eastAsia="en-CA"/>
        </w:rPr>
        <w:t>That the page numbers in Parts I to III of the appellants’ Record may be preceded by the letters “A.R.” to distinguish from the existing numbering on the documents in Parts IV to V of the appellants’ Record; and</w:t>
      </w:r>
    </w:p>
    <w:p w:rsidR="00987CE7" w:rsidRPr="00987CE7" w:rsidRDefault="00987CE7" w:rsidP="00987CE7">
      <w:pPr>
        <w:numPr>
          <w:ilvl w:val="0"/>
          <w:numId w:val="2"/>
        </w:numPr>
        <w:jc w:val="both"/>
        <w:rPr>
          <w:rFonts w:eastAsia="Times New Roman" w:cs="Times New Roman"/>
          <w:sz w:val="20"/>
          <w:szCs w:val="20"/>
          <w:lang w:val="en-US" w:eastAsia="en-CA"/>
        </w:rPr>
      </w:pPr>
      <w:r w:rsidRPr="00987CE7">
        <w:rPr>
          <w:rFonts w:eastAsia="Times New Roman" w:cs="Times New Roman"/>
          <w:sz w:val="20"/>
          <w:szCs w:val="20"/>
          <w:lang w:val="en-US" w:eastAsia="en-CA"/>
        </w:rPr>
        <w:t>That the documents in Parts IV and V of the appellants’ Record may retain the page numbering and format as they were filed in the court below.</w:t>
      </w:r>
      <w:r w:rsidRPr="00987CE7">
        <w:rPr>
          <w:rFonts w:eastAsiaTheme="minorEastAsia" w:cs="Times New Roman"/>
          <w:sz w:val="20"/>
          <w:szCs w:val="20"/>
          <w:lang w:bidi="en-US"/>
        </w:rPr>
        <w:t xml:space="preserve"> </w:t>
      </w:r>
    </w:p>
    <w:p w:rsidR="00987CE7" w:rsidRPr="00987CE7" w:rsidRDefault="00987CE7" w:rsidP="00987CE7">
      <w:pPr>
        <w:jc w:val="both"/>
        <w:rPr>
          <w:rFonts w:eastAsiaTheme="minorEastAsia" w:cs="Times New Roman"/>
          <w:sz w:val="20"/>
          <w:szCs w:val="20"/>
          <w:lang w:val="en-US" w:bidi="en-US"/>
        </w:rPr>
      </w:pPr>
    </w:p>
    <w:p w:rsidR="00987CE7" w:rsidRPr="00987CE7" w:rsidRDefault="00987CE7" w:rsidP="00987CE7">
      <w:pPr>
        <w:jc w:val="both"/>
        <w:rPr>
          <w:rFonts w:eastAsiaTheme="minorEastAsia" w:cs="Times New Roman"/>
          <w:sz w:val="20"/>
          <w:szCs w:val="20"/>
          <w:lang w:val="en-US" w:bidi="en-US"/>
        </w:rPr>
      </w:pPr>
    </w:p>
    <w:p w:rsidR="00987CE7" w:rsidRPr="00987CE7" w:rsidRDefault="00987CE7" w:rsidP="00987CE7">
      <w:pPr>
        <w:jc w:val="both"/>
        <w:rPr>
          <w:rFonts w:eastAsiaTheme="minorEastAsia" w:cs="Times New Roman"/>
          <w:sz w:val="20"/>
          <w:szCs w:val="20"/>
          <w:lang w:val="en-US" w:bidi="en-US"/>
        </w:rPr>
      </w:pPr>
    </w:p>
    <w:p w:rsidR="00987CE7" w:rsidRPr="00987CE7" w:rsidRDefault="00987CE7" w:rsidP="00987CE7">
      <w:pPr>
        <w:rPr>
          <w:rFonts w:eastAsia="Times New Roman" w:cs="Times New Roman"/>
          <w:bCs/>
          <w:sz w:val="20"/>
          <w:szCs w:val="20"/>
          <w:lang w:val="fr-CA" w:eastAsia="en-CA"/>
        </w:rPr>
      </w:pPr>
      <w:r w:rsidRPr="00987CE7">
        <w:rPr>
          <w:rFonts w:eastAsia="Times New Roman" w:cs="Times New Roman"/>
          <w:b/>
          <w:bCs/>
          <w:sz w:val="20"/>
          <w:szCs w:val="20"/>
          <w:lang w:val="fr-CA" w:eastAsia="en-CA"/>
        </w:rPr>
        <w:t xml:space="preserve">À LA SUITE DE LA DEMANDE </w:t>
      </w:r>
      <w:r w:rsidRPr="00987CE7">
        <w:rPr>
          <w:rFonts w:eastAsia="Times New Roman" w:cs="Times New Roman"/>
          <w:bCs/>
          <w:sz w:val="20"/>
          <w:szCs w:val="20"/>
          <w:lang w:val="fr-CA" w:eastAsia="en-CA"/>
        </w:rPr>
        <w:t>présentée par l’appelant, le procureur général du Canada, en vue de la formulation de questions constitutionnelles dans l’appel et dans l’appel incident;</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À LA SUITE DE LA DEMANDE</w:t>
      </w:r>
      <w:r w:rsidRPr="00987CE7">
        <w:rPr>
          <w:rFonts w:eastAsia="Times New Roman" w:cs="Times New Roman"/>
          <w:sz w:val="20"/>
          <w:szCs w:val="20"/>
          <w:lang w:val="fr-CA" w:eastAsia="en-CA"/>
        </w:rPr>
        <w:t xml:space="preserve"> présentée par l’appelant, le procureur général du Canada, relativement au nombre de pages du mémoire et aux dates de dépôt;</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 xml:space="preserve">ET APRÈS EXAMEN </w:t>
      </w:r>
      <w:r w:rsidRPr="00987CE7">
        <w:rPr>
          <w:rFonts w:eastAsia="Times New Roman" w:cs="Times New Roman"/>
          <w:bCs/>
          <w:sz w:val="20"/>
          <w:szCs w:val="20"/>
          <w:lang w:val="fr-CA" w:eastAsia="en-CA"/>
        </w:rPr>
        <w:t>des documents déposés</w:t>
      </w:r>
      <w:r w:rsidRPr="00987CE7">
        <w:rPr>
          <w:rFonts w:eastAsia="Times New Roman" w:cs="Times New Roman"/>
          <w:sz w:val="20"/>
          <w:szCs w:val="20"/>
          <w:lang w:val="fr-CA" w:eastAsia="en-CA"/>
        </w:rPr>
        <w:t>;</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b/>
          <w:sz w:val="20"/>
          <w:szCs w:val="20"/>
          <w:lang w:val="fr-CA" w:eastAsia="en-CA"/>
        </w:rPr>
      </w:pPr>
      <w:r w:rsidRPr="00987CE7">
        <w:rPr>
          <w:rFonts w:eastAsia="Times New Roman" w:cs="Times New Roman"/>
          <w:b/>
          <w:bCs/>
          <w:sz w:val="20"/>
          <w:szCs w:val="20"/>
          <w:lang w:val="fr-CA" w:eastAsia="en-CA"/>
        </w:rPr>
        <w:t>IL EST ORDONNÉ CE QUI SUIT :</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sz w:val="20"/>
          <w:szCs w:val="20"/>
          <w:lang w:val="fr-CA" w:eastAsia="en-CA"/>
        </w:rPr>
        <w:t>Les questions constitutionnelles suivantes sont formulées :</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numPr>
          <w:ilvl w:val="0"/>
          <w:numId w:val="7"/>
        </w:numPr>
        <w:autoSpaceDE w:val="0"/>
        <w:autoSpaceDN w:val="0"/>
        <w:adjustRightInd w:val="0"/>
        <w:contextualSpacing/>
        <w:jc w:val="both"/>
        <w:rPr>
          <w:rFonts w:cs="Times New Roman"/>
          <w:color w:val="000000"/>
          <w:sz w:val="20"/>
          <w:szCs w:val="20"/>
          <w:lang w:val="fr-CA"/>
        </w:rPr>
      </w:pPr>
      <w:r w:rsidRPr="00987CE7">
        <w:rPr>
          <w:rFonts w:cs="Times New Roman"/>
          <w:color w:val="000000"/>
          <w:sz w:val="20"/>
          <w:szCs w:val="20"/>
          <w:lang w:val="fr-CA"/>
        </w:rPr>
        <w:t xml:space="preserve">L’article 210 du </w:t>
      </w:r>
      <w:r w:rsidRPr="00987CE7">
        <w:rPr>
          <w:rFonts w:cs="Times New Roman"/>
          <w:i/>
          <w:color w:val="000000"/>
          <w:sz w:val="20"/>
          <w:szCs w:val="20"/>
          <w:lang w:val="fr-CA"/>
        </w:rPr>
        <w:t>Code criminel</w:t>
      </w:r>
      <w:r w:rsidRPr="00987CE7">
        <w:rPr>
          <w:rFonts w:cs="Times New Roman"/>
          <w:color w:val="000000"/>
          <w:sz w:val="20"/>
          <w:szCs w:val="20"/>
          <w:lang w:val="fr-CA"/>
        </w:rPr>
        <w:t xml:space="preserve">, L.R.C. 1985, ch. C-46, qui interdit de tenir une maison de débauche, d’y habiter ou d’employer un local comme maison de débauche aux fins de prostitution, est-il contraire à l’art. 7 de la </w:t>
      </w:r>
      <w:r w:rsidRPr="00987CE7">
        <w:rPr>
          <w:rFonts w:cs="Times New Roman"/>
          <w:i/>
          <w:color w:val="000000"/>
          <w:sz w:val="20"/>
          <w:szCs w:val="20"/>
          <w:lang w:val="fr-CA"/>
        </w:rPr>
        <w:t>Charte canadienne des droits et libertés</w:t>
      </w:r>
      <w:r w:rsidRPr="00987CE7">
        <w:rPr>
          <w:rFonts w:cs="Times New Roman"/>
          <w:color w:val="000000"/>
          <w:sz w:val="20"/>
          <w:szCs w:val="20"/>
          <w:lang w:val="fr-CA"/>
        </w:rPr>
        <w:t>?</w:t>
      </w:r>
    </w:p>
    <w:p w:rsidR="00987CE7" w:rsidRPr="00987CE7" w:rsidRDefault="00987CE7" w:rsidP="00987CE7">
      <w:pPr>
        <w:spacing w:after="200"/>
        <w:ind w:left="630"/>
        <w:contextualSpacing/>
        <w:jc w:val="both"/>
        <w:rPr>
          <w:rFonts w:cs="Times New Roman"/>
          <w:color w:val="000000"/>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 xml:space="preserve">Dans l’affirmative, s’agit-il d’une restriction par une règle de droit, dans des limites raisonnables et dont la justification peut se démontrer dans le cadre d’une société libre et démocratique suivant l’article premier de la </w:t>
      </w:r>
      <w:r w:rsidRPr="00987CE7">
        <w:rPr>
          <w:rFonts w:cs="Times New Roman"/>
          <w:i/>
          <w:sz w:val="20"/>
          <w:szCs w:val="20"/>
          <w:lang w:val="fr-CA"/>
        </w:rPr>
        <w:t>Charte canadienne des droits et libertés</w:t>
      </w:r>
      <w:r w:rsidRPr="00987CE7">
        <w:rPr>
          <w:rFonts w:cs="Times New Roman"/>
          <w:sz w:val="20"/>
          <w:szCs w:val="20"/>
          <w:lang w:val="fr-CA"/>
        </w:rPr>
        <w:t>?</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L’alinéa 212(1)</w:t>
      </w:r>
      <w:r w:rsidRPr="00987CE7">
        <w:rPr>
          <w:rFonts w:cs="Times New Roman"/>
          <w:i/>
          <w:iCs/>
          <w:sz w:val="20"/>
          <w:szCs w:val="20"/>
          <w:lang w:val="fr-CA"/>
        </w:rPr>
        <w:t>j</w:t>
      </w:r>
      <w:r w:rsidRPr="00987CE7">
        <w:rPr>
          <w:rFonts w:cs="Times New Roman"/>
          <w:sz w:val="20"/>
          <w:szCs w:val="20"/>
          <w:lang w:val="fr-CA"/>
        </w:rPr>
        <w:t xml:space="preserve">) du </w:t>
      </w:r>
      <w:r w:rsidRPr="00987CE7">
        <w:rPr>
          <w:rFonts w:cs="Times New Roman"/>
          <w:i/>
          <w:sz w:val="20"/>
          <w:szCs w:val="20"/>
          <w:lang w:val="fr-CA"/>
        </w:rPr>
        <w:t>Code criminel</w:t>
      </w:r>
      <w:r w:rsidRPr="00987CE7">
        <w:rPr>
          <w:rFonts w:cs="Times New Roman"/>
          <w:sz w:val="20"/>
          <w:szCs w:val="20"/>
          <w:lang w:val="fr-CA"/>
        </w:rPr>
        <w:t xml:space="preserve">, L.R.C. 1985, ch. C-46, est-il contraire à l’art. 7 de la </w:t>
      </w:r>
      <w:r w:rsidRPr="00987CE7">
        <w:rPr>
          <w:rFonts w:cs="Times New Roman"/>
          <w:i/>
          <w:sz w:val="20"/>
          <w:szCs w:val="20"/>
          <w:lang w:val="fr-CA"/>
        </w:rPr>
        <w:t>Charte canadienne des droits et libertés</w:t>
      </w:r>
      <w:r w:rsidRPr="00987CE7">
        <w:rPr>
          <w:rFonts w:cs="Times New Roman"/>
          <w:sz w:val="20"/>
          <w:szCs w:val="20"/>
          <w:lang w:val="fr-CA"/>
        </w:rPr>
        <w:t xml:space="preserve">? </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lastRenderedPageBreak/>
        <w:t xml:space="preserve">Dans l’affirmative, s’agit-il d’une restriction par une règle de droit, dans des limites raisonnables et dont la justification peut se démontrer dans le cadre d’une société libre et démocratique suivant l’article premier de la </w:t>
      </w:r>
      <w:r w:rsidRPr="00987CE7">
        <w:rPr>
          <w:rFonts w:cs="Times New Roman"/>
          <w:i/>
          <w:sz w:val="20"/>
          <w:szCs w:val="20"/>
          <w:lang w:val="fr-CA"/>
        </w:rPr>
        <w:t>Charte canadienne des droits et libertés</w:t>
      </w:r>
      <w:r w:rsidRPr="00987CE7">
        <w:rPr>
          <w:rFonts w:cs="Times New Roman"/>
          <w:sz w:val="20"/>
          <w:szCs w:val="20"/>
          <w:lang w:val="fr-CA"/>
        </w:rPr>
        <w:t>?</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L’alinéa 213(1)</w:t>
      </w:r>
      <w:r w:rsidRPr="00987CE7">
        <w:rPr>
          <w:rFonts w:cs="Times New Roman"/>
          <w:i/>
          <w:iCs/>
          <w:sz w:val="20"/>
          <w:szCs w:val="20"/>
          <w:lang w:val="fr-CA"/>
        </w:rPr>
        <w:t>c</w:t>
      </w:r>
      <w:r w:rsidRPr="00987CE7">
        <w:rPr>
          <w:rFonts w:cs="Times New Roman"/>
          <w:sz w:val="20"/>
          <w:szCs w:val="20"/>
          <w:lang w:val="fr-CA"/>
        </w:rPr>
        <w:t xml:space="preserve">) du </w:t>
      </w:r>
      <w:r w:rsidRPr="00987CE7">
        <w:rPr>
          <w:rFonts w:cs="Times New Roman"/>
          <w:i/>
          <w:sz w:val="20"/>
          <w:szCs w:val="20"/>
          <w:lang w:val="fr-CA"/>
        </w:rPr>
        <w:t>Code criminel</w:t>
      </w:r>
      <w:r w:rsidRPr="00987CE7">
        <w:rPr>
          <w:rFonts w:cs="Times New Roman"/>
          <w:sz w:val="20"/>
          <w:szCs w:val="20"/>
          <w:lang w:val="fr-CA"/>
        </w:rPr>
        <w:t xml:space="preserve">, L.R.C. 1985, ch. C-46, est-il contraire à l’art. 7 de la </w:t>
      </w:r>
      <w:r w:rsidRPr="00987CE7">
        <w:rPr>
          <w:rFonts w:cs="Times New Roman"/>
          <w:i/>
          <w:sz w:val="20"/>
          <w:szCs w:val="20"/>
          <w:lang w:val="fr-CA"/>
        </w:rPr>
        <w:t>Charte canadienne des droits et libertés</w:t>
      </w:r>
      <w:r w:rsidRPr="00987CE7">
        <w:rPr>
          <w:rFonts w:cs="Times New Roman"/>
          <w:sz w:val="20"/>
          <w:szCs w:val="20"/>
          <w:lang w:val="fr-CA"/>
        </w:rPr>
        <w:t xml:space="preserve">? </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 xml:space="preserve">Dans l’affirmative, s’agit-il d’une restriction par une règle de droit, dans des limites raisonnables et dont la justification peut se démontrer dans le cadre d’une société libre et démocratique suivant l’article premier de la </w:t>
      </w:r>
      <w:r w:rsidRPr="00987CE7">
        <w:rPr>
          <w:rFonts w:cs="Times New Roman"/>
          <w:i/>
          <w:sz w:val="20"/>
          <w:szCs w:val="20"/>
          <w:lang w:val="fr-CA"/>
        </w:rPr>
        <w:t>Charte canadienne des droits et libertés</w:t>
      </w:r>
      <w:r w:rsidRPr="00987CE7">
        <w:rPr>
          <w:rFonts w:cs="Times New Roman"/>
          <w:sz w:val="20"/>
          <w:szCs w:val="20"/>
          <w:lang w:val="fr-CA"/>
        </w:rPr>
        <w:t>?</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L’alinéa 213(1)</w:t>
      </w:r>
      <w:r w:rsidRPr="00987CE7">
        <w:rPr>
          <w:rFonts w:cs="Times New Roman"/>
          <w:i/>
          <w:iCs/>
          <w:sz w:val="20"/>
          <w:szCs w:val="20"/>
          <w:lang w:val="fr-CA"/>
        </w:rPr>
        <w:t>c</w:t>
      </w:r>
      <w:r w:rsidRPr="00987CE7">
        <w:rPr>
          <w:rFonts w:cs="Times New Roman"/>
          <w:sz w:val="20"/>
          <w:szCs w:val="20"/>
          <w:lang w:val="fr-CA"/>
        </w:rPr>
        <w:t xml:space="preserve">) du </w:t>
      </w:r>
      <w:r w:rsidRPr="00987CE7">
        <w:rPr>
          <w:rFonts w:cs="Times New Roman"/>
          <w:i/>
          <w:sz w:val="20"/>
          <w:szCs w:val="20"/>
          <w:lang w:val="fr-CA"/>
        </w:rPr>
        <w:t>Code criminel</w:t>
      </w:r>
      <w:r w:rsidRPr="00987CE7">
        <w:rPr>
          <w:rFonts w:cs="Times New Roman"/>
          <w:sz w:val="20"/>
          <w:szCs w:val="20"/>
          <w:lang w:val="fr-CA"/>
        </w:rPr>
        <w:t>, L.R.C. 1985, ch. C-46, est-il contraire à l’al. 2</w:t>
      </w:r>
      <w:r w:rsidRPr="00987CE7">
        <w:rPr>
          <w:rFonts w:cs="Times New Roman"/>
          <w:i/>
          <w:sz w:val="20"/>
          <w:szCs w:val="20"/>
          <w:lang w:val="fr-CA"/>
        </w:rPr>
        <w:t>b)</w:t>
      </w:r>
      <w:r w:rsidRPr="00987CE7">
        <w:rPr>
          <w:rFonts w:cs="Times New Roman"/>
          <w:sz w:val="20"/>
          <w:szCs w:val="20"/>
          <w:lang w:val="fr-CA"/>
        </w:rPr>
        <w:t xml:space="preserve"> de la </w:t>
      </w:r>
      <w:r w:rsidRPr="00987CE7">
        <w:rPr>
          <w:rFonts w:cs="Times New Roman"/>
          <w:i/>
          <w:sz w:val="20"/>
          <w:szCs w:val="20"/>
          <w:lang w:val="fr-CA"/>
        </w:rPr>
        <w:t>Charte canadienne des droits et libertés</w:t>
      </w:r>
      <w:r w:rsidRPr="00987CE7">
        <w:rPr>
          <w:rFonts w:cs="Times New Roman"/>
          <w:sz w:val="20"/>
          <w:szCs w:val="20"/>
          <w:lang w:val="fr-CA"/>
        </w:rPr>
        <w:t xml:space="preserve">? </w:t>
      </w:r>
    </w:p>
    <w:p w:rsidR="00987CE7" w:rsidRPr="00987CE7" w:rsidRDefault="00987CE7" w:rsidP="00987CE7">
      <w:pPr>
        <w:ind w:left="720"/>
        <w:contextualSpacing/>
        <w:jc w:val="both"/>
        <w:rPr>
          <w:rFonts w:cs="Times New Roman"/>
          <w:sz w:val="20"/>
          <w:szCs w:val="20"/>
          <w:lang w:val="fr-CA"/>
        </w:rPr>
      </w:pPr>
    </w:p>
    <w:p w:rsidR="00987CE7" w:rsidRPr="00987CE7" w:rsidRDefault="00987CE7" w:rsidP="00987CE7">
      <w:pPr>
        <w:numPr>
          <w:ilvl w:val="0"/>
          <w:numId w:val="7"/>
        </w:numPr>
        <w:autoSpaceDE w:val="0"/>
        <w:autoSpaceDN w:val="0"/>
        <w:spacing w:after="200"/>
        <w:contextualSpacing/>
        <w:jc w:val="both"/>
        <w:rPr>
          <w:rFonts w:cs="Times New Roman"/>
          <w:color w:val="000000"/>
          <w:sz w:val="20"/>
          <w:szCs w:val="20"/>
          <w:lang w:val="fr-CA"/>
        </w:rPr>
      </w:pPr>
      <w:r w:rsidRPr="00987CE7">
        <w:rPr>
          <w:rFonts w:cs="Times New Roman"/>
          <w:sz w:val="20"/>
          <w:szCs w:val="20"/>
          <w:lang w:val="fr-CA"/>
        </w:rPr>
        <w:t xml:space="preserve">Dans l’affirmative, s’agit-il d’une restriction par une règle de droit, dans des limites raisonnables et dont la justification peut se démontrer dans le cadre d’une société libre et démocratique suivant l’article premier de la </w:t>
      </w:r>
      <w:r w:rsidRPr="00987CE7">
        <w:rPr>
          <w:rFonts w:cs="Times New Roman"/>
          <w:i/>
          <w:sz w:val="20"/>
          <w:szCs w:val="20"/>
          <w:lang w:val="fr-CA"/>
        </w:rPr>
        <w:t>Charte canadienne des droits et libertés</w:t>
      </w:r>
      <w:r w:rsidRPr="00987CE7">
        <w:rPr>
          <w:rFonts w:cs="Times New Roman"/>
          <w:sz w:val="20"/>
          <w:szCs w:val="20"/>
          <w:lang w:val="fr-CA"/>
        </w:rPr>
        <w:t>?</w:t>
      </w:r>
    </w:p>
    <w:p w:rsid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 calendrier de signification et de dépôt des documents est le suivant : </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numPr>
          <w:ilvl w:val="0"/>
          <w:numId w:val="8"/>
        </w:numPr>
        <w:jc w:val="both"/>
        <w:rPr>
          <w:rFonts w:eastAsiaTheme="minorEastAsia" w:cs="Times New Roman"/>
          <w:sz w:val="20"/>
          <w:szCs w:val="20"/>
          <w:lang w:val="fr-CA" w:bidi="en-US"/>
        </w:rPr>
      </w:pPr>
      <w:r w:rsidRPr="00987CE7">
        <w:rPr>
          <w:rFonts w:eastAsiaTheme="minorEastAsia" w:cs="Times New Roman"/>
          <w:sz w:val="20"/>
          <w:szCs w:val="20"/>
          <w:lang w:val="fr-CA" w:bidi="en-US"/>
        </w:rPr>
        <w:t xml:space="preserve">Le procureur général du Canada signifiera et déposera, dans l’appel, au plus tard le 7 mars 2013, un mémoire d’au plus 50 pages (parties I à V) portant sur les questions soulevées dans ces instances. </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numPr>
          <w:ilvl w:val="0"/>
          <w:numId w:val="8"/>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 procureur général du Canada peut signifier et déposer, dans l’appel incident, au plus tard le 30 mai 2013, un mémoire de l’intimé d’au plus 10 pages (parties I à V) portant sur les questions soulevées dans cette instance; </w:t>
      </w:r>
    </w:p>
    <w:p w:rsidR="00987CE7" w:rsidRPr="00987CE7" w:rsidRDefault="00987CE7" w:rsidP="00987CE7">
      <w:pPr>
        <w:numPr>
          <w:ilvl w:val="0"/>
          <w:numId w:val="8"/>
        </w:numPr>
        <w:spacing w:after="240"/>
        <w:jc w:val="both"/>
        <w:rPr>
          <w:rFonts w:eastAsia="Times New Roman" w:cs="Times New Roman"/>
          <w:sz w:val="20"/>
          <w:szCs w:val="20"/>
          <w:lang w:val="fr-CA" w:eastAsia="en-CA"/>
        </w:rPr>
      </w:pPr>
      <w:r w:rsidRPr="00987CE7">
        <w:rPr>
          <w:rFonts w:eastAsiaTheme="minorEastAsia" w:cs="Times New Roman"/>
          <w:sz w:val="20"/>
          <w:szCs w:val="20"/>
          <w:lang w:val="fr-CA" w:bidi="en-US"/>
        </w:rPr>
        <w:t>Le procureur général de l’Ontario signifiera et déposera le mémoire de l’appelant au plus tard le 21 mars 2013.  Dans l’appel incident, il signifiera et déposera un mémoire de l’intimé au plus tard le 30 mai 2013</w:t>
      </w:r>
      <w:r w:rsidRPr="00987CE7">
        <w:rPr>
          <w:rFonts w:eastAsia="Times New Roman" w:cs="Times New Roman"/>
          <w:sz w:val="20"/>
          <w:szCs w:val="20"/>
          <w:lang w:val="fr-CA" w:eastAsia="en-CA"/>
        </w:rPr>
        <w:t>;</w:t>
      </w:r>
    </w:p>
    <w:p w:rsidR="00987CE7" w:rsidRPr="00987CE7" w:rsidRDefault="00987CE7" w:rsidP="00987CE7">
      <w:pPr>
        <w:numPr>
          <w:ilvl w:val="0"/>
          <w:numId w:val="8"/>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 procureur général de l’Ontario peut signifier et déposer un mémoire de l’appelant de 40 à 50 pages (parties I à V) ainsi que, dans l’appel incident, un mémoire de l’intimé de 10 à 20 pages (parties I à V), mais ses deux mémoires ne peuvent avoir plus de 60 pages au total, conformément aux </w:t>
      </w:r>
      <w:r w:rsidRPr="00987CE7">
        <w:rPr>
          <w:rFonts w:eastAsia="Times New Roman" w:cs="Times New Roman"/>
          <w:i/>
          <w:sz w:val="20"/>
          <w:szCs w:val="20"/>
          <w:lang w:val="fr-CA" w:eastAsia="en-CA"/>
        </w:rPr>
        <w:t>Règles</w:t>
      </w:r>
      <w:r w:rsidRPr="00987CE7">
        <w:rPr>
          <w:rFonts w:eastAsia="Times New Roman" w:cs="Times New Roman"/>
          <w:sz w:val="20"/>
          <w:szCs w:val="20"/>
          <w:lang w:val="fr-CA" w:eastAsia="en-CA"/>
        </w:rPr>
        <w:t>;</w:t>
      </w:r>
    </w:p>
    <w:p w:rsidR="00987CE7" w:rsidRPr="00987CE7" w:rsidRDefault="00987CE7" w:rsidP="00987CE7">
      <w:pPr>
        <w:numPr>
          <w:ilvl w:val="0"/>
          <w:numId w:val="8"/>
        </w:numPr>
        <w:spacing w:after="240"/>
        <w:jc w:val="both"/>
        <w:rPr>
          <w:rFonts w:eastAsiaTheme="minorEastAsia" w:cs="Times New Roman"/>
          <w:sz w:val="20"/>
          <w:szCs w:val="20"/>
          <w:lang w:val="fr-CA" w:bidi="en-US"/>
        </w:rPr>
      </w:pPr>
      <w:r w:rsidRPr="00987CE7">
        <w:rPr>
          <w:rFonts w:eastAsiaTheme="minorEastAsia"/>
          <w:sz w:val="20"/>
          <w:szCs w:val="20"/>
          <w:lang w:val="fr-CA" w:bidi="en-US"/>
        </w:rPr>
        <w:t>Toute requête en intervention sera signifiée et déposée au plus tard le 11 avril 2013;</w:t>
      </w:r>
    </w:p>
    <w:p w:rsidR="00987CE7" w:rsidRPr="00987CE7" w:rsidRDefault="00987CE7" w:rsidP="00987CE7">
      <w:pPr>
        <w:numPr>
          <w:ilvl w:val="0"/>
          <w:numId w:val="8"/>
        </w:numPr>
        <w:spacing w:after="240"/>
        <w:jc w:val="both"/>
        <w:rPr>
          <w:rFonts w:eastAsiaTheme="minorEastAsia" w:cs="Times New Roman"/>
          <w:sz w:val="20"/>
          <w:szCs w:val="20"/>
          <w:lang w:val="fr-CA" w:bidi="en-US"/>
        </w:rPr>
      </w:pPr>
      <w:r w:rsidRPr="00987CE7">
        <w:rPr>
          <w:rFonts w:eastAsiaTheme="minorEastAsia"/>
          <w:sz w:val="20"/>
          <w:szCs w:val="20"/>
          <w:lang w:val="fr-CA" w:bidi="en-US"/>
        </w:rPr>
        <w:t>Les réponses à une requête en intervention seront signifiées et déposées au plus tard le 18 avril 2013;</w:t>
      </w:r>
    </w:p>
    <w:p w:rsidR="00987CE7" w:rsidRPr="00987CE7" w:rsidRDefault="00987CE7" w:rsidP="00987CE7">
      <w:pPr>
        <w:numPr>
          <w:ilvl w:val="0"/>
          <w:numId w:val="8"/>
        </w:numPr>
        <w:spacing w:after="240"/>
        <w:jc w:val="both"/>
        <w:rPr>
          <w:rFonts w:eastAsiaTheme="minorEastAsia"/>
          <w:sz w:val="20"/>
          <w:szCs w:val="20"/>
          <w:lang w:val="fr-CA" w:bidi="en-US"/>
        </w:rPr>
      </w:pPr>
      <w:r w:rsidRPr="00987CE7">
        <w:rPr>
          <w:rFonts w:eastAsiaTheme="minorEastAsia"/>
          <w:sz w:val="20"/>
          <w:szCs w:val="20"/>
          <w:lang w:val="fr-CA" w:bidi="en-US"/>
        </w:rPr>
        <w:t>Les répliques afférentes à une requête en intervention seront signifiées et déposées au plus tard le 23 avril 2013;</w:t>
      </w:r>
    </w:p>
    <w:p w:rsidR="00987CE7" w:rsidRPr="00987CE7" w:rsidRDefault="00987CE7" w:rsidP="00987CE7">
      <w:pPr>
        <w:numPr>
          <w:ilvl w:val="0"/>
          <w:numId w:val="8"/>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Les intimées signifieront et déposeront leur mémoire conjointement, dans l’appel et dans l’appel incident, au plus tard le 19 avril 2013. Le mémoire ne peut avoir plus de 60 pages, conformément aux </w:t>
      </w:r>
      <w:r w:rsidRPr="00987CE7">
        <w:rPr>
          <w:rFonts w:eastAsia="Times New Roman" w:cs="Times New Roman"/>
          <w:i/>
          <w:sz w:val="20"/>
          <w:szCs w:val="20"/>
          <w:lang w:val="fr-CA" w:eastAsia="en-CA"/>
        </w:rPr>
        <w:t>Règles</w:t>
      </w:r>
      <w:r w:rsidRPr="00987CE7">
        <w:rPr>
          <w:rFonts w:eastAsia="Times New Roman" w:cs="Times New Roman"/>
          <w:sz w:val="20"/>
          <w:szCs w:val="20"/>
          <w:lang w:val="fr-CA" w:eastAsia="en-CA"/>
        </w:rPr>
        <w:t>;</w:t>
      </w:r>
    </w:p>
    <w:p w:rsidR="00987CE7" w:rsidRPr="00987CE7" w:rsidRDefault="00987CE7" w:rsidP="00987CE7">
      <w:pPr>
        <w:numPr>
          <w:ilvl w:val="0"/>
          <w:numId w:val="8"/>
        </w:numPr>
        <w:spacing w:after="240"/>
        <w:jc w:val="both"/>
        <w:rPr>
          <w:rFonts w:eastAsiaTheme="minorEastAsia"/>
          <w:sz w:val="20"/>
          <w:szCs w:val="20"/>
          <w:lang w:val="fr-CA" w:bidi="en-US"/>
        </w:rPr>
      </w:pPr>
      <w:r w:rsidRPr="00987CE7">
        <w:rPr>
          <w:rFonts w:eastAsiaTheme="minorEastAsia"/>
          <w:sz w:val="20"/>
          <w:szCs w:val="20"/>
          <w:lang w:val="fr-CA" w:bidi="en-US"/>
        </w:rPr>
        <w:t xml:space="preserve">Les mémoires d’une partie intervenante seront signifiés et déposés au plus tard à la date fixée dans l’ordonnance faisant droit à la requête en intervention; </w:t>
      </w:r>
    </w:p>
    <w:p w:rsidR="00987CE7" w:rsidRPr="00987CE7" w:rsidRDefault="00987CE7" w:rsidP="00987CE7">
      <w:pPr>
        <w:numPr>
          <w:ilvl w:val="0"/>
          <w:numId w:val="8"/>
        </w:numPr>
        <w:spacing w:after="240"/>
        <w:jc w:val="both"/>
        <w:rPr>
          <w:rFonts w:eastAsiaTheme="minorEastAsia"/>
          <w:sz w:val="20"/>
          <w:szCs w:val="20"/>
          <w:lang w:val="fr-CA" w:bidi="en-US"/>
        </w:rPr>
      </w:pPr>
      <w:r w:rsidRPr="00987CE7">
        <w:rPr>
          <w:rFonts w:eastAsiaTheme="minorEastAsia" w:cs="Times New Roman"/>
          <w:sz w:val="20"/>
          <w:szCs w:val="20"/>
          <w:lang w:val="fr-CA" w:bidi="en-US"/>
        </w:rPr>
        <w:t>L’appel sera entendu le 12 juin 2013.</w:t>
      </w:r>
    </w:p>
    <w:p w:rsidR="00987CE7" w:rsidRPr="00987CE7" w:rsidRDefault="00987CE7" w:rsidP="00987CE7">
      <w:pPr>
        <w:spacing w:after="240"/>
        <w:jc w:val="both"/>
        <w:rPr>
          <w:rFonts w:eastAsiaTheme="minorEastAsia"/>
          <w:sz w:val="20"/>
          <w:szCs w:val="20"/>
          <w:lang w:val="fr-CA" w:bidi="en-US"/>
        </w:rPr>
      </w:pPr>
      <w:r w:rsidRPr="00987CE7">
        <w:rPr>
          <w:rFonts w:eastAsiaTheme="minorEastAsia" w:cs="Times New Roman"/>
          <w:sz w:val="20"/>
          <w:szCs w:val="20"/>
          <w:lang w:val="fr-CA" w:bidi="en-US"/>
        </w:rPr>
        <w:t>La préparation des documents de l’appelant est la suivante.</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Les appelants peuvent signifier et déposer conjointement un dossier des appelants;</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lastRenderedPageBreak/>
        <w:t>Les parties IV et V du dossier des appelants peuvent renfermer tout document déposé devant le tribunal dont la décision est visée par l’appel;</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Les appelants prendront, conformément à l’article 63 de la </w:t>
      </w:r>
      <w:r w:rsidRPr="00987CE7">
        <w:rPr>
          <w:rFonts w:eastAsia="Times New Roman" w:cs="Times New Roman"/>
          <w:i/>
          <w:sz w:val="20"/>
          <w:szCs w:val="20"/>
          <w:lang w:val="fr-CA" w:eastAsia="en-CA"/>
        </w:rPr>
        <w:t>Loi sur la Cour suprême</w:t>
      </w:r>
      <w:r w:rsidRPr="00987CE7">
        <w:rPr>
          <w:rFonts w:eastAsia="Times New Roman" w:cs="Times New Roman"/>
          <w:sz w:val="20"/>
          <w:szCs w:val="20"/>
          <w:lang w:val="fr-CA" w:eastAsia="en-CA"/>
        </w:rPr>
        <w:t xml:space="preserve">, les mesures voulues pour la transmission au registraire de : </w:t>
      </w:r>
    </w:p>
    <w:p w:rsidR="00987CE7" w:rsidRPr="00987CE7" w:rsidRDefault="00987CE7" w:rsidP="00987CE7">
      <w:pPr>
        <w:numPr>
          <w:ilvl w:val="0"/>
          <w:numId w:val="10"/>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la version imprimée des documents suivants déposés devant le tribunal </w:t>
      </w:r>
      <w:r w:rsidRPr="00987CE7">
        <w:rPr>
          <w:rFonts w:eastAsia="Times New Roman"/>
          <w:sz w:val="20"/>
          <w:szCs w:val="20"/>
          <w:lang w:val="fr-CA" w:eastAsia="en-CA"/>
        </w:rPr>
        <w:t>dont la décision est visée par l’appel</w:t>
      </w:r>
      <w:r w:rsidRPr="00987CE7">
        <w:rPr>
          <w:rFonts w:eastAsia="Times New Roman" w:cs="Times New Roman"/>
          <w:sz w:val="20"/>
          <w:szCs w:val="20"/>
          <w:lang w:val="fr-CA" w:eastAsia="en-CA"/>
        </w:rPr>
        <w:t xml:space="preserve"> : le dossier conjoint de demande comptant 86 volumes (pages numérotées de 1 à 26396), le dossier conjoint de demande supplémentaire comptant deux volume (pages numérotées de 26397 à 26957), le dossier d’appel (pages numérotées de AB1 à AB268), ainsi que les mémoires et les recueils de sources déposés devant les tribunaux inférieurs; </w:t>
      </w:r>
    </w:p>
    <w:p w:rsidR="00987CE7" w:rsidRPr="00987CE7" w:rsidRDefault="00987CE7" w:rsidP="00987CE7">
      <w:pPr>
        <w:numPr>
          <w:ilvl w:val="0"/>
          <w:numId w:val="4"/>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la version électronique des documents déposés sur cédérom </w:t>
      </w:r>
      <w:r w:rsidRPr="00987CE7">
        <w:rPr>
          <w:rFonts w:eastAsia="Times New Roman"/>
          <w:sz w:val="20"/>
          <w:szCs w:val="20"/>
          <w:lang w:val="fr-CA" w:eastAsia="en-CA"/>
        </w:rPr>
        <w:t>devant le tribunal dont la décision est visée par l’appel</w:t>
      </w:r>
      <w:r w:rsidRPr="00987CE7">
        <w:rPr>
          <w:rFonts w:eastAsia="Times New Roman" w:cs="Times New Roman"/>
          <w:sz w:val="20"/>
          <w:szCs w:val="20"/>
          <w:lang w:val="fr-CA" w:eastAsia="en-CA"/>
        </w:rPr>
        <w:t xml:space="preserve">, préparée conformément au paragraphe 21(1) des </w:t>
      </w:r>
      <w:r w:rsidRPr="00987CE7">
        <w:rPr>
          <w:rFonts w:eastAsia="Times New Roman" w:cs="Times New Roman"/>
          <w:i/>
          <w:sz w:val="20"/>
          <w:szCs w:val="20"/>
          <w:lang w:val="fr-CA" w:eastAsia="en-CA"/>
        </w:rPr>
        <w:t>Règles</w:t>
      </w:r>
      <w:r w:rsidRPr="00987CE7">
        <w:rPr>
          <w:rFonts w:eastAsia="Times New Roman" w:cs="Times New Roman"/>
          <w:sz w:val="20"/>
          <w:szCs w:val="20"/>
          <w:lang w:val="fr-CA" w:eastAsia="en-CA"/>
        </w:rPr>
        <w:t xml:space="preserve"> et aux </w:t>
      </w:r>
      <w:r w:rsidRPr="00987CE7">
        <w:rPr>
          <w:rFonts w:eastAsia="Times New Roman" w:cs="Times New Roman"/>
          <w:i/>
          <w:sz w:val="20"/>
          <w:szCs w:val="20"/>
          <w:lang w:val="fr-CA" w:eastAsia="en-CA"/>
        </w:rPr>
        <w:t>Lignes directrices pour la préparation des documents à déposer à la Cour suprême du Canada</w:t>
      </w:r>
      <w:r w:rsidRPr="00987CE7">
        <w:rPr>
          <w:rFonts w:eastAsia="Times New Roman" w:cs="Times New Roman"/>
          <w:sz w:val="20"/>
          <w:szCs w:val="20"/>
          <w:lang w:val="fr-CA" w:eastAsia="en-CA"/>
        </w:rPr>
        <w:t xml:space="preserve"> en ce qui concerne par exemple les signets et la reconnaissance optique de caractères;</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Les appelants signifieront et déposeront les documents des parties I à III de leur dossier sous forme imprimée, mais ne signifieront et ne déposeront les documents des parties IV et V que sous forme électronique grâce à une dispense qui leur a été accordée; </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Malgré le paragraphe qui précède, les appelants peuvent signifier et déposer les documents suivants sous forme imprimée seulement: les affidavits et la transcription du contre-interrogatoire de certains de leurs auteurs</w:t>
      </w:r>
      <w:r w:rsidRPr="00987CE7">
        <w:rPr>
          <w:rFonts w:eastAsiaTheme="minorEastAsia" w:cs="Times New Roman"/>
          <w:sz w:val="20"/>
          <w:szCs w:val="20"/>
          <w:lang w:val="fr-CA" w:bidi="en-US"/>
        </w:rPr>
        <w:t xml:space="preserve">, y compris les femmes qui se livrent ou se sont livrées à la prostitution et dont le témoignage n’est pas déjà compris dans la version électronique du dossier figurant aux pages 9448 à 9753 du dossier conjoint de demande </w:t>
      </w:r>
      <w:r w:rsidRPr="00987CE7">
        <w:rPr>
          <w:rFonts w:eastAsia="Times New Roman" w:cs="Times New Roman"/>
          <w:sz w:val="20"/>
          <w:szCs w:val="20"/>
          <w:lang w:val="fr-CA" w:eastAsia="en-CA"/>
        </w:rPr>
        <w:t xml:space="preserve"> déposé devant le tribunal dont la décision est visée par l’appel.  Ces affidavits sont assujettis à l’ordonnance de monsieur le juge C.L. Campbell datée du 12 décembre 2007 autorisant leur signification et leur dépôt anonymes</w:t>
      </w:r>
      <w:r w:rsidRPr="00987CE7">
        <w:rPr>
          <w:rFonts w:eastAsiaTheme="minorEastAsia" w:cs="Times New Roman"/>
          <w:sz w:val="20"/>
          <w:szCs w:val="20"/>
          <w:lang w:val="fr-CA" w:eastAsia="en-CA" w:bidi="en-US"/>
        </w:rPr>
        <w:t>.  Ils font aussi l’objet de l’engagement personnel de chacun des avocats à s’abstenir de diffuser cette preuve par voie électronique et ils n’ont pas été versés au dossier électronique</w:t>
      </w:r>
      <w:r w:rsidRPr="00987CE7">
        <w:rPr>
          <w:rFonts w:eastAsia="Times New Roman" w:cs="Times New Roman"/>
          <w:sz w:val="20"/>
          <w:szCs w:val="20"/>
          <w:lang w:val="fr-CA" w:eastAsia="en-CA"/>
        </w:rPr>
        <w:t>.</w:t>
      </w:r>
    </w:p>
    <w:p w:rsidR="00987CE7" w:rsidRPr="00987CE7" w:rsidRDefault="00987CE7" w:rsidP="00987CE7">
      <w:pPr>
        <w:numPr>
          <w:ilvl w:val="0"/>
          <w:numId w:val="9"/>
        </w:numPr>
        <w:spacing w:after="24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La numérotation des pages des parties I à III du dossier de l’appelant peut être précédée des lettres « D.A. »  afin de la distinguer de la numérotation existante des documents compris dans les parties IV et V du dossier de l’appelant ; </w:t>
      </w:r>
    </w:p>
    <w:p w:rsidR="00987CE7" w:rsidRPr="00987CE7" w:rsidRDefault="00987CE7" w:rsidP="00987CE7">
      <w:pPr>
        <w:numPr>
          <w:ilvl w:val="0"/>
          <w:numId w:val="9"/>
        </w:numPr>
        <w:jc w:val="both"/>
        <w:rPr>
          <w:rFonts w:eastAsia="Times New Roman" w:cs="Times New Roman"/>
          <w:sz w:val="20"/>
          <w:szCs w:val="20"/>
          <w:lang w:val="fr-CA" w:eastAsia="en-CA"/>
        </w:rPr>
      </w:pPr>
      <w:r w:rsidRPr="00987CE7">
        <w:rPr>
          <w:rFonts w:eastAsia="Times New Roman" w:cs="Times New Roman"/>
          <w:sz w:val="20"/>
          <w:szCs w:val="20"/>
          <w:lang w:val="fr-CA" w:eastAsia="en-CA"/>
        </w:rPr>
        <w:t>Les documents compris dans les parties IV et V du dossier de l’appelant peuvent conserver la numérotation et le format qu’ils avaient au moment de leur dépôt devant le tribunal inférieur.</w:t>
      </w:r>
      <w:r w:rsidRPr="00987CE7">
        <w:rPr>
          <w:rFonts w:eastAsiaTheme="minorEastAsia" w:cs="Times New Roman"/>
          <w:sz w:val="20"/>
          <w:szCs w:val="20"/>
          <w:lang w:val="fr-CA" w:bidi="en-US"/>
        </w:rPr>
        <w:t xml:space="preserve"> </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7F0A1D" w:rsidP="00987CE7">
      <w:pPr>
        <w:tabs>
          <w:tab w:val="left" w:pos="-1440"/>
          <w:tab w:val="left" w:pos="-720"/>
        </w:tabs>
        <w:jc w:val="both"/>
        <w:rPr>
          <w:rFonts w:eastAsia="Times New Roman" w:cs="Times New Roman"/>
          <w:sz w:val="20"/>
          <w:szCs w:val="20"/>
          <w:lang w:eastAsia="en-CA"/>
        </w:rPr>
      </w:pPr>
      <w:r w:rsidRPr="007F0A1D">
        <w:rPr>
          <w:rFonts w:eastAsia="Times New Roman" w:cs="Times New Roman"/>
          <w:sz w:val="20"/>
          <w:szCs w:val="20"/>
          <w:lang w:val="fr-CA" w:eastAsia="en-CA"/>
        </w:rPr>
        <w:pict>
          <v:rect id="_x0000_i1033"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18.12.2012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WAGNER J. / LE JUGE WAGNER</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87CE7" w:rsidRPr="00987CE7" w:rsidTr="00FE081C">
        <w:tc>
          <w:tcPr>
            <w:tcW w:w="4338" w:type="dxa"/>
            <w:gridSpan w:val="2"/>
          </w:tcPr>
          <w:p w:rsidR="00987CE7" w:rsidRPr="00987CE7" w:rsidRDefault="00987CE7" w:rsidP="00987CE7">
            <w:pPr>
              <w:rPr>
                <w:b/>
              </w:rPr>
            </w:pPr>
            <w:r w:rsidRPr="00987CE7">
              <w:rPr>
                <w:b/>
              </w:rPr>
              <w:t>Motion for leave to intervene</w:t>
            </w:r>
            <w:r w:rsidRPr="00987CE7">
              <w:rPr>
                <w:lang w:val="en-US"/>
              </w:rPr>
              <w:t xml:space="preserve"> </w:t>
            </w:r>
            <w:r w:rsidR="007F0A1D" w:rsidRPr="00987CE7">
              <w:rPr>
                <w:lang w:val="en-US"/>
              </w:rPr>
              <w:fldChar w:fldCharType="begin"/>
            </w:r>
            <w:r w:rsidRPr="00987CE7">
              <w:instrText xml:space="preserve"> SEQ CHAPTER \h \r 1</w:instrText>
            </w:r>
            <w:r w:rsidR="007F0A1D" w:rsidRPr="00987CE7">
              <w:rPr>
                <w:lang w:val="en-US"/>
              </w:rPr>
              <w:fldChar w:fldCharType="end"/>
            </w:r>
          </w:p>
        </w:tc>
        <w:tc>
          <w:tcPr>
            <w:tcW w:w="1170" w:type="dxa"/>
          </w:tcPr>
          <w:p w:rsidR="00987CE7" w:rsidRPr="00987CE7" w:rsidRDefault="00987CE7" w:rsidP="00987CE7"/>
          <w:p w:rsidR="00987CE7" w:rsidRPr="00987CE7" w:rsidRDefault="00987CE7" w:rsidP="00987CE7"/>
        </w:tc>
        <w:tc>
          <w:tcPr>
            <w:tcW w:w="4327" w:type="dxa"/>
          </w:tcPr>
          <w:p w:rsidR="00987CE7" w:rsidRPr="00987CE7" w:rsidRDefault="00987CE7" w:rsidP="00987CE7">
            <w:pPr>
              <w:rPr>
                <w:b/>
              </w:rPr>
            </w:pPr>
            <w:r w:rsidRPr="00987CE7">
              <w:rPr>
                <w:b/>
                <w:bCs/>
                <w:lang w:val="fr-CA"/>
              </w:rPr>
              <w:t>Requête en autorisation d’intervenir</w:t>
            </w:r>
            <w:r w:rsidRPr="00987CE7">
              <w:rPr>
                <w:lang w:val="en-US"/>
              </w:rPr>
              <w:t xml:space="preserve"> </w:t>
            </w:r>
            <w:r w:rsidR="007F0A1D" w:rsidRPr="00987CE7">
              <w:rPr>
                <w:lang w:val="en-US"/>
              </w:rPr>
              <w:fldChar w:fldCharType="begin"/>
            </w:r>
            <w:r w:rsidRPr="00987CE7">
              <w:instrText xml:space="preserve"> SEQ CHAPTER \h \r 1</w:instrText>
            </w:r>
            <w:r w:rsidR="007F0A1D" w:rsidRPr="00987CE7">
              <w:rPr>
                <w:lang w:val="en-US"/>
              </w:rPr>
              <w:fldChar w:fldCharType="end"/>
            </w:r>
          </w:p>
        </w:tc>
      </w:tr>
      <w:tr w:rsidR="00987CE7" w:rsidRPr="00987CE7" w:rsidTr="00FE081C">
        <w:tc>
          <w:tcPr>
            <w:tcW w:w="1368" w:type="dxa"/>
          </w:tcPr>
          <w:p w:rsidR="00987CE7" w:rsidRPr="00987CE7" w:rsidRDefault="00987CE7" w:rsidP="00987CE7">
            <w:r w:rsidRPr="00987CE7">
              <w:t>BY / PAR</w:t>
            </w:r>
          </w:p>
        </w:tc>
        <w:tc>
          <w:tcPr>
            <w:tcW w:w="2970" w:type="dxa"/>
          </w:tcPr>
          <w:p w:rsidR="00987CE7" w:rsidRPr="00987CE7" w:rsidRDefault="00987CE7" w:rsidP="00987CE7">
            <w:r w:rsidRPr="00987CE7">
              <w:t>Criminal Lawyers' Association</w:t>
            </w:r>
          </w:p>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pPr>
              <w:rPr>
                <w:lang w:val="en-US"/>
              </w:rPr>
            </w:pPr>
          </w:p>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r w:rsidRPr="00987CE7">
              <w:t>IN / DANS :</w:t>
            </w:r>
          </w:p>
        </w:tc>
        <w:tc>
          <w:tcPr>
            <w:tcW w:w="2970" w:type="dxa"/>
          </w:tcPr>
          <w:p w:rsidR="00987CE7" w:rsidRPr="00987CE7" w:rsidRDefault="00987CE7" w:rsidP="00987CE7">
            <w:proofErr w:type="spellStart"/>
            <w:r w:rsidRPr="00987CE7">
              <w:t>Yousanthan</w:t>
            </w:r>
            <w:proofErr w:type="spellEnd"/>
            <w:r w:rsidRPr="00987CE7">
              <w:t xml:space="preserve"> </w:t>
            </w:r>
            <w:proofErr w:type="spellStart"/>
            <w:r w:rsidRPr="00987CE7">
              <w:t>Youvarajah</w:t>
            </w:r>
            <w:proofErr w:type="spellEnd"/>
          </w:p>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r w:rsidRPr="00987CE7">
              <w:tab/>
              <w:t>v. (34732)</w:t>
            </w:r>
          </w:p>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368" w:type="dxa"/>
          </w:tcPr>
          <w:p w:rsidR="00987CE7" w:rsidRPr="00987CE7" w:rsidRDefault="00987CE7" w:rsidP="00987CE7"/>
        </w:tc>
        <w:tc>
          <w:tcPr>
            <w:tcW w:w="2970" w:type="dxa"/>
          </w:tcPr>
          <w:p w:rsidR="00987CE7" w:rsidRPr="00987CE7" w:rsidRDefault="00987CE7" w:rsidP="00987CE7">
            <w:pPr>
              <w:jc w:val="both"/>
            </w:pPr>
            <w:r w:rsidRPr="00987CE7">
              <w:t>Her Majesty the Queen (Crim.) (Ont.)</w:t>
            </w:r>
          </w:p>
        </w:tc>
        <w:tc>
          <w:tcPr>
            <w:tcW w:w="1170" w:type="dxa"/>
          </w:tcPr>
          <w:p w:rsidR="00987CE7" w:rsidRPr="00987CE7" w:rsidRDefault="00987CE7" w:rsidP="00987CE7"/>
        </w:tc>
        <w:tc>
          <w:tcPr>
            <w:tcW w:w="4327" w:type="dxa"/>
          </w:tcPr>
          <w:p w:rsidR="00987CE7" w:rsidRPr="00987CE7" w:rsidRDefault="00987CE7" w:rsidP="00987CE7"/>
        </w:tc>
      </w:tr>
    </w:tbl>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r w:rsidRPr="00987CE7">
        <w:rPr>
          <w:rFonts w:eastAsia="Times New Roman" w:cs="Times New Roman"/>
          <w:b/>
          <w:sz w:val="20"/>
          <w:szCs w:val="20"/>
          <w:lang w:eastAsia="en-CA"/>
        </w:rPr>
        <w:t>GRANTED / ACCORDÉE</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 xml:space="preserve">UPON APPLICATION </w:t>
      </w:r>
      <w:r w:rsidRPr="00987CE7">
        <w:rPr>
          <w:rFonts w:eastAsia="Times New Roman" w:cs="Times New Roman"/>
          <w:sz w:val="20"/>
          <w:szCs w:val="20"/>
          <w:lang w:val="en-US" w:eastAsia="en-CA"/>
        </w:rPr>
        <w:t xml:space="preserve">by </w:t>
      </w:r>
      <w:r w:rsidRPr="00987CE7">
        <w:rPr>
          <w:rFonts w:eastAsia="Times New Roman" w:cs="Times New Roman"/>
          <w:sz w:val="20"/>
          <w:szCs w:val="20"/>
          <w:lang w:eastAsia="en-CA"/>
        </w:rPr>
        <w:t>the</w:t>
      </w:r>
      <w:r w:rsidRPr="00987CE7">
        <w:rPr>
          <w:rFonts w:eastAsia="Times New Roman" w:cs="Times New Roman"/>
          <w:sz w:val="20"/>
          <w:szCs w:val="20"/>
          <w:lang w:val="en-US" w:eastAsia="en-CA"/>
        </w:rPr>
        <w:t xml:space="preserve"> </w:t>
      </w:r>
      <w:r w:rsidRPr="00987CE7">
        <w:rPr>
          <w:rFonts w:eastAsia="Times New Roman" w:cs="Times New Roman"/>
          <w:sz w:val="20"/>
          <w:szCs w:val="20"/>
          <w:lang w:eastAsia="en-CA"/>
        </w:rPr>
        <w:t>Criminal Lawyers' Association</w:t>
      </w:r>
      <w:r w:rsidRPr="00987CE7">
        <w:rPr>
          <w:rFonts w:eastAsia="Times New Roman" w:cs="Times New Roman"/>
          <w:sz w:val="20"/>
          <w:szCs w:val="20"/>
          <w:lang w:val="en-US" w:eastAsia="en-CA"/>
        </w:rPr>
        <w:t xml:space="preserve"> for leave to intervene in the above appeal;</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IT IS HEREBY ORDERED THAT:</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 xml:space="preserve">The motion for leave to intervene of </w:t>
      </w:r>
      <w:r w:rsidRPr="00987CE7">
        <w:rPr>
          <w:rFonts w:eastAsia="Times New Roman" w:cs="Times New Roman"/>
          <w:sz w:val="20"/>
          <w:szCs w:val="20"/>
          <w:lang w:eastAsia="en-CA"/>
        </w:rPr>
        <w:t>the Criminal Lawyers' Association</w:t>
      </w:r>
      <w:r w:rsidRPr="00987CE7">
        <w:rPr>
          <w:rFonts w:eastAsia="Times New Roman" w:cs="Times New Roman"/>
          <w:sz w:val="20"/>
          <w:szCs w:val="20"/>
          <w:lang w:val="en-US" w:eastAsia="en-CA"/>
        </w:rPr>
        <w:t xml:space="preserve"> </w:t>
      </w:r>
      <w:r w:rsidRPr="00987CE7">
        <w:rPr>
          <w:rFonts w:eastAsia="Times New Roman" w:cs="Times New Roman"/>
          <w:sz w:val="20"/>
          <w:szCs w:val="20"/>
          <w:lang w:eastAsia="en-CA"/>
        </w:rPr>
        <w:t xml:space="preserve">is </w:t>
      </w:r>
      <w:r w:rsidRPr="00987CE7">
        <w:rPr>
          <w:rFonts w:eastAsia="Times New Roman" w:cs="Times New Roman"/>
          <w:sz w:val="20"/>
          <w:szCs w:val="20"/>
          <w:lang w:val="en-US" w:eastAsia="en-CA"/>
        </w:rPr>
        <w:t>granted and the said intervener shall be entitled to serve and file a factum not to exceed 10 pages in length on or before February 5, 2013.</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The intervener is not entitled to raise new issues or to adduce further evidence or otherwise to supplement the record of the parties.</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sz w:val="20"/>
          <w:szCs w:val="20"/>
          <w:lang w:val="en-US" w:eastAsia="en-CA"/>
        </w:rPr>
        <w:t>Pursuant to Rule 59(1</w:t>
      </w:r>
      <w:proofErr w:type="gramStart"/>
      <w:r w:rsidRPr="00987CE7">
        <w:rPr>
          <w:rFonts w:eastAsia="Times New Roman" w:cs="Times New Roman"/>
          <w:sz w:val="20"/>
          <w:szCs w:val="20"/>
          <w:lang w:val="en-US" w:eastAsia="en-CA"/>
        </w:rPr>
        <w:t>)(</w:t>
      </w:r>
      <w:proofErr w:type="gramEnd"/>
      <w:r w:rsidRPr="00987CE7">
        <w:rPr>
          <w:rFonts w:eastAsia="Times New Roman" w:cs="Times New Roman"/>
          <w:i/>
          <w:iCs/>
          <w:sz w:val="20"/>
          <w:szCs w:val="20"/>
          <w:lang w:val="en-US" w:eastAsia="en-CA"/>
        </w:rPr>
        <w:t>a</w:t>
      </w:r>
      <w:r w:rsidRPr="00987CE7">
        <w:rPr>
          <w:rFonts w:eastAsia="Times New Roman" w:cs="Times New Roman"/>
          <w:sz w:val="20"/>
          <w:szCs w:val="20"/>
          <w:lang w:val="en-US" w:eastAsia="en-CA"/>
        </w:rPr>
        <w:t xml:space="preserve">) of the </w:t>
      </w:r>
      <w:r w:rsidRPr="00987CE7">
        <w:rPr>
          <w:rFonts w:eastAsia="Times New Roman" w:cs="Times New Roman"/>
          <w:i/>
          <w:iCs/>
          <w:sz w:val="20"/>
          <w:szCs w:val="20"/>
          <w:lang w:val="en-US" w:eastAsia="en-CA"/>
        </w:rPr>
        <w:t>Rules of the Supreme Court of Canada</w:t>
      </w:r>
      <w:r w:rsidRPr="00987CE7">
        <w:rPr>
          <w:rFonts w:eastAsia="Times New Roman" w:cs="Times New Roman"/>
          <w:sz w:val="20"/>
          <w:szCs w:val="20"/>
          <w:lang w:val="en-US" w:eastAsia="en-CA"/>
        </w:rPr>
        <w:t xml:space="preserve">, the intervener shall pay to the appellant and respondent any additional disbursements occasioned to the appellant and respondent by its intervention. </w:t>
      </w:r>
    </w:p>
    <w:p w:rsidR="00987CE7" w:rsidRPr="00987CE7" w:rsidRDefault="00987CE7" w:rsidP="00987CE7">
      <w:pPr>
        <w:tabs>
          <w:tab w:val="left" w:pos="-1440"/>
          <w:tab w:val="left" w:pos="-720"/>
        </w:tabs>
        <w:jc w:val="both"/>
        <w:rPr>
          <w:rFonts w:eastAsia="Times New Roman" w:cs="Times New Roman"/>
          <w:sz w:val="20"/>
          <w:szCs w:val="20"/>
          <w:lang w:val="en-US"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 xml:space="preserve">À LA SUITE DE LA DEMANDE </w:t>
      </w:r>
      <w:r w:rsidRPr="00987CE7">
        <w:rPr>
          <w:rFonts w:eastAsia="Times New Roman" w:cs="Times New Roman"/>
          <w:sz w:val="20"/>
          <w:szCs w:val="20"/>
          <w:lang w:val="fr-CA" w:eastAsia="en-CA"/>
        </w:rPr>
        <w:t xml:space="preserve">présentée par la </w:t>
      </w:r>
      <w:proofErr w:type="spellStart"/>
      <w:r w:rsidRPr="00987CE7">
        <w:rPr>
          <w:rFonts w:eastAsia="Times New Roman" w:cs="Times New Roman"/>
          <w:sz w:val="20"/>
          <w:szCs w:val="20"/>
          <w:lang w:val="fr-CA" w:eastAsia="en-CA"/>
        </w:rPr>
        <w:t>Criminal</w:t>
      </w:r>
      <w:proofErr w:type="spellEnd"/>
      <w:r w:rsidRPr="00987CE7">
        <w:rPr>
          <w:rFonts w:eastAsia="Times New Roman" w:cs="Times New Roman"/>
          <w:sz w:val="20"/>
          <w:szCs w:val="20"/>
          <w:lang w:val="fr-CA" w:eastAsia="en-CA"/>
        </w:rPr>
        <w:t xml:space="preserve"> </w:t>
      </w:r>
      <w:proofErr w:type="spellStart"/>
      <w:r w:rsidRPr="00987CE7">
        <w:rPr>
          <w:rFonts w:eastAsia="Times New Roman" w:cs="Times New Roman"/>
          <w:sz w:val="20"/>
          <w:szCs w:val="20"/>
          <w:lang w:val="fr-CA" w:eastAsia="en-CA"/>
        </w:rPr>
        <w:t>Lawyers</w:t>
      </w:r>
      <w:proofErr w:type="spellEnd"/>
      <w:r w:rsidRPr="00987CE7">
        <w:rPr>
          <w:rFonts w:eastAsia="Times New Roman" w:cs="Times New Roman"/>
          <w:sz w:val="20"/>
          <w:szCs w:val="20"/>
          <w:lang w:val="fr-CA" w:eastAsia="en-CA"/>
        </w:rPr>
        <w:t>’ Association en autorisation d’intervenir dans l’appel;</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APRÈS EXAMEN</w:t>
      </w:r>
      <w:r w:rsidRPr="00987CE7">
        <w:rPr>
          <w:rFonts w:eastAsia="Times New Roman" w:cs="Times New Roman"/>
          <w:sz w:val="20"/>
          <w:szCs w:val="20"/>
          <w:lang w:val="fr-CA" w:eastAsia="en-CA"/>
        </w:rPr>
        <w:t xml:space="preserve"> des documents déposés;</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IL EST ORDONNÉ CE QUI SUIT :</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La requête en autorisation d’intervenir présentée par la </w:t>
      </w:r>
      <w:proofErr w:type="spellStart"/>
      <w:r w:rsidRPr="00987CE7">
        <w:rPr>
          <w:rFonts w:eastAsia="Times New Roman" w:cs="Times New Roman"/>
          <w:sz w:val="20"/>
          <w:szCs w:val="20"/>
          <w:lang w:val="fr-CA" w:eastAsia="en-CA"/>
        </w:rPr>
        <w:t>Criminal</w:t>
      </w:r>
      <w:proofErr w:type="spellEnd"/>
      <w:r w:rsidRPr="00987CE7">
        <w:rPr>
          <w:rFonts w:eastAsia="Times New Roman" w:cs="Times New Roman"/>
          <w:sz w:val="20"/>
          <w:szCs w:val="20"/>
          <w:lang w:val="fr-CA" w:eastAsia="en-CA"/>
        </w:rPr>
        <w:t xml:space="preserve"> </w:t>
      </w:r>
      <w:proofErr w:type="spellStart"/>
      <w:r w:rsidRPr="00987CE7">
        <w:rPr>
          <w:rFonts w:eastAsia="Times New Roman" w:cs="Times New Roman"/>
          <w:sz w:val="20"/>
          <w:szCs w:val="20"/>
          <w:lang w:val="fr-CA" w:eastAsia="en-CA"/>
        </w:rPr>
        <w:t>Lawyers</w:t>
      </w:r>
      <w:proofErr w:type="spellEnd"/>
      <w:r w:rsidRPr="00987CE7">
        <w:rPr>
          <w:rFonts w:eastAsia="Times New Roman" w:cs="Times New Roman"/>
          <w:sz w:val="20"/>
          <w:szCs w:val="20"/>
          <w:lang w:val="fr-CA" w:eastAsia="en-CA"/>
        </w:rPr>
        <w:t>’ Association est accordée, et cette intervenante pourra signifier et déposer un mémoire d’au plus dix pages au plus tard le 5 février 2013.</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La décision sur la requête en vue de présenter des plaidoiries orales sera rendue après réception et examen des arguments écrits des parties et de l’intervenante.  </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L’intervenante n’a pas le droit de soulever de nouvelles questions, de produire d’autres éléments de preuve ni de compléter de quelque autre façon le dossier des parties.</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sz w:val="20"/>
          <w:szCs w:val="20"/>
          <w:lang w:val="fr-CA" w:eastAsia="en-CA"/>
        </w:rPr>
        <w:t>Conformément à l’alinéa 59(1)</w:t>
      </w:r>
      <w:r w:rsidRPr="00987CE7">
        <w:rPr>
          <w:rFonts w:eastAsia="Times New Roman" w:cs="Times New Roman"/>
          <w:i/>
          <w:sz w:val="20"/>
          <w:szCs w:val="20"/>
          <w:lang w:val="fr-CA" w:eastAsia="en-CA"/>
        </w:rPr>
        <w:t>a</w:t>
      </w:r>
      <w:r w:rsidRPr="00987CE7">
        <w:rPr>
          <w:rFonts w:eastAsia="Times New Roman" w:cs="Times New Roman"/>
          <w:sz w:val="20"/>
          <w:szCs w:val="20"/>
          <w:lang w:val="fr-CA" w:eastAsia="en-CA"/>
        </w:rPr>
        <w:t xml:space="preserve">) des </w:t>
      </w:r>
      <w:r w:rsidRPr="00987CE7">
        <w:rPr>
          <w:rFonts w:eastAsia="Times New Roman" w:cs="Times New Roman"/>
          <w:i/>
          <w:sz w:val="20"/>
          <w:szCs w:val="20"/>
          <w:lang w:val="fr-CA" w:eastAsia="en-CA"/>
        </w:rPr>
        <w:t>Règles de la Cour suprême du Canada</w:t>
      </w:r>
      <w:r w:rsidRPr="00987CE7">
        <w:rPr>
          <w:rFonts w:eastAsia="Times New Roman" w:cs="Times New Roman"/>
          <w:sz w:val="20"/>
          <w:szCs w:val="20"/>
          <w:lang w:val="fr-CA" w:eastAsia="en-CA"/>
        </w:rPr>
        <w:t xml:space="preserve">, l’intervenante paiera à l’appelant et à l’intimée tous débours supplémentaires résultant de son intervention. </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7F0A1D" w:rsidP="00987CE7">
      <w:pPr>
        <w:tabs>
          <w:tab w:val="left" w:pos="-1440"/>
          <w:tab w:val="left" w:pos="-720"/>
        </w:tabs>
        <w:jc w:val="both"/>
        <w:rPr>
          <w:rFonts w:eastAsia="Times New Roman" w:cs="Times New Roman"/>
          <w:sz w:val="20"/>
          <w:szCs w:val="20"/>
          <w:lang w:val="fr-CA" w:eastAsia="en-CA"/>
        </w:rPr>
      </w:pPr>
      <w:r w:rsidRPr="007F0A1D">
        <w:rPr>
          <w:rFonts w:eastAsia="Times New Roman" w:cs="Times New Roman"/>
          <w:sz w:val="20"/>
          <w:szCs w:val="20"/>
          <w:lang w:val="fr-CA" w:eastAsia="en-CA"/>
        </w:rPr>
        <w:pict>
          <v:rect id="_x0000_i1034"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18.12.2012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THE CHIEF JUSTICE / LA JUGE EN CHEF</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87CE7" w:rsidRPr="00A549CB" w:rsidTr="00FE081C">
        <w:tc>
          <w:tcPr>
            <w:tcW w:w="4338" w:type="dxa"/>
          </w:tcPr>
          <w:p w:rsidR="00987CE7" w:rsidRPr="00987CE7" w:rsidRDefault="007F0A1D" w:rsidP="00987CE7">
            <w:pPr>
              <w:tabs>
                <w:tab w:val="left" w:pos="-1440"/>
                <w:tab w:val="left" w:pos="-720"/>
              </w:tabs>
              <w:jc w:val="both"/>
              <w:rPr>
                <w:b/>
              </w:rPr>
            </w:pPr>
            <w:r w:rsidRPr="00987CE7">
              <w:rPr>
                <w:lang w:val="en-US"/>
              </w:rPr>
              <w:fldChar w:fldCharType="begin"/>
            </w:r>
            <w:r w:rsidR="00987CE7" w:rsidRPr="00987CE7">
              <w:rPr>
                <w:lang w:val="en-US"/>
              </w:rPr>
              <w:instrText xml:space="preserve"> SEQ CHAPTER \h \r 1</w:instrText>
            </w:r>
            <w:r w:rsidRPr="00987CE7">
              <w:rPr>
                <w:lang w:val="en-US"/>
              </w:rPr>
              <w:fldChar w:fldCharType="end"/>
            </w:r>
            <w:r w:rsidR="00987CE7" w:rsidRPr="00987CE7">
              <w:rPr>
                <w:b/>
                <w:bCs/>
                <w:lang w:val="en-US"/>
              </w:rPr>
              <w:t>Motion to state constitutional questions</w:t>
            </w:r>
          </w:p>
        </w:tc>
        <w:tc>
          <w:tcPr>
            <w:tcW w:w="1170" w:type="dxa"/>
          </w:tcPr>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tc>
        <w:tc>
          <w:tcPr>
            <w:tcW w:w="4327" w:type="dxa"/>
          </w:tcPr>
          <w:p w:rsidR="00987CE7" w:rsidRPr="00987CE7" w:rsidRDefault="007F0A1D" w:rsidP="00987CE7">
            <w:pPr>
              <w:tabs>
                <w:tab w:val="left" w:pos="-1440"/>
                <w:tab w:val="left" w:pos="-720"/>
              </w:tabs>
              <w:jc w:val="both"/>
              <w:rPr>
                <w:lang w:val="fr-CA"/>
              </w:rPr>
            </w:pPr>
            <w:r w:rsidRPr="00987CE7">
              <w:rPr>
                <w:lang w:val="en-US"/>
              </w:rPr>
              <w:fldChar w:fldCharType="begin"/>
            </w:r>
            <w:r w:rsidR="00987CE7" w:rsidRPr="00987CE7">
              <w:rPr>
                <w:lang w:val="fr-CA"/>
              </w:rPr>
              <w:instrText xml:space="preserve"> SEQ CHAPTER \h \r 1</w:instrText>
            </w:r>
            <w:r w:rsidRPr="00987CE7">
              <w:rPr>
                <w:lang w:val="en-US"/>
              </w:rPr>
              <w:fldChar w:fldCharType="end"/>
            </w:r>
            <w:r w:rsidR="00987CE7" w:rsidRPr="00987CE7">
              <w:rPr>
                <w:b/>
                <w:bCs/>
                <w:lang w:val="fr-CA"/>
              </w:rPr>
              <w:t>Requête en formulation de questions constitutionnelles</w:t>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p>
        </w:tc>
      </w:tr>
      <w:tr w:rsidR="00987CE7" w:rsidRPr="00A549CB" w:rsidTr="00FE081C">
        <w:tc>
          <w:tcPr>
            <w:tcW w:w="4338" w:type="dxa"/>
          </w:tcPr>
          <w:p w:rsidR="00987CE7" w:rsidRPr="00987CE7" w:rsidRDefault="00987CE7" w:rsidP="00987CE7">
            <w:pPr>
              <w:tabs>
                <w:tab w:val="left" w:pos="-1440"/>
                <w:tab w:val="left" w:pos="-720"/>
              </w:tabs>
              <w:jc w:val="both"/>
              <w:rPr>
                <w:lang w:val="fr-CA"/>
              </w:rPr>
            </w:pPr>
            <w:r w:rsidRPr="00987CE7">
              <w:rPr>
                <w:lang w:val="fr-CA"/>
              </w:rPr>
              <w:t>Conseil Scolaire Francophone de la Colombie-Britannique et autres</w:t>
            </w:r>
          </w:p>
          <w:p w:rsidR="00987CE7" w:rsidRPr="00987CE7" w:rsidRDefault="00987CE7" w:rsidP="00987CE7">
            <w:pPr>
              <w:tabs>
                <w:tab w:val="left" w:pos="-1440"/>
                <w:tab w:val="left" w:pos="-720"/>
              </w:tabs>
              <w:jc w:val="both"/>
              <w:rPr>
                <w:lang w:val="fr-CA"/>
              </w:rPr>
            </w:pPr>
          </w:p>
          <w:p w:rsidR="00987CE7" w:rsidRPr="00987CE7" w:rsidRDefault="00987CE7" w:rsidP="00987CE7">
            <w:pPr>
              <w:tabs>
                <w:tab w:val="left" w:pos="-1440"/>
                <w:tab w:val="left" w:pos="-720"/>
              </w:tabs>
              <w:jc w:val="both"/>
              <w:rPr>
                <w:lang w:val="fr-CA"/>
              </w:rPr>
            </w:pPr>
            <w:r w:rsidRPr="00987CE7">
              <w:rPr>
                <w:lang w:val="fr-CA"/>
              </w:rPr>
              <w:tab/>
              <w:t>c. (34908)</w:t>
            </w:r>
          </w:p>
          <w:p w:rsidR="00987CE7" w:rsidRPr="00987CE7" w:rsidRDefault="00987CE7" w:rsidP="00987CE7">
            <w:pPr>
              <w:tabs>
                <w:tab w:val="left" w:pos="-1440"/>
                <w:tab w:val="left" w:pos="-720"/>
              </w:tabs>
              <w:jc w:val="both"/>
              <w:rPr>
                <w:lang w:val="fr-CA"/>
              </w:rPr>
            </w:pPr>
          </w:p>
          <w:p w:rsidR="00987CE7" w:rsidRPr="00987CE7" w:rsidRDefault="00987CE7" w:rsidP="00987CE7">
            <w:pPr>
              <w:tabs>
                <w:tab w:val="left" w:pos="-1440"/>
                <w:tab w:val="left" w:pos="-720"/>
              </w:tabs>
              <w:jc w:val="both"/>
              <w:rPr>
                <w:lang w:val="fr-CA"/>
              </w:rPr>
            </w:pPr>
            <w:r w:rsidRPr="00987CE7">
              <w:rPr>
                <w:lang w:val="fr-CA"/>
              </w:rPr>
              <w:t>Sa Majesté la Reine du chef de la province de Colombie-Britannique et autre (C.-B.)</w:t>
            </w:r>
          </w:p>
        </w:tc>
        <w:tc>
          <w:tcPr>
            <w:tcW w:w="1170" w:type="dxa"/>
          </w:tcPr>
          <w:p w:rsidR="00987CE7" w:rsidRPr="00987CE7" w:rsidRDefault="00987CE7" w:rsidP="00987CE7">
            <w:pPr>
              <w:tabs>
                <w:tab w:val="left" w:pos="-1440"/>
                <w:tab w:val="left" w:pos="-720"/>
              </w:tabs>
              <w:jc w:val="both"/>
              <w:rPr>
                <w:lang w:val="fr-CA"/>
              </w:rPr>
            </w:pPr>
          </w:p>
        </w:tc>
        <w:tc>
          <w:tcPr>
            <w:tcW w:w="4327" w:type="dxa"/>
          </w:tcPr>
          <w:p w:rsidR="00987CE7" w:rsidRPr="00987CE7" w:rsidRDefault="00987CE7" w:rsidP="00987CE7">
            <w:pPr>
              <w:tabs>
                <w:tab w:val="left" w:pos="-1440"/>
                <w:tab w:val="left" w:pos="-720"/>
              </w:tabs>
              <w:jc w:val="both"/>
              <w:rPr>
                <w:lang w:val="fr-CA"/>
              </w:rPr>
            </w:pPr>
          </w:p>
        </w:tc>
      </w:tr>
    </w:tbl>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b/>
          <w:sz w:val="20"/>
          <w:szCs w:val="20"/>
          <w:lang w:val="fr-CA" w:eastAsia="en-CA"/>
        </w:rPr>
        <w:t>DISMISSED / REJETÉE</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À LA SUITE DE LA DEMANDE</w:t>
      </w:r>
      <w:r w:rsidRPr="00987CE7">
        <w:rPr>
          <w:rFonts w:eastAsia="Times New Roman" w:cs="Times New Roman"/>
          <w:sz w:val="20"/>
          <w:szCs w:val="20"/>
          <w:lang w:val="fr-CA" w:eastAsia="en-CA"/>
        </w:rPr>
        <w:t xml:space="preserve"> des appelants visant à obtenir la formulation de questions constitutionnelles dans l'appel susmentionné;</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APRÈS AVOIR LU</w:t>
      </w:r>
      <w:r w:rsidRPr="00987CE7">
        <w:rPr>
          <w:rFonts w:eastAsia="Times New Roman" w:cs="Times New Roman"/>
          <w:sz w:val="20"/>
          <w:szCs w:val="20"/>
          <w:lang w:val="fr-CA" w:eastAsia="en-CA"/>
        </w:rPr>
        <w:t xml:space="preserve"> la documentation déposée;</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sz w:val="20"/>
          <w:szCs w:val="20"/>
          <w:lang w:val="fr-FR" w:eastAsia="en-CA"/>
        </w:rPr>
        <w:tab/>
      </w:r>
      <w:r w:rsidRPr="00987CE7">
        <w:rPr>
          <w:rFonts w:eastAsia="Times New Roman" w:cs="Times New Roman"/>
          <w:sz w:val="20"/>
          <w:szCs w:val="20"/>
          <w:lang w:val="en-US" w:eastAsia="en-CA"/>
        </w:rPr>
        <w:t xml:space="preserve">La </w:t>
      </w:r>
      <w:proofErr w:type="spellStart"/>
      <w:r w:rsidRPr="00987CE7">
        <w:rPr>
          <w:rFonts w:eastAsia="Times New Roman" w:cs="Times New Roman"/>
          <w:sz w:val="20"/>
          <w:szCs w:val="20"/>
          <w:lang w:val="en-US" w:eastAsia="en-CA"/>
        </w:rPr>
        <w:t>requête</w:t>
      </w:r>
      <w:proofErr w:type="spellEnd"/>
      <w:r w:rsidRPr="00987CE7">
        <w:rPr>
          <w:rFonts w:eastAsia="Times New Roman" w:cs="Times New Roman"/>
          <w:sz w:val="20"/>
          <w:szCs w:val="20"/>
          <w:lang w:val="en-US" w:eastAsia="en-CA"/>
        </w:rPr>
        <w:t xml:space="preserve"> </w:t>
      </w:r>
      <w:proofErr w:type="spellStart"/>
      <w:proofErr w:type="gramStart"/>
      <w:r w:rsidRPr="00987CE7">
        <w:rPr>
          <w:rFonts w:eastAsia="Times New Roman" w:cs="Times New Roman"/>
          <w:sz w:val="20"/>
          <w:szCs w:val="20"/>
          <w:lang w:val="en-US" w:eastAsia="en-CA"/>
        </w:rPr>
        <w:t>est</w:t>
      </w:r>
      <w:proofErr w:type="spellEnd"/>
      <w:proofErr w:type="gramEnd"/>
      <w:r w:rsidRPr="00987CE7">
        <w:rPr>
          <w:rFonts w:eastAsia="Times New Roman" w:cs="Times New Roman"/>
          <w:sz w:val="20"/>
          <w:szCs w:val="20"/>
          <w:lang w:val="en-US" w:eastAsia="en-CA"/>
        </w:rPr>
        <w:t xml:space="preserve"> </w:t>
      </w:r>
      <w:proofErr w:type="spellStart"/>
      <w:r w:rsidRPr="00987CE7">
        <w:rPr>
          <w:rFonts w:eastAsia="Times New Roman" w:cs="Times New Roman"/>
          <w:sz w:val="20"/>
          <w:szCs w:val="20"/>
          <w:lang w:val="en-US" w:eastAsia="en-CA"/>
        </w:rPr>
        <w:t>rejetée</w:t>
      </w:r>
      <w:proofErr w:type="spellEnd"/>
      <w:r w:rsidRPr="00987CE7">
        <w:rPr>
          <w:rFonts w:eastAsia="Times New Roman" w:cs="Times New Roman"/>
          <w:sz w:val="20"/>
          <w:szCs w:val="20"/>
          <w:lang w:val="en-US" w:eastAsia="en-CA"/>
        </w:rPr>
        <w:t>.</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UPON APPLICATION</w:t>
      </w:r>
      <w:r w:rsidRPr="00987CE7">
        <w:rPr>
          <w:rFonts w:eastAsia="Times New Roman" w:cs="Times New Roman"/>
          <w:sz w:val="20"/>
          <w:szCs w:val="20"/>
          <w:lang w:val="en-US" w:eastAsia="en-CA"/>
        </w:rPr>
        <w:t xml:space="preserve"> by the appellants </w:t>
      </w:r>
      <w:r w:rsidR="007F0A1D" w:rsidRPr="00987CE7">
        <w:rPr>
          <w:rFonts w:eastAsia="Times New Roman" w:cs="Times New Roman"/>
          <w:sz w:val="20"/>
          <w:szCs w:val="20"/>
          <w:lang w:eastAsia="en-CA"/>
        </w:rPr>
        <w:fldChar w:fldCharType="begin"/>
      </w:r>
      <w:r w:rsidRPr="00987CE7">
        <w:rPr>
          <w:rFonts w:eastAsia="Times New Roman" w:cs="Times New Roman"/>
          <w:sz w:val="20"/>
          <w:szCs w:val="20"/>
          <w:lang w:eastAsia="en-CA"/>
        </w:rPr>
        <w:instrText xml:space="preserve"> SEQ CHAPTER \h \r 1</w:instrText>
      </w:r>
      <w:r w:rsidR="007F0A1D" w:rsidRPr="00987CE7">
        <w:rPr>
          <w:rFonts w:eastAsia="Times New Roman" w:cs="Times New Roman"/>
          <w:sz w:val="20"/>
          <w:szCs w:val="20"/>
          <w:lang w:eastAsia="en-CA"/>
        </w:rPr>
        <w:fldChar w:fldCharType="end"/>
      </w:r>
      <w:r w:rsidRPr="00987CE7">
        <w:rPr>
          <w:rFonts w:eastAsia="Times New Roman" w:cs="Times New Roman"/>
          <w:sz w:val="20"/>
          <w:szCs w:val="20"/>
          <w:lang w:eastAsia="en-CA"/>
        </w:rPr>
        <w:t xml:space="preserve">for an order stating constitutional questions </w:t>
      </w:r>
      <w:r w:rsidRPr="00987CE7">
        <w:rPr>
          <w:rFonts w:eastAsia="Times New Roman" w:cs="Times New Roman"/>
          <w:sz w:val="20"/>
          <w:szCs w:val="20"/>
          <w:lang w:val="en-US" w:eastAsia="en-CA"/>
        </w:rPr>
        <w:t>in the above appeal;</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sz w:val="20"/>
          <w:szCs w:val="20"/>
          <w:lang w:val="en-US" w:eastAsia="en-CA"/>
        </w:rPr>
        <w:tab/>
        <w:t>The motion is dismissed.</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7F0A1D" w:rsidP="00987CE7">
      <w:pPr>
        <w:tabs>
          <w:tab w:val="left" w:pos="-1440"/>
          <w:tab w:val="left" w:pos="-720"/>
        </w:tabs>
        <w:jc w:val="both"/>
        <w:rPr>
          <w:rFonts w:eastAsia="Times New Roman" w:cs="Times New Roman"/>
          <w:sz w:val="20"/>
          <w:szCs w:val="20"/>
          <w:lang w:eastAsia="en-CA"/>
        </w:rPr>
      </w:pPr>
      <w:r w:rsidRPr="007F0A1D">
        <w:rPr>
          <w:rFonts w:eastAsia="Times New Roman" w:cs="Times New Roman"/>
          <w:sz w:val="20"/>
          <w:szCs w:val="20"/>
          <w:lang w:val="fr-CA" w:eastAsia="en-CA"/>
        </w:rPr>
        <w:pict>
          <v:rect id="_x0000_i1035"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18.12.2012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THE CHIEF JUSTICE / LA JUGE EN CHEF</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87CE7" w:rsidRPr="00A549CB" w:rsidTr="00FE081C">
        <w:tc>
          <w:tcPr>
            <w:tcW w:w="4338" w:type="dxa"/>
          </w:tcPr>
          <w:p w:rsidR="00987CE7" w:rsidRPr="00987CE7" w:rsidRDefault="007F0A1D" w:rsidP="00987CE7">
            <w:pPr>
              <w:tabs>
                <w:tab w:val="left" w:pos="-1440"/>
                <w:tab w:val="left" w:pos="-720"/>
              </w:tabs>
              <w:jc w:val="both"/>
              <w:rPr>
                <w:b/>
              </w:rPr>
            </w:pPr>
            <w:r w:rsidRPr="00987CE7">
              <w:rPr>
                <w:lang w:val="en-US"/>
              </w:rPr>
              <w:fldChar w:fldCharType="begin"/>
            </w:r>
            <w:r w:rsidR="00987CE7" w:rsidRPr="00987CE7">
              <w:rPr>
                <w:lang w:val="en-US"/>
              </w:rPr>
              <w:instrText xml:space="preserve"> SEQ CHAPTER \h \r 1</w:instrText>
            </w:r>
            <w:r w:rsidRPr="00987CE7">
              <w:rPr>
                <w:lang w:val="en-US"/>
              </w:rPr>
              <w:fldChar w:fldCharType="end"/>
            </w:r>
            <w:r w:rsidR="00987CE7" w:rsidRPr="00987CE7">
              <w:rPr>
                <w:b/>
                <w:bCs/>
                <w:lang w:val="en-US"/>
              </w:rPr>
              <w:t>Motion to state constitutional questions</w:t>
            </w:r>
          </w:p>
        </w:tc>
        <w:tc>
          <w:tcPr>
            <w:tcW w:w="1170" w:type="dxa"/>
          </w:tcPr>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tc>
        <w:tc>
          <w:tcPr>
            <w:tcW w:w="4327" w:type="dxa"/>
          </w:tcPr>
          <w:p w:rsidR="00987CE7" w:rsidRPr="00987CE7" w:rsidRDefault="007F0A1D" w:rsidP="00987CE7">
            <w:pPr>
              <w:tabs>
                <w:tab w:val="left" w:pos="-1440"/>
                <w:tab w:val="left" w:pos="-720"/>
              </w:tabs>
              <w:jc w:val="both"/>
              <w:rPr>
                <w:lang w:val="fr-CA"/>
              </w:rPr>
            </w:pPr>
            <w:r w:rsidRPr="00987CE7">
              <w:rPr>
                <w:lang w:val="en-US"/>
              </w:rPr>
              <w:fldChar w:fldCharType="begin"/>
            </w:r>
            <w:r w:rsidR="00987CE7" w:rsidRPr="00987CE7">
              <w:rPr>
                <w:lang w:val="fr-CA"/>
              </w:rPr>
              <w:instrText xml:space="preserve"> SEQ CHAPTER \h \r 1</w:instrText>
            </w:r>
            <w:r w:rsidRPr="00987CE7">
              <w:rPr>
                <w:lang w:val="en-US"/>
              </w:rPr>
              <w:fldChar w:fldCharType="end"/>
            </w:r>
            <w:r w:rsidR="00987CE7" w:rsidRPr="00987CE7">
              <w:rPr>
                <w:b/>
                <w:bCs/>
                <w:lang w:val="fr-CA"/>
              </w:rPr>
              <w:t>Requête en formulation de questions constitutionnelles</w:t>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p>
        </w:tc>
      </w:tr>
      <w:tr w:rsidR="00987CE7" w:rsidRPr="00987CE7" w:rsidTr="00FE081C">
        <w:tc>
          <w:tcPr>
            <w:tcW w:w="4338" w:type="dxa"/>
          </w:tcPr>
          <w:p w:rsidR="00987CE7" w:rsidRPr="00987CE7" w:rsidRDefault="00987CE7" w:rsidP="00987CE7">
            <w:pPr>
              <w:tabs>
                <w:tab w:val="left" w:pos="-1440"/>
                <w:tab w:val="left" w:pos="-720"/>
              </w:tabs>
              <w:jc w:val="both"/>
            </w:pPr>
            <w:r w:rsidRPr="00987CE7">
              <w:t>Information and Privacy Commissioner et al.</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ab/>
              <w:t>v. (34890)</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United Food and Commercial Workers, Local 401 et al. (Alta.)</w:t>
            </w:r>
          </w:p>
        </w:tc>
        <w:tc>
          <w:tcPr>
            <w:tcW w:w="1170" w:type="dxa"/>
          </w:tcPr>
          <w:p w:rsidR="00987CE7" w:rsidRPr="00987CE7" w:rsidRDefault="00987CE7" w:rsidP="00987CE7">
            <w:pPr>
              <w:tabs>
                <w:tab w:val="left" w:pos="-1440"/>
                <w:tab w:val="left" w:pos="-720"/>
              </w:tabs>
              <w:jc w:val="both"/>
            </w:pPr>
          </w:p>
        </w:tc>
        <w:tc>
          <w:tcPr>
            <w:tcW w:w="4327" w:type="dxa"/>
          </w:tcPr>
          <w:p w:rsidR="00987CE7" w:rsidRPr="00987CE7" w:rsidRDefault="00987CE7" w:rsidP="00987CE7">
            <w:pPr>
              <w:tabs>
                <w:tab w:val="left" w:pos="-1440"/>
                <w:tab w:val="left" w:pos="-720"/>
              </w:tabs>
              <w:jc w:val="both"/>
            </w:pPr>
          </w:p>
        </w:tc>
      </w:tr>
    </w:tbl>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b/>
          <w:sz w:val="20"/>
          <w:szCs w:val="20"/>
          <w:lang w:eastAsia="en-CA"/>
        </w:rPr>
      </w:pPr>
      <w:r w:rsidRPr="00987CE7">
        <w:rPr>
          <w:rFonts w:eastAsia="Times New Roman" w:cs="Times New Roman"/>
          <w:b/>
          <w:sz w:val="20"/>
          <w:szCs w:val="20"/>
          <w:lang w:eastAsia="en-CA"/>
        </w:rPr>
        <w:t>GRANTED / ACCORDÉE</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UPON APPLICATION</w:t>
      </w:r>
      <w:r w:rsidRPr="00987CE7">
        <w:rPr>
          <w:rFonts w:eastAsia="Times New Roman" w:cs="Times New Roman"/>
          <w:sz w:val="20"/>
          <w:szCs w:val="20"/>
          <w:lang w:val="en-US" w:eastAsia="en-CA"/>
        </w:rPr>
        <w:t xml:space="preserve"> by the appellant, the Attorney General of Alberta, </w:t>
      </w:r>
      <w:r w:rsidR="007F0A1D" w:rsidRPr="00987CE7">
        <w:rPr>
          <w:rFonts w:eastAsia="Times New Roman" w:cs="Times New Roman"/>
          <w:sz w:val="20"/>
          <w:szCs w:val="20"/>
          <w:lang w:eastAsia="en-CA"/>
        </w:rPr>
        <w:fldChar w:fldCharType="begin"/>
      </w:r>
      <w:r w:rsidRPr="00987CE7">
        <w:rPr>
          <w:rFonts w:eastAsia="Times New Roman" w:cs="Times New Roman"/>
          <w:sz w:val="20"/>
          <w:szCs w:val="20"/>
          <w:lang w:eastAsia="en-CA"/>
        </w:rPr>
        <w:instrText xml:space="preserve"> SEQ CHAPTER \h \r 1</w:instrText>
      </w:r>
      <w:r w:rsidR="007F0A1D" w:rsidRPr="00987CE7">
        <w:rPr>
          <w:rFonts w:eastAsia="Times New Roman" w:cs="Times New Roman"/>
          <w:sz w:val="20"/>
          <w:szCs w:val="20"/>
          <w:lang w:eastAsia="en-CA"/>
        </w:rPr>
        <w:fldChar w:fldCharType="end"/>
      </w:r>
      <w:r w:rsidRPr="00987CE7">
        <w:rPr>
          <w:rFonts w:eastAsia="Times New Roman" w:cs="Times New Roman"/>
          <w:sz w:val="20"/>
          <w:szCs w:val="20"/>
          <w:lang w:eastAsia="en-CA"/>
        </w:rPr>
        <w:t xml:space="preserve">for an order stating constitutional questions </w:t>
      </w:r>
      <w:r w:rsidRPr="00987CE7">
        <w:rPr>
          <w:rFonts w:eastAsia="Times New Roman" w:cs="Times New Roman"/>
          <w:sz w:val="20"/>
          <w:szCs w:val="20"/>
          <w:lang w:val="en-US" w:eastAsia="en-CA"/>
        </w:rPr>
        <w:t>in the above appeal;</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b/>
          <w:bCs/>
          <w:sz w:val="20"/>
          <w:szCs w:val="20"/>
          <w:lang w:val="en-US" w:eastAsia="en-CA"/>
        </w:rPr>
      </w:pPr>
      <w:r w:rsidRPr="00987CE7">
        <w:rPr>
          <w:rFonts w:eastAsia="Times New Roman" w:cs="Times New Roman"/>
          <w:b/>
          <w:bCs/>
          <w:sz w:val="20"/>
          <w:szCs w:val="20"/>
          <w:lang w:val="en-US" w:eastAsia="en-CA"/>
        </w:rPr>
        <w:t>IT IS HEREBY ORDERED THAT THE CONSTITUTIONAL QUESTIONS BE STATED AS FOLLOW:</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numPr>
          <w:ilvl w:val="0"/>
          <w:numId w:val="11"/>
        </w:numPr>
        <w:spacing w:line="0" w:lineRule="atLeast"/>
        <w:jc w:val="both"/>
        <w:rPr>
          <w:rFonts w:cs="Times New Roman"/>
          <w:sz w:val="20"/>
          <w:szCs w:val="20"/>
        </w:rPr>
      </w:pPr>
      <w:r w:rsidRPr="00987CE7">
        <w:rPr>
          <w:rFonts w:cs="Times New Roman"/>
          <w:sz w:val="20"/>
          <w:szCs w:val="20"/>
        </w:rPr>
        <w:t xml:space="preserve">Do the </w:t>
      </w:r>
      <w:bookmarkStart w:id="1" w:name="OLE_LINK2"/>
      <w:bookmarkStart w:id="2" w:name="OLE_LINK1"/>
      <w:bookmarkEnd w:id="1"/>
      <w:bookmarkEnd w:id="2"/>
      <w:r w:rsidRPr="00987CE7">
        <w:rPr>
          <w:rFonts w:cs="Times New Roman"/>
          <w:i/>
          <w:iCs/>
          <w:sz w:val="20"/>
          <w:szCs w:val="20"/>
        </w:rPr>
        <w:t>Personal Information Protection Act</w:t>
      </w:r>
      <w:r w:rsidRPr="00987CE7">
        <w:rPr>
          <w:rFonts w:cs="Times New Roman"/>
          <w:sz w:val="20"/>
          <w:szCs w:val="20"/>
        </w:rPr>
        <w:t xml:space="preserve">, S.A. 2003, c. P-6.5 and the </w:t>
      </w:r>
      <w:r w:rsidRPr="00987CE7">
        <w:rPr>
          <w:rFonts w:cs="Times New Roman"/>
          <w:i/>
          <w:iCs/>
          <w:sz w:val="20"/>
          <w:szCs w:val="20"/>
        </w:rPr>
        <w:t>Personal Information Protection Act Regulation</w:t>
      </w:r>
      <w:r w:rsidRPr="00987CE7">
        <w:rPr>
          <w:rFonts w:cs="Times New Roman"/>
          <w:sz w:val="20"/>
          <w:szCs w:val="20"/>
        </w:rPr>
        <w:t xml:space="preserve">, Alta Reg. 366/2003 violate s. 2(b) of the </w:t>
      </w:r>
      <w:r w:rsidRPr="00987CE7">
        <w:rPr>
          <w:rFonts w:cs="Times New Roman"/>
          <w:i/>
          <w:iCs/>
          <w:sz w:val="20"/>
          <w:szCs w:val="20"/>
        </w:rPr>
        <w:t>Canadian Charter of Rights and Freedoms</w:t>
      </w:r>
      <w:r w:rsidRPr="00987CE7">
        <w:rPr>
          <w:rFonts w:cs="Times New Roman"/>
          <w:sz w:val="20"/>
          <w:szCs w:val="20"/>
        </w:rPr>
        <w:t xml:space="preserve"> insofar as they restrict a union’s ability to collect, use or disclose personal information during the course of a lawful strike?</w:t>
      </w:r>
    </w:p>
    <w:p w:rsidR="00987CE7" w:rsidRPr="00987CE7" w:rsidRDefault="00987CE7" w:rsidP="00987CE7">
      <w:pPr>
        <w:spacing w:line="0" w:lineRule="atLeast"/>
        <w:ind w:left="720"/>
        <w:jc w:val="both"/>
        <w:rPr>
          <w:rFonts w:eastAsia="Times New Roman" w:cs="Times New Roman"/>
          <w:sz w:val="20"/>
          <w:szCs w:val="20"/>
          <w:lang w:val="en-US" w:eastAsia="en-CA"/>
        </w:rPr>
      </w:pPr>
    </w:p>
    <w:p w:rsidR="00987CE7" w:rsidRPr="00987CE7" w:rsidRDefault="00987CE7" w:rsidP="00987CE7">
      <w:pPr>
        <w:numPr>
          <w:ilvl w:val="0"/>
          <w:numId w:val="11"/>
        </w:numPr>
        <w:spacing w:line="0" w:lineRule="atLeast"/>
        <w:jc w:val="both"/>
        <w:rPr>
          <w:rFonts w:cs="Times New Roman"/>
          <w:sz w:val="20"/>
          <w:szCs w:val="20"/>
        </w:rPr>
      </w:pPr>
      <w:r w:rsidRPr="00987CE7">
        <w:rPr>
          <w:rFonts w:cs="Times New Roman"/>
          <w:sz w:val="20"/>
          <w:szCs w:val="20"/>
        </w:rPr>
        <w:t xml:space="preserve">If so, is the infringement a reasonable limit prescribed by law, which can be demonstrably justified in a free and democratic society under s. 1 of the </w:t>
      </w:r>
      <w:r w:rsidRPr="00987CE7">
        <w:rPr>
          <w:rFonts w:cs="Times New Roman"/>
          <w:i/>
          <w:iCs/>
          <w:sz w:val="20"/>
          <w:szCs w:val="20"/>
        </w:rPr>
        <w:t>Canadian Charter of Rights and Freedoms</w:t>
      </w:r>
      <w:r w:rsidRPr="00987CE7">
        <w:rPr>
          <w:rFonts w:cs="Times New Roman"/>
          <w:sz w:val="20"/>
          <w:szCs w:val="20"/>
        </w:rPr>
        <w:t>?</w:t>
      </w:r>
    </w:p>
    <w:p w:rsidR="00987CE7" w:rsidRPr="00987CE7" w:rsidRDefault="00987CE7" w:rsidP="00987CE7">
      <w:pPr>
        <w:jc w:val="both"/>
        <w:rPr>
          <w:rFonts w:eastAsia="Times New Roman" w:cs="Times New Roman"/>
          <w:sz w:val="20"/>
          <w:szCs w:val="20"/>
          <w:lang w:val="en-US" w:eastAsia="en-CA"/>
        </w:rPr>
      </w:pPr>
    </w:p>
    <w:p w:rsidR="00987CE7" w:rsidRPr="00987CE7" w:rsidRDefault="00987CE7" w:rsidP="00987CE7">
      <w:pPr>
        <w:jc w:val="both"/>
        <w:rPr>
          <w:rFonts w:eastAsia="Times New Roman" w:cs="Times New Roman"/>
          <w:sz w:val="20"/>
          <w:szCs w:val="20"/>
          <w:lang w:val="en-US" w:eastAsia="en-CA"/>
        </w:rPr>
      </w:pPr>
      <w:r w:rsidRPr="00987CE7">
        <w:rPr>
          <w:rFonts w:eastAsia="Times New Roman" w:cs="Times New Roman"/>
          <w:sz w:val="20"/>
          <w:szCs w:val="20"/>
          <w:lang w:val="en-US" w:eastAsia="en-CA"/>
        </w:rPr>
        <w:t>Any Attorney General who intervenes pursuant to Rule 61(4) shall pay the appellants and respondent the costs of any additional disbursements they incur as a result of the intervention.</w:t>
      </w:r>
    </w:p>
    <w:p w:rsidR="00987CE7" w:rsidRPr="00987CE7" w:rsidRDefault="00987CE7" w:rsidP="00987CE7">
      <w:pPr>
        <w:jc w:val="both"/>
        <w:rPr>
          <w:rFonts w:eastAsia="Times New Roman" w:cs="Times New Roman"/>
          <w:bCs/>
          <w:sz w:val="20"/>
          <w:szCs w:val="20"/>
          <w:lang w:val="en-US" w:eastAsia="en-CA"/>
        </w:rPr>
      </w:pPr>
    </w:p>
    <w:p w:rsidR="00987CE7" w:rsidRPr="00987CE7" w:rsidRDefault="00987CE7" w:rsidP="00987CE7">
      <w:pPr>
        <w:jc w:val="both"/>
        <w:rPr>
          <w:rFonts w:eastAsia="Times New Roman" w:cs="Times New Roman"/>
          <w:bCs/>
          <w:sz w:val="20"/>
          <w:szCs w:val="20"/>
          <w:lang w:val="en-US"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lastRenderedPageBreak/>
        <w:t>À LA SUITE DE LA DEMANDE</w:t>
      </w:r>
      <w:r w:rsidRPr="00987CE7">
        <w:rPr>
          <w:rFonts w:eastAsia="Times New Roman" w:cs="Times New Roman"/>
          <w:sz w:val="20"/>
          <w:szCs w:val="20"/>
          <w:lang w:val="fr-CA" w:eastAsia="en-CA"/>
        </w:rPr>
        <w:t xml:space="preserve"> de l’appelant, le Procureur général de l’Alberta, visant à obtenir la formulation de questions constitutionnelles dans l'appel susmentionné;</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APRÈS AVOIR LU</w:t>
      </w:r>
      <w:r w:rsidRPr="00987CE7">
        <w:rPr>
          <w:rFonts w:eastAsia="Times New Roman" w:cs="Times New Roman"/>
          <w:sz w:val="20"/>
          <w:szCs w:val="20"/>
          <w:lang w:val="fr-CA" w:eastAsia="en-CA"/>
        </w:rPr>
        <w:t xml:space="preserve"> la documentation déposée;</w:t>
      </w:r>
    </w:p>
    <w:p w:rsidR="00987CE7" w:rsidRPr="00987CE7" w:rsidRDefault="00987CE7" w:rsidP="00987CE7">
      <w:pPr>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CA" w:eastAsia="en-CA"/>
        </w:rPr>
      </w:pPr>
      <w:r w:rsidRPr="00987CE7">
        <w:rPr>
          <w:rFonts w:eastAsia="Times New Roman" w:cs="Times New Roman"/>
          <w:b/>
          <w:bCs/>
          <w:sz w:val="20"/>
          <w:szCs w:val="20"/>
          <w:lang w:val="fr-CA" w:eastAsia="en-CA"/>
        </w:rPr>
        <w:t>LES QUESTIONS CONSTITUTIONNELLES SUIVANTES SONT FORMULÉES :</w:t>
      </w:r>
    </w:p>
    <w:p w:rsidR="00987CE7" w:rsidRPr="00987CE7" w:rsidRDefault="00987CE7" w:rsidP="00987CE7">
      <w:pPr>
        <w:jc w:val="both"/>
        <w:rPr>
          <w:rFonts w:eastAsia="Times New Roman" w:cs="Times New Roman"/>
          <w:sz w:val="20"/>
          <w:szCs w:val="20"/>
          <w:lang w:val="fr-FR" w:eastAsia="en-CA"/>
        </w:rPr>
      </w:pPr>
    </w:p>
    <w:p w:rsidR="00987CE7" w:rsidRPr="00987CE7" w:rsidRDefault="00987CE7" w:rsidP="00987CE7">
      <w:pPr>
        <w:numPr>
          <w:ilvl w:val="0"/>
          <w:numId w:val="12"/>
        </w:numPr>
        <w:spacing w:line="0" w:lineRule="atLeast"/>
        <w:jc w:val="both"/>
        <w:rPr>
          <w:rFonts w:cs="Times New Roman"/>
          <w:sz w:val="20"/>
          <w:szCs w:val="20"/>
          <w:lang w:val="fr-CA"/>
        </w:rPr>
      </w:pPr>
      <w:r w:rsidRPr="00987CE7">
        <w:rPr>
          <w:rFonts w:cs="Times New Roman"/>
          <w:sz w:val="20"/>
          <w:szCs w:val="20"/>
          <w:lang w:val="fr-CA"/>
        </w:rPr>
        <w:t xml:space="preserve">La </w:t>
      </w:r>
      <w:proofErr w:type="spellStart"/>
      <w:r w:rsidRPr="00987CE7">
        <w:rPr>
          <w:rFonts w:cs="Times New Roman"/>
          <w:i/>
          <w:iCs/>
          <w:sz w:val="20"/>
          <w:szCs w:val="20"/>
          <w:lang w:val="fr-CA"/>
        </w:rPr>
        <w:t>Personal</w:t>
      </w:r>
      <w:proofErr w:type="spellEnd"/>
      <w:r w:rsidRPr="00987CE7">
        <w:rPr>
          <w:rFonts w:cs="Times New Roman"/>
          <w:i/>
          <w:iCs/>
          <w:sz w:val="20"/>
          <w:szCs w:val="20"/>
          <w:lang w:val="fr-CA"/>
        </w:rPr>
        <w:t xml:space="preserve"> Information Protection </w:t>
      </w:r>
      <w:proofErr w:type="spellStart"/>
      <w:r w:rsidRPr="00987CE7">
        <w:rPr>
          <w:rFonts w:cs="Times New Roman"/>
          <w:i/>
          <w:iCs/>
          <w:sz w:val="20"/>
          <w:szCs w:val="20"/>
          <w:lang w:val="fr-CA"/>
        </w:rPr>
        <w:t>Act</w:t>
      </w:r>
      <w:proofErr w:type="spellEnd"/>
      <w:r w:rsidRPr="00987CE7">
        <w:rPr>
          <w:rFonts w:cs="Times New Roman"/>
          <w:sz w:val="20"/>
          <w:szCs w:val="20"/>
          <w:lang w:val="fr-CA"/>
        </w:rPr>
        <w:t xml:space="preserve">, S.A. 2003, ch. P-6.5, et le </w:t>
      </w:r>
      <w:proofErr w:type="spellStart"/>
      <w:r w:rsidRPr="00987CE7">
        <w:rPr>
          <w:rFonts w:cs="Times New Roman"/>
          <w:i/>
          <w:iCs/>
          <w:sz w:val="20"/>
          <w:szCs w:val="20"/>
          <w:lang w:val="fr-CA"/>
        </w:rPr>
        <w:t>Personal</w:t>
      </w:r>
      <w:proofErr w:type="spellEnd"/>
      <w:r w:rsidRPr="00987CE7">
        <w:rPr>
          <w:rFonts w:cs="Times New Roman"/>
          <w:i/>
          <w:iCs/>
          <w:sz w:val="20"/>
          <w:szCs w:val="20"/>
          <w:lang w:val="fr-CA"/>
        </w:rPr>
        <w:t xml:space="preserve"> Information Protection </w:t>
      </w:r>
      <w:proofErr w:type="spellStart"/>
      <w:r w:rsidRPr="00987CE7">
        <w:rPr>
          <w:rFonts w:cs="Times New Roman"/>
          <w:i/>
          <w:iCs/>
          <w:sz w:val="20"/>
          <w:szCs w:val="20"/>
          <w:lang w:val="fr-CA"/>
        </w:rPr>
        <w:t>Act</w:t>
      </w:r>
      <w:proofErr w:type="spellEnd"/>
      <w:r w:rsidRPr="00987CE7">
        <w:rPr>
          <w:rFonts w:cs="Times New Roman"/>
          <w:i/>
          <w:iCs/>
          <w:sz w:val="20"/>
          <w:szCs w:val="20"/>
          <w:lang w:val="fr-CA"/>
        </w:rPr>
        <w:t xml:space="preserve"> </w:t>
      </w:r>
      <w:proofErr w:type="spellStart"/>
      <w:r w:rsidRPr="00987CE7">
        <w:rPr>
          <w:rFonts w:cs="Times New Roman"/>
          <w:i/>
          <w:iCs/>
          <w:sz w:val="20"/>
          <w:szCs w:val="20"/>
          <w:lang w:val="fr-CA"/>
        </w:rPr>
        <w:t>Regulation</w:t>
      </w:r>
      <w:proofErr w:type="spellEnd"/>
      <w:r w:rsidRPr="00987CE7">
        <w:rPr>
          <w:rFonts w:cs="Times New Roman"/>
          <w:sz w:val="20"/>
          <w:szCs w:val="20"/>
          <w:lang w:val="fr-CA"/>
        </w:rPr>
        <w:t>, Alta Reg. 366/2003, portent-ils atteinte aux droits protégés par l’art. 2</w:t>
      </w:r>
      <w:r w:rsidRPr="00987CE7">
        <w:rPr>
          <w:rFonts w:cs="Times New Roman"/>
          <w:i/>
          <w:sz w:val="20"/>
          <w:szCs w:val="20"/>
          <w:lang w:val="fr-CA"/>
        </w:rPr>
        <w:t>b</w:t>
      </w:r>
      <w:r w:rsidRPr="00987CE7">
        <w:rPr>
          <w:rFonts w:cs="Times New Roman"/>
          <w:sz w:val="20"/>
          <w:szCs w:val="20"/>
          <w:lang w:val="fr-CA"/>
        </w:rPr>
        <w:t xml:space="preserve">) de la </w:t>
      </w:r>
      <w:r w:rsidRPr="00987CE7">
        <w:rPr>
          <w:rFonts w:cs="Times New Roman"/>
          <w:i/>
          <w:sz w:val="20"/>
          <w:szCs w:val="20"/>
          <w:lang w:val="fr-CA"/>
        </w:rPr>
        <w:t xml:space="preserve">Charte canadienne des droits et libertés </w:t>
      </w:r>
      <w:r w:rsidRPr="00987CE7">
        <w:rPr>
          <w:rFonts w:cs="Times New Roman"/>
          <w:sz w:val="20"/>
          <w:szCs w:val="20"/>
          <w:lang w:val="fr-CA"/>
        </w:rPr>
        <w:t xml:space="preserve">dans la mesure où ils limitent la capacité d’un syndicat de recueillir, d’utiliser ou de communiquer des renseignements personnels pendant une grève légale? </w:t>
      </w:r>
    </w:p>
    <w:p w:rsidR="00987CE7" w:rsidRPr="00987CE7" w:rsidRDefault="00987CE7" w:rsidP="00987CE7">
      <w:pPr>
        <w:spacing w:line="0" w:lineRule="atLeast"/>
        <w:ind w:left="720"/>
        <w:jc w:val="both"/>
        <w:rPr>
          <w:rFonts w:eastAsia="Times New Roman" w:cs="Times New Roman"/>
          <w:sz w:val="20"/>
          <w:szCs w:val="20"/>
          <w:lang w:val="fr-CA" w:eastAsia="en-CA"/>
        </w:rPr>
      </w:pPr>
    </w:p>
    <w:p w:rsidR="00987CE7" w:rsidRPr="00987CE7" w:rsidRDefault="00987CE7" w:rsidP="00987CE7">
      <w:pPr>
        <w:numPr>
          <w:ilvl w:val="0"/>
          <w:numId w:val="12"/>
        </w:numPr>
        <w:spacing w:line="0" w:lineRule="atLeast"/>
        <w:jc w:val="both"/>
        <w:rPr>
          <w:rFonts w:cs="Times New Roman"/>
          <w:sz w:val="20"/>
          <w:szCs w:val="20"/>
          <w:lang w:val="fr-CA"/>
        </w:rPr>
      </w:pPr>
      <w:r w:rsidRPr="00987CE7">
        <w:rPr>
          <w:rFonts w:cs="Times New Roman"/>
          <w:sz w:val="20"/>
          <w:szCs w:val="20"/>
          <w:lang w:val="fr-CA"/>
        </w:rPr>
        <w:t xml:space="preserve">Dans l’affirmative, cette atteinte constitue-t-elle une limite raisonnable, prescrite par une règle de droit, dont la justification peut être démontrée dans une société libre et démocratique au sens de l’article premier de la </w:t>
      </w:r>
      <w:r w:rsidRPr="00987CE7">
        <w:rPr>
          <w:rFonts w:cs="Times New Roman"/>
          <w:i/>
          <w:sz w:val="20"/>
          <w:szCs w:val="20"/>
          <w:lang w:val="fr-CA"/>
        </w:rPr>
        <w:t>Charte canadienne des droits et libertés</w:t>
      </w:r>
      <w:r w:rsidRPr="00987CE7">
        <w:rPr>
          <w:rFonts w:cs="Times New Roman"/>
          <w:sz w:val="20"/>
          <w:szCs w:val="20"/>
          <w:lang w:val="fr-CA"/>
        </w:rPr>
        <w:t xml:space="preserve">? </w:t>
      </w:r>
    </w:p>
    <w:p w:rsidR="00987CE7" w:rsidRPr="00987CE7" w:rsidRDefault="00987CE7" w:rsidP="00987CE7">
      <w:pPr>
        <w:ind w:right="851"/>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sz w:val="20"/>
          <w:szCs w:val="20"/>
          <w:lang w:val="fr-FR" w:eastAsia="en-CA"/>
        </w:rPr>
      </w:pPr>
      <w:r w:rsidRPr="00987CE7">
        <w:rPr>
          <w:rFonts w:eastAsia="Times New Roman" w:cs="Times New Roman"/>
          <w:sz w:val="20"/>
          <w:szCs w:val="20"/>
          <w:lang w:val="fr-CA" w:eastAsia="en-CA"/>
        </w:rPr>
        <w:t>T</w:t>
      </w:r>
      <w:r w:rsidRPr="00987CE7">
        <w:rPr>
          <w:rFonts w:eastAsia="Times New Roman" w:cs="Times New Roman"/>
          <w:sz w:val="20"/>
          <w:szCs w:val="20"/>
          <w:lang w:val="fr-FR" w:eastAsia="en-CA"/>
        </w:rPr>
        <w:t xml:space="preserve">out procureur général qui intervient en vertu du par. 61(4) des </w:t>
      </w:r>
      <w:r w:rsidRPr="00987CE7">
        <w:rPr>
          <w:rFonts w:eastAsia="Times New Roman" w:cs="Times New Roman"/>
          <w:i/>
          <w:iCs/>
          <w:sz w:val="20"/>
          <w:szCs w:val="20"/>
          <w:lang w:val="fr-FR" w:eastAsia="en-CA"/>
        </w:rPr>
        <w:t>Règles</w:t>
      </w:r>
      <w:r w:rsidRPr="00987CE7">
        <w:rPr>
          <w:rFonts w:eastAsia="Times New Roman" w:cs="Times New Roman"/>
          <w:sz w:val="20"/>
          <w:szCs w:val="20"/>
          <w:lang w:val="fr-FR" w:eastAsia="en-CA"/>
        </w:rPr>
        <w:t xml:space="preserve"> est tenu de payer aux appelants et à l’intimée les dépens supplémentaires résultant de son intervention.</w:t>
      </w:r>
    </w:p>
    <w:p w:rsidR="00987CE7" w:rsidRPr="00987CE7" w:rsidRDefault="00987CE7" w:rsidP="00987CE7">
      <w:pPr>
        <w:tabs>
          <w:tab w:val="left" w:pos="-1440"/>
          <w:tab w:val="left" w:pos="-720"/>
        </w:tabs>
        <w:jc w:val="both"/>
        <w:rPr>
          <w:rFonts w:eastAsia="Times New Roman" w:cs="Times New Roman"/>
          <w:sz w:val="20"/>
          <w:szCs w:val="20"/>
          <w:lang w:val="fr-FR" w:eastAsia="en-CA"/>
        </w:rPr>
      </w:pPr>
    </w:p>
    <w:p w:rsidR="00987CE7" w:rsidRPr="00987CE7" w:rsidRDefault="007F0A1D" w:rsidP="00987CE7">
      <w:pPr>
        <w:tabs>
          <w:tab w:val="left" w:pos="-1440"/>
          <w:tab w:val="left" w:pos="-720"/>
        </w:tabs>
        <w:jc w:val="both"/>
        <w:rPr>
          <w:rFonts w:eastAsia="Times New Roman" w:cs="Times New Roman"/>
          <w:sz w:val="20"/>
          <w:szCs w:val="20"/>
          <w:lang w:eastAsia="en-CA"/>
        </w:rPr>
      </w:pPr>
      <w:r w:rsidRPr="007F0A1D">
        <w:rPr>
          <w:rFonts w:eastAsia="Times New Roman" w:cs="Times New Roman"/>
          <w:sz w:val="20"/>
          <w:szCs w:val="20"/>
          <w:lang w:val="fr-CA" w:eastAsia="en-CA"/>
        </w:rPr>
        <w:pict>
          <v:rect id="_x0000_i1036"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t>20.12.2012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LEBEL J. / LE JUGE LEBEL</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987CE7" w:rsidRPr="00A549CB" w:rsidTr="00FE081C">
        <w:tc>
          <w:tcPr>
            <w:tcW w:w="4338" w:type="dxa"/>
            <w:gridSpan w:val="2"/>
          </w:tcPr>
          <w:p w:rsidR="00987CE7" w:rsidRPr="00987CE7" w:rsidRDefault="00987CE7" w:rsidP="00987CE7">
            <w:pPr>
              <w:jc w:val="both"/>
              <w:rPr>
                <w:b/>
              </w:rPr>
            </w:pPr>
            <w:r w:rsidRPr="00987CE7">
              <w:rPr>
                <w:b/>
                <w:lang w:val="en-US"/>
              </w:rPr>
              <w:t xml:space="preserve">Order on intervention with respect to oral argument </w:t>
            </w:r>
            <w:r w:rsidR="007F0A1D" w:rsidRPr="00987CE7">
              <w:rPr>
                <w:b/>
                <w:lang w:val="en-US"/>
              </w:rPr>
              <w:fldChar w:fldCharType="begin"/>
            </w:r>
            <w:r w:rsidRPr="00987CE7">
              <w:rPr>
                <w:b/>
              </w:rPr>
              <w:instrText xml:space="preserve"> SEQ CHAPTER \h \r 1</w:instrText>
            </w:r>
            <w:r w:rsidR="007F0A1D" w:rsidRPr="00987CE7">
              <w:rPr>
                <w:b/>
                <w:lang w:val="en-US"/>
              </w:rPr>
              <w:fldChar w:fldCharType="end"/>
            </w:r>
          </w:p>
        </w:tc>
        <w:tc>
          <w:tcPr>
            <w:tcW w:w="1170" w:type="dxa"/>
          </w:tcPr>
          <w:p w:rsidR="00987CE7" w:rsidRPr="00987CE7" w:rsidRDefault="00987CE7" w:rsidP="00987CE7"/>
          <w:p w:rsidR="00987CE7" w:rsidRPr="00987CE7" w:rsidRDefault="00987CE7" w:rsidP="00987CE7"/>
          <w:p w:rsidR="00987CE7" w:rsidRPr="00987CE7" w:rsidRDefault="00987CE7" w:rsidP="00987CE7"/>
        </w:tc>
        <w:tc>
          <w:tcPr>
            <w:tcW w:w="4327" w:type="dxa"/>
          </w:tcPr>
          <w:p w:rsidR="00987CE7" w:rsidRPr="00987CE7" w:rsidRDefault="00987CE7" w:rsidP="00987CE7">
            <w:pPr>
              <w:jc w:val="both"/>
              <w:rPr>
                <w:b/>
                <w:lang w:val="fr-CA"/>
              </w:rPr>
            </w:pPr>
            <w:r w:rsidRPr="00987CE7">
              <w:rPr>
                <w:b/>
                <w:lang w:val="fr-CA"/>
              </w:rPr>
              <w:t>Ordonnance relative à la présentation d’une plaidoirie orale par l’intervenante</w:t>
            </w:r>
            <w:r w:rsidR="007F0A1D" w:rsidRPr="00987CE7">
              <w:rPr>
                <w:b/>
                <w:lang w:val="en-US"/>
              </w:rPr>
              <w:fldChar w:fldCharType="begin"/>
            </w:r>
            <w:r w:rsidRPr="00987CE7">
              <w:rPr>
                <w:b/>
                <w:lang w:val="fr-CA"/>
              </w:rPr>
              <w:instrText xml:space="preserve"> SEQ CHAPTER \h \r 1</w:instrText>
            </w:r>
            <w:r w:rsidR="007F0A1D" w:rsidRPr="00987CE7">
              <w:rPr>
                <w:b/>
                <w:lang w:val="en-US"/>
              </w:rPr>
              <w:fldChar w:fldCharType="end"/>
            </w:r>
          </w:p>
        </w:tc>
      </w:tr>
      <w:tr w:rsidR="00987CE7" w:rsidRPr="00987CE7" w:rsidTr="00FE081C">
        <w:tc>
          <w:tcPr>
            <w:tcW w:w="1278" w:type="dxa"/>
          </w:tcPr>
          <w:p w:rsidR="00987CE7" w:rsidRPr="00987CE7" w:rsidRDefault="00987CE7" w:rsidP="00987CE7">
            <w:r w:rsidRPr="00987CE7">
              <w:t>RE:</w:t>
            </w:r>
          </w:p>
        </w:tc>
        <w:tc>
          <w:tcPr>
            <w:tcW w:w="3060" w:type="dxa"/>
          </w:tcPr>
          <w:p w:rsidR="00987CE7" w:rsidRPr="00987CE7" w:rsidRDefault="00987CE7" w:rsidP="00987CE7">
            <w:r w:rsidRPr="00987CE7">
              <w:t>Workers' Compensation Board of British Columbia</w:t>
            </w:r>
          </w:p>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278" w:type="dxa"/>
          </w:tcPr>
          <w:p w:rsidR="00987CE7" w:rsidRPr="00987CE7" w:rsidRDefault="00987CE7" w:rsidP="00987CE7"/>
        </w:tc>
        <w:tc>
          <w:tcPr>
            <w:tcW w:w="3060" w:type="dxa"/>
          </w:tcPr>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A549CB" w:rsidTr="00FE081C">
        <w:tc>
          <w:tcPr>
            <w:tcW w:w="1278" w:type="dxa"/>
          </w:tcPr>
          <w:p w:rsidR="00987CE7" w:rsidRPr="00987CE7" w:rsidRDefault="00987CE7" w:rsidP="00987CE7">
            <w:r w:rsidRPr="00987CE7">
              <w:t>IN / DANS :</w:t>
            </w:r>
          </w:p>
        </w:tc>
        <w:tc>
          <w:tcPr>
            <w:tcW w:w="3060" w:type="dxa"/>
          </w:tcPr>
          <w:p w:rsidR="00987CE7" w:rsidRPr="00987CE7" w:rsidRDefault="00987CE7" w:rsidP="00987CE7">
            <w:pPr>
              <w:rPr>
                <w:lang w:val="fr-CA"/>
              </w:rPr>
            </w:pPr>
            <w:r w:rsidRPr="00987CE7">
              <w:rPr>
                <w:lang w:val="fr-CA"/>
              </w:rPr>
              <w:t>Marine Services International Limited et al.</w:t>
            </w:r>
          </w:p>
          <w:p w:rsidR="00987CE7" w:rsidRPr="00987CE7" w:rsidRDefault="00987CE7" w:rsidP="00987CE7">
            <w:pPr>
              <w:rPr>
                <w:lang w:val="fr-CA"/>
              </w:rPr>
            </w:pPr>
          </w:p>
        </w:tc>
        <w:tc>
          <w:tcPr>
            <w:tcW w:w="1170" w:type="dxa"/>
          </w:tcPr>
          <w:p w:rsidR="00987CE7" w:rsidRPr="00987CE7" w:rsidRDefault="00987CE7" w:rsidP="00987CE7">
            <w:pPr>
              <w:rPr>
                <w:lang w:val="fr-CA"/>
              </w:rPr>
            </w:pPr>
          </w:p>
        </w:tc>
        <w:tc>
          <w:tcPr>
            <w:tcW w:w="4327" w:type="dxa"/>
          </w:tcPr>
          <w:p w:rsidR="00987CE7" w:rsidRPr="00987CE7" w:rsidRDefault="00987CE7" w:rsidP="00987CE7">
            <w:pPr>
              <w:rPr>
                <w:lang w:val="fr-CA"/>
              </w:rPr>
            </w:pPr>
          </w:p>
        </w:tc>
      </w:tr>
      <w:tr w:rsidR="00987CE7" w:rsidRPr="00987CE7" w:rsidTr="00FE081C">
        <w:tc>
          <w:tcPr>
            <w:tcW w:w="1278" w:type="dxa"/>
          </w:tcPr>
          <w:p w:rsidR="00987CE7" w:rsidRPr="00987CE7" w:rsidRDefault="00987CE7" w:rsidP="00987CE7">
            <w:pPr>
              <w:rPr>
                <w:lang w:val="fr-CA"/>
              </w:rPr>
            </w:pPr>
          </w:p>
        </w:tc>
        <w:tc>
          <w:tcPr>
            <w:tcW w:w="3060" w:type="dxa"/>
          </w:tcPr>
          <w:p w:rsidR="00987CE7" w:rsidRPr="00987CE7" w:rsidRDefault="00987CE7" w:rsidP="00987CE7">
            <w:r w:rsidRPr="00987CE7">
              <w:rPr>
                <w:lang w:val="fr-CA"/>
              </w:rPr>
              <w:tab/>
              <w:t>v</w:t>
            </w:r>
            <w:r w:rsidRPr="00987CE7">
              <w:t>. (34429)</w:t>
            </w:r>
          </w:p>
          <w:p w:rsidR="00987CE7" w:rsidRPr="00987CE7" w:rsidRDefault="00987CE7" w:rsidP="00987CE7"/>
        </w:tc>
        <w:tc>
          <w:tcPr>
            <w:tcW w:w="1170" w:type="dxa"/>
          </w:tcPr>
          <w:p w:rsidR="00987CE7" w:rsidRPr="00987CE7" w:rsidRDefault="00987CE7" w:rsidP="00987CE7"/>
        </w:tc>
        <w:tc>
          <w:tcPr>
            <w:tcW w:w="4327" w:type="dxa"/>
          </w:tcPr>
          <w:p w:rsidR="00987CE7" w:rsidRPr="00987CE7" w:rsidRDefault="00987CE7" w:rsidP="00987CE7"/>
        </w:tc>
      </w:tr>
      <w:tr w:rsidR="00987CE7" w:rsidRPr="00987CE7" w:rsidTr="00FE081C">
        <w:tc>
          <w:tcPr>
            <w:tcW w:w="1278" w:type="dxa"/>
          </w:tcPr>
          <w:p w:rsidR="00987CE7" w:rsidRPr="00987CE7" w:rsidRDefault="00987CE7" w:rsidP="00987CE7"/>
        </w:tc>
        <w:tc>
          <w:tcPr>
            <w:tcW w:w="3060" w:type="dxa"/>
          </w:tcPr>
          <w:p w:rsidR="00987CE7" w:rsidRPr="00987CE7" w:rsidRDefault="00987CE7" w:rsidP="00987CE7">
            <w:pPr>
              <w:jc w:val="both"/>
            </w:pPr>
            <w:r w:rsidRPr="00987CE7">
              <w:t xml:space="preserve">Estate of Joseph Ryan, by its </w:t>
            </w:r>
            <w:proofErr w:type="spellStart"/>
            <w:r w:rsidRPr="00987CE7">
              <w:t>Administratrix</w:t>
            </w:r>
            <w:proofErr w:type="spellEnd"/>
            <w:r w:rsidRPr="00987CE7">
              <w:t>, Yvonne Ryan et al. (N.L.)</w:t>
            </w:r>
          </w:p>
        </w:tc>
        <w:tc>
          <w:tcPr>
            <w:tcW w:w="1170" w:type="dxa"/>
          </w:tcPr>
          <w:p w:rsidR="00987CE7" w:rsidRPr="00987CE7" w:rsidRDefault="00987CE7" w:rsidP="00987CE7"/>
        </w:tc>
        <w:tc>
          <w:tcPr>
            <w:tcW w:w="4327" w:type="dxa"/>
          </w:tcPr>
          <w:p w:rsidR="00987CE7" w:rsidRPr="00987CE7" w:rsidRDefault="00987CE7" w:rsidP="00987CE7"/>
        </w:tc>
      </w:tr>
    </w:tbl>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spacing w:line="230"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FURTHER TO THE ORDER</w:t>
      </w:r>
      <w:r w:rsidRPr="00987CE7">
        <w:rPr>
          <w:rFonts w:eastAsia="Times New Roman" w:cs="Times New Roman"/>
          <w:sz w:val="20"/>
          <w:szCs w:val="20"/>
          <w:lang w:val="en-US" w:eastAsia="en-CA"/>
        </w:rPr>
        <w:t xml:space="preserve"> dated November 2, 2012, granting leave to intervene to</w:t>
      </w:r>
      <w:r w:rsidRPr="00987CE7">
        <w:rPr>
          <w:rFonts w:eastAsia="Times New Roman" w:cs="Times New Roman"/>
          <w:b/>
          <w:bCs/>
          <w:sz w:val="20"/>
          <w:szCs w:val="20"/>
          <w:lang w:val="en-US" w:eastAsia="en-CA"/>
        </w:rPr>
        <w:t xml:space="preserve"> </w:t>
      </w:r>
      <w:r w:rsidRPr="00987CE7">
        <w:rPr>
          <w:rFonts w:eastAsia="Times New Roman" w:cs="Times New Roman"/>
          <w:sz w:val="20"/>
          <w:szCs w:val="20"/>
          <w:lang w:eastAsia="en-CA"/>
        </w:rPr>
        <w:t>the Workers' Compensation Board of British Columbia</w:t>
      </w:r>
      <w:r w:rsidRPr="00987CE7">
        <w:rPr>
          <w:rFonts w:eastAsia="Times New Roman" w:cs="Times New Roman"/>
          <w:sz w:val="20"/>
          <w:szCs w:val="20"/>
          <w:lang w:val="en-US" w:eastAsia="en-CA"/>
        </w:rPr>
        <w:t>;</w:t>
      </w:r>
    </w:p>
    <w:p w:rsidR="00987CE7" w:rsidRPr="00987CE7" w:rsidRDefault="00987CE7" w:rsidP="00987CE7">
      <w:pPr>
        <w:spacing w:line="230" w:lineRule="auto"/>
        <w:jc w:val="both"/>
        <w:rPr>
          <w:rFonts w:eastAsia="Times New Roman" w:cs="Times New Roman"/>
          <w:sz w:val="20"/>
          <w:szCs w:val="20"/>
          <w:lang w:val="en-US" w:eastAsia="en-CA"/>
        </w:rPr>
      </w:pPr>
    </w:p>
    <w:p w:rsidR="00987CE7" w:rsidRPr="00987CE7" w:rsidRDefault="00987CE7" w:rsidP="00987CE7">
      <w:pPr>
        <w:spacing w:line="230"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 xml:space="preserve">IT IS HEREBY FURTHER ORDERED THAT </w:t>
      </w:r>
      <w:r w:rsidRPr="00987CE7">
        <w:rPr>
          <w:rFonts w:eastAsia="Times New Roman" w:cs="Times New Roman"/>
          <w:sz w:val="20"/>
          <w:szCs w:val="20"/>
          <w:lang w:val="en-US" w:eastAsia="en-CA"/>
        </w:rPr>
        <w:t>the said intervene is granted permission to present oral argument not exceeding ten (10) minutes at the hearing of the appeal.</w:t>
      </w:r>
    </w:p>
    <w:p w:rsidR="00987CE7" w:rsidRPr="00987CE7" w:rsidRDefault="00987CE7" w:rsidP="00987CE7">
      <w:pPr>
        <w:spacing w:line="233" w:lineRule="auto"/>
        <w:jc w:val="both"/>
        <w:rPr>
          <w:rFonts w:eastAsia="Times New Roman" w:cs="Times New Roman"/>
          <w:sz w:val="20"/>
          <w:szCs w:val="20"/>
          <w:lang w:eastAsia="en-CA"/>
        </w:rPr>
      </w:pPr>
    </w:p>
    <w:p w:rsidR="00987CE7" w:rsidRPr="00987CE7" w:rsidRDefault="00987CE7" w:rsidP="00987CE7">
      <w:pPr>
        <w:spacing w:line="233" w:lineRule="auto"/>
        <w:rPr>
          <w:rFonts w:eastAsia="Times New Roman" w:cs="Times New Roman"/>
          <w:sz w:val="20"/>
          <w:szCs w:val="20"/>
          <w:lang w:eastAsia="en-CA"/>
        </w:rPr>
      </w:pPr>
    </w:p>
    <w:p w:rsidR="00987CE7" w:rsidRPr="00987CE7" w:rsidRDefault="00987CE7" w:rsidP="00987CE7">
      <w:pPr>
        <w:spacing w:line="233" w:lineRule="auto"/>
        <w:rPr>
          <w:rFonts w:eastAsia="Times New Roman" w:cs="Times New Roman"/>
          <w:sz w:val="20"/>
          <w:szCs w:val="20"/>
          <w:lang w:eastAsia="en-CA"/>
        </w:rPr>
      </w:pPr>
    </w:p>
    <w:p w:rsidR="00987CE7" w:rsidRPr="00987CE7" w:rsidRDefault="00987CE7" w:rsidP="00987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87CE7">
        <w:rPr>
          <w:rFonts w:eastAsiaTheme="minorEastAsia" w:cs="Times New Roman"/>
          <w:b/>
          <w:bCs/>
          <w:sz w:val="20"/>
          <w:szCs w:val="20"/>
          <w:lang w:val="fr-CA"/>
        </w:rPr>
        <w:t>À LA SUITE DE L’ORDONNANCE</w:t>
      </w:r>
      <w:r w:rsidRPr="00987CE7">
        <w:rPr>
          <w:rFonts w:eastAsiaTheme="minorEastAsia" w:cs="Times New Roman"/>
          <w:sz w:val="20"/>
          <w:szCs w:val="20"/>
          <w:lang w:val="fr-CA"/>
        </w:rPr>
        <w:t xml:space="preserve"> datée du 2 novembre 2012 autorisant le </w:t>
      </w:r>
      <w:proofErr w:type="spellStart"/>
      <w:r w:rsidRPr="00987CE7">
        <w:rPr>
          <w:rFonts w:eastAsiaTheme="minorEastAsia" w:cs="Times New Roman"/>
          <w:sz w:val="20"/>
          <w:szCs w:val="20"/>
          <w:lang w:val="fr-CA"/>
        </w:rPr>
        <w:t>Workers</w:t>
      </w:r>
      <w:proofErr w:type="spellEnd"/>
      <w:r w:rsidRPr="00987CE7">
        <w:rPr>
          <w:rFonts w:eastAsiaTheme="minorEastAsia" w:cs="Times New Roman"/>
          <w:sz w:val="20"/>
          <w:szCs w:val="20"/>
          <w:lang w:val="fr-CA"/>
        </w:rPr>
        <w:t xml:space="preserve">’ Compensation </w:t>
      </w:r>
      <w:proofErr w:type="spellStart"/>
      <w:r w:rsidRPr="00987CE7">
        <w:rPr>
          <w:rFonts w:eastAsiaTheme="minorEastAsia" w:cs="Times New Roman"/>
          <w:sz w:val="20"/>
          <w:szCs w:val="20"/>
          <w:lang w:val="fr-CA"/>
        </w:rPr>
        <w:t>Board</w:t>
      </w:r>
      <w:proofErr w:type="spellEnd"/>
      <w:r w:rsidRPr="00987CE7">
        <w:rPr>
          <w:rFonts w:eastAsiaTheme="minorEastAsia" w:cs="Times New Roman"/>
          <w:sz w:val="20"/>
          <w:szCs w:val="20"/>
          <w:lang w:val="fr-CA"/>
        </w:rPr>
        <w:t xml:space="preserve"> de la Colombie-Britannique à intervenir;</w:t>
      </w:r>
    </w:p>
    <w:p w:rsidR="00987CE7" w:rsidRPr="00987CE7" w:rsidRDefault="00987CE7" w:rsidP="00987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987CE7" w:rsidRPr="00987CE7" w:rsidRDefault="00987CE7" w:rsidP="00987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87CE7">
        <w:rPr>
          <w:rFonts w:eastAsiaTheme="minorEastAsia" w:cs="Times New Roman"/>
          <w:b/>
          <w:bCs/>
          <w:sz w:val="20"/>
          <w:szCs w:val="20"/>
          <w:lang w:val="fr-CA"/>
        </w:rPr>
        <w:t xml:space="preserve">IL EST EN OUTRE ORDONNÉ QUE </w:t>
      </w:r>
      <w:r w:rsidRPr="00987CE7">
        <w:rPr>
          <w:rFonts w:eastAsiaTheme="minorEastAsia" w:cs="Times New Roman"/>
          <w:sz w:val="20"/>
          <w:szCs w:val="20"/>
          <w:lang w:val="fr-CA"/>
        </w:rPr>
        <w:t>cet intervenant pourra présenter une plaidoirie orale d’au plus dix (10) minutes lors de l’audition de l’appel.</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7F0A1D" w:rsidP="00987CE7">
      <w:pPr>
        <w:tabs>
          <w:tab w:val="left" w:pos="-1440"/>
          <w:tab w:val="left" w:pos="-720"/>
        </w:tabs>
        <w:jc w:val="both"/>
        <w:rPr>
          <w:rFonts w:eastAsia="Times New Roman" w:cs="Times New Roman"/>
          <w:sz w:val="20"/>
          <w:szCs w:val="20"/>
          <w:lang w:val="fr-CA" w:eastAsia="en-CA"/>
        </w:rPr>
      </w:pPr>
      <w:r w:rsidRPr="007F0A1D">
        <w:rPr>
          <w:rFonts w:eastAsia="Times New Roman" w:cs="Times New Roman"/>
          <w:sz w:val="20"/>
          <w:szCs w:val="20"/>
          <w:lang w:val="fr-CA" w:eastAsia="en-CA"/>
        </w:rPr>
        <w:pict>
          <v:rect id="_x0000_i1037"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r w:rsidRPr="00987CE7">
        <w:rPr>
          <w:rFonts w:eastAsia="Times New Roman" w:cs="Times New Roman"/>
          <w:sz w:val="20"/>
          <w:szCs w:val="20"/>
          <w:lang w:val="fr-CA" w:eastAsia="en-CA"/>
        </w:rPr>
        <w:lastRenderedPageBreak/>
        <w:t>20.12.2012</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roofErr w:type="spellStart"/>
      <w:r w:rsidRPr="00987CE7">
        <w:rPr>
          <w:rFonts w:eastAsia="Times New Roman" w:cs="Times New Roman"/>
          <w:sz w:val="20"/>
          <w:szCs w:val="20"/>
          <w:lang w:val="fr-CA" w:eastAsia="en-CA"/>
        </w:rPr>
        <w:t>Before</w:t>
      </w:r>
      <w:proofErr w:type="spellEnd"/>
      <w:r w:rsidRPr="00987CE7">
        <w:rPr>
          <w:rFonts w:eastAsia="Times New Roman" w:cs="Times New Roman"/>
          <w:sz w:val="20"/>
          <w:szCs w:val="20"/>
          <w:lang w:val="fr-CA" w:eastAsia="en-CA"/>
        </w:rPr>
        <w:t xml:space="preserve"> / Devant :   LEBEL J. / LE JUGE LEBEL</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87CE7" w:rsidRPr="00A549CB" w:rsidTr="00FE081C">
        <w:tc>
          <w:tcPr>
            <w:tcW w:w="4338" w:type="dxa"/>
          </w:tcPr>
          <w:p w:rsidR="00987CE7" w:rsidRPr="00987CE7" w:rsidRDefault="007F0A1D" w:rsidP="00987CE7">
            <w:pPr>
              <w:tabs>
                <w:tab w:val="left" w:pos="-1440"/>
                <w:tab w:val="left" w:pos="-720"/>
              </w:tabs>
              <w:jc w:val="both"/>
              <w:rPr>
                <w:b/>
              </w:rPr>
            </w:pPr>
            <w:r w:rsidRPr="00987CE7">
              <w:rPr>
                <w:lang w:val="en-US"/>
              </w:rPr>
              <w:fldChar w:fldCharType="begin"/>
            </w:r>
            <w:r w:rsidR="00987CE7" w:rsidRPr="00987CE7">
              <w:instrText xml:space="preserve"> SEQ CHAPTER \h \</w:instrText>
            </w:r>
            <w:r w:rsidR="00987CE7" w:rsidRPr="00987CE7">
              <w:rPr>
                <w:lang w:val="en-US"/>
              </w:rPr>
              <w:instrText>r 1</w:instrText>
            </w:r>
            <w:r w:rsidRPr="00987CE7">
              <w:rPr>
                <w:lang w:val="en-US"/>
              </w:rPr>
              <w:fldChar w:fldCharType="end"/>
            </w:r>
            <w:r w:rsidR="00987CE7" w:rsidRPr="00987CE7">
              <w:rPr>
                <w:b/>
                <w:bCs/>
                <w:lang w:val="en-US"/>
              </w:rPr>
              <w:t xml:space="preserve">Motion </w:t>
            </w:r>
            <w:r w:rsidRPr="00987CE7">
              <w:rPr>
                <w:lang w:val="en-US"/>
              </w:rPr>
              <w:fldChar w:fldCharType="begin"/>
            </w:r>
            <w:r w:rsidR="00987CE7" w:rsidRPr="00987CE7">
              <w:rPr>
                <w:lang w:val="en-US"/>
              </w:rPr>
              <w:instrText xml:space="preserve"> SEQ CHAPTER \h \r 1</w:instrText>
            </w:r>
            <w:r w:rsidRPr="00987CE7">
              <w:rPr>
                <w:lang w:val="en-US"/>
              </w:rPr>
              <w:fldChar w:fldCharType="end"/>
            </w:r>
            <w:r w:rsidR="00987CE7" w:rsidRPr="00987CE7">
              <w:rPr>
                <w:b/>
                <w:bCs/>
                <w:lang w:val="en-US"/>
              </w:rPr>
              <w:t>to adduce new evidence</w:t>
            </w:r>
          </w:p>
        </w:tc>
        <w:tc>
          <w:tcPr>
            <w:tcW w:w="1170" w:type="dxa"/>
          </w:tcPr>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p>
        </w:tc>
        <w:tc>
          <w:tcPr>
            <w:tcW w:w="4327" w:type="dxa"/>
          </w:tcPr>
          <w:p w:rsidR="00987CE7" w:rsidRPr="00987CE7" w:rsidRDefault="007F0A1D" w:rsidP="00987CE7">
            <w:pPr>
              <w:tabs>
                <w:tab w:val="left" w:pos="-1440"/>
                <w:tab w:val="left" w:pos="-720"/>
              </w:tabs>
              <w:jc w:val="both"/>
              <w:rPr>
                <w:lang w:val="fr-CA"/>
              </w:rPr>
            </w:pP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00987CE7" w:rsidRPr="00987CE7">
              <w:rPr>
                <w:b/>
                <w:bCs/>
                <w:lang w:val="fr-CA"/>
              </w:rPr>
              <w:t>Requête en vue de produire une nouvelle preuve</w:t>
            </w:r>
            <w:r w:rsidR="00987CE7" w:rsidRPr="00987CE7">
              <w:rPr>
                <w:lang w:val="fr-CA"/>
              </w:rPr>
              <w:t xml:space="preserve"> </w:t>
            </w:r>
            <w:r w:rsidRPr="00987CE7">
              <w:rPr>
                <w:lang w:val="en-US"/>
              </w:rPr>
              <w:fldChar w:fldCharType="begin"/>
            </w:r>
            <w:r w:rsidR="00987CE7" w:rsidRPr="00987CE7">
              <w:rPr>
                <w:lang w:val="fr-CA"/>
              </w:rPr>
              <w:instrText xml:space="preserve"> SEQ CHAPTER \h \r 1</w:instrText>
            </w:r>
            <w:r w:rsidRPr="00987CE7">
              <w:rPr>
                <w:lang w:val="en-US"/>
              </w:rPr>
              <w:fldChar w:fldCharType="end"/>
            </w:r>
            <w:r w:rsidRPr="00987CE7">
              <w:rPr>
                <w:lang w:val="en-US"/>
              </w:rPr>
              <w:fldChar w:fldCharType="begin"/>
            </w:r>
            <w:r w:rsidR="00987CE7" w:rsidRPr="00987CE7">
              <w:rPr>
                <w:lang w:val="fr-CA"/>
              </w:rPr>
              <w:instrText xml:space="preserve"> SEQ CHAPTER \h \r 1</w:instrText>
            </w:r>
            <w:r w:rsidRPr="00987CE7">
              <w:rPr>
                <w:lang w:val="en-US"/>
              </w:rPr>
              <w:fldChar w:fldCharType="end"/>
            </w:r>
          </w:p>
        </w:tc>
      </w:tr>
      <w:tr w:rsidR="00987CE7" w:rsidRPr="00987CE7" w:rsidTr="00FE081C">
        <w:tc>
          <w:tcPr>
            <w:tcW w:w="4338" w:type="dxa"/>
          </w:tcPr>
          <w:p w:rsidR="00987CE7" w:rsidRPr="00987CE7" w:rsidRDefault="00987CE7" w:rsidP="00987CE7">
            <w:pPr>
              <w:tabs>
                <w:tab w:val="left" w:pos="-1440"/>
                <w:tab w:val="left" w:pos="-720"/>
              </w:tabs>
              <w:jc w:val="both"/>
            </w:pPr>
            <w:r w:rsidRPr="00987CE7">
              <w:t>Shoppers Drug Mart Inc. et al.</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ab/>
              <w:t>v. (34649)</w:t>
            </w:r>
          </w:p>
          <w:p w:rsidR="00987CE7" w:rsidRPr="00987CE7" w:rsidRDefault="00987CE7" w:rsidP="00987CE7">
            <w:pPr>
              <w:tabs>
                <w:tab w:val="left" w:pos="-1440"/>
                <w:tab w:val="left" w:pos="-720"/>
              </w:tabs>
              <w:jc w:val="both"/>
            </w:pPr>
          </w:p>
          <w:p w:rsidR="00987CE7" w:rsidRPr="00987CE7" w:rsidRDefault="00987CE7" w:rsidP="00987CE7">
            <w:pPr>
              <w:tabs>
                <w:tab w:val="left" w:pos="-1440"/>
                <w:tab w:val="left" w:pos="-720"/>
              </w:tabs>
              <w:jc w:val="both"/>
            </w:pPr>
            <w:r w:rsidRPr="00987CE7">
              <w:t>Minister of Health and Long-Term Care et al. (Ont.)</w:t>
            </w:r>
          </w:p>
        </w:tc>
        <w:tc>
          <w:tcPr>
            <w:tcW w:w="1170" w:type="dxa"/>
          </w:tcPr>
          <w:p w:rsidR="00987CE7" w:rsidRPr="00987CE7" w:rsidRDefault="00987CE7" w:rsidP="00987CE7">
            <w:pPr>
              <w:tabs>
                <w:tab w:val="left" w:pos="-1440"/>
                <w:tab w:val="left" w:pos="-720"/>
              </w:tabs>
              <w:jc w:val="both"/>
            </w:pPr>
          </w:p>
        </w:tc>
        <w:tc>
          <w:tcPr>
            <w:tcW w:w="4327" w:type="dxa"/>
          </w:tcPr>
          <w:p w:rsidR="00987CE7" w:rsidRPr="00987CE7" w:rsidRDefault="00987CE7" w:rsidP="00987CE7">
            <w:pPr>
              <w:tabs>
                <w:tab w:val="left" w:pos="-1440"/>
                <w:tab w:val="left" w:pos="-720"/>
              </w:tabs>
              <w:jc w:val="both"/>
            </w:pPr>
          </w:p>
        </w:tc>
      </w:tr>
    </w:tbl>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tabs>
          <w:tab w:val="left" w:pos="-1440"/>
          <w:tab w:val="left" w:pos="-720"/>
        </w:tabs>
        <w:jc w:val="both"/>
        <w:rPr>
          <w:rFonts w:eastAsia="Times New Roman" w:cs="Times New Roman"/>
          <w:b/>
          <w:sz w:val="20"/>
          <w:szCs w:val="20"/>
          <w:lang w:eastAsia="en-CA"/>
        </w:rPr>
      </w:pPr>
      <w:r w:rsidRPr="00987CE7">
        <w:rPr>
          <w:rFonts w:eastAsia="Times New Roman" w:cs="Times New Roman"/>
          <w:b/>
          <w:sz w:val="20"/>
          <w:szCs w:val="20"/>
          <w:lang w:eastAsia="en-CA"/>
        </w:rPr>
        <w:t>GRANTED / ACCORDÉE</w:t>
      </w:r>
    </w:p>
    <w:p w:rsidR="00987CE7" w:rsidRPr="00987CE7" w:rsidRDefault="00987CE7" w:rsidP="00987CE7">
      <w:pPr>
        <w:tabs>
          <w:tab w:val="left" w:pos="-1440"/>
          <w:tab w:val="left" w:pos="-720"/>
        </w:tabs>
        <w:jc w:val="both"/>
        <w:rPr>
          <w:rFonts w:eastAsia="Times New Roman" w:cs="Times New Roman"/>
          <w:sz w:val="20"/>
          <w:szCs w:val="20"/>
          <w:lang w:eastAsia="en-CA"/>
        </w:rPr>
      </w:pPr>
    </w:p>
    <w:p w:rsidR="00987CE7" w:rsidRPr="00987CE7" w:rsidRDefault="00987CE7" w:rsidP="00987CE7">
      <w:pPr>
        <w:jc w:val="both"/>
        <w:rPr>
          <w:rFonts w:eastAsia="Times New Roman" w:cs="Times New Roman"/>
          <w:b/>
          <w:bCs/>
          <w:sz w:val="20"/>
          <w:szCs w:val="20"/>
          <w:lang w:val="en-US" w:eastAsia="en-CA"/>
        </w:rPr>
      </w:pPr>
      <w:r w:rsidRPr="00987CE7">
        <w:rPr>
          <w:rFonts w:eastAsia="Times New Roman" w:cs="Times New Roman"/>
          <w:b/>
          <w:bCs/>
          <w:sz w:val="20"/>
          <w:szCs w:val="20"/>
          <w:lang w:val="en-US" w:eastAsia="en-CA"/>
        </w:rPr>
        <w:t xml:space="preserve">UPON APPLICATION </w:t>
      </w:r>
      <w:r w:rsidRPr="00987CE7">
        <w:rPr>
          <w:rFonts w:eastAsia="Times New Roman" w:cs="Times New Roman"/>
          <w:sz w:val="20"/>
          <w:szCs w:val="20"/>
          <w:lang w:val="en-US" w:eastAsia="en-CA"/>
        </w:rPr>
        <w:t>by the appellants for an order to adduce fresh evidence namely the affidavit of Jeff Leger sworn on November 15, 2012;</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AND THE MATERIAL FILED</w:t>
      </w:r>
      <w:r w:rsidRPr="00987CE7">
        <w:rPr>
          <w:rFonts w:eastAsia="Times New Roman" w:cs="Times New Roman"/>
          <w:sz w:val="20"/>
          <w:szCs w:val="20"/>
          <w:lang w:val="en-US" w:eastAsia="en-CA"/>
        </w:rPr>
        <w:t xml:space="preserve"> having been read;</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jc w:val="both"/>
        <w:rPr>
          <w:rFonts w:eastAsia="Times New Roman" w:cs="Times New Roman"/>
          <w:sz w:val="20"/>
          <w:szCs w:val="20"/>
          <w:lang w:val="en-US" w:eastAsia="en-CA"/>
        </w:rPr>
      </w:pPr>
      <w:r w:rsidRPr="00987CE7">
        <w:rPr>
          <w:rFonts w:eastAsia="Times New Roman" w:cs="Times New Roman"/>
          <w:b/>
          <w:bCs/>
          <w:sz w:val="20"/>
          <w:szCs w:val="20"/>
          <w:lang w:val="en-US" w:eastAsia="en-CA"/>
        </w:rPr>
        <w:t>IT IS HEREBY ORDERED THAT:</w:t>
      </w:r>
    </w:p>
    <w:p w:rsidR="00987CE7" w:rsidRPr="00987CE7" w:rsidRDefault="00987CE7" w:rsidP="00987CE7">
      <w:pPr>
        <w:spacing w:line="233" w:lineRule="auto"/>
        <w:jc w:val="both"/>
        <w:rPr>
          <w:rFonts w:eastAsia="Times New Roman" w:cs="Times New Roman"/>
          <w:sz w:val="20"/>
          <w:szCs w:val="20"/>
          <w:lang w:val="en-US" w:eastAsia="en-CA"/>
        </w:rPr>
      </w:pPr>
    </w:p>
    <w:p w:rsidR="00987CE7" w:rsidRPr="00987CE7" w:rsidRDefault="00987CE7" w:rsidP="00987CE7">
      <w:pPr>
        <w:spacing w:line="233" w:lineRule="auto"/>
        <w:ind w:left="360"/>
        <w:jc w:val="both"/>
        <w:rPr>
          <w:rFonts w:eastAsia="Times New Roman" w:cs="Times New Roman"/>
          <w:sz w:val="20"/>
          <w:szCs w:val="20"/>
          <w:lang w:val="fr-CA" w:eastAsia="en-CA"/>
        </w:rPr>
      </w:pPr>
      <w:r w:rsidRPr="00987CE7">
        <w:rPr>
          <w:rFonts w:eastAsia="Times New Roman" w:cs="Times New Roman"/>
          <w:sz w:val="20"/>
          <w:szCs w:val="20"/>
          <w:lang w:val="fr-CA" w:eastAsia="en-CA"/>
        </w:rPr>
        <w:t xml:space="preserve">The motion </w:t>
      </w:r>
      <w:proofErr w:type="spellStart"/>
      <w:r w:rsidRPr="00987CE7">
        <w:rPr>
          <w:rFonts w:eastAsia="Times New Roman" w:cs="Times New Roman"/>
          <w:sz w:val="20"/>
          <w:szCs w:val="20"/>
          <w:lang w:val="fr-CA" w:eastAsia="en-CA"/>
        </w:rPr>
        <w:t>is</w:t>
      </w:r>
      <w:proofErr w:type="spellEnd"/>
      <w:r w:rsidRPr="00987CE7">
        <w:rPr>
          <w:rFonts w:eastAsia="Times New Roman" w:cs="Times New Roman"/>
          <w:sz w:val="20"/>
          <w:szCs w:val="20"/>
          <w:lang w:val="fr-CA" w:eastAsia="en-CA"/>
        </w:rPr>
        <w:t xml:space="preserve"> </w:t>
      </w:r>
      <w:proofErr w:type="spellStart"/>
      <w:r w:rsidRPr="00987CE7">
        <w:rPr>
          <w:rFonts w:eastAsia="Times New Roman" w:cs="Times New Roman"/>
          <w:sz w:val="20"/>
          <w:szCs w:val="20"/>
          <w:lang w:val="fr-CA" w:eastAsia="en-CA"/>
        </w:rPr>
        <w:t>granted</w:t>
      </w:r>
      <w:proofErr w:type="spellEnd"/>
      <w:r w:rsidRPr="00987CE7">
        <w:rPr>
          <w:rFonts w:eastAsia="Times New Roman" w:cs="Times New Roman"/>
          <w:sz w:val="20"/>
          <w:szCs w:val="20"/>
          <w:lang w:val="fr-CA" w:eastAsia="en-CA"/>
        </w:rPr>
        <w:t>.</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987CE7" w:rsidP="00987CE7">
      <w:pPr>
        <w:jc w:val="both"/>
        <w:rPr>
          <w:rFonts w:eastAsia="Times New Roman" w:cs="Times New Roman"/>
          <w:b/>
          <w:bCs/>
          <w:sz w:val="20"/>
          <w:szCs w:val="20"/>
          <w:lang w:val="fr-CA" w:eastAsia="en-CA"/>
        </w:rPr>
      </w:pPr>
      <w:r w:rsidRPr="00987CE7">
        <w:rPr>
          <w:rFonts w:eastAsia="Times New Roman" w:cs="Times New Roman"/>
          <w:b/>
          <w:bCs/>
          <w:sz w:val="20"/>
          <w:szCs w:val="20"/>
          <w:lang w:val="fr-CA" w:eastAsia="en-CA"/>
        </w:rPr>
        <w:t xml:space="preserve">À LA SUITE DE LA DEMANDE </w:t>
      </w:r>
      <w:r w:rsidRPr="00987CE7">
        <w:rPr>
          <w:rFonts w:eastAsia="Times New Roman" w:cs="Times New Roman"/>
          <w:bCs/>
          <w:sz w:val="20"/>
          <w:szCs w:val="20"/>
          <w:lang w:val="fr-CA" w:eastAsia="en-CA"/>
        </w:rPr>
        <w:t>présentée par les appelantes en vue de déposer une nouvelle preuve, à savoir l’affidavit de Jeff Leger, signé le 15 novembre 2012;</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ET APRÈS EXAMEN</w:t>
      </w:r>
      <w:r w:rsidRPr="00987CE7">
        <w:rPr>
          <w:rFonts w:eastAsia="Times New Roman" w:cs="Times New Roman"/>
          <w:sz w:val="20"/>
          <w:szCs w:val="20"/>
          <w:lang w:val="fr-CA" w:eastAsia="en-CA"/>
        </w:rPr>
        <w:t xml:space="preserve"> des documents déposés;</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jc w:val="both"/>
        <w:rPr>
          <w:rFonts w:eastAsia="Times New Roman" w:cs="Times New Roman"/>
          <w:sz w:val="20"/>
          <w:szCs w:val="20"/>
          <w:lang w:val="fr-CA" w:eastAsia="en-CA"/>
        </w:rPr>
      </w:pPr>
      <w:r w:rsidRPr="00987CE7">
        <w:rPr>
          <w:rFonts w:eastAsia="Times New Roman" w:cs="Times New Roman"/>
          <w:b/>
          <w:bCs/>
          <w:sz w:val="20"/>
          <w:szCs w:val="20"/>
          <w:lang w:val="fr-CA" w:eastAsia="en-CA"/>
        </w:rPr>
        <w:t>IL EST ORDONNÉ CE QUI SUIT :</w:t>
      </w:r>
    </w:p>
    <w:p w:rsidR="00987CE7" w:rsidRPr="00987CE7" w:rsidRDefault="00987CE7" w:rsidP="00987CE7">
      <w:pPr>
        <w:spacing w:line="233" w:lineRule="auto"/>
        <w:jc w:val="both"/>
        <w:rPr>
          <w:rFonts w:eastAsia="Times New Roman" w:cs="Times New Roman"/>
          <w:sz w:val="20"/>
          <w:szCs w:val="20"/>
          <w:lang w:val="fr-CA" w:eastAsia="en-CA"/>
        </w:rPr>
      </w:pPr>
    </w:p>
    <w:p w:rsidR="00987CE7" w:rsidRPr="00987CE7" w:rsidRDefault="00987CE7" w:rsidP="00987CE7">
      <w:pPr>
        <w:spacing w:line="233" w:lineRule="auto"/>
        <w:ind w:left="360"/>
        <w:jc w:val="both"/>
        <w:rPr>
          <w:rFonts w:eastAsia="Times New Roman" w:cs="Times New Roman"/>
          <w:sz w:val="20"/>
          <w:szCs w:val="20"/>
          <w:lang w:val="fr-CA" w:eastAsia="en-CA"/>
        </w:rPr>
      </w:pPr>
      <w:r w:rsidRPr="00987CE7">
        <w:rPr>
          <w:rFonts w:eastAsia="Times New Roman" w:cs="Times New Roman"/>
          <w:sz w:val="20"/>
          <w:szCs w:val="20"/>
          <w:lang w:val="fr-CA" w:eastAsia="en-CA"/>
        </w:rPr>
        <w:t>La requête est accordée.</w: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987CE7" w:rsidRPr="00987CE7" w:rsidRDefault="007F0A1D" w:rsidP="00987CE7">
      <w:pPr>
        <w:tabs>
          <w:tab w:val="left" w:pos="-1440"/>
          <w:tab w:val="left" w:pos="-720"/>
        </w:tabs>
        <w:jc w:val="both"/>
        <w:rPr>
          <w:rFonts w:eastAsia="Times New Roman" w:cs="Times New Roman"/>
          <w:sz w:val="20"/>
          <w:szCs w:val="20"/>
          <w:lang w:val="fr-CA" w:eastAsia="en-CA"/>
        </w:rPr>
      </w:pPr>
      <w:r w:rsidRPr="007F0A1D">
        <w:rPr>
          <w:rFonts w:eastAsia="Times New Roman" w:cs="Times New Roman"/>
          <w:sz w:val="20"/>
          <w:szCs w:val="20"/>
          <w:lang w:val="fr-CA" w:eastAsia="en-CA"/>
        </w:rPr>
        <w:pict>
          <v:rect id="_x0000_i1038" style="width:2in;height:1pt" o:hrpct="0" o:hralign="center" o:hrstd="t" o:hrnoshade="t" o:hr="t" fillcolor="black [3213]" stroked="f"/>
        </w:pict>
      </w:r>
    </w:p>
    <w:p w:rsidR="00987CE7" w:rsidRPr="00987CE7" w:rsidRDefault="00987CE7" w:rsidP="00987CE7">
      <w:pPr>
        <w:tabs>
          <w:tab w:val="left" w:pos="-1440"/>
          <w:tab w:val="left" w:pos="-720"/>
        </w:tabs>
        <w:jc w:val="both"/>
        <w:rPr>
          <w:rFonts w:eastAsia="Times New Roman" w:cs="Times New Roman"/>
          <w:sz w:val="20"/>
          <w:szCs w:val="20"/>
          <w:lang w:val="fr-CA" w:eastAsia="en-CA"/>
        </w:rPr>
      </w:pPr>
    </w:p>
    <w:p w:rsidR="0010587F" w:rsidRPr="003B3977" w:rsidRDefault="0010587F" w:rsidP="0010587F">
      <w:pPr>
        <w:tabs>
          <w:tab w:val="left" w:pos="-1440"/>
          <w:tab w:val="left" w:pos="-720"/>
        </w:tabs>
        <w:jc w:val="both"/>
        <w:rPr>
          <w:sz w:val="20"/>
          <w:szCs w:val="20"/>
          <w:lang w:val="fr-CA"/>
        </w:rPr>
      </w:pPr>
    </w:p>
    <w:p w:rsidR="0010587F" w:rsidRDefault="0010587F" w:rsidP="0010587F">
      <w:pPr>
        <w:tabs>
          <w:tab w:val="left" w:pos="-1440"/>
          <w:tab w:val="left" w:pos="-720"/>
        </w:tabs>
        <w:jc w:val="both"/>
        <w:rPr>
          <w:sz w:val="20"/>
          <w:szCs w:val="20"/>
          <w:lang w:val="fr-CA"/>
        </w:rPr>
      </w:pPr>
    </w:p>
    <w:p w:rsidR="00BE1CFB" w:rsidRDefault="00BE1CFB" w:rsidP="0010587F">
      <w:pPr>
        <w:tabs>
          <w:tab w:val="left" w:pos="-1440"/>
          <w:tab w:val="left" w:pos="-720"/>
        </w:tabs>
        <w:jc w:val="both"/>
        <w:rPr>
          <w:sz w:val="20"/>
          <w:szCs w:val="20"/>
          <w:lang w:val="fr-CA"/>
        </w:rPr>
      </w:pPr>
    </w:p>
    <w:p w:rsidR="00BE1CFB" w:rsidRPr="003B3977" w:rsidRDefault="00BE1CFB"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A549C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90DD2" w:rsidP="003B3977">
            <w:pPr>
              <w:rPr>
                <w:sz w:val="20"/>
                <w:szCs w:val="20"/>
              </w:rPr>
            </w:pPr>
            <w:r>
              <w:rPr>
                <w:sz w:val="20"/>
                <w:szCs w:val="20"/>
              </w:rPr>
              <w:t>14</w:t>
            </w:r>
            <w:r w:rsidR="0010587F" w:rsidRPr="003B3977">
              <w:rPr>
                <w:sz w:val="20"/>
                <w:szCs w:val="20"/>
              </w:rPr>
              <w:t>.1</w:t>
            </w:r>
            <w:r>
              <w:rPr>
                <w:sz w:val="20"/>
                <w:szCs w:val="20"/>
              </w:rPr>
              <w:t>2</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J</w:t>
            </w:r>
            <w:r w:rsidR="00690DD2">
              <w:rPr>
                <w:b/>
                <w:sz w:val="20"/>
                <w:szCs w:val="20"/>
              </w:rPr>
              <w:t>ohn D</w:t>
            </w:r>
            <w:r w:rsidRPr="003B3977">
              <w:rPr>
                <w:b/>
                <w:sz w:val="20"/>
                <w:szCs w:val="20"/>
              </w:rPr>
              <w:t>oe</w:t>
            </w:r>
            <w:r w:rsidR="00690DD2">
              <w:rPr>
                <w:b/>
                <w:sz w:val="20"/>
                <w:szCs w:val="20"/>
              </w:rPr>
              <w:t>, R</w:t>
            </w:r>
            <w:r w:rsidRPr="003B3977">
              <w:rPr>
                <w:b/>
                <w:sz w:val="20"/>
                <w:szCs w:val="20"/>
              </w:rPr>
              <w:t>e</w:t>
            </w:r>
            <w:r w:rsidR="00690DD2">
              <w:rPr>
                <w:b/>
                <w:sz w:val="20"/>
                <w:szCs w:val="20"/>
              </w:rPr>
              <w:t>quester</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690DD2">
              <w:rPr>
                <w:b/>
                <w:sz w:val="20"/>
                <w:szCs w:val="20"/>
              </w:rPr>
              <w:t>828</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M</w:t>
            </w:r>
            <w:r w:rsidR="00690DD2">
              <w:rPr>
                <w:b/>
                <w:sz w:val="20"/>
                <w:szCs w:val="20"/>
              </w:rPr>
              <w:t>ini</w:t>
            </w:r>
            <w:r w:rsidRPr="003B3977">
              <w:rPr>
                <w:b/>
                <w:sz w:val="20"/>
                <w:szCs w:val="20"/>
              </w:rPr>
              <w:t>ste</w:t>
            </w:r>
            <w:r w:rsidR="00690DD2">
              <w:rPr>
                <w:b/>
                <w:sz w:val="20"/>
                <w:szCs w:val="20"/>
              </w:rPr>
              <w:t>r of Fi</w:t>
            </w:r>
            <w:r w:rsidRPr="003B3977">
              <w:rPr>
                <w:b/>
                <w:sz w:val="20"/>
                <w:szCs w:val="20"/>
              </w:rPr>
              <w:t>n</w:t>
            </w:r>
            <w:r w:rsidR="00690DD2">
              <w:rPr>
                <w:b/>
                <w:sz w:val="20"/>
                <w:szCs w:val="20"/>
              </w:rPr>
              <w:t>ance for the Province of Ontario</w:t>
            </w:r>
            <w:r w:rsidRPr="003B3977">
              <w:rPr>
                <w:b/>
                <w:sz w:val="20"/>
                <w:szCs w:val="20"/>
              </w:rPr>
              <w:t xml:space="preserve"> (</w:t>
            </w:r>
            <w:r w:rsidR="00690DD2">
              <w:rPr>
                <w:b/>
                <w:sz w:val="20"/>
                <w:szCs w:val="20"/>
              </w:rPr>
              <w:t>On</w:t>
            </w:r>
            <w:r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90DD2">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F0A1D" w:rsidP="003B3977">
            <w:pPr>
              <w:rPr>
                <w:sz w:val="20"/>
                <w:szCs w:val="20"/>
                <w:lang w:val="fr-CA"/>
              </w:rPr>
            </w:pPr>
            <w:r w:rsidRPr="007F0A1D">
              <w:rPr>
                <w:sz w:val="20"/>
                <w:szCs w:val="20"/>
                <w:lang w:val="fr-CA"/>
              </w:rPr>
              <w:pict>
                <v:rect id="_x0000_i104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690DD2" w:rsidRPr="003B3977" w:rsidRDefault="00690DD2"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690DD2" w:rsidRDefault="00690DD2" w:rsidP="003B3977">
            <w:pPr>
              <w:rPr>
                <w:sz w:val="20"/>
                <w:szCs w:val="20"/>
                <w:lang w:val="fr-CA"/>
              </w:rPr>
            </w:pPr>
            <w:r w:rsidRPr="00690DD2">
              <w:rPr>
                <w:sz w:val="20"/>
                <w:szCs w:val="20"/>
                <w:lang w:val="fr-CA"/>
              </w:rPr>
              <w:t>2</w:t>
            </w:r>
            <w:r w:rsidR="0010587F" w:rsidRPr="00690DD2">
              <w:rPr>
                <w:sz w:val="20"/>
                <w:szCs w:val="20"/>
                <w:lang w:val="fr-CA"/>
              </w:rPr>
              <w:t>0.1</w:t>
            </w:r>
            <w:r w:rsidRPr="00690DD2">
              <w:rPr>
                <w:sz w:val="20"/>
                <w:szCs w:val="20"/>
                <w:lang w:val="fr-CA"/>
              </w:rPr>
              <w:t>2</w:t>
            </w:r>
            <w:r w:rsidR="0010587F" w:rsidRPr="00690DD2">
              <w:rPr>
                <w:sz w:val="20"/>
                <w:szCs w:val="20"/>
                <w:lang w:val="fr-CA"/>
              </w:rPr>
              <w:t>.201</w:t>
            </w:r>
            <w:r w:rsidRPr="00690DD2">
              <w:rPr>
                <w:sz w:val="20"/>
                <w:szCs w:val="20"/>
                <w:lang w:val="fr-CA"/>
              </w:rPr>
              <w:t>2</w:t>
            </w:r>
          </w:p>
          <w:p w:rsidR="0010587F" w:rsidRPr="00690DD2" w:rsidRDefault="0010587F" w:rsidP="003B3977">
            <w:pPr>
              <w:rPr>
                <w:sz w:val="20"/>
                <w:szCs w:val="20"/>
                <w:lang w:val="fr-CA"/>
              </w:rPr>
            </w:pPr>
          </w:p>
          <w:p w:rsidR="0010587F" w:rsidRPr="00690DD2" w:rsidRDefault="00690DD2" w:rsidP="003B3977">
            <w:pPr>
              <w:rPr>
                <w:b/>
                <w:sz w:val="20"/>
                <w:szCs w:val="20"/>
                <w:lang w:val="fr-CA"/>
              </w:rPr>
            </w:pPr>
            <w:r w:rsidRPr="00690DD2">
              <w:rPr>
                <w:b/>
                <w:sz w:val="20"/>
                <w:szCs w:val="20"/>
                <w:lang w:val="fr-CA"/>
              </w:rPr>
              <w:t>Travailleurs et travailleuses de l’alimentation et du commerce, section local 503</w:t>
            </w:r>
          </w:p>
          <w:p w:rsidR="0010587F" w:rsidRPr="00690DD2" w:rsidRDefault="0010587F" w:rsidP="003B3977">
            <w:pPr>
              <w:rPr>
                <w:b/>
                <w:sz w:val="20"/>
                <w:szCs w:val="20"/>
                <w:lang w:val="fr-CA"/>
              </w:rPr>
            </w:pPr>
          </w:p>
          <w:p w:rsidR="0010587F" w:rsidRPr="00690DD2" w:rsidRDefault="0010587F" w:rsidP="003B3977">
            <w:pPr>
              <w:rPr>
                <w:b/>
                <w:sz w:val="20"/>
                <w:szCs w:val="20"/>
                <w:lang w:val="fr-CA"/>
              </w:rPr>
            </w:pPr>
            <w:r w:rsidRPr="00690DD2">
              <w:rPr>
                <w:b/>
                <w:sz w:val="20"/>
                <w:szCs w:val="20"/>
                <w:lang w:val="fr-CA"/>
              </w:rPr>
              <w:tab/>
            </w:r>
            <w:r w:rsidR="00690DD2" w:rsidRPr="00690DD2">
              <w:rPr>
                <w:b/>
                <w:sz w:val="20"/>
                <w:szCs w:val="20"/>
                <w:lang w:val="fr-CA"/>
              </w:rPr>
              <w:t>c</w:t>
            </w:r>
            <w:r w:rsidRPr="00690DD2">
              <w:rPr>
                <w:b/>
                <w:sz w:val="20"/>
                <w:szCs w:val="20"/>
                <w:lang w:val="fr-CA"/>
              </w:rPr>
              <w:t>. (3</w:t>
            </w:r>
            <w:r w:rsidR="00690DD2" w:rsidRPr="00690DD2">
              <w:rPr>
                <w:b/>
                <w:sz w:val="20"/>
                <w:szCs w:val="20"/>
                <w:lang w:val="fr-CA"/>
              </w:rPr>
              <w:t>4</w:t>
            </w:r>
            <w:r w:rsidRPr="00690DD2">
              <w:rPr>
                <w:b/>
                <w:sz w:val="20"/>
                <w:szCs w:val="20"/>
                <w:lang w:val="fr-CA"/>
              </w:rPr>
              <w:t>9</w:t>
            </w:r>
            <w:r w:rsidR="00690DD2" w:rsidRPr="00690DD2">
              <w:rPr>
                <w:b/>
                <w:sz w:val="20"/>
                <w:szCs w:val="20"/>
                <w:lang w:val="fr-CA"/>
              </w:rPr>
              <w:t>20</w:t>
            </w:r>
            <w:r w:rsidRPr="00690DD2">
              <w:rPr>
                <w:b/>
                <w:sz w:val="20"/>
                <w:szCs w:val="20"/>
                <w:lang w:val="fr-CA"/>
              </w:rPr>
              <w:t>)</w:t>
            </w:r>
          </w:p>
          <w:p w:rsidR="0010587F" w:rsidRPr="00690DD2" w:rsidRDefault="0010587F" w:rsidP="003B3977">
            <w:pPr>
              <w:rPr>
                <w:b/>
                <w:sz w:val="20"/>
                <w:szCs w:val="20"/>
                <w:lang w:val="fr-CA"/>
              </w:rPr>
            </w:pPr>
          </w:p>
          <w:p w:rsidR="0010587F" w:rsidRPr="003B3977" w:rsidRDefault="00690DD2" w:rsidP="003B3977">
            <w:pPr>
              <w:rPr>
                <w:b/>
                <w:sz w:val="20"/>
                <w:szCs w:val="20"/>
                <w:lang w:val="fr-CA"/>
              </w:rPr>
            </w:pPr>
            <w:r>
              <w:rPr>
                <w:b/>
                <w:sz w:val="20"/>
                <w:szCs w:val="20"/>
                <w:lang w:val="fr-CA"/>
              </w:rPr>
              <w:t>C</w:t>
            </w:r>
            <w:r w:rsidR="0010587F" w:rsidRPr="003B3977">
              <w:rPr>
                <w:b/>
                <w:sz w:val="20"/>
                <w:szCs w:val="20"/>
                <w:lang w:val="fr-CA"/>
              </w:rPr>
              <w:t>o</w:t>
            </w:r>
            <w:r>
              <w:rPr>
                <w:b/>
                <w:sz w:val="20"/>
                <w:szCs w:val="20"/>
                <w:lang w:val="fr-CA"/>
              </w:rPr>
              <w:t>mpag</w:t>
            </w:r>
            <w:r w:rsidR="0010587F" w:rsidRPr="003B3977">
              <w:rPr>
                <w:b/>
                <w:sz w:val="20"/>
                <w:szCs w:val="20"/>
                <w:lang w:val="fr-CA"/>
              </w:rPr>
              <w:t>n</w:t>
            </w:r>
            <w:r>
              <w:rPr>
                <w:b/>
                <w:sz w:val="20"/>
                <w:szCs w:val="20"/>
                <w:lang w:val="fr-CA"/>
              </w:rPr>
              <w:t>i</w:t>
            </w:r>
            <w:r w:rsidR="0010587F" w:rsidRPr="003B3977">
              <w:rPr>
                <w:b/>
                <w:sz w:val="20"/>
                <w:szCs w:val="20"/>
                <w:lang w:val="fr-CA"/>
              </w:rPr>
              <w:t>e</w:t>
            </w:r>
            <w:r>
              <w:rPr>
                <w:b/>
                <w:sz w:val="20"/>
                <w:szCs w:val="20"/>
                <w:lang w:val="fr-CA"/>
              </w:rPr>
              <w:t xml:space="preserve"> W</w:t>
            </w:r>
            <w:r w:rsidR="0010587F" w:rsidRPr="003B3977">
              <w:rPr>
                <w:b/>
                <w:sz w:val="20"/>
                <w:szCs w:val="20"/>
                <w:lang w:val="fr-CA"/>
              </w:rPr>
              <w:t>al</w:t>
            </w:r>
            <w:r>
              <w:rPr>
                <w:b/>
                <w:sz w:val="20"/>
                <w:szCs w:val="20"/>
                <w:lang w:val="fr-CA"/>
              </w:rPr>
              <w:t xml:space="preserve">-Mart du Canada </w:t>
            </w:r>
            <w:proofErr w:type="spellStart"/>
            <w:r>
              <w:rPr>
                <w:b/>
                <w:sz w:val="20"/>
                <w:szCs w:val="20"/>
                <w:lang w:val="fr-CA"/>
              </w:rPr>
              <w:t>inc</w:t>
            </w:r>
            <w:proofErr w:type="spellEnd"/>
            <w:r w:rsidR="0010587F" w:rsidRPr="003B3977">
              <w:rPr>
                <w:b/>
                <w:sz w:val="20"/>
                <w:szCs w:val="20"/>
                <w:lang w:val="fr-CA"/>
              </w:rPr>
              <w:t>. (</w:t>
            </w:r>
            <w:proofErr w:type="spellStart"/>
            <w:r>
              <w:rPr>
                <w:b/>
                <w:sz w:val="20"/>
                <w:szCs w:val="20"/>
                <w:lang w:val="fr-CA"/>
              </w:rPr>
              <w:t>Qc</w:t>
            </w:r>
            <w:proofErr w:type="spellEnd"/>
            <w:r w:rsidR="0010587F" w:rsidRPr="003B3977">
              <w:rPr>
                <w:b/>
                <w:sz w:val="20"/>
                <w:szCs w:val="20"/>
                <w:lang w:val="fr-CA"/>
              </w:rPr>
              <w:t>)</w:t>
            </w:r>
          </w:p>
          <w:p w:rsidR="0010587F" w:rsidRPr="003B3977" w:rsidRDefault="0010587F" w:rsidP="003B3977">
            <w:pPr>
              <w:rPr>
                <w:sz w:val="20"/>
                <w:szCs w:val="20"/>
                <w:lang w:val="fr-CA"/>
              </w:rPr>
            </w:pPr>
          </w:p>
          <w:p w:rsidR="0010587F" w:rsidRPr="003B3977" w:rsidRDefault="0010587F" w:rsidP="003B3977">
            <w:pPr>
              <w:rPr>
                <w:sz w:val="20"/>
                <w:szCs w:val="20"/>
              </w:rPr>
            </w:pPr>
            <w:r w:rsidRPr="003B3977">
              <w:rPr>
                <w:sz w:val="20"/>
                <w:szCs w:val="20"/>
              </w:rPr>
              <w:t>(</w:t>
            </w:r>
            <w:proofErr w:type="spellStart"/>
            <w:r w:rsidRPr="003B3977">
              <w:rPr>
                <w:sz w:val="20"/>
                <w:szCs w:val="20"/>
              </w:rPr>
              <w:t>A</w:t>
            </w:r>
            <w:r w:rsidR="00690DD2">
              <w:rPr>
                <w:sz w:val="20"/>
                <w:szCs w:val="20"/>
              </w:rPr>
              <w:t>utori</w:t>
            </w:r>
            <w:r w:rsidRPr="003B3977">
              <w:rPr>
                <w:sz w:val="20"/>
                <w:szCs w:val="20"/>
              </w:rPr>
              <w:t>s</w:t>
            </w:r>
            <w:r w:rsidR="00690DD2">
              <w:rPr>
                <w:sz w:val="20"/>
                <w:szCs w:val="20"/>
              </w:rPr>
              <w:t>a</w:t>
            </w:r>
            <w:r w:rsidRPr="003B3977">
              <w:rPr>
                <w:sz w:val="20"/>
                <w:szCs w:val="20"/>
              </w:rPr>
              <w:t>t</w:t>
            </w:r>
            <w:r w:rsidR="00690DD2">
              <w:rPr>
                <w:sz w:val="20"/>
                <w:szCs w:val="20"/>
              </w:rPr>
              <w:t>ion</w:t>
            </w:r>
            <w:proofErr w:type="spellEnd"/>
            <w:r w:rsidRPr="003B3977">
              <w:rPr>
                <w:sz w:val="20"/>
                <w:szCs w:val="20"/>
              </w:rPr>
              <w:t>)</w:t>
            </w:r>
          </w:p>
          <w:p w:rsidR="0010587F" w:rsidRPr="003B3977" w:rsidRDefault="0010587F" w:rsidP="003B3977">
            <w:pPr>
              <w:rPr>
                <w:sz w:val="20"/>
                <w:szCs w:val="20"/>
              </w:rPr>
            </w:pPr>
          </w:p>
          <w:p w:rsidR="0010587F" w:rsidRPr="003B3977" w:rsidRDefault="007F0A1D" w:rsidP="003B3977">
            <w:pPr>
              <w:rPr>
                <w:sz w:val="20"/>
                <w:szCs w:val="20"/>
              </w:rPr>
            </w:pPr>
            <w:r w:rsidRPr="007F0A1D">
              <w:rPr>
                <w:sz w:val="20"/>
                <w:szCs w:val="20"/>
                <w:lang w:val="fr-CA"/>
              </w:rPr>
              <w:pict>
                <v:rect id="_x0000_i1042"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1</w:t>
            </w:r>
            <w:r w:rsidR="00690DD2">
              <w:rPr>
                <w:sz w:val="20"/>
                <w:szCs w:val="20"/>
              </w:rPr>
              <w:t>9</w:t>
            </w:r>
            <w:r w:rsidRPr="003B3977">
              <w:rPr>
                <w:sz w:val="20"/>
                <w:szCs w:val="20"/>
              </w:rPr>
              <w:t>.1</w:t>
            </w:r>
            <w:r w:rsidR="00690DD2">
              <w:rPr>
                <w:sz w:val="20"/>
                <w:szCs w:val="20"/>
              </w:rPr>
              <w:t>2</w:t>
            </w:r>
            <w:r w:rsidRPr="003B3977">
              <w:rPr>
                <w:sz w:val="20"/>
                <w:szCs w:val="20"/>
              </w:rPr>
              <w:t>.201</w:t>
            </w:r>
            <w:r w:rsidR="00690DD2">
              <w:rPr>
                <w:sz w:val="20"/>
                <w:szCs w:val="20"/>
              </w:rPr>
              <w:t>2</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Min</w:t>
            </w:r>
            <w:r w:rsidR="00690DD2">
              <w:rPr>
                <w:b/>
                <w:sz w:val="20"/>
                <w:szCs w:val="20"/>
              </w:rPr>
              <w:t xml:space="preserve">ister of </w:t>
            </w:r>
            <w:r w:rsidRPr="003B3977">
              <w:rPr>
                <w:b/>
                <w:sz w:val="20"/>
                <w:szCs w:val="20"/>
              </w:rPr>
              <w:t>C</w:t>
            </w:r>
            <w:r w:rsidR="00690DD2">
              <w:rPr>
                <w:b/>
                <w:sz w:val="20"/>
                <w:szCs w:val="20"/>
              </w:rPr>
              <w:t xml:space="preserve">itizenship </w:t>
            </w:r>
            <w:r w:rsidRPr="003B3977">
              <w:rPr>
                <w:b/>
                <w:sz w:val="20"/>
                <w:szCs w:val="20"/>
              </w:rPr>
              <w:t>a</w:t>
            </w:r>
            <w:r w:rsidR="00690DD2">
              <w:rPr>
                <w:b/>
                <w:sz w:val="20"/>
                <w:szCs w:val="20"/>
              </w:rPr>
              <w:t>nd I</w:t>
            </w:r>
            <w:r w:rsidRPr="003B3977">
              <w:rPr>
                <w:b/>
                <w:sz w:val="20"/>
                <w:szCs w:val="20"/>
              </w:rPr>
              <w:t>m</w:t>
            </w:r>
            <w:r w:rsidR="00690DD2">
              <w:rPr>
                <w:b/>
                <w:sz w:val="20"/>
                <w:szCs w:val="20"/>
              </w:rPr>
              <w:t xml:space="preserve">migration </w:t>
            </w:r>
            <w:r w:rsidRPr="003B3977">
              <w:rPr>
                <w:b/>
                <w:sz w:val="20"/>
                <w:szCs w:val="20"/>
              </w:rPr>
              <w:t>e</w:t>
            </w:r>
            <w:r w:rsidR="00690DD2">
              <w:rPr>
                <w:b/>
                <w:sz w:val="20"/>
                <w:szCs w:val="20"/>
              </w:rPr>
              <w:t>t a</w:t>
            </w:r>
            <w:r w:rsidRPr="003B3977">
              <w:rPr>
                <w:b/>
                <w:sz w:val="20"/>
                <w:szCs w:val="20"/>
              </w:rPr>
              <w:t>l</w:t>
            </w:r>
            <w:r w:rsidR="00690DD2">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90DD2">
              <w:rPr>
                <w:b/>
                <w:sz w:val="20"/>
                <w:szCs w:val="20"/>
              </w:rPr>
              <w:t>4884</w:t>
            </w:r>
            <w:r w:rsidRPr="003B3977">
              <w:rPr>
                <w:b/>
                <w:sz w:val="20"/>
                <w:szCs w:val="20"/>
              </w:rPr>
              <w:t>)</w:t>
            </w:r>
          </w:p>
          <w:p w:rsidR="0010587F" w:rsidRPr="003B3977" w:rsidRDefault="0010587F" w:rsidP="003B3977">
            <w:pPr>
              <w:rPr>
                <w:b/>
                <w:sz w:val="20"/>
                <w:szCs w:val="20"/>
              </w:rPr>
            </w:pPr>
          </w:p>
          <w:p w:rsidR="0010587F" w:rsidRPr="003B3977" w:rsidRDefault="00690DD2" w:rsidP="003B3977">
            <w:pPr>
              <w:rPr>
                <w:b/>
                <w:sz w:val="20"/>
                <w:szCs w:val="20"/>
              </w:rPr>
            </w:pPr>
            <w:r>
              <w:rPr>
                <w:b/>
                <w:sz w:val="20"/>
                <w:szCs w:val="20"/>
              </w:rPr>
              <w:t>Moh</w:t>
            </w:r>
            <w:r w:rsidR="0010587F" w:rsidRPr="003B3977">
              <w:rPr>
                <w:b/>
                <w:sz w:val="20"/>
                <w:szCs w:val="20"/>
              </w:rPr>
              <w:t>a</w:t>
            </w:r>
            <w:r>
              <w:rPr>
                <w:b/>
                <w:sz w:val="20"/>
                <w:szCs w:val="20"/>
              </w:rPr>
              <w:t>m</w:t>
            </w:r>
            <w:r w:rsidR="0010587F" w:rsidRPr="003B3977">
              <w:rPr>
                <w:b/>
                <w:sz w:val="20"/>
                <w:szCs w:val="20"/>
              </w:rPr>
              <w:t>e</w:t>
            </w:r>
            <w:r>
              <w:rPr>
                <w:b/>
                <w:sz w:val="20"/>
                <w:szCs w:val="20"/>
              </w:rPr>
              <w:t xml:space="preserve">d </w:t>
            </w:r>
            <w:proofErr w:type="spellStart"/>
            <w:r>
              <w:rPr>
                <w:b/>
                <w:sz w:val="20"/>
                <w:szCs w:val="20"/>
              </w:rPr>
              <w:t>Harka</w:t>
            </w:r>
            <w:r w:rsidR="0010587F" w:rsidRPr="003B3977">
              <w:rPr>
                <w:b/>
                <w:sz w:val="20"/>
                <w:szCs w:val="20"/>
              </w:rPr>
              <w:t>t</w:t>
            </w:r>
            <w:proofErr w:type="spellEnd"/>
            <w:r w:rsidR="0010587F" w:rsidRPr="003B3977">
              <w:rPr>
                <w:b/>
                <w:sz w:val="20"/>
                <w:szCs w:val="20"/>
              </w:rPr>
              <w:t xml:space="preserve"> (</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90DD2">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F0A1D" w:rsidP="003B3977">
            <w:pPr>
              <w:rPr>
                <w:sz w:val="20"/>
                <w:szCs w:val="20"/>
              </w:rPr>
            </w:pPr>
            <w:r w:rsidRPr="007F0A1D">
              <w:rPr>
                <w:sz w:val="20"/>
                <w:szCs w:val="20"/>
                <w:lang w:val="fr-CA"/>
              </w:rPr>
              <w:pict>
                <v:rect id="_x0000_i104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2</w:t>
            </w:r>
            <w:r w:rsidR="00690DD2">
              <w:rPr>
                <w:sz w:val="20"/>
                <w:szCs w:val="20"/>
              </w:rPr>
              <w:t>1</w:t>
            </w:r>
            <w:r w:rsidRPr="003B3977">
              <w:rPr>
                <w:sz w:val="20"/>
                <w:szCs w:val="20"/>
              </w:rPr>
              <w:t>.1</w:t>
            </w:r>
            <w:r w:rsidR="00690DD2">
              <w:rPr>
                <w:sz w:val="20"/>
                <w:szCs w:val="20"/>
              </w:rPr>
              <w:t>2</w:t>
            </w:r>
            <w:r w:rsidRPr="003B3977">
              <w:rPr>
                <w:sz w:val="20"/>
                <w:szCs w:val="20"/>
              </w:rPr>
              <w:t>.201</w:t>
            </w:r>
            <w:r w:rsidR="00690DD2">
              <w:rPr>
                <w:sz w:val="20"/>
                <w:szCs w:val="20"/>
              </w:rPr>
              <w:t>2</w:t>
            </w:r>
          </w:p>
          <w:p w:rsidR="0010587F" w:rsidRPr="003B3977" w:rsidRDefault="0010587F" w:rsidP="003B3977">
            <w:pPr>
              <w:rPr>
                <w:sz w:val="20"/>
                <w:szCs w:val="20"/>
              </w:rPr>
            </w:pPr>
          </w:p>
          <w:p w:rsidR="0010587F" w:rsidRPr="003B3977" w:rsidRDefault="00690DD2" w:rsidP="003B3977">
            <w:pPr>
              <w:rPr>
                <w:b/>
                <w:sz w:val="20"/>
                <w:szCs w:val="20"/>
              </w:rPr>
            </w:pPr>
            <w:r>
              <w:rPr>
                <w:b/>
                <w:sz w:val="20"/>
                <w:szCs w:val="20"/>
              </w:rPr>
              <w:t>Moh</w:t>
            </w:r>
            <w:r w:rsidRPr="003B3977">
              <w:rPr>
                <w:b/>
                <w:sz w:val="20"/>
                <w:szCs w:val="20"/>
              </w:rPr>
              <w:t>a</w:t>
            </w:r>
            <w:r>
              <w:rPr>
                <w:b/>
                <w:sz w:val="20"/>
                <w:szCs w:val="20"/>
              </w:rPr>
              <w:t>m</w:t>
            </w:r>
            <w:r w:rsidRPr="003B3977">
              <w:rPr>
                <w:b/>
                <w:sz w:val="20"/>
                <w:szCs w:val="20"/>
              </w:rPr>
              <w:t>e</w:t>
            </w:r>
            <w:r>
              <w:rPr>
                <w:b/>
                <w:sz w:val="20"/>
                <w:szCs w:val="20"/>
              </w:rPr>
              <w:t xml:space="preserve">d </w:t>
            </w:r>
            <w:proofErr w:type="spellStart"/>
            <w:r>
              <w:rPr>
                <w:b/>
                <w:sz w:val="20"/>
                <w:szCs w:val="20"/>
              </w:rPr>
              <w:t>Harka</w:t>
            </w:r>
            <w:r w:rsidRPr="003B3977">
              <w:rPr>
                <w:b/>
                <w:sz w:val="20"/>
                <w:szCs w:val="20"/>
              </w:rPr>
              <w:t>t</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90DD2">
              <w:rPr>
                <w:b/>
                <w:sz w:val="20"/>
                <w:szCs w:val="20"/>
              </w:rPr>
              <w:t>4884</w:t>
            </w:r>
            <w:r w:rsidRPr="003B3977">
              <w:rPr>
                <w:b/>
                <w:sz w:val="20"/>
                <w:szCs w:val="20"/>
              </w:rPr>
              <w:t>)</w:t>
            </w:r>
          </w:p>
          <w:p w:rsidR="0010587F" w:rsidRPr="003B3977" w:rsidRDefault="0010587F" w:rsidP="003B3977">
            <w:pPr>
              <w:rPr>
                <w:b/>
                <w:sz w:val="20"/>
                <w:szCs w:val="20"/>
              </w:rPr>
            </w:pPr>
          </w:p>
          <w:p w:rsidR="0010587F" w:rsidRPr="003B3977" w:rsidRDefault="00690DD2" w:rsidP="003B3977">
            <w:pPr>
              <w:rPr>
                <w:b/>
                <w:sz w:val="20"/>
                <w:szCs w:val="20"/>
              </w:rPr>
            </w:pPr>
            <w:r w:rsidRPr="003B3977">
              <w:rPr>
                <w:b/>
                <w:sz w:val="20"/>
                <w:szCs w:val="20"/>
              </w:rPr>
              <w:t>Min</w:t>
            </w:r>
            <w:r>
              <w:rPr>
                <w:b/>
                <w:sz w:val="20"/>
                <w:szCs w:val="20"/>
              </w:rPr>
              <w:t xml:space="preserve">ister of </w:t>
            </w:r>
            <w:r w:rsidRPr="003B3977">
              <w:rPr>
                <w:b/>
                <w:sz w:val="20"/>
                <w:szCs w:val="20"/>
              </w:rPr>
              <w:t>C</w:t>
            </w:r>
            <w:r>
              <w:rPr>
                <w:b/>
                <w:sz w:val="20"/>
                <w:szCs w:val="20"/>
              </w:rPr>
              <w:t xml:space="preserve">itizenship </w:t>
            </w:r>
            <w:r w:rsidRPr="003B3977">
              <w:rPr>
                <w:b/>
                <w:sz w:val="20"/>
                <w:szCs w:val="20"/>
              </w:rPr>
              <w:t>a</w:t>
            </w:r>
            <w:r>
              <w:rPr>
                <w:b/>
                <w:sz w:val="20"/>
                <w:szCs w:val="20"/>
              </w:rPr>
              <w:t>nd I</w:t>
            </w:r>
            <w:r w:rsidRPr="003B3977">
              <w:rPr>
                <w:b/>
                <w:sz w:val="20"/>
                <w:szCs w:val="20"/>
              </w:rPr>
              <w:t>m</w:t>
            </w:r>
            <w:r>
              <w:rPr>
                <w:b/>
                <w:sz w:val="20"/>
                <w:szCs w:val="20"/>
              </w:rPr>
              <w:t xml:space="preserve">migration </w:t>
            </w:r>
            <w:r w:rsidRPr="003B3977">
              <w:rPr>
                <w:b/>
                <w:sz w:val="20"/>
                <w:szCs w:val="20"/>
              </w:rPr>
              <w:t>e</w:t>
            </w:r>
            <w:r>
              <w:rPr>
                <w:b/>
                <w:sz w:val="20"/>
                <w:szCs w:val="20"/>
              </w:rPr>
              <w:t>t a</w:t>
            </w:r>
            <w:r w:rsidRPr="003B3977">
              <w:rPr>
                <w:b/>
                <w:sz w:val="20"/>
                <w:szCs w:val="20"/>
              </w:rPr>
              <w:t>l</w:t>
            </w:r>
            <w:r>
              <w:rPr>
                <w:b/>
                <w:sz w:val="20"/>
                <w:szCs w:val="20"/>
              </w:rPr>
              <w:t>.</w:t>
            </w:r>
            <w:r w:rsidRPr="003B3977">
              <w:rPr>
                <w:b/>
                <w:sz w:val="20"/>
                <w:szCs w:val="20"/>
              </w:rPr>
              <w:t xml:space="preserve"> </w:t>
            </w:r>
            <w:r w:rsidR="0010587F" w:rsidRPr="003B3977">
              <w:rPr>
                <w:b/>
                <w:sz w:val="20"/>
                <w:szCs w:val="20"/>
              </w:rPr>
              <w:t>(</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7F0A1D" w:rsidP="003B3977">
            <w:pPr>
              <w:rPr>
                <w:sz w:val="20"/>
                <w:szCs w:val="20"/>
              </w:rPr>
            </w:pPr>
            <w:r w:rsidRPr="007F0A1D">
              <w:rPr>
                <w:sz w:val="20"/>
                <w:szCs w:val="20"/>
                <w:lang w:val="fr-CA"/>
              </w:rPr>
              <w:pict>
                <v:rect id="_x0000_i1044"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690DD2" w:rsidRDefault="00690DD2" w:rsidP="003B3977">
            <w:pPr>
              <w:rPr>
                <w:sz w:val="20"/>
                <w:szCs w:val="20"/>
                <w:lang w:val="fr-CA"/>
              </w:rPr>
            </w:pPr>
            <w:r w:rsidRPr="00690DD2">
              <w:rPr>
                <w:sz w:val="20"/>
                <w:szCs w:val="20"/>
                <w:lang w:val="fr-CA"/>
              </w:rPr>
              <w:t>2</w:t>
            </w:r>
            <w:r w:rsidR="0010587F" w:rsidRPr="00690DD2">
              <w:rPr>
                <w:sz w:val="20"/>
                <w:szCs w:val="20"/>
                <w:lang w:val="fr-CA"/>
              </w:rPr>
              <w:t>0.1</w:t>
            </w:r>
            <w:r w:rsidRPr="00690DD2">
              <w:rPr>
                <w:sz w:val="20"/>
                <w:szCs w:val="20"/>
                <w:lang w:val="fr-CA"/>
              </w:rPr>
              <w:t>2</w:t>
            </w:r>
            <w:r w:rsidR="0010587F" w:rsidRPr="00690DD2">
              <w:rPr>
                <w:sz w:val="20"/>
                <w:szCs w:val="20"/>
                <w:lang w:val="fr-CA"/>
              </w:rPr>
              <w:t>.201</w:t>
            </w:r>
            <w:r w:rsidRPr="00690DD2">
              <w:rPr>
                <w:sz w:val="20"/>
                <w:szCs w:val="20"/>
                <w:lang w:val="fr-CA"/>
              </w:rPr>
              <w:t>2</w:t>
            </w:r>
          </w:p>
          <w:p w:rsidR="0010587F" w:rsidRPr="00690DD2" w:rsidRDefault="0010587F" w:rsidP="003B3977">
            <w:pPr>
              <w:rPr>
                <w:sz w:val="20"/>
                <w:szCs w:val="20"/>
                <w:lang w:val="fr-CA"/>
              </w:rPr>
            </w:pPr>
          </w:p>
          <w:p w:rsidR="0010587F" w:rsidRPr="00690DD2" w:rsidRDefault="00690DD2" w:rsidP="003B3977">
            <w:pPr>
              <w:rPr>
                <w:b/>
                <w:sz w:val="20"/>
                <w:szCs w:val="20"/>
                <w:lang w:val="fr-CA"/>
              </w:rPr>
            </w:pPr>
            <w:r w:rsidRPr="00690DD2">
              <w:rPr>
                <w:b/>
                <w:sz w:val="20"/>
                <w:szCs w:val="20"/>
                <w:lang w:val="fr-CA"/>
              </w:rPr>
              <w:t>Ant</w:t>
            </w:r>
            <w:r w:rsidR="0010587F" w:rsidRPr="00690DD2">
              <w:rPr>
                <w:b/>
                <w:sz w:val="20"/>
                <w:szCs w:val="20"/>
                <w:lang w:val="fr-CA"/>
              </w:rPr>
              <w:t>a</w:t>
            </w:r>
            <w:r w:rsidRPr="00690DD2">
              <w:rPr>
                <w:b/>
                <w:sz w:val="20"/>
                <w:szCs w:val="20"/>
                <w:lang w:val="fr-CA"/>
              </w:rPr>
              <w:t xml:space="preserve">l </w:t>
            </w:r>
            <w:proofErr w:type="spellStart"/>
            <w:r w:rsidRPr="00690DD2">
              <w:rPr>
                <w:b/>
                <w:sz w:val="20"/>
                <w:szCs w:val="20"/>
                <w:lang w:val="fr-CA"/>
              </w:rPr>
              <w:t>Babos</w:t>
            </w:r>
            <w:proofErr w:type="spellEnd"/>
          </w:p>
          <w:p w:rsidR="0010587F" w:rsidRPr="00690DD2" w:rsidRDefault="0010587F" w:rsidP="003B3977">
            <w:pPr>
              <w:rPr>
                <w:b/>
                <w:sz w:val="20"/>
                <w:szCs w:val="20"/>
                <w:lang w:val="fr-CA"/>
              </w:rPr>
            </w:pPr>
          </w:p>
          <w:p w:rsidR="0010587F" w:rsidRPr="00690DD2" w:rsidRDefault="0010587F" w:rsidP="003B3977">
            <w:pPr>
              <w:rPr>
                <w:b/>
                <w:sz w:val="20"/>
                <w:szCs w:val="20"/>
                <w:lang w:val="fr-CA"/>
              </w:rPr>
            </w:pPr>
            <w:r w:rsidRPr="00690DD2">
              <w:rPr>
                <w:b/>
                <w:sz w:val="20"/>
                <w:szCs w:val="20"/>
                <w:lang w:val="fr-CA"/>
              </w:rPr>
              <w:tab/>
            </w:r>
            <w:r w:rsidR="00690DD2" w:rsidRPr="00690DD2">
              <w:rPr>
                <w:b/>
                <w:sz w:val="20"/>
                <w:szCs w:val="20"/>
                <w:lang w:val="fr-CA"/>
              </w:rPr>
              <w:t>c</w:t>
            </w:r>
            <w:r w:rsidRPr="00690DD2">
              <w:rPr>
                <w:b/>
                <w:sz w:val="20"/>
                <w:szCs w:val="20"/>
                <w:lang w:val="fr-CA"/>
              </w:rPr>
              <w:t>. (3</w:t>
            </w:r>
            <w:r w:rsidR="00690DD2" w:rsidRPr="00690DD2">
              <w:rPr>
                <w:b/>
                <w:sz w:val="20"/>
                <w:szCs w:val="20"/>
                <w:lang w:val="fr-CA"/>
              </w:rPr>
              <w:t>482</w:t>
            </w:r>
            <w:r w:rsidR="00690DD2">
              <w:rPr>
                <w:b/>
                <w:sz w:val="20"/>
                <w:szCs w:val="20"/>
                <w:lang w:val="fr-CA"/>
              </w:rPr>
              <w:t>4</w:t>
            </w:r>
            <w:r w:rsidRPr="00690DD2">
              <w:rPr>
                <w:b/>
                <w:sz w:val="20"/>
                <w:szCs w:val="20"/>
                <w:lang w:val="fr-CA"/>
              </w:rPr>
              <w:t>)</w:t>
            </w:r>
          </w:p>
          <w:p w:rsidR="0010587F" w:rsidRPr="00690DD2" w:rsidRDefault="0010587F" w:rsidP="003B3977">
            <w:pPr>
              <w:rPr>
                <w:b/>
                <w:sz w:val="20"/>
                <w:szCs w:val="20"/>
                <w:lang w:val="fr-CA"/>
              </w:rPr>
            </w:pPr>
          </w:p>
          <w:p w:rsidR="0010587F" w:rsidRPr="00690DD2" w:rsidRDefault="00690DD2" w:rsidP="003B3977">
            <w:pPr>
              <w:rPr>
                <w:b/>
                <w:sz w:val="20"/>
                <w:szCs w:val="20"/>
                <w:lang w:val="fr-CA"/>
              </w:rPr>
            </w:pPr>
            <w:r w:rsidRPr="00690DD2">
              <w:rPr>
                <w:b/>
                <w:sz w:val="20"/>
                <w:szCs w:val="20"/>
                <w:lang w:val="fr-CA"/>
              </w:rPr>
              <w:t>Sa Majesté la Reine</w:t>
            </w:r>
            <w:r w:rsidR="0010587F" w:rsidRPr="00690DD2">
              <w:rPr>
                <w:b/>
                <w:sz w:val="20"/>
                <w:szCs w:val="20"/>
                <w:lang w:val="fr-CA"/>
              </w:rPr>
              <w:t xml:space="preserve"> (</w:t>
            </w:r>
            <w:proofErr w:type="spellStart"/>
            <w:r w:rsidRPr="00690DD2">
              <w:rPr>
                <w:b/>
                <w:sz w:val="20"/>
                <w:szCs w:val="20"/>
                <w:lang w:val="fr-CA"/>
              </w:rPr>
              <w:t>Qc</w:t>
            </w:r>
            <w:proofErr w:type="spellEnd"/>
            <w:r w:rsidR="0010587F" w:rsidRPr="00690DD2">
              <w:rPr>
                <w:b/>
                <w:sz w:val="20"/>
                <w:szCs w:val="20"/>
                <w:lang w:val="fr-CA"/>
              </w:rPr>
              <w:t>)</w:t>
            </w:r>
          </w:p>
          <w:p w:rsidR="0010587F" w:rsidRPr="00690DD2" w:rsidRDefault="0010587F" w:rsidP="003B3977">
            <w:pPr>
              <w:rPr>
                <w:sz w:val="20"/>
                <w:szCs w:val="20"/>
                <w:lang w:val="fr-CA"/>
              </w:rPr>
            </w:pPr>
          </w:p>
          <w:p w:rsidR="0010587F" w:rsidRPr="003B3977" w:rsidRDefault="0010587F" w:rsidP="003B3977">
            <w:pPr>
              <w:rPr>
                <w:sz w:val="20"/>
                <w:szCs w:val="20"/>
              </w:rPr>
            </w:pPr>
            <w:r w:rsidRPr="003B3977">
              <w:rPr>
                <w:sz w:val="20"/>
                <w:szCs w:val="20"/>
              </w:rPr>
              <w:t>(</w:t>
            </w:r>
            <w:proofErr w:type="spellStart"/>
            <w:r w:rsidRPr="003B3977">
              <w:rPr>
                <w:sz w:val="20"/>
                <w:szCs w:val="20"/>
              </w:rPr>
              <w:t>A</w:t>
            </w:r>
            <w:r w:rsidR="00690DD2">
              <w:rPr>
                <w:sz w:val="20"/>
                <w:szCs w:val="20"/>
              </w:rPr>
              <w:t>utori</w:t>
            </w:r>
            <w:r w:rsidRPr="003B3977">
              <w:rPr>
                <w:sz w:val="20"/>
                <w:szCs w:val="20"/>
              </w:rPr>
              <w:t>s</w:t>
            </w:r>
            <w:r w:rsidR="00690DD2">
              <w:rPr>
                <w:sz w:val="20"/>
                <w:szCs w:val="20"/>
              </w:rPr>
              <w:t>a</w:t>
            </w:r>
            <w:r w:rsidRPr="003B3977">
              <w:rPr>
                <w:sz w:val="20"/>
                <w:szCs w:val="20"/>
              </w:rPr>
              <w:t>t</w:t>
            </w:r>
            <w:r w:rsidR="00690DD2">
              <w:rPr>
                <w:sz w:val="20"/>
                <w:szCs w:val="20"/>
              </w:rPr>
              <w:t>ion</w:t>
            </w:r>
            <w:proofErr w:type="spellEnd"/>
            <w:r w:rsidRPr="003B3977">
              <w:rPr>
                <w:sz w:val="20"/>
                <w:szCs w:val="20"/>
              </w:rPr>
              <w:t>)</w:t>
            </w:r>
          </w:p>
          <w:p w:rsidR="0010587F" w:rsidRPr="003B3977" w:rsidRDefault="0010587F" w:rsidP="003B3977">
            <w:pPr>
              <w:rPr>
                <w:sz w:val="20"/>
                <w:szCs w:val="20"/>
              </w:rPr>
            </w:pPr>
          </w:p>
          <w:p w:rsidR="0010587F" w:rsidRPr="003B3977" w:rsidRDefault="007F0A1D" w:rsidP="003B3977">
            <w:pPr>
              <w:rPr>
                <w:sz w:val="20"/>
                <w:szCs w:val="20"/>
              </w:rPr>
            </w:pPr>
            <w:r w:rsidRPr="007F0A1D">
              <w:rPr>
                <w:sz w:val="20"/>
                <w:szCs w:val="20"/>
                <w:lang w:val="fr-CA"/>
              </w:rPr>
              <w:pict>
                <v:rect id="_x0000_i104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690DD2" w:rsidRDefault="00690DD2" w:rsidP="0010587F">
            <w:pPr>
              <w:rPr>
                <w:sz w:val="20"/>
                <w:szCs w:val="20"/>
              </w:rPr>
            </w:pPr>
          </w:p>
          <w:p w:rsidR="0010587F" w:rsidRPr="00BE1CFB" w:rsidRDefault="00690DD2" w:rsidP="0010587F">
            <w:pPr>
              <w:rPr>
                <w:sz w:val="20"/>
                <w:szCs w:val="20"/>
                <w:lang w:val="fr-CA"/>
              </w:rPr>
            </w:pPr>
            <w:r w:rsidRPr="00BE1CFB">
              <w:rPr>
                <w:sz w:val="20"/>
                <w:szCs w:val="20"/>
                <w:lang w:val="fr-CA"/>
              </w:rPr>
              <w:t>21</w:t>
            </w:r>
            <w:r w:rsidR="0010587F" w:rsidRPr="00BE1CFB">
              <w:rPr>
                <w:sz w:val="20"/>
                <w:szCs w:val="20"/>
                <w:lang w:val="fr-CA"/>
              </w:rPr>
              <w:t>.1</w:t>
            </w:r>
            <w:r w:rsidRPr="00BE1CFB">
              <w:rPr>
                <w:sz w:val="20"/>
                <w:szCs w:val="20"/>
                <w:lang w:val="fr-CA"/>
              </w:rPr>
              <w:t>2</w:t>
            </w:r>
            <w:r w:rsidR="0010587F" w:rsidRPr="00BE1CFB">
              <w:rPr>
                <w:sz w:val="20"/>
                <w:szCs w:val="20"/>
                <w:lang w:val="fr-CA"/>
              </w:rPr>
              <w:t>.201</w:t>
            </w:r>
            <w:r w:rsidRPr="00BE1CFB">
              <w:rPr>
                <w:sz w:val="20"/>
                <w:szCs w:val="20"/>
                <w:lang w:val="fr-CA"/>
              </w:rPr>
              <w:t>2</w:t>
            </w:r>
          </w:p>
          <w:p w:rsidR="0010587F" w:rsidRPr="00BE1CFB" w:rsidRDefault="0010587F" w:rsidP="0010587F">
            <w:pPr>
              <w:rPr>
                <w:sz w:val="20"/>
                <w:szCs w:val="20"/>
                <w:lang w:val="fr-CA"/>
              </w:rPr>
            </w:pPr>
          </w:p>
          <w:p w:rsidR="0010587F" w:rsidRDefault="00690DD2" w:rsidP="0010587F">
            <w:pPr>
              <w:rPr>
                <w:b/>
                <w:sz w:val="20"/>
                <w:szCs w:val="20"/>
                <w:lang w:val="fr-CA"/>
              </w:rPr>
            </w:pPr>
            <w:r w:rsidRPr="00690DD2">
              <w:rPr>
                <w:b/>
                <w:sz w:val="20"/>
                <w:szCs w:val="20"/>
                <w:lang w:val="fr-CA"/>
              </w:rPr>
              <w:t>S</w:t>
            </w:r>
            <w:r w:rsidR="00957A63">
              <w:rPr>
                <w:b/>
                <w:sz w:val="20"/>
                <w:szCs w:val="20"/>
                <w:lang w:val="fr-CA"/>
              </w:rPr>
              <w:t xml:space="preserve">ergio </w:t>
            </w:r>
            <w:proofErr w:type="spellStart"/>
            <w:r w:rsidR="00957A63">
              <w:rPr>
                <w:b/>
                <w:sz w:val="20"/>
                <w:szCs w:val="20"/>
                <w:lang w:val="fr-CA"/>
              </w:rPr>
              <w:t>Piccirilli</w:t>
            </w:r>
            <w:proofErr w:type="spellEnd"/>
          </w:p>
          <w:p w:rsidR="00690DD2" w:rsidRPr="00BE1CFB" w:rsidRDefault="00690DD2" w:rsidP="0010587F">
            <w:pPr>
              <w:rPr>
                <w:b/>
                <w:sz w:val="20"/>
                <w:szCs w:val="20"/>
                <w:lang w:val="fr-CA"/>
              </w:rPr>
            </w:pPr>
          </w:p>
          <w:p w:rsidR="0010587F" w:rsidRPr="00690DD2" w:rsidRDefault="0010587F" w:rsidP="0010587F">
            <w:pPr>
              <w:rPr>
                <w:b/>
                <w:sz w:val="20"/>
                <w:szCs w:val="20"/>
                <w:lang w:val="fr-CA"/>
              </w:rPr>
            </w:pPr>
            <w:r w:rsidRPr="00BE1CFB">
              <w:rPr>
                <w:b/>
                <w:sz w:val="20"/>
                <w:szCs w:val="20"/>
                <w:lang w:val="fr-CA"/>
              </w:rPr>
              <w:tab/>
            </w:r>
            <w:r w:rsidR="00690DD2" w:rsidRPr="00690DD2">
              <w:rPr>
                <w:b/>
                <w:sz w:val="20"/>
                <w:szCs w:val="20"/>
                <w:lang w:val="fr-CA"/>
              </w:rPr>
              <w:t>c</w:t>
            </w:r>
            <w:r w:rsidRPr="00690DD2">
              <w:rPr>
                <w:b/>
                <w:sz w:val="20"/>
                <w:szCs w:val="20"/>
                <w:lang w:val="fr-CA"/>
              </w:rPr>
              <w:t>. (3</w:t>
            </w:r>
            <w:r w:rsidR="00690DD2" w:rsidRPr="00690DD2">
              <w:rPr>
                <w:b/>
                <w:sz w:val="20"/>
                <w:szCs w:val="20"/>
                <w:lang w:val="fr-CA"/>
              </w:rPr>
              <w:t>4824</w:t>
            </w:r>
            <w:r w:rsidRPr="00690DD2">
              <w:rPr>
                <w:b/>
                <w:sz w:val="20"/>
                <w:szCs w:val="20"/>
                <w:lang w:val="fr-CA"/>
              </w:rPr>
              <w:t>)</w:t>
            </w:r>
          </w:p>
          <w:p w:rsidR="0010587F" w:rsidRPr="00690DD2" w:rsidRDefault="0010587F" w:rsidP="0010587F">
            <w:pPr>
              <w:rPr>
                <w:b/>
                <w:sz w:val="20"/>
                <w:szCs w:val="20"/>
                <w:lang w:val="fr-CA"/>
              </w:rPr>
            </w:pPr>
          </w:p>
          <w:p w:rsidR="0010587F" w:rsidRPr="003B3977" w:rsidRDefault="00690DD2" w:rsidP="0010587F">
            <w:pPr>
              <w:rPr>
                <w:b/>
                <w:sz w:val="20"/>
                <w:szCs w:val="20"/>
                <w:lang w:val="fr-CA"/>
              </w:rPr>
            </w:pPr>
            <w:r w:rsidRPr="00690DD2">
              <w:rPr>
                <w:b/>
                <w:sz w:val="20"/>
                <w:szCs w:val="20"/>
                <w:lang w:val="fr-CA"/>
              </w:rPr>
              <w:t>Sa Majesté la Reine (</w:t>
            </w:r>
            <w:proofErr w:type="spellStart"/>
            <w:r w:rsidRPr="00690DD2">
              <w:rPr>
                <w:b/>
                <w:sz w:val="20"/>
                <w:szCs w:val="20"/>
                <w:lang w:val="fr-CA"/>
              </w:rPr>
              <w:t>Qc</w:t>
            </w:r>
            <w:proofErr w:type="spellEnd"/>
            <w:r w:rsidRPr="00690DD2">
              <w:rPr>
                <w:b/>
                <w:sz w:val="20"/>
                <w:szCs w:val="20"/>
                <w:lang w:val="fr-CA"/>
              </w:rPr>
              <w:t>)</w:t>
            </w:r>
          </w:p>
          <w:p w:rsidR="0010587F" w:rsidRPr="003B3977" w:rsidRDefault="0010587F" w:rsidP="0010587F">
            <w:pPr>
              <w:rPr>
                <w:sz w:val="20"/>
                <w:szCs w:val="20"/>
                <w:lang w:val="fr-CA"/>
              </w:rPr>
            </w:pPr>
          </w:p>
          <w:p w:rsidR="0010587F" w:rsidRPr="003B3977" w:rsidRDefault="0010587F" w:rsidP="0010587F">
            <w:pPr>
              <w:rPr>
                <w:sz w:val="20"/>
                <w:szCs w:val="20"/>
              </w:rPr>
            </w:pPr>
            <w:r w:rsidRPr="003B3977">
              <w:rPr>
                <w:sz w:val="20"/>
                <w:szCs w:val="20"/>
              </w:rPr>
              <w:t>(</w:t>
            </w:r>
            <w:proofErr w:type="spellStart"/>
            <w:r w:rsidRPr="003B3977">
              <w:rPr>
                <w:sz w:val="20"/>
                <w:szCs w:val="20"/>
              </w:rPr>
              <w:t>A</w:t>
            </w:r>
            <w:r w:rsidR="00690DD2">
              <w:rPr>
                <w:sz w:val="20"/>
                <w:szCs w:val="20"/>
              </w:rPr>
              <w:t>utorisation</w:t>
            </w:r>
            <w:proofErr w:type="spellEnd"/>
            <w:r w:rsidRPr="003B3977">
              <w:rPr>
                <w:sz w:val="20"/>
                <w:szCs w:val="20"/>
              </w:rPr>
              <w:t>)</w:t>
            </w:r>
          </w:p>
          <w:p w:rsidR="0010587F" w:rsidRPr="003B3977" w:rsidRDefault="0010587F" w:rsidP="0010587F">
            <w:pPr>
              <w:rPr>
                <w:sz w:val="20"/>
                <w:szCs w:val="20"/>
              </w:rPr>
            </w:pPr>
          </w:p>
          <w:p w:rsidR="0010587F" w:rsidRPr="003B3977" w:rsidRDefault="007F0A1D" w:rsidP="0010587F">
            <w:pPr>
              <w:rPr>
                <w:sz w:val="20"/>
                <w:szCs w:val="20"/>
              </w:rPr>
            </w:pPr>
            <w:r w:rsidRPr="007F0A1D">
              <w:rPr>
                <w:sz w:val="20"/>
                <w:szCs w:val="20"/>
                <w:lang w:val="fr-CA"/>
              </w:rPr>
              <w:pict>
                <v:rect id="_x0000_i1046"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957A63" w:rsidP="0010587F">
            <w:pPr>
              <w:rPr>
                <w:sz w:val="20"/>
                <w:szCs w:val="20"/>
              </w:rPr>
            </w:pPr>
            <w:r>
              <w:rPr>
                <w:sz w:val="20"/>
                <w:szCs w:val="20"/>
              </w:rPr>
              <w:t>21</w:t>
            </w:r>
            <w:r w:rsidR="0010587F" w:rsidRPr="003B3977">
              <w:rPr>
                <w:sz w:val="20"/>
                <w:szCs w:val="20"/>
              </w:rPr>
              <w:t>.1</w:t>
            </w:r>
            <w:r>
              <w:rPr>
                <w:sz w:val="20"/>
                <w:szCs w:val="20"/>
              </w:rPr>
              <w:t>2</w:t>
            </w:r>
            <w:r w:rsidR="0010587F" w:rsidRPr="003B3977">
              <w:rPr>
                <w:sz w:val="20"/>
                <w:szCs w:val="20"/>
              </w:rPr>
              <w:t>.201</w:t>
            </w:r>
            <w:r>
              <w:rPr>
                <w:sz w:val="20"/>
                <w:szCs w:val="20"/>
              </w:rPr>
              <w:t>2</w:t>
            </w:r>
          </w:p>
          <w:p w:rsidR="0010587F" w:rsidRPr="003B3977" w:rsidRDefault="0010587F" w:rsidP="0010587F">
            <w:pPr>
              <w:rPr>
                <w:sz w:val="20"/>
                <w:szCs w:val="20"/>
              </w:rPr>
            </w:pPr>
          </w:p>
          <w:p w:rsidR="0010587F" w:rsidRPr="003B3977" w:rsidRDefault="00957A63" w:rsidP="0010587F">
            <w:pPr>
              <w:rPr>
                <w:b/>
                <w:sz w:val="20"/>
                <w:szCs w:val="20"/>
              </w:rPr>
            </w:pPr>
            <w:r>
              <w:rPr>
                <w:b/>
                <w:sz w:val="20"/>
                <w:szCs w:val="20"/>
              </w:rPr>
              <w:t>B</w:t>
            </w:r>
            <w:r w:rsidR="0010587F" w:rsidRPr="003B3977">
              <w:rPr>
                <w:b/>
                <w:sz w:val="20"/>
                <w:szCs w:val="20"/>
              </w:rPr>
              <w:t>r</w:t>
            </w:r>
            <w:r>
              <w:rPr>
                <w:b/>
                <w:sz w:val="20"/>
                <w:szCs w:val="20"/>
              </w:rPr>
              <w:t>i</w:t>
            </w:r>
            <w:r w:rsidR="0010587F" w:rsidRPr="003B3977">
              <w:rPr>
                <w:b/>
                <w:sz w:val="20"/>
                <w:szCs w:val="20"/>
              </w:rPr>
              <w:t>an</w:t>
            </w:r>
            <w:r>
              <w:rPr>
                <w:b/>
                <w:sz w:val="20"/>
                <w:szCs w:val="20"/>
              </w:rPr>
              <w:t xml:space="preserve"> Conception</w:t>
            </w:r>
          </w:p>
          <w:p w:rsidR="0010587F" w:rsidRPr="003B3977" w:rsidRDefault="0010587F" w:rsidP="0010587F">
            <w:pPr>
              <w:rPr>
                <w:b/>
                <w:sz w:val="20"/>
                <w:szCs w:val="20"/>
              </w:rPr>
            </w:pPr>
          </w:p>
          <w:p w:rsidR="0010587F" w:rsidRPr="003B3977" w:rsidRDefault="0010587F" w:rsidP="0010587F">
            <w:pPr>
              <w:rPr>
                <w:b/>
                <w:sz w:val="20"/>
                <w:szCs w:val="20"/>
              </w:rPr>
            </w:pPr>
            <w:r w:rsidRPr="003B3977">
              <w:rPr>
                <w:b/>
                <w:sz w:val="20"/>
                <w:szCs w:val="20"/>
              </w:rPr>
              <w:tab/>
              <w:t>v. (3</w:t>
            </w:r>
            <w:r w:rsidR="00957A63">
              <w:rPr>
                <w:b/>
                <w:sz w:val="20"/>
                <w:szCs w:val="20"/>
              </w:rPr>
              <w:t>4</w:t>
            </w:r>
            <w:r w:rsidRPr="003B3977">
              <w:rPr>
                <w:b/>
                <w:sz w:val="20"/>
                <w:szCs w:val="20"/>
              </w:rPr>
              <w:t>9</w:t>
            </w:r>
            <w:r w:rsidR="00957A63">
              <w:rPr>
                <w:b/>
                <w:sz w:val="20"/>
                <w:szCs w:val="20"/>
              </w:rPr>
              <w:t>30</w:t>
            </w:r>
            <w:r w:rsidRPr="003B3977">
              <w:rPr>
                <w:b/>
                <w:sz w:val="20"/>
                <w:szCs w:val="20"/>
              </w:rPr>
              <w:t>)</w:t>
            </w:r>
          </w:p>
          <w:p w:rsidR="0010587F" w:rsidRPr="003B3977" w:rsidRDefault="0010587F" w:rsidP="0010587F">
            <w:pPr>
              <w:rPr>
                <w:b/>
                <w:sz w:val="20"/>
                <w:szCs w:val="20"/>
              </w:rPr>
            </w:pPr>
          </w:p>
          <w:p w:rsidR="0010587F" w:rsidRPr="003B3977" w:rsidRDefault="0010587F" w:rsidP="0010587F">
            <w:pPr>
              <w:rPr>
                <w:b/>
                <w:sz w:val="20"/>
                <w:szCs w:val="20"/>
              </w:rPr>
            </w:pPr>
            <w:r w:rsidRPr="003B3977">
              <w:rPr>
                <w:b/>
                <w:sz w:val="20"/>
                <w:szCs w:val="20"/>
              </w:rPr>
              <w:t xml:space="preserve">Her Majesty the Queen </w:t>
            </w:r>
            <w:r w:rsidR="00957A63">
              <w:rPr>
                <w:b/>
                <w:sz w:val="20"/>
                <w:szCs w:val="20"/>
              </w:rPr>
              <w:t xml:space="preserve">et al. </w:t>
            </w:r>
            <w:r w:rsidRPr="003B3977">
              <w:rPr>
                <w:b/>
                <w:sz w:val="20"/>
                <w:szCs w:val="20"/>
              </w:rPr>
              <w:t>(</w:t>
            </w:r>
            <w:r w:rsidR="00957A63">
              <w:rPr>
                <w:b/>
                <w:sz w:val="20"/>
                <w:szCs w:val="20"/>
              </w:rPr>
              <w:t>On</w:t>
            </w:r>
            <w:r w:rsidRPr="003B3977">
              <w:rPr>
                <w:b/>
                <w:sz w:val="20"/>
                <w:szCs w:val="20"/>
              </w:rPr>
              <w:t>t.)</w:t>
            </w:r>
          </w:p>
          <w:p w:rsidR="0010587F" w:rsidRPr="003B3977" w:rsidRDefault="0010587F" w:rsidP="0010587F">
            <w:pPr>
              <w:rPr>
                <w:sz w:val="20"/>
                <w:szCs w:val="20"/>
              </w:rPr>
            </w:pPr>
          </w:p>
          <w:p w:rsidR="0010587F" w:rsidRPr="003B3977" w:rsidRDefault="0010587F" w:rsidP="0010587F">
            <w:pPr>
              <w:rPr>
                <w:sz w:val="20"/>
                <w:szCs w:val="20"/>
              </w:rPr>
            </w:pPr>
            <w:r w:rsidRPr="003B3977">
              <w:rPr>
                <w:sz w:val="20"/>
                <w:szCs w:val="20"/>
              </w:rPr>
              <w:t>(</w:t>
            </w:r>
            <w:r w:rsidR="00957A63">
              <w:rPr>
                <w:sz w:val="20"/>
                <w:szCs w:val="20"/>
              </w:rPr>
              <w:t>By Leave</w:t>
            </w:r>
            <w:r w:rsidRPr="003B3977">
              <w:rPr>
                <w:sz w:val="20"/>
                <w:szCs w:val="20"/>
              </w:rPr>
              <w:t>)</w:t>
            </w:r>
          </w:p>
          <w:p w:rsidR="0010587F" w:rsidRPr="003B3977" w:rsidRDefault="0010587F" w:rsidP="0010587F">
            <w:pPr>
              <w:rPr>
                <w:sz w:val="20"/>
                <w:szCs w:val="20"/>
              </w:rPr>
            </w:pPr>
          </w:p>
          <w:p w:rsidR="0010587F" w:rsidRPr="003B3977" w:rsidRDefault="007F0A1D" w:rsidP="0010587F">
            <w:pPr>
              <w:rPr>
                <w:sz w:val="20"/>
                <w:szCs w:val="20"/>
              </w:rPr>
            </w:pPr>
            <w:r w:rsidRPr="007F0A1D">
              <w:rPr>
                <w:sz w:val="20"/>
                <w:szCs w:val="20"/>
                <w:lang w:val="fr-CA"/>
              </w:rPr>
              <w:pict>
                <v:rect id="_x0000_i104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6265F3">
            <w:pPr>
              <w:keepNext/>
              <w:keepLines/>
              <w:rPr>
                <w:b/>
                <w:szCs w:val="24"/>
              </w:rPr>
            </w:pPr>
            <w:r w:rsidRPr="00C50A5C">
              <w:rPr>
                <w:b/>
                <w:szCs w:val="24"/>
              </w:rPr>
              <w:lastRenderedPageBreak/>
              <w:t xml:space="preserve">AGENDA FOR </w:t>
            </w:r>
            <w:r w:rsidR="006265F3">
              <w:rPr>
                <w:b/>
                <w:szCs w:val="24"/>
              </w:rPr>
              <w:t>J</w:t>
            </w:r>
            <w:r w:rsidRPr="00C50A5C">
              <w:rPr>
                <w:b/>
                <w:szCs w:val="24"/>
              </w:rPr>
              <w:t>A</w:t>
            </w:r>
            <w:r w:rsidR="006265F3">
              <w:rPr>
                <w:b/>
                <w:szCs w:val="24"/>
              </w:rPr>
              <w:t>NUARY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957A63" w:rsidRDefault="0022323B" w:rsidP="006265F3">
            <w:pPr>
              <w:keepNext/>
              <w:keepLines/>
              <w:rPr>
                <w:b/>
                <w:szCs w:val="24"/>
              </w:rPr>
            </w:pPr>
            <w:r w:rsidRPr="00957A63">
              <w:rPr>
                <w:b/>
                <w:szCs w:val="24"/>
              </w:rPr>
              <w:t xml:space="preserve">CALENDRIER DE </w:t>
            </w:r>
            <w:r w:rsidR="006265F3" w:rsidRPr="00957A63">
              <w:rPr>
                <w:b/>
                <w:szCs w:val="24"/>
              </w:rPr>
              <w:t>JA</w:t>
            </w:r>
            <w:r w:rsidRPr="00957A63">
              <w:rPr>
                <w:b/>
                <w:szCs w:val="24"/>
              </w:rPr>
              <w:t>N</w:t>
            </w:r>
            <w:r w:rsidR="006265F3" w:rsidRPr="00957A63">
              <w:rPr>
                <w:b/>
                <w:szCs w:val="24"/>
              </w:rPr>
              <w:t>VIE</w:t>
            </w:r>
            <w:r w:rsidRPr="00957A63">
              <w:rPr>
                <w:b/>
                <w:szCs w:val="24"/>
              </w:rPr>
              <w:t xml:space="preserve">R </w:t>
            </w:r>
            <w:r w:rsidR="006265F3" w:rsidRPr="00957A63">
              <w:rPr>
                <w:b/>
                <w:szCs w:val="24"/>
              </w:rPr>
              <w:t>2013</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6265F3">
        <w:rPr>
          <w:b/>
          <w:sz w:val="20"/>
          <w:szCs w:val="20"/>
        </w:rPr>
        <w:t>Janua</w:t>
      </w:r>
      <w:r w:rsidRPr="00DD0B49">
        <w:rPr>
          <w:b/>
          <w:sz w:val="20"/>
          <w:szCs w:val="20"/>
        </w:rPr>
        <w:t>r</w:t>
      </w:r>
      <w:r w:rsidR="006265F3">
        <w:rPr>
          <w:b/>
          <w:sz w:val="20"/>
          <w:szCs w:val="20"/>
        </w:rPr>
        <w:t>y</w:t>
      </w:r>
      <w:r w:rsidRPr="00DD0B49">
        <w:rPr>
          <w:b/>
          <w:sz w:val="20"/>
          <w:szCs w:val="20"/>
        </w:rPr>
        <w:t xml:space="preserve"> 1</w:t>
      </w:r>
      <w:r w:rsidR="006265F3">
        <w:rPr>
          <w:b/>
          <w:sz w:val="20"/>
          <w:szCs w:val="20"/>
        </w:rPr>
        <w:t>4</w:t>
      </w:r>
      <w:r w:rsidRPr="00DD0B49">
        <w:rPr>
          <w:b/>
          <w:sz w:val="20"/>
          <w:szCs w:val="20"/>
        </w:rPr>
        <w:t xml:space="preserve"> and </w:t>
      </w:r>
      <w:r w:rsidR="006265F3">
        <w:rPr>
          <w:b/>
          <w:sz w:val="20"/>
          <w:szCs w:val="20"/>
        </w:rPr>
        <w:t>21</w:t>
      </w:r>
      <w:r w:rsidRPr="00DD0B49">
        <w:rPr>
          <w:b/>
          <w:sz w:val="20"/>
          <w:szCs w:val="20"/>
        </w:rPr>
        <w:t>, 201</w:t>
      </w:r>
      <w:r w:rsidR="006265F3">
        <w:rPr>
          <w:b/>
          <w:sz w:val="20"/>
          <w:szCs w:val="20"/>
        </w:rPr>
        <w:t>3</w:t>
      </w:r>
      <w:r w:rsidRPr="00DD0B49">
        <w:rPr>
          <w:b/>
          <w:sz w:val="20"/>
          <w:szCs w:val="20"/>
        </w:rPr>
        <w:t>.</w:t>
      </w:r>
      <w:proofErr w:type="gramEnd"/>
    </w:p>
    <w:p w:rsidR="004B66B4" w:rsidRPr="00DD0B49" w:rsidRDefault="004B66B4" w:rsidP="004B66B4">
      <w:pPr>
        <w:rPr>
          <w:sz w:val="20"/>
          <w:szCs w:val="20"/>
          <w:lang w:val="fr-CA"/>
        </w:rPr>
      </w:pPr>
      <w:r w:rsidRPr="008A2BB5">
        <w:rPr>
          <w:b/>
          <w:sz w:val="20"/>
          <w:szCs w:val="20"/>
          <w:lang w:val="fr-CA"/>
        </w:rPr>
        <w:t>C</w:t>
      </w:r>
      <w:r w:rsidRPr="00DD0B49">
        <w:rPr>
          <w:b/>
          <w:sz w:val="20"/>
          <w:szCs w:val="20"/>
          <w:lang w:val="fr-CA"/>
        </w:rPr>
        <w:t>ALENDRIER de la semaine du 1</w:t>
      </w:r>
      <w:r w:rsidR="006265F3">
        <w:rPr>
          <w:b/>
          <w:sz w:val="20"/>
          <w:szCs w:val="20"/>
          <w:lang w:val="fr-CA"/>
        </w:rPr>
        <w:t>4</w:t>
      </w:r>
      <w:r w:rsidRPr="00DD0B49">
        <w:rPr>
          <w:b/>
          <w:sz w:val="20"/>
          <w:szCs w:val="20"/>
          <w:lang w:val="fr-CA"/>
        </w:rPr>
        <w:t xml:space="preserve"> </w:t>
      </w:r>
      <w:r w:rsidR="006265F3">
        <w:rPr>
          <w:b/>
          <w:sz w:val="20"/>
          <w:szCs w:val="20"/>
          <w:lang w:val="fr-CA"/>
        </w:rPr>
        <w:t>ja</w:t>
      </w:r>
      <w:r w:rsidRPr="00DD0B49">
        <w:rPr>
          <w:b/>
          <w:sz w:val="20"/>
          <w:szCs w:val="20"/>
          <w:lang w:val="fr-CA"/>
        </w:rPr>
        <w:t>nv</w:t>
      </w:r>
      <w:r w:rsidR="006265F3">
        <w:rPr>
          <w:b/>
          <w:sz w:val="20"/>
          <w:szCs w:val="20"/>
          <w:lang w:val="fr-CA"/>
        </w:rPr>
        <w:t>i</w:t>
      </w:r>
      <w:r w:rsidRPr="00DD0B49">
        <w:rPr>
          <w:b/>
          <w:sz w:val="20"/>
          <w:szCs w:val="20"/>
          <w:lang w:val="fr-CA"/>
        </w:rPr>
        <w:t xml:space="preserve">er et celle du </w:t>
      </w:r>
      <w:r w:rsidR="006265F3">
        <w:rPr>
          <w:b/>
          <w:sz w:val="20"/>
          <w:szCs w:val="20"/>
          <w:lang w:val="fr-CA"/>
        </w:rPr>
        <w:t>21</w:t>
      </w:r>
      <w:r w:rsidRPr="00DD0B49">
        <w:rPr>
          <w:b/>
          <w:sz w:val="20"/>
          <w:szCs w:val="20"/>
          <w:lang w:val="fr-CA"/>
        </w:rPr>
        <w:t xml:space="preserve"> </w:t>
      </w:r>
      <w:r w:rsidR="006265F3">
        <w:rPr>
          <w:b/>
          <w:sz w:val="20"/>
          <w:szCs w:val="20"/>
          <w:lang w:val="fr-CA"/>
        </w:rPr>
        <w:t>ja</w:t>
      </w:r>
      <w:r w:rsidRPr="00DD0B49">
        <w:rPr>
          <w:b/>
          <w:sz w:val="20"/>
          <w:szCs w:val="20"/>
          <w:lang w:val="fr-CA"/>
        </w:rPr>
        <w:t>nv</w:t>
      </w:r>
      <w:r w:rsidR="006265F3">
        <w:rPr>
          <w:b/>
          <w:sz w:val="20"/>
          <w:szCs w:val="20"/>
          <w:lang w:val="fr-CA"/>
        </w:rPr>
        <w:t>i</w:t>
      </w:r>
      <w:r w:rsidRPr="00DD0B49">
        <w:rPr>
          <w:b/>
          <w:sz w:val="20"/>
          <w:szCs w:val="20"/>
          <w:lang w:val="fr-CA"/>
        </w:rPr>
        <w:t>e</w:t>
      </w:r>
      <w:r w:rsidR="006265F3">
        <w:rPr>
          <w:b/>
          <w:sz w:val="20"/>
          <w:szCs w:val="20"/>
          <w:lang w:val="fr-CA"/>
        </w:rPr>
        <w:t>r</w:t>
      </w:r>
      <w:r w:rsidRPr="00DD0B49">
        <w:rPr>
          <w:b/>
          <w:sz w:val="20"/>
          <w:szCs w:val="20"/>
          <w:lang w:val="fr-CA"/>
        </w:rPr>
        <w:t xml:space="preserve"> 201</w:t>
      </w:r>
      <w:r w:rsidR="006265F3">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6265F3">
        <w:rPr>
          <w:sz w:val="20"/>
          <w:szCs w:val="20"/>
        </w:rPr>
        <w:t xml:space="preserve">January 7 </w:t>
      </w:r>
      <w:r w:rsidRPr="00DD0B49">
        <w:rPr>
          <w:sz w:val="20"/>
          <w:szCs w:val="20"/>
        </w:rPr>
        <w:t>and 2</w:t>
      </w:r>
      <w:r w:rsidR="006265F3">
        <w:rPr>
          <w:sz w:val="20"/>
          <w:szCs w:val="20"/>
        </w:rPr>
        <w:t>8</w:t>
      </w:r>
      <w:r w:rsidRPr="00DD0B49">
        <w:rPr>
          <w:sz w:val="20"/>
          <w:szCs w:val="20"/>
        </w:rPr>
        <w:t>, 201</w:t>
      </w:r>
      <w:r w:rsidR="006265F3">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6265F3">
        <w:rPr>
          <w:sz w:val="20"/>
          <w:szCs w:val="20"/>
          <w:lang w:val="fr-CA"/>
        </w:rPr>
        <w:t>7</w:t>
      </w:r>
      <w:r w:rsidRPr="00DD0B49">
        <w:rPr>
          <w:sz w:val="20"/>
          <w:szCs w:val="20"/>
          <w:lang w:val="fr-CA"/>
        </w:rPr>
        <w:t xml:space="preserve"> et du 2</w:t>
      </w:r>
      <w:r w:rsidR="006265F3">
        <w:rPr>
          <w:sz w:val="20"/>
          <w:szCs w:val="20"/>
          <w:lang w:val="fr-CA"/>
        </w:rPr>
        <w:t>8 ja</w:t>
      </w:r>
      <w:r w:rsidRPr="00DD0B49">
        <w:rPr>
          <w:sz w:val="20"/>
          <w:szCs w:val="20"/>
          <w:lang w:val="fr-CA"/>
        </w:rPr>
        <w:t>nv</w:t>
      </w:r>
      <w:r w:rsidR="006265F3">
        <w:rPr>
          <w:sz w:val="20"/>
          <w:szCs w:val="20"/>
          <w:lang w:val="fr-CA"/>
        </w:rPr>
        <w:t>i</w:t>
      </w:r>
      <w:r w:rsidRPr="00DD0B49">
        <w:rPr>
          <w:sz w:val="20"/>
          <w:szCs w:val="20"/>
          <w:lang w:val="fr-CA"/>
        </w:rPr>
        <w:t>er 201</w:t>
      </w:r>
      <w:r w:rsidR="006265F3">
        <w:rPr>
          <w:sz w:val="20"/>
          <w:szCs w:val="20"/>
          <w:lang w:val="fr-CA"/>
        </w:rPr>
        <w:t>3</w:t>
      </w:r>
      <w:r w:rsidRPr="00DD0B49">
        <w:rPr>
          <w:sz w:val="20"/>
          <w:szCs w:val="20"/>
          <w:lang w:val="fr-CA"/>
        </w:rPr>
        <w:t>.</w:t>
      </w:r>
    </w:p>
    <w:p w:rsidR="004B66B4" w:rsidRPr="00DD0B49" w:rsidRDefault="007F0A1D" w:rsidP="004B66B4">
      <w:pPr>
        <w:rPr>
          <w:sz w:val="20"/>
          <w:szCs w:val="20"/>
        </w:rPr>
      </w:pPr>
      <w:r w:rsidRPr="007F0A1D">
        <w:rPr>
          <w:sz w:val="20"/>
          <w:szCs w:val="20"/>
        </w:rPr>
        <w:pict>
          <v:rect id="_x0000_i1050"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A549CB" w:rsidTr="00B077A6">
        <w:trPr>
          <w:cantSplit/>
        </w:trPr>
        <w:tc>
          <w:tcPr>
            <w:tcW w:w="2398" w:type="dxa"/>
          </w:tcPr>
          <w:p w:rsidR="004E1E0A" w:rsidRPr="003A74F5" w:rsidRDefault="004E1E0A" w:rsidP="00B077A6">
            <w:pPr>
              <w:rPr>
                <w:rFonts w:eastAsia="Calibri" w:cs="Times New Roman"/>
                <w:sz w:val="20"/>
                <w:szCs w:val="20"/>
              </w:rPr>
            </w:pPr>
            <w:r w:rsidRPr="003A74F5">
              <w:rPr>
                <w:rFonts w:eastAsia="Calibri" w:cs="Times New Roman"/>
                <w:sz w:val="20"/>
                <w:szCs w:val="20"/>
              </w:rPr>
              <w:t>DATE OF HEARING /</w:t>
            </w:r>
          </w:p>
          <w:p w:rsidR="004E1E0A" w:rsidRPr="003A74F5" w:rsidRDefault="004E1E0A" w:rsidP="00B077A6">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B077A6">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B077A6">
            <w:pPr>
              <w:rPr>
                <w:sz w:val="20"/>
                <w:szCs w:val="20"/>
                <w:lang w:val="fr-CA"/>
              </w:rPr>
            </w:pPr>
            <w:r w:rsidRPr="003A74F5">
              <w:rPr>
                <w:rFonts w:eastAsia="Calibri" w:cs="Times New Roman"/>
                <w:sz w:val="20"/>
                <w:szCs w:val="20"/>
                <w:lang w:val="fr-CA"/>
              </w:rPr>
              <w:t>NOM DE LA CAUSE ET NUMÉRO</w:t>
            </w:r>
          </w:p>
          <w:p w:rsidR="004E1E0A" w:rsidRPr="003A74F5" w:rsidRDefault="004E1E0A" w:rsidP="00B077A6">
            <w:pPr>
              <w:rPr>
                <w:rFonts w:eastAsia="Calibri" w:cs="Times New Roman"/>
                <w:sz w:val="20"/>
                <w:szCs w:val="20"/>
                <w:lang w:val="fr-CA"/>
              </w:rPr>
            </w:pPr>
          </w:p>
        </w:tc>
      </w:tr>
      <w:tr w:rsidR="004E1E0A" w:rsidRPr="003A74F5"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w:t>
            </w:r>
            <w:r w:rsidRPr="003A74F5">
              <w:rPr>
                <w:rFonts w:eastAsia="Calibri" w:cs="Times New Roman"/>
                <w:sz w:val="20"/>
                <w:szCs w:val="20"/>
              </w:rPr>
              <w:t>1-</w:t>
            </w:r>
            <w:r w:rsidR="006265F3">
              <w:rPr>
                <w:rFonts w:eastAsia="Calibri" w:cs="Times New Roman"/>
                <w:sz w:val="20"/>
                <w:szCs w:val="20"/>
              </w:rPr>
              <w:t>15</w:t>
            </w:r>
          </w:p>
        </w:tc>
        <w:tc>
          <w:tcPr>
            <w:tcW w:w="7178" w:type="dxa"/>
          </w:tcPr>
          <w:p w:rsidR="004E1E0A" w:rsidRDefault="00644156" w:rsidP="00B077A6">
            <w:pPr>
              <w:jc w:val="both"/>
              <w:rPr>
                <w:rFonts w:eastAsia="Calibri" w:cs="Times New Roman"/>
                <w:sz w:val="20"/>
                <w:szCs w:val="20"/>
              </w:rPr>
            </w:pPr>
            <w:r w:rsidRPr="00644156">
              <w:rPr>
                <w:rFonts w:eastAsia="Calibri" w:cs="Times New Roman"/>
                <w:i/>
                <w:sz w:val="20"/>
                <w:szCs w:val="20"/>
              </w:rPr>
              <w:t>Marine Services International Limited et al.</w:t>
            </w:r>
            <w:r w:rsidR="004E1E0A">
              <w:rPr>
                <w:rFonts w:eastAsia="Calibri" w:cs="Times New Roman"/>
                <w:i/>
                <w:sz w:val="20"/>
                <w:szCs w:val="20"/>
              </w:rPr>
              <w:t xml:space="preserve"> </w:t>
            </w:r>
            <w:r w:rsidR="004E1E0A" w:rsidRPr="003A74F5">
              <w:rPr>
                <w:rFonts w:eastAsia="Calibri" w:cs="Times New Roman"/>
                <w:i/>
                <w:sz w:val="20"/>
                <w:szCs w:val="20"/>
              </w:rPr>
              <w:t xml:space="preserve">v. </w:t>
            </w:r>
            <w:r>
              <w:rPr>
                <w:rFonts w:eastAsia="Calibri" w:cs="Times New Roman"/>
                <w:i/>
                <w:sz w:val="20"/>
                <w:szCs w:val="20"/>
              </w:rPr>
              <w:t>Es</w:t>
            </w:r>
            <w:r w:rsidR="004E1E0A">
              <w:rPr>
                <w:rFonts w:eastAsia="Calibri" w:cs="Times New Roman"/>
                <w:i/>
                <w:sz w:val="20"/>
                <w:szCs w:val="20"/>
              </w:rPr>
              <w:t>t</w:t>
            </w:r>
            <w:r w:rsidR="004E1E0A" w:rsidRPr="003A74F5">
              <w:rPr>
                <w:rFonts w:eastAsia="Calibri" w:cs="Times New Roman"/>
                <w:i/>
                <w:sz w:val="20"/>
                <w:szCs w:val="20"/>
              </w:rPr>
              <w:t>a</w:t>
            </w:r>
            <w:r>
              <w:rPr>
                <w:rFonts w:eastAsia="Calibri" w:cs="Times New Roman"/>
                <w:i/>
                <w:sz w:val="20"/>
                <w:szCs w:val="20"/>
              </w:rPr>
              <w:t>t</w:t>
            </w:r>
            <w:r w:rsidR="004E1E0A" w:rsidRPr="003A74F5">
              <w:rPr>
                <w:rFonts w:eastAsia="Calibri" w:cs="Times New Roman"/>
                <w:i/>
                <w:sz w:val="20"/>
                <w:szCs w:val="20"/>
              </w:rPr>
              <w:t>e</w:t>
            </w:r>
            <w:r>
              <w:rPr>
                <w:rFonts w:eastAsia="Calibri" w:cs="Times New Roman"/>
                <w:i/>
                <w:sz w:val="20"/>
                <w:szCs w:val="20"/>
              </w:rPr>
              <w:t xml:space="preserve"> of Joseph Ryan, by its </w:t>
            </w:r>
            <w:proofErr w:type="spellStart"/>
            <w:r>
              <w:rPr>
                <w:rFonts w:eastAsia="Calibri" w:cs="Times New Roman"/>
                <w:i/>
                <w:sz w:val="20"/>
                <w:szCs w:val="20"/>
              </w:rPr>
              <w:t>Administratrix</w:t>
            </w:r>
            <w:proofErr w:type="spellEnd"/>
            <w:r>
              <w:rPr>
                <w:rFonts w:eastAsia="Calibri" w:cs="Times New Roman"/>
                <w:i/>
                <w:sz w:val="20"/>
                <w:szCs w:val="20"/>
              </w:rPr>
              <w:t>, Yvonne Ryan et al.</w:t>
            </w:r>
            <w:r w:rsidR="004E1E0A">
              <w:rPr>
                <w:rFonts w:eastAsia="Calibri" w:cs="Times New Roman"/>
                <w:i/>
                <w:sz w:val="20"/>
                <w:szCs w:val="20"/>
              </w:rPr>
              <w:t xml:space="preserve"> </w:t>
            </w:r>
            <w:r w:rsidR="004E1E0A" w:rsidRPr="003A74F5">
              <w:rPr>
                <w:rFonts w:eastAsia="Calibri" w:cs="Times New Roman"/>
                <w:sz w:val="20"/>
                <w:szCs w:val="20"/>
              </w:rPr>
              <w:t>(</w:t>
            </w:r>
            <w:r>
              <w:rPr>
                <w:rFonts w:eastAsia="Calibri" w:cs="Times New Roman"/>
                <w:sz w:val="20"/>
                <w:szCs w:val="20"/>
              </w:rPr>
              <w:t>N</w:t>
            </w:r>
            <w:r w:rsidR="004E1E0A">
              <w:rPr>
                <w:rFonts w:eastAsia="Calibri" w:cs="Times New Roman"/>
                <w:sz w:val="20"/>
                <w:szCs w:val="20"/>
              </w:rPr>
              <w:t>.</w:t>
            </w:r>
            <w:r>
              <w:rPr>
                <w:rFonts w:eastAsia="Calibri" w:cs="Times New Roman"/>
                <w:sz w:val="20"/>
                <w:szCs w:val="20"/>
              </w:rPr>
              <w:t>L</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(34</w:t>
            </w:r>
            <w:r w:rsidR="004E1E0A">
              <w:rPr>
                <w:rFonts w:eastAsia="Calibri" w:cs="Times New Roman"/>
                <w:sz w:val="20"/>
                <w:szCs w:val="20"/>
              </w:rPr>
              <w:t>4</w:t>
            </w:r>
            <w:r>
              <w:rPr>
                <w:rFonts w:eastAsia="Calibri" w:cs="Times New Roman"/>
                <w:sz w:val="20"/>
                <w:szCs w:val="20"/>
              </w:rPr>
              <w:t>29</w:t>
            </w:r>
            <w:r w:rsidR="004E1E0A" w:rsidRPr="003A74F5">
              <w:rPr>
                <w:rFonts w:eastAsia="Calibri" w:cs="Times New Roman"/>
                <w:sz w:val="20"/>
                <w:szCs w:val="20"/>
              </w:rPr>
              <w:t>)</w:t>
            </w:r>
          </w:p>
          <w:p w:rsidR="004E1E0A" w:rsidRPr="003A74F5" w:rsidRDefault="004E1E0A" w:rsidP="00644156">
            <w:pPr>
              <w:jc w:val="both"/>
              <w:rPr>
                <w:rFonts w:eastAsia="Calibri" w:cs="Times New Roman"/>
                <w:sz w:val="20"/>
                <w:szCs w:val="20"/>
              </w:rPr>
            </w:pPr>
          </w:p>
        </w:tc>
      </w:tr>
      <w:tr w:rsidR="004E1E0A" w:rsidRPr="003A74F5"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w:t>
            </w:r>
            <w:r>
              <w:rPr>
                <w:rFonts w:eastAsia="Calibri" w:cs="Times New Roman"/>
                <w:sz w:val="20"/>
                <w:szCs w:val="20"/>
              </w:rPr>
              <w:t>1</w:t>
            </w:r>
            <w:r w:rsidRPr="003A74F5">
              <w:rPr>
                <w:rFonts w:eastAsia="Calibri" w:cs="Times New Roman"/>
                <w:sz w:val="20"/>
                <w:szCs w:val="20"/>
              </w:rPr>
              <w:t>-</w:t>
            </w:r>
            <w:r w:rsidR="006265F3">
              <w:rPr>
                <w:rFonts w:eastAsia="Calibri" w:cs="Times New Roman"/>
                <w:sz w:val="20"/>
                <w:szCs w:val="20"/>
              </w:rPr>
              <w:t>16</w:t>
            </w:r>
          </w:p>
        </w:tc>
        <w:tc>
          <w:tcPr>
            <w:tcW w:w="7178" w:type="dxa"/>
          </w:tcPr>
          <w:p w:rsidR="004E1E0A" w:rsidRDefault="00B077A6" w:rsidP="00B077A6">
            <w:pPr>
              <w:jc w:val="both"/>
              <w:rPr>
                <w:rFonts w:eastAsia="Calibri" w:cs="Times New Roman"/>
                <w:sz w:val="20"/>
                <w:szCs w:val="20"/>
              </w:rPr>
            </w:pPr>
            <w:r>
              <w:rPr>
                <w:rFonts w:eastAsia="Calibri" w:cs="Times New Roman"/>
                <w:i/>
                <w:sz w:val="20"/>
                <w:szCs w:val="20"/>
              </w:rPr>
              <w:t>Edw</w:t>
            </w:r>
            <w:r w:rsidR="004E1E0A" w:rsidRPr="003A74F5">
              <w:rPr>
                <w:rFonts w:eastAsia="Calibri" w:cs="Times New Roman"/>
                <w:i/>
                <w:sz w:val="20"/>
                <w:szCs w:val="20"/>
              </w:rPr>
              <w:t>a</w:t>
            </w:r>
            <w:r>
              <w:rPr>
                <w:rFonts w:eastAsia="Calibri" w:cs="Times New Roman"/>
                <w:i/>
                <w:sz w:val="20"/>
                <w:szCs w:val="20"/>
              </w:rPr>
              <w:t xml:space="preserve">rd </w:t>
            </w:r>
            <w:proofErr w:type="spellStart"/>
            <w:r>
              <w:rPr>
                <w:rFonts w:eastAsia="Calibri" w:cs="Times New Roman"/>
                <w:i/>
                <w:sz w:val="20"/>
                <w:szCs w:val="20"/>
              </w:rPr>
              <w:t>Sumio</w:t>
            </w:r>
            <w:proofErr w:type="spellEnd"/>
            <w:r>
              <w:rPr>
                <w:rFonts w:eastAsia="Calibri" w:cs="Times New Roman"/>
                <w:i/>
                <w:sz w:val="20"/>
                <w:szCs w:val="20"/>
              </w:rPr>
              <w:t xml:space="preserve"> Ni</w:t>
            </w:r>
            <w:r w:rsidR="004E1E0A" w:rsidRPr="003A74F5">
              <w:rPr>
                <w:rFonts w:eastAsia="Calibri" w:cs="Times New Roman"/>
                <w:i/>
                <w:sz w:val="20"/>
                <w:szCs w:val="20"/>
              </w:rPr>
              <w:t>s</w:t>
            </w:r>
            <w:r>
              <w:rPr>
                <w:rFonts w:eastAsia="Calibri" w:cs="Times New Roman"/>
                <w:i/>
                <w:sz w:val="20"/>
                <w:szCs w:val="20"/>
              </w:rPr>
              <w:t>hi</w:t>
            </w:r>
            <w:r w:rsidR="004E1E0A" w:rsidRPr="003A74F5">
              <w:rPr>
                <w:rFonts w:eastAsia="Calibri" w:cs="Times New Roman"/>
                <w:i/>
                <w:sz w:val="20"/>
                <w:szCs w:val="20"/>
              </w:rPr>
              <w:t xml:space="preserve"> v. </w:t>
            </w:r>
            <w:r>
              <w:rPr>
                <w:rFonts w:eastAsia="Calibri" w:cs="Times New Roman"/>
                <w:i/>
                <w:sz w:val="20"/>
                <w:szCs w:val="20"/>
              </w:rPr>
              <w:t>Ra</w:t>
            </w:r>
            <w:r w:rsidR="004E1E0A">
              <w:rPr>
                <w:rFonts w:eastAsia="Calibri" w:cs="Times New Roman"/>
                <w:i/>
                <w:sz w:val="20"/>
                <w:szCs w:val="20"/>
              </w:rPr>
              <w:t>s</w:t>
            </w:r>
            <w:r>
              <w:rPr>
                <w:rFonts w:eastAsia="Calibri" w:cs="Times New Roman"/>
                <w:i/>
                <w:sz w:val="20"/>
                <w:szCs w:val="20"/>
              </w:rPr>
              <w:t>cal Trucking Ltd.</w:t>
            </w:r>
            <w:r w:rsidR="004E1E0A" w:rsidRPr="003A74F5">
              <w:rPr>
                <w:rFonts w:eastAsia="Calibri" w:cs="Times New Roman"/>
                <w:sz w:val="20"/>
                <w:szCs w:val="20"/>
              </w:rPr>
              <w:t xml:space="preserve"> (</w:t>
            </w:r>
            <w:r>
              <w:rPr>
                <w:rFonts w:eastAsia="Calibri" w:cs="Times New Roman"/>
                <w:sz w:val="20"/>
                <w:szCs w:val="20"/>
              </w:rPr>
              <w:t>B.C</w:t>
            </w:r>
            <w:r w:rsidR="004E1E0A" w:rsidRPr="003A74F5">
              <w:rPr>
                <w:rFonts w:eastAsia="Calibri" w:cs="Times New Roman"/>
                <w:sz w:val="20"/>
                <w:szCs w:val="20"/>
              </w:rPr>
              <w:t>.) (Ci</w:t>
            </w:r>
            <w:r>
              <w:rPr>
                <w:rFonts w:eastAsia="Calibri" w:cs="Times New Roman"/>
                <w:sz w:val="20"/>
                <w:szCs w:val="20"/>
              </w:rPr>
              <w:t>v</w:t>
            </w:r>
            <w:r w:rsidR="004E1E0A" w:rsidRPr="003A74F5">
              <w:rPr>
                <w:rFonts w:eastAsia="Calibri" w:cs="Times New Roman"/>
                <w:sz w:val="20"/>
                <w:szCs w:val="20"/>
              </w:rPr>
              <w:t>il) (</w:t>
            </w:r>
            <w:r>
              <w:rPr>
                <w:rFonts w:eastAsia="Calibri" w:cs="Times New Roman"/>
                <w:sz w:val="20"/>
                <w:szCs w:val="20"/>
              </w:rPr>
              <w:t>By Leave</w:t>
            </w:r>
            <w:r w:rsidR="004E1E0A" w:rsidRPr="003A74F5">
              <w:rPr>
                <w:rFonts w:eastAsia="Calibri" w:cs="Times New Roman"/>
                <w:sz w:val="20"/>
                <w:szCs w:val="20"/>
              </w:rPr>
              <w:t>) (34</w:t>
            </w:r>
            <w:r w:rsidR="004E1E0A">
              <w:rPr>
                <w:rFonts w:eastAsia="Calibri" w:cs="Times New Roman"/>
                <w:sz w:val="20"/>
                <w:szCs w:val="20"/>
              </w:rPr>
              <w:t>5</w:t>
            </w:r>
            <w:r w:rsidR="00644156">
              <w:rPr>
                <w:rFonts w:eastAsia="Calibri" w:cs="Times New Roman"/>
                <w:sz w:val="20"/>
                <w:szCs w:val="20"/>
              </w:rPr>
              <w:t>10</w:t>
            </w:r>
            <w:r w:rsidR="004E1E0A" w:rsidRPr="003A74F5">
              <w:rPr>
                <w:rFonts w:eastAsia="Calibri" w:cs="Times New Roman"/>
                <w:sz w:val="20"/>
                <w:szCs w:val="20"/>
              </w:rPr>
              <w:t>)</w:t>
            </w:r>
          </w:p>
          <w:p w:rsidR="004E1E0A" w:rsidRPr="003A74F5" w:rsidRDefault="004E1E0A" w:rsidP="0064520F">
            <w:pPr>
              <w:jc w:val="both"/>
              <w:rPr>
                <w:rFonts w:eastAsia="Calibri" w:cs="Times New Roman"/>
                <w:sz w:val="20"/>
                <w:szCs w:val="20"/>
              </w:rPr>
            </w:pPr>
          </w:p>
        </w:tc>
      </w:tr>
      <w:tr w:rsidR="004E1E0A" w:rsidRPr="00B077A6"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w:t>
            </w:r>
            <w:r>
              <w:rPr>
                <w:rFonts w:eastAsia="Calibri" w:cs="Times New Roman"/>
                <w:sz w:val="20"/>
                <w:szCs w:val="20"/>
              </w:rPr>
              <w:t>1</w:t>
            </w:r>
            <w:r w:rsidRPr="003A74F5">
              <w:rPr>
                <w:rFonts w:eastAsia="Calibri" w:cs="Times New Roman"/>
                <w:sz w:val="20"/>
                <w:szCs w:val="20"/>
              </w:rPr>
              <w:t>-</w:t>
            </w:r>
            <w:r w:rsidR="006265F3">
              <w:rPr>
                <w:rFonts w:eastAsia="Calibri" w:cs="Times New Roman"/>
                <w:sz w:val="20"/>
                <w:szCs w:val="20"/>
              </w:rPr>
              <w:t>17</w:t>
            </w:r>
          </w:p>
        </w:tc>
        <w:tc>
          <w:tcPr>
            <w:tcW w:w="7178" w:type="dxa"/>
          </w:tcPr>
          <w:p w:rsidR="004E1E0A" w:rsidRPr="00B077A6" w:rsidRDefault="004E1E0A" w:rsidP="00B077A6">
            <w:pPr>
              <w:jc w:val="both"/>
              <w:rPr>
                <w:rFonts w:eastAsia="Calibri" w:cs="Times New Roman"/>
                <w:sz w:val="20"/>
                <w:szCs w:val="20"/>
              </w:rPr>
            </w:pPr>
            <w:proofErr w:type="spellStart"/>
            <w:r w:rsidRPr="00B077A6">
              <w:rPr>
                <w:rFonts w:eastAsia="Calibri" w:cs="Times New Roman"/>
                <w:i/>
                <w:sz w:val="20"/>
                <w:szCs w:val="20"/>
              </w:rPr>
              <w:t>R</w:t>
            </w:r>
            <w:r w:rsidR="00B077A6" w:rsidRPr="00B077A6">
              <w:rPr>
                <w:rFonts w:eastAsia="Calibri" w:cs="Times New Roman"/>
                <w:i/>
                <w:sz w:val="20"/>
                <w:szCs w:val="20"/>
              </w:rPr>
              <w:t>achidi</w:t>
            </w:r>
            <w:proofErr w:type="spellEnd"/>
            <w:r w:rsidR="00B077A6" w:rsidRPr="00B077A6">
              <w:rPr>
                <w:rFonts w:eastAsia="Calibri" w:cs="Times New Roman"/>
                <w:i/>
                <w:sz w:val="20"/>
                <w:szCs w:val="20"/>
              </w:rPr>
              <w:t xml:space="preserve"> </w:t>
            </w:r>
            <w:proofErr w:type="spellStart"/>
            <w:r w:rsidR="00B077A6" w:rsidRPr="00B077A6">
              <w:rPr>
                <w:rFonts w:eastAsia="Calibri" w:cs="Times New Roman"/>
                <w:i/>
                <w:sz w:val="20"/>
                <w:szCs w:val="20"/>
              </w:rPr>
              <w:t>Eka</w:t>
            </w:r>
            <w:r w:rsidRPr="00B077A6">
              <w:rPr>
                <w:rFonts w:eastAsia="Calibri" w:cs="Times New Roman"/>
                <w:i/>
                <w:sz w:val="20"/>
                <w:szCs w:val="20"/>
              </w:rPr>
              <w:t>n</w:t>
            </w:r>
            <w:r w:rsidR="00B077A6" w:rsidRPr="00B077A6">
              <w:rPr>
                <w:rFonts w:eastAsia="Calibri" w:cs="Times New Roman"/>
                <w:i/>
                <w:sz w:val="20"/>
                <w:szCs w:val="20"/>
              </w:rPr>
              <w:t>za</w:t>
            </w:r>
            <w:proofErr w:type="spellEnd"/>
            <w:r w:rsidR="00B077A6" w:rsidRPr="00B077A6">
              <w:rPr>
                <w:rFonts w:eastAsia="Calibri" w:cs="Times New Roman"/>
                <w:i/>
                <w:sz w:val="20"/>
                <w:szCs w:val="20"/>
              </w:rPr>
              <w:t xml:space="preserve"> </w:t>
            </w:r>
            <w:proofErr w:type="spellStart"/>
            <w:r w:rsidR="00B077A6" w:rsidRPr="00B077A6">
              <w:rPr>
                <w:rFonts w:eastAsia="Calibri" w:cs="Times New Roman"/>
                <w:i/>
                <w:sz w:val="20"/>
                <w:szCs w:val="20"/>
              </w:rPr>
              <w:t>E</w:t>
            </w:r>
            <w:r w:rsidR="0064520F">
              <w:rPr>
                <w:rFonts w:eastAsia="Calibri" w:cs="Times New Roman"/>
                <w:i/>
                <w:sz w:val="20"/>
                <w:szCs w:val="20"/>
              </w:rPr>
              <w:t>z</w:t>
            </w:r>
            <w:r w:rsidR="00B077A6" w:rsidRPr="00B077A6">
              <w:rPr>
                <w:rFonts w:eastAsia="Calibri" w:cs="Times New Roman"/>
                <w:i/>
                <w:sz w:val="20"/>
                <w:szCs w:val="20"/>
              </w:rPr>
              <w:t>okola</w:t>
            </w:r>
            <w:proofErr w:type="spellEnd"/>
            <w:r w:rsidRPr="00B077A6">
              <w:rPr>
                <w:rFonts w:eastAsia="Calibri" w:cs="Times New Roman"/>
                <w:i/>
                <w:sz w:val="20"/>
                <w:szCs w:val="20"/>
              </w:rPr>
              <w:t xml:space="preserve"> </w:t>
            </w:r>
            <w:r w:rsidR="00B077A6">
              <w:rPr>
                <w:rFonts w:eastAsia="Calibri" w:cs="Times New Roman"/>
                <w:i/>
                <w:sz w:val="20"/>
                <w:szCs w:val="20"/>
              </w:rPr>
              <w:t>v</w:t>
            </w:r>
            <w:r w:rsidRPr="00B077A6">
              <w:rPr>
                <w:rFonts w:eastAsia="Calibri" w:cs="Times New Roman"/>
                <w:i/>
                <w:sz w:val="20"/>
                <w:szCs w:val="20"/>
              </w:rPr>
              <w:t xml:space="preserve">. </w:t>
            </w:r>
            <w:r w:rsidR="00B077A6" w:rsidRPr="00B077A6">
              <w:rPr>
                <w:rFonts w:eastAsia="Calibri" w:cs="Times New Roman"/>
                <w:i/>
                <w:sz w:val="20"/>
                <w:szCs w:val="20"/>
              </w:rPr>
              <w:t>Minist</w:t>
            </w:r>
            <w:r w:rsidRPr="00B077A6">
              <w:rPr>
                <w:rFonts w:eastAsia="Calibri" w:cs="Times New Roman"/>
                <w:i/>
                <w:sz w:val="20"/>
                <w:szCs w:val="20"/>
              </w:rPr>
              <w:t>er</w:t>
            </w:r>
            <w:r w:rsidR="00B077A6" w:rsidRPr="00B077A6">
              <w:rPr>
                <w:rFonts w:eastAsia="Calibri" w:cs="Times New Roman"/>
                <w:i/>
                <w:sz w:val="20"/>
                <w:szCs w:val="20"/>
              </w:rPr>
              <w:t xml:space="preserve"> of C</w:t>
            </w:r>
            <w:r w:rsidRPr="00B077A6">
              <w:rPr>
                <w:rFonts w:eastAsia="Calibri" w:cs="Times New Roman"/>
                <w:i/>
                <w:sz w:val="20"/>
                <w:szCs w:val="20"/>
              </w:rPr>
              <w:t>i</w:t>
            </w:r>
            <w:r w:rsidR="00B077A6" w:rsidRPr="00B077A6">
              <w:rPr>
                <w:rFonts w:eastAsia="Calibri" w:cs="Times New Roman"/>
                <w:i/>
                <w:sz w:val="20"/>
                <w:szCs w:val="20"/>
              </w:rPr>
              <w:t>tiz</w:t>
            </w:r>
            <w:r w:rsidRPr="00B077A6">
              <w:rPr>
                <w:rFonts w:eastAsia="Calibri" w:cs="Times New Roman"/>
                <w:i/>
                <w:sz w:val="20"/>
                <w:szCs w:val="20"/>
              </w:rPr>
              <w:t>e</w:t>
            </w:r>
            <w:r w:rsidR="00B077A6" w:rsidRPr="00B077A6">
              <w:rPr>
                <w:rFonts w:eastAsia="Calibri" w:cs="Times New Roman"/>
                <w:i/>
                <w:sz w:val="20"/>
                <w:szCs w:val="20"/>
              </w:rPr>
              <w:t>n</w:t>
            </w:r>
            <w:r w:rsidRPr="00B077A6">
              <w:rPr>
                <w:rFonts w:eastAsia="Calibri" w:cs="Times New Roman"/>
                <w:i/>
                <w:sz w:val="20"/>
                <w:szCs w:val="20"/>
              </w:rPr>
              <w:t>s</w:t>
            </w:r>
            <w:r w:rsidR="00B077A6" w:rsidRPr="00B077A6">
              <w:rPr>
                <w:rFonts w:eastAsia="Calibri" w:cs="Times New Roman"/>
                <w:i/>
                <w:sz w:val="20"/>
                <w:szCs w:val="20"/>
              </w:rPr>
              <w:t>h</w:t>
            </w:r>
            <w:r w:rsidRPr="00B077A6">
              <w:rPr>
                <w:rFonts w:eastAsia="Calibri" w:cs="Times New Roman"/>
                <w:i/>
                <w:sz w:val="20"/>
                <w:szCs w:val="20"/>
              </w:rPr>
              <w:t>i</w:t>
            </w:r>
            <w:r w:rsidR="00B077A6" w:rsidRPr="00B077A6">
              <w:rPr>
                <w:rFonts w:eastAsia="Calibri" w:cs="Times New Roman"/>
                <w:i/>
                <w:sz w:val="20"/>
                <w:szCs w:val="20"/>
              </w:rPr>
              <w:t xml:space="preserve">p and Immigration </w:t>
            </w:r>
            <w:r w:rsidRPr="00B077A6">
              <w:rPr>
                <w:rFonts w:eastAsia="Calibri" w:cs="Times New Roman"/>
                <w:sz w:val="20"/>
                <w:szCs w:val="20"/>
              </w:rPr>
              <w:t>(</w:t>
            </w:r>
            <w:r w:rsidR="00B077A6" w:rsidRPr="00B077A6">
              <w:rPr>
                <w:rFonts w:eastAsia="Calibri" w:cs="Times New Roman"/>
                <w:sz w:val="20"/>
                <w:szCs w:val="20"/>
              </w:rPr>
              <w:t>F.C.</w:t>
            </w:r>
            <w:r w:rsidRPr="00B077A6">
              <w:rPr>
                <w:rFonts w:eastAsia="Calibri" w:cs="Times New Roman"/>
                <w:sz w:val="20"/>
                <w:szCs w:val="20"/>
              </w:rPr>
              <w:t>) (Civil) (</w:t>
            </w:r>
            <w:r w:rsidR="00B077A6" w:rsidRPr="00B077A6">
              <w:rPr>
                <w:rFonts w:eastAsia="Calibri" w:cs="Times New Roman"/>
                <w:sz w:val="20"/>
                <w:szCs w:val="20"/>
              </w:rPr>
              <w:t>By Leave</w:t>
            </w:r>
            <w:r w:rsidRPr="00B077A6">
              <w:rPr>
                <w:rFonts w:eastAsia="Calibri" w:cs="Times New Roman"/>
                <w:sz w:val="20"/>
                <w:szCs w:val="20"/>
              </w:rPr>
              <w:t>) (34</w:t>
            </w:r>
            <w:r w:rsidR="00B077A6" w:rsidRPr="00B077A6">
              <w:rPr>
                <w:rFonts w:eastAsia="Calibri" w:cs="Times New Roman"/>
                <w:sz w:val="20"/>
                <w:szCs w:val="20"/>
              </w:rPr>
              <w:t>470</w:t>
            </w:r>
            <w:r w:rsidRPr="00B077A6">
              <w:rPr>
                <w:rFonts w:eastAsia="Calibri" w:cs="Times New Roman"/>
                <w:sz w:val="20"/>
                <w:szCs w:val="20"/>
              </w:rPr>
              <w:t>)</w:t>
            </w:r>
          </w:p>
          <w:p w:rsidR="004E1E0A" w:rsidRPr="00B077A6" w:rsidRDefault="004E1E0A" w:rsidP="00B077A6">
            <w:pPr>
              <w:jc w:val="both"/>
              <w:rPr>
                <w:rFonts w:eastAsia="Calibri" w:cs="Times New Roman"/>
                <w:sz w:val="20"/>
                <w:szCs w:val="20"/>
              </w:rPr>
            </w:pPr>
          </w:p>
        </w:tc>
      </w:tr>
      <w:tr w:rsidR="004E1E0A" w:rsidRPr="00644156" w:rsidTr="00B077A6">
        <w:trPr>
          <w:cantSplit/>
          <w:trHeight w:val="288"/>
        </w:trPr>
        <w:tc>
          <w:tcPr>
            <w:tcW w:w="2398" w:type="dxa"/>
          </w:tcPr>
          <w:p w:rsidR="004E1E0A" w:rsidRPr="00216AEB" w:rsidRDefault="004E1E0A" w:rsidP="006265F3">
            <w:pPr>
              <w:rPr>
                <w:rFonts w:eastAsia="Calibri" w:cs="Times New Roman"/>
                <w:sz w:val="20"/>
                <w:szCs w:val="20"/>
                <w:lang w:val="fr-CA"/>
              </w:rPr>
            </w:pPr>
            <w:r w:rsidRPr="00216AEB">
              <w:rPr>
                <w:rFonts w:eastAsia="Calibri" w:cs="Times New Roman"/>
                <w:sz w:val="20"/>
                <w:szCs w:val="20"/>
                <w:lang w:val="fr-CA"/>
              </w:rPr>
              <w:t>201</w:t>
            </w:r>
            <w:r w:rsidR="006265F3">
              <w:rPr>
                <w:rFonts w:eastAsia="Calibri" w:cs="Times New Roman"/>
                <w:sz w:val="20"/>
                <w:szCs w:val="20"/>
                <w:lang w:val="fr-CA"/>
              </w:rPr>
              <w:t>3</w:t>
            </w:r>
            <w:r w:rsidRPr="00216AEB">
              <w:rPr>
                <w:rFonts w:eastAsia="Calibri" w:cs="Times New Roman"/>
                <w:sz w:val="20"/>
                <w:szCs w:val="20"/>
                <w:lang w:val="fr-CA"/>
              </w:rPr>
              <w:t>-</w:t>
            </w:r>
            <w:r w:rsidR="006265F3">
              <w:rPr>
                <w:rFonts w:eastAsia="Calibri" w:cs="Times New Roman"/>
                <w:sz w:val="20"/>
                <w:szCs w:val="20"/>
                <w:lang w:val="fr-CA"/>
              </w:rPr>
              <w:t>0</w:t>
            </w:r>
            <w:r w:rsidRPr="00216AEB">
              <w:rPr>
                <w:rFonts w:eastAsia="Calibri" w:cs="Times New Roman"/>
                <w:sz w:val="20"/>
                <w:szCs w:val="20"/>
                <w:lang w:val="fr-CA"/>
              </w:rPr>
              <w:t>1-</w:t>
            </w:r>
            <w:r w:rsidR="006265F3">
              <w:rPr>
                <w:rFonts w:eastAsia="Calibri" w:cs="Times New Roman"/>
                <w:sz w:val="20"/>
                <w:szCs w:val="20"/>
                <w:lang w:val="fr-CA"/>
              </w:rPr>
              <w:t>1</w:t>
            </w:r>
            <w:r w:rsidRPr="00216AEB">
              <w:rPr>
                <w:rFonts w:eastAsia="Calibri" w:cs="Times New Roman"/>
                <w:sz w:val="20"/>
                <w:szCs w:val="20"/>
                <w:lang w:val="fr-CA"/>
              </w:rPr>
              <w:t>8</w:t>
            </w:r>
          </w:p>
        </w:tc>
        <w:tc>
          <w:tcPr>
            <w:tcW w:w="7178" w:type="dxa"/>
          </w:tcPr>
          <w:p w:rsidR="004E1E0A" w:rsidRDefault="00B077A6" w:rsidP="00B077A6">
            <w:pPr>
              <w:jc w:val="both"/>
              <w:rPr>
                <w:rFonts w:eastAsia="Calibri" w:cs="Times New Roman"/>
                <w:sz w:val="20"/>
                <w:szCs w:val="20"/>
                <w:lang w:val="fr-CA"/>
              </w:rPr>
            </w:pPr>
            <w:r w:rsidRPr="00B077A6">
              <w:rPr>
                <w:rFonts w:eastAsia="Calibri" w:cs="Times New Roman"/>
                <w:i/>
                <w:sz w:val="20"/>
                <w:szCs w:val="20"/>
              </w:rPr>
              <w:t>Hoa</w:t>
            </w:r>
            <w:r w:rsidR="004E1E0A" w:rsidRPr="00B077A6">
              <w:rPr>
                <w:rFonts w:eastAsia="Calibri" w:cs="Times New Roman"/>
                <w:i/>
                <w:sz w:val="20"/>
                <w:szCs w:val="20"/>
              </w:rPr>
              <w:t>n</w:t>
            </w:r>
            <w:r w:rsidRPr="00B077A6">
              <w:rPr>
                <w:rFonts w:eastAsia="Calibri" w:cs="Times New Roman"/>
                <w:i/>
                <w:sz w:val="20"/>
                <w:szCs w:val="20"/>
              </w:rPr>
              <w:t xml:space="preserve">g </w:t>
            </w:r>
            <w:proofErr w:type="spellStart"/>
            <w:r w:rsidRPr="00B077A6">
              <w:rPr>
                <w:rFonts w:eastAsia="Calibri" w:cs="Times New Roman"/>
                <w:i/>
                <w:sz w:val="20"/>
                <w:szCs w:val="20"/>
              </w:rPr>
              <w:t>Anh</w:t>
            </w:r>
            <w:proofErr w:type="spellEnd"/>
            <w:r w:rsidRPr="00B077A6">
              <w:rPr>
                <w:rFonts w:eastAsia="Calibri" w:cs="Times New Roman"/>
                <w:i/>
                <w:sz w:val="20"/>
                <w:szCs w:val="20"/>
              </w:rPr>
              <w:t xml:space="preserve"> Pham</w:t>
            </w:r>
            <w:r w:rsidR="004E1E0A" w:rsidRPr="00B077A6">
              <w:rPr>
                <w:rFonts w:eastAsia="Calibri" w:cs="Times New Roman"/>
                <w:i/>
                <w:sz w:val="20"/>
                <w:szCs w:val="20"/>
              </w:rPr>
              <w:t xml:space="preserve"> </w:t>
            </w:r>
            <w:r w:rsidRPr="00B077A6">
              <w:rPr>
                <w:rFonts w:eastAsia="Calibri" w:cs="Times New Roman"/>
                <w:i/>
                <w:sz w:val="20"/>
                <w:szCs w:val="20"/>
              </w:rPr>
              <w:t>v</w:t>
            </w:r>
            <w:r w:rsidR="004E1E0A" w:rsidRPr="00B077A6">
              <w:rPr>
                <w:rFonts w:eastAsia="Calibri" w:cs="Times New Roman"/>
                <w:i/>
                <w:sz w:val="20"/>
                <w:szCs w:val="20"/>
              </w:rPr>
              <w:t xml:space="preserve">. </w:t>
            </w:r>
            <w:r w:rsidRPr="0085047E">
              <w:rPr>
                <w:rFonts w:eastAsia="Calibri" w:cs="Times New Roman"/>
                <w:i/>
                <w:sz w:val="20"/>
                <w:szCs w:val="20"/>
              </w:rPr>
              <w:t>Her Majesty the Queen</w:t>
            </w:r>
            <w:r w:rsidRPr="0085047E">
              <w:rPr>
                <w:rFonts w:eastAsia="Calibri" w:cs="Times New Roman"/>
                <w:sz w:val="20"/>
                <w:szCs w:val="20"/>
              </w:rPr>
              <w:t xml:space="preserve"> </w:t>
            </w:r>
            <w:r w:rsidR="004E1E0A" w:rsidRPr="00B077A6">
              <w:rPr>
                <w:rFonts w:eastAsia="Calibri" w:cs="Times New Roman"/>
                <w:sz w:val="20"/>
                <w:szCs w:val="20"/>
              </w:rPr>
              <w:t>(</w:t>
            </w:r>
            <w:r w:rsidRPr="00B077A6">
              <w:rPr>
                <w:rFonts w:eastAsia="Calibri" w:cs="Times New Roman"/>
                <w:sz w:val="20"/>
                <w:szCs w:val="20"/>
              </w:rPr>
              <w:t>Alta.</w:t>
            </w:r>
            <w:r w:rsidR="004E1E0A" w:rsidRPr="00B077A6">
              <w:rPr>
                <w:rFonts w:eastAsia="Calibri" w:cs="Times New Roman"/>
                <w:sz w:val="20"/>
                <w:szCs w:val="20"/>
              </w:rPr>
              <w:t xml:space="preserve">) </w:t>
            </w:r>
            <w:r w:rsidR="004E1E0A" w:rsidRPr="00216AEB">
              <w:rPr>
                <w:rFonts w:eastAsia="Calibri" w:cs="Times New Roman"/>
                <w:sz w:val="20"/>
                <w:szCs w:val="20"/>
                <w:lang w:val="fr-CA"/>
              </w:rPr>
              <w:t>(</w:t>
            </w:r>
            <w:proofErr w:type="spellStart"/>
            <w:r w:rsidR="004E1E0A" w:rsidRPr="00216AEB">
              <w:rPr>
                <w:rFonts w:eastAsia="Calibri" w:cs="Times New Roman"/>
                <w:sz w:val="20"/>
                <w:szCs w:val="20"/>
                <w:lang w:val="fr-CA"/>
              </w:rPr>
              <w:t>C</w:t>
            </w:r>
            <w:r>
              <w:rPr>
                <w:rFonts w:eastAsia="Calibri" w:cs="Times New Roman"/>
                <w:sz w:val="20"/>
                <w:szCs w:val="20"/>
                <w:lang w:val="fr-CA"/>
              </w:rPr>
              <w:t>r</w:t>
            </w:r>
            <w:r w:rsidR="004E1E0A" w:rsidRPr="00216AEB">
              <w:rPr>
                <w:rFonts w:eastAsia="Calibri" w:cs="Times New Roman"/>
                <w:sz w:val="20"/>
                <w:szCs w:val="20"/>
                <w:lang w:val="fr-CA"/>
              </w:rPr>
              <w:t>i</w:t>
            </w:r>
            <w:r>
              <w:rPr>
                <w:rFonts w:eastAsia="Calibri" w:cs="Times New Roman"/>
                <w:sz w:val="20"/>
                <w:szCs w:val="20"/>
                <w:lang w:val="fr-CA"/>
              </w:rPr>
              <w:t>m</w:t>
            </w:r>
            <w:r w:rsidR="004E1E0A" w:rsidRPr="00216AEB">
              <w:rPr>
                <w:rFonts w:eastAsia="Calibri" w:cs="Times New Roman"/>
                <w:sz w:val="20"/>
                <w:szCs w:val="20"/>
                <w:lang w:val="fr-CA"/>
              </w:rPr>
              <w:t>i</w:t>
            </w:r>
            <w:r>
              <w:rPr>
                <w:rFonts w:eastAsia="Calibri" w:cs="Times New Roman"/>
                <w:sz w:val="20"/>
                <w:szCs w:val="20"/>
                <w:lang w:val="fr-CA"/>
              </w:rPr>
              <w:t>na</w:t>
            </w:r>
            <w:r w:rsidR="004E1E0A" w:rsidRPr="00216AEB">
              <w:rPr>
                <w:rFonts w:eastAsia="Calibri" w:cs="Times New Roman"/>
                <w:sz w:val="20"/>
                <w:szCs w:val="20"/>
                <w:lang w:val="fr-CA"/>
              </w:rPr>
              <w:t>l</w:t>
            </w:r>
            <w:proofErr w:type="spellEnd"/>
            <w:r w:rsidR="004E1E0A" w:rsidRPr="00216AEB">
              <w:rPr>
                <w:rFonts w:eastAsia="Calibri" w:cs="Times New Roman"/>
                <w:sz w:val="20"/>
                <w:szCs w:val="20"/>
                <w:lang w:val="fr-CA"/>
              </w:rPr>
              <w:t>) (</w:t>
            </w:r>
            <w:r>
              <w:rPr>
                <w:rFonts w:eastAsia="Calibri" w:cs="Times New Roman"/>
                <w:sz w:val="20"/>
                <w:szCs w:val="20"/>
                <w:lang w:val="fr-CA"/>
              </w:rPr>
              <w:t xml:space="preserve">By </w:t>
            </w:r>
            <w:proofErr w:type="spellStart"/>
            <w:r>
              <w:rPr>
                <w:rFonts w:eastAsia="Calibri" w:cs="Times New Roman"/>
                <w:sz w:val="20"/>
                <w:szCs w:val="20"/>
                <w:lang w:val="fr-CA"/>
              </w:rPr>
              <w:t>Leave</w:t>
            </w:r>
            <w:proofErr w:type="spellEnd"/>
            <w:r w:rsidR="004E1E0A" w:rsidRPr="00216AEB">
              <w:rPr>
                <w:rFonts w:eastAsia="Calibri" w:cs="Times New Roman"/>
                <w:sz w:val="20"/>
                <w:szCs w:val="20"/>
                <w:lang w:val="fr-CA"/>
              </w:rPr>
              <w:t>) (34</w:t>
            </w:r>
            <w:r>
              <w:rPr>
                <w:rFonts w:eastAsia="Calibri" w:cs="Times New Roman"/>
                <w:sz w:val="20"/>
                <w:szCs w:val="20"/>
                <w:lang w:val="fr-CA"/>
              </w:rPr>
              <w:t>8</w:t>
            </w:r>
            <w:r w:rsidR="004E1E0A">
              <w:rPr>
                <w:rFonts w:eastAsia="Calibri" w:cs="Times New Roman"/>
                <w:sz w:val="20"/>
                <w:szCs w:val="20"/>
                <w:lang w:val="fr-CA"/>
              </w:rPr>
              <w:t>9</w:t>
            </w:r>
            <w:r>
              <w:rPr>
                <w:rFonts w:eastAsia="Calibri" w:cs="Times New Roman"/>
                <w:sz w:val="20"/>
                <w:szCs w:val="20"/>
                <w:lang w:val="fr-CA"/>
              </w:rPr>
              <w:t>7</w:t>
            </w:r>
            <w:r w:rsidR="004E1E0A" w:rsidRPr="00216AEB">
              <w:rPr>
                <w:rFonts w:eastAsia="Calibri" w:cs="Times New Roman"/>
                <w:sz w:val="20"/>
                <w:szCs w:val="20"/>
                <w:lang w:val="fr-CA"/>
              </w:rPr>
              <w:t>)</w:t>
            </w:r>
          </w:p>
          <w:p w:rsidR="004E1E0A" w:rsidRPr="00216AEB" w:rsidRDefault="004E1E0A" w:rsidP="00B077A6">
            <w:pPr>
              <w:jc w:val="both"/>
              <w:rPr>
                <w:rFonts w:eastAsia="Calibri" w:cs="Times New Roman"/>
                <w:sz w:val="20"/>
                <w:szCs w:val="20"/>
                <w:lang w:val="fr-CA"/>
              </w:rPr>
            </w:pPr>
          </w:p>
        </w:tc>
      </w:tr>
      <w:tr w:rsidR="004E1E0A" w:rsidRPr="00216AEB" w:rsidTr="00B077A6">
        <w:trPr>
          <w:cantSplit/>
          <w:trHeight w:val="288"/>
        </w:trPr>
        <w:tc>
          <w:tcPr>
            <w:tcW w:w="2398" w:type="dxa"/>
          </w:tcPr>
          <w:p w:rsidR="004E1E0A" w:rsidRPr="00216AEB" w:rsidRDefault="004E1E0A" w:rsidP="006265F3">
            <w:pPr>
              <w:rPr>
                <w:rFonts w:eastAsia="Calibri" w:cs="Times New Roman"/>
                <w:sz w:val="20"/>
                <w:szCs w:val="20"/>
                <w:lang w:val="fr-CA"/>
              </w:rPr>
            </w:pPr>
            <w:r w:rsidRPr="00216AEB">
              <w:rPr>
                <w:rFonts w:eastAsia="Calibri" w:cs="Times New Roman"/>
                <w:sz w:val="20"/>
                <w:szCs w:val="20"/>
                <w:lang w:val="fr-CA"/>
              </w:rPr>
              <w:t>201</w:t>
            </w:r>
            <w:r w:rsidR="006265F3">
              <w:rPr>
                <w:rFonts w:eastAsia="Calibri" w:cs="Times New Roman"/>
                <w:sz w:val="20"/>
                <w:szCs w:val="20"/>
                <w:lang w:val="fr-CA"/>
              </w:rPr>
              <w:t>3</w:t>
            </w:r>
            <w:r w:rsidRPr="00216AEB">
              <w:rPr>
                <w:rFonts w:eastAsia="Calibri" w:cs="Times New Roman"/>
                <w:sz w:val="20"/>
                <w:szCs w:val="20"/>
                <w:lang w:val="fr-CA"/>
              </w:rPr>
              <w:t>-</w:t>
            </w:r>
            <w:r w:rsidR="006265F3">
              <w:rPr>
                <w:rFonts w:eastAsia="Calibri" w:cs="Times New Roman"/>
                <w:sz w:val="20"/>
                <w:szCs w:val="20"/>
                <w:lang w:val="fr-CA"/>
              </w:rPr>
              <w:t>0</w:t>
            </w:r>
            <w:r w:rsidRPr="00216AEB">
              <w:rPr>
                <w:rFonts w:eastAsia="Calibri" w:cs="Times New Roman"/>
                <w:sz w:val="20"/>
                <w:szCs w:val="20"/>
                <w:lang w:val="fr-CA"/>
              </w:rPr>
              <w:t>1-</w:t>
            </w:r>
            <w:r w:rsidR="006265F3">
              <w:rPr>
                <w:rFonts w:eastAsia="Calibri" w:cs="Times New Roman"/>
                <w:sz w:val="20"/>
                <w:szCs w:val="20"/>
                <w:lang w:val="fr-CA"/>
              </w:rPr>
              <w:t>21</w:t>
            </w:r>
          </w:p>
        </w:tc>
        <w:tc>
          <w:tcPr>
            <w:tcW w:w="7178" w:type="dxa"/>
          </w:tcPr>
          <w:p w:rsidR="004E1E0A" w:rsidRPr="00B077A6" w:rsidRDefault="00B077A6" w:rsidP="00B077A6">
            <w:pPr>
              <w:jc w:val="both"/>
              <w:rPr>
                <w:rFonts w:eastAsia="Calibri" w:cs="Times New Roman"/>
                <w:sz w:val="20"/>
                <w:szCs w:val="20"/>
              </w:rPr>
            </w:pPr>
            <w:r w:rsidRPr="0085047E">
              <w:rPr>
                <w:rFonts w:eastAsia="Calibri" w:cs="Times New Roman"/>
                <w:i/>
                <w:sz w:val="20"/>
                <w:szCs w:val="20"/>
              </w:rPr>
              <w:t>Her Majesty the Queen</w:t>
            </w:r>
            <w:r w:rsidR="004E1E0A" w:rsidRPr="0085047E">
              <w:rPr>
                <w:rFonts w:eastAsia="Calibri" w:cs="Times New Roman"/>
                <w:i/>
                <w:sz w:val="20"/>
                <w:szCs w:val="20"/>
              </w:rPr>
              <w:t xml:space="preserve"> v. </w:t>
            </w:r>
            <w:r>
              <w:rPr>
                <w:rFonts w:eastAsia="Calibri" w:cs="Times New Roman"/>
                <w:i/>
                <w:sz w:val="20"/>
                <w:szCs w:val="20"/>
              </w:rPr>
              <w:t>W.</w:t>
            </w:r>
            <w:r w:rsidR="004E1E0A" w:rsidRPr="0085047E">
              <w:rPr>
                <w:rFonts w:eastAsia="Calibri" w:cs="Times New Roman"/>
                <w:i/>
                <w:sz w:val="20"/>
                <w:szCs w:val="20"/>
              </w:rPr>
              <w:t>H</w:t>
            </w:r>
            <w:r>
              <w:rPr>
                <w:rFonts w:eastAsia="Calibri" w:cs="Times New Roman"/>
                <w:i/>
                <w:sz w:val="20"/>
                <w:szCs w:val="20"/>
              </w:rPr>
              <w:t xml:space="preserve">. </w:t>
            </w:r>
            <w:r w:rsidR="004E1E0A" w:rsidRPr="0085047E">
              <w:rPr>
                <w:rFonts w:eastAsia="Calibri" w:cs="Times New Roman"/>
                <w:sz w:val="20"/>
                <w:szCs w:val="20"/>
              </w:rPr>
              <w:t>(</w:t>
            </w:r>
            <w:r w:rsidR="0064520F">
              <w:rPr>
                <w:rFonts w:eastAsia="Calibri" w:cs="Times New Roman"/>
                <w:sz w:val="20"/>
                <w:szCs w:val="20"/>
              </w:rPr>
              <w:t>N.L</w:t>
            </w:r>
            <w:r w:rsidR="004E1E0A" w:rsidRPr="0085047E">
              <w:rPr>
                <w:rFonts w:eastAsia="Calibri" w:cs="Times New Roman"/>
                <w:sz w:val="20"/>
                <w:szCs w:val="20"/>
              </w:rPr>
              <w:t xml:space="preserve">.) </w:t>
            </w:r>
            <w:r w:rsidR="004E1E0A" w:rsidRPr="00B077A6">
              <w:rPr>
                <w:rFonts w:eastAsia="Calibri" w:cs="Times New Roman"/>
                <w:sz w:val="20"/>
                <w:szCs w:val="20"/>
              </w:rPr>
              <w:t>(Criminal) (</w:t>
            </w:r>
            <w:r>
              <w:rPr>
                <w:rFonts w:eastAsia="Calibri" w:cs="Times New Roman"/>
                <w:sz w:val="20"/>
                <w:szCs w:val="20"/>
              </w:rPr>
              <w:t>By Leave</w:t>
            </w:r>
            <w:r w:rsidR="004E1E0A" w:rsidRPr="00B077A6">
              <w:rPr>
                <w:rFonts w:eastAsia="Calibri" w:cs="Times New Roman"/>
                <w:sz w:val="20"/>
                <w:szCs w:val="20"/>
              </w:rPr>
              <w:t>) (34</w:t>
            </w:r>
            <w:r>
              <w:rPr>
                <w:rFonts w:eastAsia="Calibri" w:cs="Times New Roman"/>
                <w:sz w:val="20"/>
                <w:szCs w:val="20"/>
              </w:rPr>
              <w:t>522</w:t>
            </w:r>
            <w:r w:rsidR="004E1E0A" w:rsidRPr="00B077A6">
              <w:rPr>
                <w:rFonts w:eastAsia="Calibri" w:cs="Times New Roman"/>
                <w:sz w:val="20"/>
                <w:szCs w:val="20"/>
              </w:rPr>
              <w:t>)</w:t>
            </w:r>
          </w:p>
          <w:p w:rsidR="004E1E0A" w:rsidRPr="00B077A6" w:rsidRDefault="004E1E0A" w:rsidP="00B077A6">
            <w:pPr>
              <w:jc w:val="both"/>
              <w:rPr>
                <w:rFonts w:eastAsia="Calibri" w:cs="Times New Roman"/>
                <w:sz w:val="20"/>
                <w:szCs w:val="20"/>
              </w:rPr>
            </w:pPr>
          </w:p>
        </w:tc>
      </w:tr>
      <w:tr w:rsidR="004E1E0A" w:rsidRPr="003A74F5"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01</w:t>
            </w:r>
            <w:r w:rsidRPr="003A74F5">
              <w:rPr>
                <w:rFonts w:eastAsia="Calibri" w:cs="Times New Roman"/>
                <w:sz w:val="20"/>
                <w:szCs w:val="20"/>
              </w:rPr>
              <w:t>-</w:t>
            </w:r>
            <w:r w:rsidR="006265F3">
              <w:rPr>
                <w:rFonts w:eastAsia="Calibri" w:cs="Times New Roman"/>
                <w:sz w:val="20"/>
                <w:szCs w:val="20"/>
              </w:rPr>
              <w:t>22</w:t>
            </w:r>
          </w:p>
        </w:tc>
        <w:tc>
          <w:tcPr>
            <w:tcW w:w="7178" w:type="dxa"/>
          </w:tcPr>
          <w:p w:rsidR="004E1E0A" w:rsidRDefault="00B077A6" w:rsidP="00B077A6">
            <w:pPr>
              <w:jc w:val="both"/>
              <w:rPr>
                <w:rFonts w:eastAsia="Calibri" w:cs="Times New Roman"/>
                <w:sz w:val="20"/>
                <w:szCs w:val="20"/>
              </w:rPr>
            </w:pPr>
            <w:proofErr w:type="spellStart"/>
            <w:r>
              <w:rPr>
                <w:rFonts w:eastAsia="Calibri" w:cs="Times New Roman"/>
                <w:i/>
                <w:sz w:val="20"/>
                <w:szCs w:val="20"/>
              </w:rPr>
              <w:t>M</w:t>
            </w:r>
            <w:r w:rsidR="004E1E0A" w:rsidRPr="0085047E">
              <w:rPr>
                <w:rFonts w:eastAsia="Calibri" w:cs="Times New Roman"/>
                <w:i/>
                <w:sz w:val="20"/>
                <w:szCs w:val="20"/>
              </w:rPr>
              <w:t>an</w:t>
            </w:r>
            <w:r>
              <w:rPr>
                <w:rFonts w:eastAsia="Calibri" w:cs="Times New Roman"/>
                <w:i/>
                <w:sz w:val="20"/>
                <w:szCs w:val="20"/>
              </w:rPr>
              <w:t>deep</w:t>
            </w:r>
            <w:proofErr w:type="spellEnd"/>
            <w:r>
              <w:rPr>
                <w:rFonts w:eastAsia="Calibri" w:cs="Times New Roman"/>
                <w:i/>
                <w:sz w:val="20"/>
                <w:szCs w:val="20"/>
              </w:rPr>
              <w:t xml:space="preserve"> S</w:t>
            </w:r>
            <w:r w:rsidR="004E1E0A" w:rsidRPr="0085047E">
              <w:rPr>
                <w:rFonts w:eastAsia="Calibri" w:cs="Times New Roman"/>
                <w:i/>
                <w:sz w:val="20"/>
                <w:szCs w:val="20"/>
              </w:rPr>
              <w:t>in</w:t>
            </w:r>
            <w:r w:rsidR="00E8173F">
              <w:rPr>
                <w:rFonts w:eastAsia="Calibri" w:cs="Times New Roman"/>
                <w:i/>
                <w:sz w:val="20"/>
                <w:szCs w:val="20"/>
              </w:rPr>
              <w:t>g</w:t>
            </w:r>
            <w:r w:rsidR="004E1E0A" w:rsidRPr="0085047E">
              <w:rPr>
                <w:rFonts w:eastAsia="Calibri" w:cs="Times New Roman"/>
                <w:i/>
                <w:sz w:val="20"/>
                <w:szCs w:val="20"/>
              </w:rPr>
              <w:t>h</w:t>
            </w:r>
            <w:r w:rsidR="00E8173F">
              <w:rPr>
                <w:rFonts w:eastAsia="Calibri" w:cs="Times New Roman"/>
                <w:i/>
                <w:sz w:val="20"/>
                <w:szCs w:val="20"/>
              </w:rPr>
              <w:t xml:space="preserve"> </w:t>
            </w:r>
            <w:proofErr w:type="spellStart"/>
            <w:r w:rsidR="00E8173F">
              <w:rPr>
                <w:rFonts w:eastAsia="Calibri" w:cs="Times New Roman"/>
                <w:i/>
                <w:sz w:val="20"/>
                <w:szCs w:val="20"/>
              </w:rPr>
              <w:t>Cheh</w:t>
            </w:r>
            <w:r w:rsidR="004E1E0A" w:rsidRPr="0085047E">
              <w:rPr>
                <w:rFonts w:eastAsia="Calibri" w:cs="Times New Roman"/>
                <w:i/>
                <w:sz w:val="20"/>
                <w:szCs w:val="20"/>
              </w:rPr>
              <w:t>i</w:t>
            </w:r>
            <w:r w:rsidR="00E8173F">
              <w:rPr>
                <w:rFonts w:eastAsia="Calibri" w:cs="Times New Roman"/>
                <w:i/>
                <w:sz w:val="20"/>
                <w:szCs w:val="20"/>
              </w:rPr>
              <w:t>l</w:t>
            </w:r>
            <w:proofErr w:type="spellEnd"/>
            <w:r w:rsidR="004E1E0A" w:rsidRPr="0085047E">
              <w:rPr>
                <w:rFonts w:eastAsia="Calibri" w:cs="Times New Roman"/>
                <w:i/>
                <w:sz w:val="20"/>
                <w:szCs w:val="20"/>
              </w:rPr>
              <w:t xml:space="preserve"> v. </w:t>
            </w:r>
            <w:r>
              <w:rPr>
                <w:rFonts w:eastAsia="Calibri" w:cs="Times New Roman"/>
                <w:i/>
                <w:sz w:val="20"/>
                <w:szCs w:val="20"/>
              </w:rPr>
              <w:t>H</w:t>
            </w:r>
            <w:r w:rsidRPr="0085047E">
              <w:rPr>
                <w:rFonts w:eastAsia="Calibri" w:cs="Times New Roman"/>
                <w:i/>
                <w:sz w:val="20"/>
                <w:szCs w:val="20"/>
              </w:rPr>
              <w:t>er Majesty the Queen</w:t>
            </w:r>
            <w:r w:rsidR="004E1E0A" w:rsidRPr="0085047E">
              <w:rPr>
                <w:rFonts w:eastAsia="Calibri" w:cs="Times New Roman"/>
                <w:sz w:val="20"/>
                <w:szCs w:val="20"/>
              </w:rPr>
              <w:t xml:space="preserve"> </w:t>
            </w:r>
            <w:r w:rsidR="004E1E0A" w:rsidRPr="003A74F5">
              <w:rPr>
                <w:rFonts w:eastAsia="Calibri" w:cs="Times New Roman"/>
                <w:sz w:val="20"/>
                <w:szCs w:val="20"/>
              </w:rPr>
              <w:t>(</w:t>
            </w:r>
            <w:r w:rsidR="00E8173F">
              <w:rPr>
                <w:rFonts w:eastAsia="Calibri" w:cs="Times New Roman"/>
                <w:sz w:val="20"/>
                <w:szCs w:val="20"/>
              </w:rPr>
              <w:t>N</w:t>
            </w:r>
            <w:r w:rsidR="004E1E0A" w:rsidRPr="003A74F5">
              <w:rPr>
                <w:rFonts w:eastAsia="Calibri" w:cs="Times New Roman"/>
                <w:sz w:val="20"/>
                <w:szCs w:val="20"/>
              </w:rPr>
              <w:t>.</w:t>
            </w:r>
            <w:r w:rsidR="00E8173F">
              <w:rPr>
                <w:rFonts w:eastAsia="Calibri" w:cs="Times New Roman"/>
                <w:sz w:val="20"/>
                <w:szCs w:val="20"/>
              </w:rPr>
              <w:t>S.</w:t>
            </w:r>
            <w:r w:rsidR="004E1E0A" w:rsidRPr="003A74F5">
              <w:rPr>
                <w:rFonts w:eastAsia="Calibri" w:cs="Times New Roman"/>
                <w:sz w:val="20"/>
                <w:szCs w:val="20"/>
              </w:rPr>
              <w:t>) (C</w:t>
            </w:r>
            <w:r w:rsidR="00E8173F">
              <w:rPr>
                <w:rFonts w:eastAsia="Calibri" w:cs="Times New Roman"/>
                <w:sz w:val="20"/>
                <w:szCs w:val="20"/>
              </w:rPr>
              <w:t>r</w:t>
            </w:r>
            <w:r w:rsidR="004E1E0A" w:rsidRPr="003A74F5">
              <w:rPr>
                <w:rFonts w:eastAsia="Calibri" w:cs="Times New Roman"/>
                <w:sz w:val="20"/>
                <w:szCs w:val="20"/>
              </w:rPr>
              <w:t>i</w:t>
            </w:r>
            <w:r w:rsidR="00E8173F">
              <w:rPr>
                <w:rFonts w:eastAsia="Calibri" w:cs="Times New Roman"/>
                <w:sz w:val="20"/>
                <w:szCs w:val="20"/>
              </w:rPr>
              <w:t>m</w:t>
            </w:r>
            <w:r w:rsidR="004E1E0A" w:rsidRPr="003A74F5">
              <w:rPr>
                <w:rFonts w:eastAsia="Calibri" w:cs="Times New Roman"/>
                <w:sz w:val="20"/>
                <w:szCs w:val="20"/>
              </w:rPr>
              <w:t>i</w:t>
            </w:r>
            <w:r w:rsidR="00E8173F">
              <w:rPr>
                <w:rFonts w:eastAsia="Calibri" w:cs="Times New Roman"/>
                <w:sz w:val="20"/>
                <w:szCs w:val="20"/>
              </w:rPr>
              <w:t>na</w:t>
            </w:r>
            <w:r w:rsidR="004E1E0A" w:rsidRPr="003A74F5">
              <w:rPr>
                <w:rFonts w:eastAsia="Calibri" w:cs="Times New Roman"/>
                <w:sz w:val="20"/>
                <w:szCs w:val="20"/>
              </w:rPr>
              <w:t>l) (By Leave) (34</w:t>
            </w:r>
            <w:r w:rsidR="00E8173F">
              <w:rPr>
                <w:rFonts w:eastAsia="Calibri" w:cs="Times New Roman"/>
                <w:sz w:val="20"/>
                <w:szCs w:val="20"/>
              </w:rPr>
              <w:t>52</w:t>
            </w:r>
            <w:r w:rsidR="004E1E0A">
              <w:rPr>
                <w:rFonts w:eastAsia="Calibri" w:cs="Times New Roman"/>
                <w:sz w:val="20"/>
                <w:szCs w:val="20"/>
              </w:rPr>
              <w:t>4</w:t>
            </w:r>
            <w:r w:rsidR="004E1E0A" w:rsidRPr="003A74F5">
              <w:rPr>
                <w:rFonts w:eastAsia="Calibri" w:cs="Times New Roman"/>
                <w:sz w:val="20"/>
                <w:szCs w:val="20"/>
              </w:rPr>
              <w:t>)</w:t>
            </w:r>
          </w:p>
          <w:p w:rsidR="004E1E0A" w:rsidRPr="003A74F5" w:rsidRDefault="004E1E0A" w:rsidP="00B077A6">
            <w:pPr>
              <w:jc w:val="both"/>
              <w:rPr>
                <w:rFonts w:eastAsia="Calibri" w:cs="Times New Roman"/>
                <w:sz w:val="20"/>
                <w:szCs w:val="20"/>
              </w:rPr>
            </w:pPr>
          </w:p>
        </w:tc>
      </w:tr>
      <w:tr w:rsidR="004E1E0A" w:rsidRPr="003A74F5"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w:t>
            </w:r>
            <w:r>
              <w:rPr>
                <w:rFonts w:eastAsia="Calibri" w:cs="Times New Roman"/>
                <w:sz w:val="20"/>
                <w:szCs w:val="20"/>
              </w:rPr>
              <w:t>1</w:t>
            </w:r>
            <w:r w:rsidRPr="003A74F5">
              <w:rPr>
                <w:rFonts w:eastAsia="Calibri" w:cs="Times New Roman"/>
                <w:sz w:val="20"/>
                <w:szCs w:val="20"/>
              </w:rPr>
              <w:t>-</w:t>
            </w:r>
            <w:r w:rsidR="006265F3">
              <w:rPr>
                <w:rFonts w:eastAsia="Calibri" w:cs="Times New Roman"/>
                <w:sz w:val="20"/>
                <w:szCs w:val="20"/>
              </w:rPr>
              <w:t>22</w:t>
            </w:r>
          </w:p>
        </w:tc>
        <w:tc>
          <w:tcPr>
            <w:tcW w:w="7178" w:type="dxa"/>
          </w:tcPr>
          <w:p w:rsidR="004E1E0A" w:rsidRPr="001C0139" w:rsidRDefault="00E8173F" w:rsidP="00B077A6">
            <w:pPr>
              <w:jc w:val="both"/>
              <w:rPr>
                <w:rFonts w:eastAsia="Calibri" w:cs="Times New Roman"/>
                <w:sz w:val="20"/>
                <w:szCs w:val="20"/>
              </w:rPr>
            </w:pPr>
            <w:r>
              <w:rPr>
                <w:rFonts w:eastAsia="Calibri" w:cs="Times New Roman"/>
                <w:i/>
                <w:sz w:val="20"/>
                <w:szCs w:val="20"/>
              </w:rPr>
              <w:t xml:space="preserve">Benjamin Cain </w:t>
            </w:r>
            <w:proofErr w:type="spellStart"/>
            <w:r>
              <w:rPr>
                <w:rFonts w:eastAsia="Calibri" w:cs="Times New Roman"/>
                <w:i/>
                <w:sz w:val="20"/>
                <w:szCs w:val="20"/>
              </w:rPr>
              <w:t>MacKenzie</w:t>
            </w:r>
            <w:proofErr w:type="spellEnd"/>
            <w:r w:rsidR="004E1E0A" w:rsidRPr="00202908">
              <w:rPr>
                <w:rFonts w:eastAsia="Calibri" w:cs="Times New Roman"/>
                <w:i/>
                <w:sz w:val="20"/>
                <w:szCs w:val="20"/>
              </w:rPr>
              <w:t xml:space="preserve"> v. Her Majesty the</w:t>
            </w:r>
            <w:r w:rsidR="004E1E0A">
              <w:rPr>
                <w:rFonts w:eastAsia="Calibri" w:cs="Times New Roman"/>
                <w:i/>
                <w:sz w:val="20"/>
                <w:szCs w:val="20"/>
              </w:rPr>
              <w:t xml:space="preserve"> </w:t>
            </w:r>
            <w:r w:rsidR="00B077A6">
              <w:rPr>
                <w:rFonts w:eastAsia="Calibri" w:cs="Times New Roman"/>
                <w:i/>
                <w:sz w:val="20"/>
                <w:szCs w:val="20"/>
              </w:rPr>
              <w:t xml:space="preserve">Queen </w:t>
            </w:r>
            <w:r w:rsidR="004E1E0A" w:rsidRPr="00202908">
              <w:rPr>
                <w:rFonts w:eastAsia="Calibri" w:cs="Times New Roman"/>
                <w:sz w:val="20"/>
                <w:szCs w:val="20"/>
              </w:rPr>
              <w:t>(</w:t>
            </w:r>
            <w:r>
              <w:rPr>
                <w:rFonts w:eastAsia="Calibri" w:cs="Times New Roman"/>
                <w:sz w:val="20"/>
                <w:szCs w:val="20"/>
              </w:rPr>
              <w:t>Sask</w:t>
            </w:r>
            <w:r w:rsidR="004E1E0A" w:rsidRPr="00202908">
              <w:rPr>
                <w:rFonts w:eastAsia="Calibri" w:cs="Times New Roman"/>
                <w:sz w:val="20"/>
                <w:szCs w:val="20"/>
              </w:rPr>
              <w:t xml:space="preserve">.) </w:t>
            </w:r>
            <w:r w:rsidR="004E1E0A" w:rsidRPr="00B077A6">
              <w:rPr>
                <w:rFonts w:eastAsia="Calibri" w:cs="Times New Roman"/>
                <w:sz w:val="20"/>
                <w:szCs w:val="20"/>
              </w:rPr>
              <w:t>(C</w:t>
            </w:r>
            <w:r>
              <w:rPr>
                <w:rFonts w:eastAsia="Calibri" w:cs="Times New Roman"/>
                <w:sz w:val="20"/>
                <w:szCs w:val="20"/>
              </w:rPr>
              <w:t>r</w:t>
            </w:r>
            <w:r w:rsidR="004E1E0A" w:rsidRPr="00B077A6">
              <w:rPr>
                <w:rFonts w:eastAsia="Calibri" w:cs="Times New Roman"/>
                <w:sz w:val="20"/>
                <w:szCs w:val="20"/>
              </w:rPr>
              <w:t>i</w:t>
            </w:r>
            <w:r>
              <w:rPr>
                <w:rFonts w:eastAsia="Calibri" w:cs="Times New Roman"/>
                <w:sz w:val="20"/>
                <w:szCs w:val="20"/>
              </w:rPr>
              <w:t>m</w:t>
            </w:r>
            <w:r w:rsidR="004E1E0A" w:rsidRPr="00B077A6">
              <w:rPr>
                <w:rFonts w:eastAsia="Calibri" w:cs="Times New Roman"/>
                <w:sz w:val="20"/>
                <w:szCs w:val="20"/>
              </w:rPr>
              <w:t>i</w:t>
            </w:r>
            <w:r>
              <w:rPr>
                <w:rFonts w:eastAsia="Calibri" w:cs="Times New Roman"/>
                <w:sz w:val="20"/>
                <w:szCs w:val="20"/>
              </w:rPr>
              <w:t>na</w:t>
            </w:r>
            <w:r w:rsidR="004E1E0A" w:rsidRPr="00B077A6">
              <w:rPr>
                <w:rFonts w:eastAsia="Calibri" w:cs="Times New Roman"/>
                <w:sz w:val="20"/>
                <w:szCs w:val="20"/>
              </w:rPr>
              <w:t>l) (By Leave) (343</w:t>
            </w:r>
            <w:r>
              <w:rPr>
                <w:rFonts w:eastAsia="Calibri" w:cs="Times New Roman"/>
                <w:sz w:val="20"/>
                <w:szCs w:val="20"/>
              </w:rPr>
              <w:t>97</w:t>
            </w:r>
            <w:r w:rsidR="004E1E0A" w:rsidRPr="00B077A6">
              <w:rPr>
                <w:rFonts w:eastAsia="Calibri" w:cs="Times New Roman"/>
                <w:sz w:val="20"/>
                <w:szCs w:val="20"/>
              </w:rPr>
              <w:t>)</w:t>
            </w:r>
          </w:p>
          <w:p w:rsidR="004E1E0A" w:rsidRPr="003A74F5" w:rsidRDefault="004E1E0A" w:rsidP="00B077A6">
            <w:pPr>
              <w:jc w:val="both"/>
              <w:rPr>
                <w:rFonts w:eastAsia="Calibri" w:cs="Times New Roman"/>
                <w:sz w:val="20"/>
                <w:szCs w:val="20"/>
              </w:rPr>
            </w:pPr>
          </w:p>
        </w:tc>
      </w:tr>
      <w:tr w:rsidR="004E1E0A" w:rsidRPr="0085047E" w:rsidTr="00B077A6">
        <w:trPr>
          <w:cantSplit/>
          <w:trHeight w:val="288"/>
        </w:trPr>
        <w:tc>
          <w:tcPr>
            <w:tcW w:w="2398" w:type="dxa"/>
          </w:tcPr>
          <w:p w:rsidR="004E1E0A" w:rsidRPr="003A74F5" w:rsidRDefault="004E1E0A" w:rsidP="006265F3">
            <w:pPr>
              <w:rPr>
                <w:rFonts w:eastAsia="Calibri" w:cs="Times New Roman"/>
                <w:sz w:val="20"/>
                <w:szCs w:val="20"/>
              </w:rPr>
            </w:pPr>
            <w:r w:rsidRPr="003A74F5">
              <w:rPr>
                <w:rFonts w:eastAsia="Calibri" w:cs="Times New Roman"/>
                <w:sz w:val="20"/>
                <w:szCs w:val="20"/>
              </w:rPr>
              <w:t>201</w:t>
            </w:r>
            <w:r w:rsidR="006265F3">
              <w:rPr>
                <w:rFonts w:eastAsia="Calibri" w:cs="Times New Roman"/>
                <w:sz w:val="20"/>
                <w:szCs w:val="20"/>
              </w:rPr>
              <w:t>3</w:t>
            </w:r>
            <w:r w:rsidRPr="003A74F5">
              <w:rPr>
                <w:rFonts w:eastAsia="Calibri" w:cs="Times New Roman"/>
                <w:sz w:val="20"/>
                <w:szCs w:val="20"/>
              </w:rPr>
              <w:t>-</w:t>
            </w:r>
            <w:r w:rsidR="006265F3">
              <w:rPr>
                <w:rFonts w:eastAsia="Calibri" w:cs="Times New Roman"/>
                <w:sz w:val="20"/>
                <w:szCs w:val="20"/>
              </w:rPr>
              <w:t>0</w:t>
            </w:r>
            <w:r>
              <w:rPr>
                <w:rFonts w:eastAsia="Calibri" w:cs="Times New Roman"/>
                <w:sz w:val="20"/>
                <w:szCs w:val="20"/>
              </w:rPr>
              <w:t>1</w:t>
            </w:r>
            <w:r w:rsidRPr="003A74F5">
              <w:rPr>
                <w:rFonts w:eastAsia="Calibri" w:cs="Times New Roman"/>
                <w:sz w:val="20"/>
                <w:szCs w:val="20"/>
              </w:rPr>
              <w:t>-</w:t>
            </w:r>
            <w:r w:rsidR="006265F3">
              <w:rPr>
                <w:rFonts w:eastAsia="Calibri" w:cs="Times New Roman"/>
                <w:sz w:val="20"/>
                <w:szCs w:val="20"/>
              </w:rPr>
              <w:t>23</w:t>
            </w:r>
          </w:p>
        </w:tc>
        <w:tc>
          <w:tcPr>
            <w:tcW w:w="7178" w:type="dxa"/>
          </w:tcPr>
          <w:p w:rsidR="004E1E0A" w:rsidRDefault="00E8173F" w:rsidP="00B077A6">
            <w:pPr>
              <w:jc w:val="both"/>
              <w:rPr>
                <w:rFonts w:eastAsia="Calibri" w:cs="Times New Roman"/>
                <w:sz w:val="20"/>
                <w:szCs w:val="20"/>
                <w:lang w:val="fr-CA"/>
              </w:rPr>
            </w:pPr>
            <w:r w:rsidRPr="00E8173F">
              <w:rPr>
                <w:rFonts w:eastAsia="Calibri" w:cs="Times New Roman"/>
                <w:i/>
                <w:sz w:val="20"/>
                <w:szCs w:val="20"/>
                <w:lang w:val="fr-CA"/>
              </w:rPr>
              <w:t>Ya</w:t>
            </w:r>
            <w:r w:rsidR="004E1E0A" w:rsidRPr="00E8173F">
              <w:rPr>
                <w:rFonts w:eastAsia="Calibri" w:cs="Times New Roman"/>
                <w:i/>
                <w:sz w:val="20"/>
                <w:szCs w:val="20"/>
                <w:lang w:val="fr-CA"/>
              </w:rPr>
              <w:t>nn</w:t>
            </w:r>
            <w:r w:rsidR="004E1E0A">
              <w:rPr>
                <w:rFonts w:eastAsia="Calibri" w:cs="Times New Roman"/>
                <w:i/>
                <w:sz w:val="20"/>
                <w:szCs w:val="20"/>
                <w:lang w:val="fr-CA"/>
              </w:rPr>
              <w:t>ic</w:t>
            </w:r>
            <w:r>
              <w:rPr>
                <w:rFonts w:eastAsia="Calibri" w:cs="Times New Roman"/>
                <w:i/>
                <w:sz w:val="20"/>
                <w:szCs w:val="20"/>
                <w:lang w:val="fr-CA"/>
              </w:rPr>
              <w:t>k P</w:t>
            </w:r>
            <w:r w:rsidR="004E1E0A">
              <w:rPr>
                <w:rFonts w:eastAsia="Calibri" w:cs="Times New Roman"/>
                <w:i/>
                <w:sz w:val="20"/>
                <w:szCs w:val="20"/>
                <w:lang w:val="fr-CA"/>
              </w:rPr>
              <w:t>a</w:t>
            </w:r>
            <w:r>
              <w:rPr>
                <w:rFonts w:eastAsia="Calibri" w:cs="Times New Roman"/>
                <w:i/>
                <w:sz w:val="20"/>
                <w:szCs w:val="20"/>
                <w:lang w:val="fr-CA"/>
              </w:rPr>
              <w:t>ye</w:t>
            </w:r>
            <w:r w:rsidR="004E1E0A">
              <w:rPr>
                <w:rFonts w:eastAsia="Calibri" w:cs="Times New Roman"/>
                <w:i/>
                <w:sz w:val="20"/>
                <w:szCs w:val="20"/>
                <w:lang w:val="fr-CA"/>
              </w:rPr>
              <w:t>t</w:t>
            </w:r>
            <w:r>
              <w:rPr>
                <w:rFonts w:eastAsia="Calibri" w:cs="Times New Roman"/>
                <w:i/>
                <w:sz w:val="20"/>
                <w:szCs w:val="20"/>
                <w:lang w:val="fr-CA"/>
              </w:rPr>
              <w:t>te et autre</w:t>
            </w:r>
            <w:r w:rsidR="004E1E0A">
              <w:rPr>
                <w:rFonts w:eastAsia="Calibri" w:cs="Times New Roman"/>
                <w:i/>
                <w:sz w:val="20"/>
                <w:szCs w:val="20"/>
                <w:lang w:val="fr-CA"/>
              </w:rPr>
              <w:t xml:space="preserve"> </w:t>
            </w:r>
            <w:r>
              <w:rPr>
                <w:rFonts w:eastAsia="Calibri" w:cs="Times New Roman"/>
                <w:i/>
                <w:sz w:val="20"/>
                <w:szCs w:val="20"/>
                <w:lang w:val="fr-CA"/>
              </w:rPr>
              <w:t>c</w:t>
            </w:r>
            <w:r w:rsidR="004E1E0A" w:rsidRPr="003A74F5">
              <w:rPr>
                <w:rFonts w:eastAsia="Calibri" w:cs="Times New Roman"/>
                <w:i/>
                <w:sz w:val="20"/>
                <w:szCs w:val="20"/>
                <w:lang w:val="fr-CA"/>
              </w:rPr>
              <w:t xml:space="preserve">. </w:t>
            </w:r>
            <w:r>
              <w:rPr>
                <w:rFonts w:eastAsia="Calibri" w:cs="Times New Roman"/>
                <w:i/>
                <w:sz w:val="20"/>
                <w:szCs w:val="20"/>
                <w:lang w:val="fr-CA"/>
              </w:rPr>
              <w:t>Gu</w:t>
            </w:r>
            <w:r w:rsidR="004E1E0A">
              <w:rPr>
                <w:rFonts w:eastAsia="Calibri" w:cs="Times New Roman"/>
                <w:i/>
                <w:sz w:val="20"/>
                <w:szCs w:val="20"/>
                <w:lang w:val="fr-CA"/>
              </w:rPr>
              <w:t>a</w:t>
            </w:r>
            <w:r>
              <w:rPr>
                <w:rFonts w:eastAsia="Calibri" w:cs="Times New Roman"/>
                <w:i/>
                <w:sz w:val="20"/>
                <w:szCs w:val="20"/>
                <w:lang w:val="fr-CA"/>
              </w:rPr>
              <w:t xml:space="preserve">y </w:t>
            </w:r>
            <w:proofErr w:type="spellStart"/>
            <w:r>
              <w:rPr>
                <w:rFonts w:eastAsia="Calibri" w:cs="Times New Roman"/>
                <w:i/>
                <w:sz w:val="20"/>
                <w:szCs w:val="20"/>
                <w:lang w:val="fr-CA"/>
              </w:rPr>
              <w:t>inc</w:t>
            </w:r>
            <w:proofErr w:type="spellEnd"/>
            <w:r>
              <w:rPr>
                <w:rFonts w:eastAsia="Calibri" w:cs="Times New Roman"/>
                <w:i/>
                <w:sz w:val="20"/>
                <w:szCs w:val="20"/>
                <w:lang w:val="fr-CA"/>
              </w:rPr>
              <w:t>.</w:t>
            </w:r>
            <w:r w:rsidR="004E1E0A" w:rsidRPr="003A74F5">
              <w:rPr>
                <w:rFonts w:eastAsia="Calibri" w:cs="Times New Roman"/>
                <w:sz w:val="20"/>
                <w:szCs w:val="20"/>
                <w:lang w:val="fr-CA"/>
              </w:rPr>
              <w:t xml:space="preserve"> (</w:t>
            </w:r>
            <w:proofErr w:type="spellStart"/>
            <w:r>
              <w:rPr>
                <w:rFonts w:eastAsia="Calibri" w:cs="Times New Roman"/>
                <w:sz w:val="20"/>
                <w:szCs w:val="20"/>
                <w:lang w:val="fr-CA"/>
              </w:rPr>
              <w:t>Qc</w:t>
            </w:r>
            <w:proofErr w:type="spellEnd"/>
            <w:r w:rsidR="004E1E0A" w:rsidRPr="003A74F5">
              <w:rPr>
                <w:rFonts w:eastAsia="Calibri" w:cs="Times New Roman"/>
                <w:sz w:val="20"/>
                <w:szCs w:val="20"/>
                <w:lang w:val="fr-CA"/>
              </w:rPr>
              <w:t>) (Civil</w:t>
            </w:r>
            <w:r>
              <w:rPr>
                <w:rFonts w:eastAsia="Calibri" w:cs="Times New Roman"/>
                <w:sz w:val="20"/>
                <w:szCs w:val="20"/>
                <w:lang w:val="fr-CA"/>
              </w:rPr>
              <w:t>e</w:t>
            </w:r>
            <w:r w:rsidR="004E1E0A" w:rsidRPr="003A74F5">
              <w:rPr>
                <w:rFonts w:eastAsia="Calibri" w:cs="Times New Roman"/>
                <w:sz w:val="20"/>
                <w:szCs w:val="20"/>
                <w:lang w:val="fr-CA"/>
              </w:rPr>
              <w:t>) (</w:t>
            </w:r>
            <w:r>
              <w:rPr>
                <w:rFonts w:eastAsia="Calibri" w:cs="Times New Roman"/>
                <w:sz w:val="20"/>
                <w:szCs w:val="20"/>
                <w:lang w:val="fr-CA"/>
              </w:rPr>
              <w:t>Autorisation</w:t>
            </w:r>
            <w:r w:rsidR="004E1E0A" w:rsidRPr="003A74F5">
              <w:rPr>
                <w:rFonts w:eastAsia="Calibri" w:cs="Times New Roman"/>
                <w:sz w:val="20"/>
                <w:szCs w:val="20"/>
                <w:lang w:val="fr-CA"/>
              </w:rPr>
              <w:t>) (34</w:t>
            </w:r>
            <w:r>
              <w:rPr>
                <w:rFonts w:eastAsia="Calibri" w:cs="Times New Roman"/>
                <w:sz w:val="20"/>
                <w:szCs w:val="20"/>
                <w:lang w:val="fr-CA"/>
              </w:rPr>
              <w:t>66</w:t>
            </w:r>
            <w:r w:rsidR="004E1E0A">
              <w:rPr>
                <w:rFonts w:eastAsia="Calibri" w:cs="Times New Roman"/>
                <w:sz w:val="20"/>
                <w:szCs w:val="20"/>
                <w:lang w:val="fr-CA"/>
              </w:rPr>
              <w:t>2</w:t>
            </w:r>
            <w:r w:rsidR="004E1E0A" w:rsidRPr="003A74F5">
              <w:rPr>
                <w:rFonts w:eastAsia="Calibri" w:cs="Times New Roman"/>
                <w:sz w:val="20"/>
                <w:szCs w:val="20"/>
                <w:lang w:val="fr-CA"/>
              </w:rPr>
              <w:t>)</w:t>
            </w:r>
          </w:p>
          <w:p w:rsidR="004E1E0A" w:rsidRPr="003A74F5" w:rsidRDefault="004E1E0A" w:rsidP="00B077A6">
            <w:pPr>
              <w:jc w:val="both"/>
              <w:rPr>
                <w:rFonts w:eastAsia="Calibri" w:cs="Times New Roman"/>
                <w:sz w:val="20"/>
                <w:szCs w:val="20"/>
                <w:lang w:val="fr-CA"/>
              </w:rPr>
            </w:pPr>
          </w:p>
        </w:tc>
      </w:tr>
      <w:tr w:rsidR="004E1E0A" w:rsidRPr="0085047E" w:rsidTr="00B077A6">
        <w:trPr>
          <w:cantSplit/>
          <w:trHeight w:val="288"/>
        </w:trPr>
        <w:tc>
          <w:tcPr>
            <w:tcW w:w="2398" w:type="dxa"/>
          </w:tcPr>
          <w:p w:rsidR="004E1E0A" w:rsidRPr="0085047E" w:rsidRDefault="004E1E0A" w:rsidP="006265F3">
            <w:pPr>
              <w:rPr>
                <w:rFonts w:eastAsia="Calibri" w:cs="Times New Roman"/>
                <w:sz w:val="20"/>
                <w:szCs w:val="20"/>
                <w:lang w:val="fr-CA"/>
              </w:rPr>
            </w:pPr>
            <w:r w:rsidRPr="0085047E">
              <w:rPr>
                <w:rFonts w:eastAsia="Calibri" w:cs="Times New Roman"/>
                <w:sz w:val="20"/>
                <w:szCs w:val="20"/>
                <w:lang w:val="fr-CA"/>
              </w:rPr>
              <w:t>201</w:t>
            </w:r>
            <w:r w:rsidR="006265F3">
              <w:rPr>
                <w:rFonts w:eastAsia="Calibri" w:cs="Times New Roman"/>
                <w:sz w:val="20"/>
                <w:szCs w:val="20"/>
                <w:lang w:val="fr-CA"/>
              </w:rPr>
              <w:t>3</w:t>
            </w:r>
            <w:r w:rsidRPr="0085047E">
              <w:rPr>
                <w:rFonts w:eastAsia="Calibri" w:cs="Times New Roman"/>
                <w:sz w:val="20"/>
                <w:szCs w:val="20"/>
                <w:lang w:val="fr-CA"/>
              </w:rPr>
              <w:t>-</w:t>
            </w:r>
            <w:r w:rsidR="006265F3">
              <w:rPr>
                <w:rFonts w:eastAsia="Calibri" w:cs="Times New Roman"/>
                <w:sz w:val="20"/>
                <w:szCs w:val="20"/>
                <w:lang w:val="fr-CA"/>
              </w:rPr>
              <w:t>0</w:t>
            </w:r>
            <w:r w:rsidRPr="0085047E">
              <w:rPr>
                <w:rFonts w:eastAsia="Calibri" w:cs="Times New Roman"/>
                <w:sz w:val="20"/>
                <w:szCs w:val="20"/>
                <w:lang w:val="fr-CA"/>
              </w:rPr>
              <w:t>1-</w:t>
            </w:r>
            <w:r w:rsidR="006265F3">
              <w:rPr>
                <w:rFonts w:eastAsia="Calibri" w:cs="Times New Roman"/>
                <w:sz w:val="20"/>
                <w:szCs w:val="20"/>
                <w:lang w:val="fr-CA"/>
              </w:rPr>
              <w:t>24</w:t>
            </w:r>
          </w:p>
        </w:tc>
        <w:tc>
          <w:tcPr>
            <w:tcW w:w="7178" w:type="dxa"/>
          </w:tcPr>
          <w:p w:rsidR="004E1E0A" w:rsidRDefault="00E8173F" w:rsidP="00E8173F">
            <w:pPr>
              <w:jc w:val="both"/>
              <w:rPr>
                <w:rFonts w:eastAsia="Calibri" w:cs="Times New Roman"/>
                <w:sz w:val="20"/>
                <w:szCs w:val="20"/>
              </w:rPr>
            </w:pPr>
            <w:r>
              <w:rPr>
                <w:rFonts w:eastAsia="Calibri" w:cs="Times New Roman"/>
                <w:i/>
                <w:sz w:val="20"/>
                <w:szCs w:val="20"/>
              </w:rPr>
              <w:t>Canadian National Railway</w:t>
            </w:r>
            <w:r w:rsidR="004E1E0A" w:rsidRPr="003A74F5">
              <w:rPr>
                <w:rFonts w:eastAsia="Calibri" w:cs="Times New Roman"/>
                <w:i/>
                <w:sz w:val="20"/>
                <w:szCs w:val="20"/>
              </w:rPr>
              <w:t xml:space="preserve"> v.</w:t>
            </w:r>
            <w:r w:rsidR="0064520F">
              <w:rPr>
                <w:rFonts w:eastAsia="Calibri" w:cs="Times New Roman"/>
                <w:i/>
                <w:sz w:val="20"/>
                <w:szCs w:val="20"/>
              </w:rPr>
              <w:t xml:space="preserve"> </w:t>
            </w:r>
            <w:proofErr w:type="spellStart"/>
            <w:r>
              <w:rPr>
                <w:rFonts w:eastAsia="Calibri" w:cs="Times New Roman"/>
                <w:i/>
                <w:sz w:val="20"/>
                <w:szCs w:val="20"/>
              </w:rPr>
              <w:t>McKercher</w:t>
            </w:r>
            <w:proofErr w:type="spellEnd"/>
            <w:r>
              <w:rPr>
                <w:rFonts w:eastAsia="Calibri" w:cs="Times New Roman"/>
                <w:i/>
                <w:sz w:val="20"/>
                <w:szCs w:val="20"/>
              </w:rPr>
              <w:t xml:space="preserve"> LLP</w:t>
            </w:r>
            <w:r w:rsidR="004E1E0A" w:rsidRPr="003A74F5">
              <w:rPr>
                <w:rFonts w:eastAsia="Calibri" w:cs="Times New Roman"/>
                <w:i/>
                <w:sz w:val="20"/>
                <w:szCs w:val="20"/>
              </w:rPr>
              <w:t xml:space="preserve"> e</w:t>
            </w:r>
            <w:r w:rsidR="004E1E0A">
              <w:rPr>
                <w:rFonts w:eastAsia="Calibri" w:cs="Times New Roman"/>
                <w:i/>
                <w:sz w:val="20"/>
                <w:szCs w:val="20"/>
              </w:rPr>
              <w:t>t</w:t>
            </w:r>
            <w:r>
              <w:rPr>
                <w:rFonts w:eastAsia="Calibri" w:cs="Times New Roman"/>
                <w:i/>
                <w:sz w:val="20"/>
                <w:szCs w:val="20"/>
              </w:rPr>
              <w:t xml:space="preserve"> al</w:t>
            </w:r>
            <w:r w:rsidR="004E1E0A" w:rsidRPr="003A74F5">
              <w:rPr>
                <w:rFonts w:eastAsia="Calibri" w:cs="Times New Roman"/>
                <w:i/>
                <w:sz w:val="20"/>
                <w:szCs w:val="20"/>
              </w:rPr>
              <w:t>.</w:t>
            </w:r>
            <w:r w:rsidR="004E1E0A" w:rsidRPr="003A74F5">
              <w:rPr>
                <w:rFonts w:eastAsia="Calibri" w:cs="Times New Roman"/>
                <w:sz w:val="20"/>
                <w:szCs w:val="20"/>
              </w:rPr>
              <w:t xml:space="preserve"> (</w:t>
            </w:r>
            <w:r>
              <w:rPr>
                <w:rFonts w:eastAsia="Calibri" w:cs="Times New Roman"/>
                <w:sz w:val="20"/>
                <w:szCs w:val="20"/>
              </w:rPr>
              <w:t>Sask</w:t>
            </w:r>
            <w:r w:rsidR="004E1E0A" w:rsidRPr="003A74F5">
              <w:rPr>
                <w:rFonts w:eastAsia="Calibri" w:cs="Times New Roman"/>
                <w:sz w:val="20"/>
                <w:szCs w:val="20"/>
              </w:rPr>
              <w:t>.) (Ci</w:t>
            </w:r>
            <w:r>
              <w:rPr>
                <w:rFonts w:eastAsia="Calibri" w:cs="Times New Roman"/>
                <w:sz w:val="20"/>
                <w:szCs w:val="20"/>
              </w:rPr>
              <w:t>v</w:t>
            </w:r>
            <w:r w:rsidR="004E1E0A" w:rsidRPr="003A74F5">
              <w:rPr>
                <w:rFonts w:eastAsia="Calibri" w:cs="Times New Roman"/>
                <w:sz w:val="20"/>
                <w:szCs w:val="20"/>
              </w:rPr>
              <w:t>il) (By Leave) (34</w:t>
            </w:r>
            <w:r>
              <w:rPr>
                <w:rFonts w:eastAsia="Calibri" w:cs="Times New Roman"/>
                <w:sz w:val="20"/>
                <w:szCs w:val="20"/>
              </w:rPr>
              <w:t>545</w:t>
            </w:r>
            <w:r w:rsidR="004E1E0A">
              <w:rPr>
                <w:rFonts w:eastAsia="Calibri" w:cs="Times New Roman"/>
                <w:sz w:val="20"/>
                <w:szCs w:val="20"/>
              </w:rPr>
              <w:t>)</w:t>
            </w:r>
          </w:p>
          <w:p w:rsidR="0064520F" w:rsidRPr="001C0139" w:rsidRDefault="0064520F" w:rsidP="0064520F">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 xml:space="preserve">Early start time: 9:00 a.m. / </w:t>
            </w:r>
            <w:proofErr w:type="spellStart"/>
            <w:r w:rsidRPr="00E4453F">
              <w:rPr>
                <w:rFonts w:eastAsia="Calibri" w:cs="Times New Roman"/>
                <w:sz w:val="20"/>
                <w:szCs w:val="20"/>
                <w:lang w:val="en-US"/>
              </w:rPr>
              <w:t>Horaire</w:t>
            </w:r>
            <w:proofErr w:type="spellEnd"/>
            <w:r w:rsidRPr="00E4453F">
              <w:rPr>
                <w:rFonts w:eastAsia="Calibri" w:cs="Times New Roman"/>
                <w:sz w:val="20"/>
                <w:szCs w:val="20"/>
                <w:lang w:val="en-US"/>
              </w:rPr>
              <w:t xml:space="preserve"> </w:t>
            </w:r>
            <w:proofErr w:type="spellStart"/>
            <w:r w:rsidRPr="00E4453F">
              <w:rPr>
                <w:rFonts w:eastAsia="Calibri" w:cs="Times New Roman"/>
                <w:sz w:val="20"/>
                <w:szCs w:val="20"/>
                <w:lang w:val="en-US"/>
              </w:rPr>
              <w:t>modifié</w:t>
            </w:r>
            <w:proofErr w:type="spellEnd"/>
            <w:r w:rsidRPr="00E4453F">
              <w:rPr>
                <w:rFonts w:eastAsia="Calibri" w:cs="Times New Roman"/>
                <w:sz w:val="20"/>
                <w:szCs w:val="20"/>
                <w:lang w:val="en-US"/>
              </w:rPr>
              <w:t xml:space="preserve"> : audience </w:t>
            </w:r>
            <w:proofErr w:type="spellStart"/>
            <w:r w:rsidRPr="00E4453F">
              <w:rPr>
                <w:rFonts w:eastAsia="Calibri" w:cs="Times New Roman"/>
                <w:sz w:val="20"/>
                <w:szCs w:val="20"/>
                <w:lang w:val="en-US"/>
              </w:rPr>
              <w:t>débutant</w:t>
            </w:r>
            <w:proofErr w:type="spellEnd"/>
            <w:r w:rsidRPr="00E4453F">
              <w:rPr>
                <w:rFonts w:eastAsia="Calibri" w:cs="Times New Roman"/>
                <w:sz w:val="20"/>
                <w:szCs w:val="20"/>
                <w:lang w:val="en-US"/>
              </w:rPr>
              <w:t xml:space="preserve"> à 9 h)</w:t>
            </w:r>
          </w:p>
        </w:tc>
      </w:tr>
    </w:tbl>
    <w:p w:rsidR="004B66B4" w:rsidRPr="00DD0B49" w:rsidRDefault="004B66B4" w:rsidP="004B66B4">
      <w:pPr>
        <w:ind w:left="1890" w:hanging="1890"/>
        <w:jc w:val="both"/>
        <w:rPr>
          <w:sz w:val="20"/>
          <w:szCs w:val="20"/>
        </w:rPr>
      </w:pPr>
    </w:p>
    <w:p w:rsidR="004B66B4" w:rsidRPr="00DD0B49" w:rsidRDefault="007F0A1D" w:rsidP="002868D0">
      <w:pPr>
        <w:jc w:val="both"/>
        <w:rPr>
          <w:sz w:val="20"/>
          <w:szCs w:val="20"/>
        </w:rPr>
      </w:pPr>
      <w:r w:rsidRPr="007F0A1D">
        <w:rPr>
          <w:sz w:val="20"/>
          <w:szCs w:val="20"/>
          <w:lang w:val="fr-CA"/>
        </w:rPr>
        <w:pict>
          <v:rect id="_x0000_i1051"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602152" w:rsidRDefault="005F263E" w:rsidP="005F263E">
      <w:pPr>
        <w:tabs>
          <w:tab w:val="left" w:pos="-1440"/>
          <w:tab w:val="left" w:pos="-720"/>
        </w:tabs>
        <w:ind w:left="720" w:hanging="720"/>
        <w:jc w:val="both"/>
        <w:rPr>
          <w:sz w:val="20"/>
          <w:szCs w:val="20"/>
        </w:rPr>
      </w:pPr>
    </w:p>
    <w:bookmarkStart w:id="3" w:name="1"/>
    <w:bookmarkEnd w:id="3"/>
    <w:p w:rsidR="00602152" w:rsidRPr="00602152" w:rsidRDefault="007F0A1D" w:rsidP="00602152">
      <w:pPr>
        <w:widowControl w:val="0"/>
        <w:ind w:left="720" w:hanging="720"/>
        <w:jc w:val="both"/>
        <w:rPr>
          <w:rFonts w:eastAsia="Times New Roman" w:cs="Times New Roman"/>
          <w:b/>
          <w:i/>
          <w:sz w:val="20"/>
          <w:szCs w:val="20"/>
          <w:lang w:eastAsia="en-CA"/>
        </w:rPr>
      </w:pPr>
      <w:r w:rsidRPr="007F0A1D">
        <w:rPr>
          <w:rFonts w:eastAsia="Times New Roman" w:cs="Times New Roman"/>
          <w:b/>
          <w:sz w:val="20"/>
          <w:szCs w:val="20"/>
          <w:lang w:eastAsia="en-CA"/>
        </w:rPr>
        <w:fldChar w:fldCharType="begin"/>
      </w:r>
      <w:r w:rsidR="00602152" w:rsidRPr="00602152">
        <w:rPr>
          <w:rFonts w:eastAsia="Times New Roman" w:cs="Times New Roman"/>
          <w:b/>
          <w:sz w:val="20"/>
          <w:szCs w:val="20"/>
          <w:lang w:val="en-US" w:eastAsia="en-CA"/>
        </w:rPr>
        <w:instrText xml:space="preserve"> SEQ CHAPTER \h \r 1</w:instrText>
      </w:r>
      <w:r w:rsidRPr="00602152">
        <w:rPr>
          <w:rFonts w:eastAsia="Times New Roman" w:cs="Times New Roman"/>
          <w:b/>
          <w:sz w:val="20"/>
          <w:szCs w:val="20"/>
          <w:lang w:val="en-US" w:eastAsia="en-CA"/>
        </w:rPr>
        <w:fldChar w:fldCharType="end"/>
      </w:r>
      <w:r w:rsidR="00602152" w:rsidRPr="00602152">
        <w:rPr>
          <w:rFonts w:eastAsia="Times New Roman" w:cs="Times New Roman"/>
          <w:b/>
          <w:sz w:val="20"/>
          <w:szCs w:val="20"/>
          <w:lang w:eastAsia="en-CA"/>
        </w:rPr>
        <w:t>34429</w:t>
      </w:r>
      <w:r w:rsidR="00602152" w:rsidRPr="00602152">
        <w:rPr>
          <w:rFonts w:eastAsia="Times New Roman" w:cs="Times New Roman"/>
          <w:b/>
          <w:sz w:val="20"/>
          <w:szCs w:val="20"/>
          <w:lang w:eastAsia="en-CA"/>
        </w:rPr>
        <w:tab/>
      </w:r>
      <w:bookmarkStart w:id="4" w:name="3"/>
      <w:bookmarkEnd w:id="4"/>
      <w:r w:rsidR="00602152" w:rsidRPr="00602152">
        <w:rPr>
          <w:rFonts w:eastAsia="Times New Roman" w:cs="Times New Roman"/>
          <w:b/>
          <w:i/>
          <w:sz w:val="20"/>
          <w:szCs w:val="20"/>
          <w:lang w:eastAsia="en-CA"/>
        </w:rPr>
        <w:t xml:space="preserve">Marine Services International Limited and David Porter v. Estate of Joseph Ryan, by its </w:t>
      </w:r>
      <w:proofErr w:type="spellStart"/>
      <w:r w:rsidR="00602152" w:rsidRPr="00602152">
        <w:rPr>
          <w:rFonts w:eastAsia="Times New Roman" w:cs="Times New Roman"/>
          <w:b/>
          <w:i/>
          <w:sz w:val="20"/>
          <w:szCs w:val="20"/>
          <w:lang w:eastAsia="en-CA"/>
        </w:rPr>
        <w:t>Administratrix</w:t>
      </w:r>
      <w:proofErr w:type="spellEnd"/>
      <w:r w:rsidR="00602152" w:rsidRPr="00602152">
        <w:rPr>
          <w:rFonts w:eastAsia="Times New Roman" w:cs="Times New Roman"/>
          <w:b/>
          <w:i/>
          <w:sz w:val="20"/>
          <w:szCs w:val="20"/>
          <w:lang w:eastAsia="en-CA"/>
        </w:rPr>
        <w:t xml:space="preserve">, Yvonne Ryan, Yvonne Ryan, in her own right, Stephen Ryan, a Minor, by his Guardian, ad </w:t>
      </w:r>
      <w:proofErr w:type="spellStart"/>
      <w:r w:rsidR="00602152" w:rsidRPr="00602152">
        <w:rPr>
          <w:rFonts w:eastAsia="Times New Roman" w:cs="Times New Roman"/>
          <w:b/>
          <w:i/>
          <w:sz w:val="20"/>
          <w:szCs w:val="20"/>
          <w:lang w:eastAsia="en-CA"/>
        </w:rPr>
        <w:t>litem</w:t>
      </w:r>
      <w:proofErr w:type="spellEnd"/>
      <w:r w:rsidR="00602152" w:rsidRPr="00602152">
        <w:rPr>
          <w:rFonts w:eastAsia="Times New Roman" w:cs="Times New Roman"/>
          <w:b/>
          <w:i/>
          <w:sz w:val="20"/>
          <w:szCs w:val="20"/>
          <w:lang w:eastAsia="en-CA"/>
        </w:rPr>
        <w:t xml:space="preserve">, Yvonne Ryan , Jennifer Ryan, a Minor, by her Guardian, ad </w:t>
      </w:r>
      <w:proofErr w:type="spellStart"/>
      <w:r w:rsidR="00602152" w:rsidRPr="00602152">
        <w:rPr>
          <w:rFonts w:eastAsia="Times New Roman" w:cs="Times New Roman"/>
          <w:b/>
          <w:i/>
          <w:sz w:val="20"/>
          <w:szCs w:val="20"/>
          <w:lang w:eastAsia="en-CA"/>
        </w:rPr>
        <w:t>litem</w:t>
      </w:r>
      <w:proofErr w:type="spellEnd"/>
      <w:r w:rsidR="00602152" w:rsidRPr="00602152">
        <w:rPr>
          <w:rFonts w:eastAsia="Times New Roman" w:cs="Times New Roman"/>
          <w:b/>
          <w:i/>
          <w:sz w:val="20"/>
          <w:szCs w:val="20"/>
          <w:lang w:eastAsia="en-CA"/>
        </w:rPr>
        <w:t xml:space="preserve">, Yvonne Ryan, Estate of David Ryan, by its </w:t>
      </w:r>
      <w:proofErr w:type="spellStart"/>
      <w:r w:rsidR="00602152" w:rsidRPr="00602152">
        <w:rPr>
          <w:rFonts w:eastAsia="Times New Roman" w:cs="Times New Roman"/>
          <w:b/>
          <w:i/>
          <w:sz w:val="20"/>
          <w:szCs w:val="20"/>
          <w:lang w:eastAsia="en-CA"/>
        </w:rPr>
        <w:t>Administratrix</w:t>
      </w:r>
      <w:proofErr w:type="spellEnd"/>
      <w:r w:rsidR="00602152" w:rsidRPr="00602152">
        <w:rPr>
          <w:rFonts w:eastAsia="Times New Roman" w:cs="Times New Roman"/>
          <w:b/>
          <w:i/>
          <w:sz w:val="20"/>
          <w:szCs w:val="20"/>
          <w:lang w:eastAsia="en-CA"/>
        </w:rPr>
        <w:t xml:space="preserve"> , Marilyn Ryan, and Marilyn Ryan, in her own right, David Michael Ryan, a Minor, by his Guardian, ad </w:t>
      </w:r>
      <w:proofErr w:type="spellStart"/>
      <w:r w:rsidR="00602152" w:rsidRPr="00602152">
        <w:rPr>
          <w:rFonts w:eastAsia="Times New Roman" w:cs="Times New Roman"/>
          <w:b/>
          <w:i/>
          <w:sz w:val="20"/>
          <w:szCs w:val="20"/>
          <w:lang w:eastAsia="en-CA"/>
        </w:rPr>
        <w:t>litem</w:t>
      </w:r>
      <w:proofErr w:type="spellEnd"/>
      <w:r w:rsidR="00602152" w:rsidRPr="00602152">
        <w:rPr>
          <w:rFonts w:eastAsia="Times New Roman" w:cs="Times New Roman"/>
          <w:b/>
          <w:i/>
          <w:sz w:val="20"/>
          <w:szCs w:val="20"/>
          <w:lang w:eastAsia="en-CA"/>
        </w:rPr>
        <w:t>, Marilyn Ryan, J and Y Fisheries Inc. and D and M Fisheries Inc., bodies corporate, trading and operating as Ryan's Fisheries Partnership, Universal Marine Limited and Attorney General of Canada</w:t>
      </w:r>
    </w:p>
    <w:p w:rsidR="00602152" w:rsidRPr="00602152" w:rsidRDefault="00602152" w:rsidP="00602152">
      <w:pPr>
        <w:widowControl w:val="0"/>
        <w:jc w:val="both"/>
        <w:rPr>
          <w:rFonts w:eastAsia="Times New Roman" w:cs="Times New Roman"/>
          <w:sz w:val="20"/>
          <w:szCs w:val="20"/>
          <w:lang w:eastAsia="en-CA"/>
        </w:rPr>
      </w:pPr>
    </w:p>
    <w:p w:rsidR="00602152" w:rsidRPr="00602152" w:rsidRDefault="00602152" w:rsidP="00602152">
      <w:pPr>
        <w:widowControl w:val="0"/>
        <w:jc w:val="both"/>
        <w:rPr>
          <w:rFonts w:eastAsia="Times New Roman" w:cs="Times New Roman"/>
          <w:sz w:val="20"/>
          <w:szCs w:val="20"/>
          <w:lang w:eastAsia="en-CA"/>
        </w:rPr>
      </w:pPr>
      <w:r w:rsidRPr="00602152">
        <w:rPr>
          <w:rFonts w:eastAsia="Times New Roman" w:cs="Times New Roman"/>
          <w:sz w:val="20"/>
          <w:szCs w:val="20"/>
          <w:lang w:eastAsia="en-CA"/>
        </w:rPr>
        <w:t xml:space="preserve">Constitutional law - Division of powers - Navigation and shipping - </w:t>
      </w:r>
      <w:proofErr w:type="spellStart"/>
      <w:r w:rsidRPr="00602152">
        <w:rPr>
          <w:rFonts w:eastAsia="Times New Roman" w:cs="Times New Roman"/>
          <w:sz w:val="20"/>
          <w:szCs w:val="20"/>
          <w:lang w:eastAsia="en-CA"/>
        </w:rPr>
        <w:t>Paramountcy</w:t>
      </w:r>
      <w:proofErr w:type="spellEnd"/>
      <w:r w:rsidRPr="00602152">
        <w:rPr>
          <w:rFonts w:eastAsia="Times New Roman" w:cs="Times New Roman"/>
          <w:sz w:val="20"/>
          <w:szCs w:val="20"/>
          <w:lang w:eastAsia="en-CA"/>
        </w:rPr>
        <w:t xml:space="preserve"> - </w:t>
      </w:r>
      <w:proofErr w:type="spellStart"/>
      <w:r w:rsidRPr="00602152">
        <w:rPr>
          <w:rFonts w:eastAsia="Times New Roman" w:cs="Times New Roman"/>
          <w:sz w:val="20"/>
          <w:szCs w:val="20"/>
          <w:lang w:eastAsia="en-CA"/>
        </w:rPr>
        <w:t>Interjurisdictional</w:t>
      </w:r>
      <w:proofErr w:type="spellEnd"/>
      <w:r w:rsidRPr="00602152">
        <w:rPr>
          <w:rFonts w:eastAsia="Times New Roman" w:cs="Times New Roman"/>
          <w:sz w:val="20"/>
          <w:szCs w:val="20"/>
          <w:lang w:eastAsia="en-CA"/>
        </w:rPr>
        <w:t xml:space="preserve"> immunity - Action in negligence by estates and families of two men who drowned after fishing vessel designed, built and inspected by defendants capsizes - Whether s. 6 of the </w:t>
      </w:r>
      <w:r w:rsidRPr="00602152">
        <w:rPr>
          <w:rFonts w:eastAsia="Times New Roman" w:cs="Times New Roman"/>
          <w:i/>
          <w:sz w:val="20"/>
          <w:szCs w:val="20"/>
          <w:lang w:eastAsia="en-CA"/>
        </w:rPr>
        <w:t>Marine Liability Act</w:t>
      </w:r>
      <w:r w:rsidRPr="00602152">
        <w:rPr>
          <w:rFonts w:eastAsia="Times New Roman" w:cs="Times New Roman"/>
          <w:sz w:val="20"/>
          <w:szCs w:val="20"/>
          <w:lang w:eastAsia="en-CA"/>
        </w:rPr>
        <w:t xml:space="preserve">, S.C. 2001, c. 6, authorizes a federal right of action for dependants of workers injured or killed in the course of marine employment against their employer, a fellow worker, or other workers or employers governed by the same provincial workers compensation scheme - Whether s. 44 of the </w:t>
      </w:r>
      <w:r w:rsidRPr="00602152">
        <w:rPr>
          <w:rFonts w:eastAsia="Times New Roman" w:cs="Times New Roman"/>
          <w:i/>
          <w:sz w:val="20"/>
          <w:szCs w:val="20"/>
          <w:lang w:eastAsia="en-CA"/>
        </w:rPr>
        <w:t>Workplace Health, Safety and Compensation Act</w:t>
      </w:r>
      <w:r w:rsidRPr="00602152">
        <w:rPr>
          <w:rFonts w:eastAsia="Times New Roman" w:cs="Times New Roman"/>
          <w:sz w:val="20"/>
          <w:szCs w:val="20"/>
          <w:lang w:eastAsia="en-CA"/>
        </w:rPr>
        <w:t xml:space="preserve">, RSNL1990, c. W-11, is constitutionally inoperative in respect of federal maritime negligence claims made pursuant to s. 6 of the </w:t>
      </w:r>
      <w:r w:rsidRPr="00602152">
        <w:rPr>
          <w:rFonts w:eastAsia="Times New Roman" w:cs="Times New Roman"/>
          <w:i/>
          <w:sz w:val="20"/>
          <w:szCs w:val="20"/>
          <w:lang w:eastAsia="en-CA"/>
        </w:rPr>
        <w:t>Marine Liability Act</w:t>
      </w:r>
      <w:r w:rsidRPr="00602152">
        <w:rPr>
          <w:rFonts w:eastAsia="Times New Roman" w:cs="Times New Roman"/>
          <w:sz w:val="20"/>
          <w:szCs w:val="20"/>
          <w:lang w:eastAsia="en-CA"/>
        </w:rPr>
        <w:t xml:space="preserve"> by reason of the doctrine of federal </w:t>
      </w:r>
      <w:proofErr w:type="spellStart"/>
      <w:r w:rsidRPr="00602152">
        <w:rPr>
          <w:rFonts w:eastAsia="Times New Roman" w:cs="Times New Roman"/>
          <w:sz w:val="20"/>
          <w:szCs w:val="20"/>
          <w:lang w:eastAsia="en-CA"/>
        </w:rPr>
        <w:t>paramountcy</w:t>
      </w:r>
      <w:proofErr w:type="spellEnd"/>
      <w:r w:rsidRPr="00602152">
        <w:rPr>
          <w:rFonts w:eastAsia="Times New Roman" w:cs="Times New Roman"/>
          <w:sz w:val="20"/>
          <w:szCs w:val="20"/>
          <w:lang w:eastAsia="en-CA"/>
        </w:rPr>
        <w:t xml:space="preserve"> - Whether s. 44 of the </w:t>
      </w:r>
      <w:r w:rsidRPr="00602152">
        <w:rPr>
          <w:rFonts w:eastAsia="Times New Roman" w:cs="Times New Roman"/>
          <w:i/>
          <w:sz w:val="20"/>
          <w:szCs w:val="20"/>
          <w:lang w:eastAsia="en-CA"/>
        </w:rPr>
        <w:t>Workplace Health, Safety and Compensation Act</w:t>
      </w:r>
      <w:r w:rsidRPr="00602152">
        <w:rPr>
          <w:rFonts w:eastAsia="Times New Roman" w:cs="Times New Roman"/>
          <w:sz w:val="20"/>
          <w:szCs w:val="20"/>
          <w:lang w:eastAsia="en-CA"/>
        </w:rPr>
        <w:t xml:space="preserve"> is constitutionally inapplicable to federal maritime negligence claims made pursuant to s. 6 of the </w:t>
      </w:r>
      <w:r w:rsidRPr="00602152">
        <w:rPr>
          <w:rFonts w:eastAsia="Times New Roman" w:cs="Times New Roman"/>
          <w:i/>
          <w:sz w:val="20"/>
          <w:szCs w:val="20"/>
          <w:lang w:eastAsia="en-CA"/>
        </w:rPr>
        <w:t>Maritime Liability Act</w:t>
      </w:r>
      <w:r w:rsidRPr="00602152">
        <w:rPr>
          <w:rFonts w:eastAsia="Times New Roman" w:cs="Times New Roman"/>
          <w:sz w:val="20"/>
          <w:szCs w:val="20"/>
          <w:lang w:eastAsia="en-CA"/>
        </w:rPr>
        <w:t xml:space="preserve">, by reason of the doctrine of </w:t>
      </w:r>
      <w:proofErr w:type="spellStart"/>
      <w:r w:rsidRPr="00602152">
        <w:rPr>
          <w:rFonts w:eastAsia="Times New Roman" w:cs="Times New Roman"/>
          <w:sz w:val="20"/>
          <w:szCs w:val="20"/>
          <w:lang w:eastAsia="en-CA"/>
        </w:rPr>
        <w:t>interjurisdictional</w:t>
      </w:r>
      <w:proofErr w:type="spellEnd"/>
      <w:r w:rsidRPr="00602152">
        <w:rPr>
          <w:rFonts w:eastAsia="Times New Roman" w:cs="Times New Roman"/>
          <w:sz w:val="20"/>
          <w:szCs w:val="20"/>
          <w:lang w:eastAsia="en-CA"/>
        </w:rPr>
        <w:t xml:space="preserve"> immunity.</w:t>
      </w:r>
    </w:p>
    <w:p w:rsidR="00602152" w:rsidRPr="00602152" w:rsidRDefault="00602152" w:rsidP="00602152">
      <w:pPr>
        <w:widowControl w:val="0"/>
        <w:jc w:val="both"/>
        <w:rPr>
          <w:rFonts w:eastAsia="Times New Roman" w:cs="Times New Roman"/>
          <w:sz w:val="20"/>
          <w:szCs w:val="20"/>
          <w:lang w:eastAsia="en-CA"/>
        </w:rPr>
      </w:pPr>
    </w:p>
    <w:p w:rsidR="00602152" w:rsidRPr="00602152" w:rsidRDefault="00602152" w:rsidP="00602152">
      <w:pPr>
        <w:widowControl w:val="0"/>
        <w:jc w:val="both"/>
        <w:rPr>
          <w:rFonts w:eastAsia="Times New Roman" w:cs="Times New Roman"/>
          <w:sz w:val="20"/>
          <w:szCs w:val="20"/>
          <w:lang w:eastAsia="en-CA"/>
        </w:rPr>
      </w:pPr>
      <w:r w:rsidRPr="00602152">
        <w:rPr>
          <w:rFonts w:eastAsia="Times New Roman" w:cs="Times New Roman"/>
          <w:sz w:val="20"/>
          <w:szCs w:val="20"/>
          <w:lang w:eastAsia="en-CA"/>
        </w:rPr>
        <w:t xml:space="preserve">Joseph and David Ryan drowned at sea after the fishing vessel they crewed capsized.  Proceeding under the </w:t>
      </w:r>
      <w:r w:rsidRPr="00602152">
        <w:rPr>
          <w:rFonts w:eastAsia="Times New Roman" w:cs="Times New Roman"/>
          <w:i/>
          <w:sz w:val="20"/>
          <w:szCs w:val="20"/>
          <w:lang w:eastAsia="en-CA"/>
        </w:rPr>
        <w:t>Marine Liability Act</w:t>
      </w:r>
      <w:r w:rsidRPr="00602152">
        <w:rPr>
          <w:rFonts w:eastAsia="Times New Roman" w:cs="Times New Roman"/>
          <w:sz w:val="20"/>
          <w:szCs w:val="20"/>
          <w:lang w:eastAsia="en-CA"/>
        </w:rPr>
        <w:t xml:space="preserve">, S.C. 2001, c. 6, (“the </w:t>
      </w:r>
      <w:r w:rsidRPr="00602152">
        <w:rPr>
          <w:rFonts w:eastAsia="Times New Roman" w:cs="Times New Roman"/>
          <w:i/>
          <w:sz w:val="20"/>
          <w:szCs w:val="20"/>
          <w:lang w:eastAsia="en-CA"/>
        </w:rPr>
        <w:t>MLA</w:t>
      </w:r>
      <w:r w:rsidRPr="00602152">
        <w:rPr>
          <w:rFonts w:eastAsia="Times New Roman" w:cs="Times New Roman"/>
          <w:sz w:val="20"/>
          <w:szCs w:val="20"/>
          <w:lang w:eastAsia="en-CA"/>
        </w:rPr>
        <w:t xml:space="preserve">”), their estates and families commenced an action against a number of defendants claiming negligence in the design, construction and inspection of the vessel.  The appellants, defendants to the action, applied to the Workplace Health, Safety and Compensation Commission for a determination that the action was statute-barred by s. 44 of the </w:t>
      </w:r>
      <w:r w:rsidRPr="00602152">
        <w:rPr>
          <w:rFonts w:eastAsia="Times New Roman" w:cs="Times New Roman"/>
          <w:i/>
          <w:sz w:val="20"/>
          <w:szCs w:val="20"/>
          <w:lang w:eastAsia="en-CA"/>
        </w:rPr>
        <w:t>Workplace Health, Safety and Compensation Act</w:t>
      </w:r>
      <w:r w:rsidRPr="00602152">
        <w:rPr>
          <w:rFonts w:eastAsia="Times New Roman" w:cs="Times New Roman"/>
          <w:sz w:val="20"/>
          <w:szCs w:val="20"/>
          <w:lang w:eastAsia="en-CA"/>
        </w:rPr>
        <w:t>, RSNL1990, c. W-11 (“</w:t>
      </w:r>
      <w:r w:rsidRPr="00602152">
        <w:rPr>
          <w:rFonts w:eastAsia="Times New Roman" w:cs="Times New Roman"/>
          <w:i/>
          <w:sz w:val="20"/>
          <w:szCs w:val="20"/>
          <w:lang w:eastAsia="en-CA"/>
        </w:rPr>
        <w:t>WHSCA</w:t>
      </w:r>
      <w:r w:rsidRPr="00602152">
        <w:rPr>
          <w:rFonts w:eastAsia="Times New Roman" w:cs="Times New Roman"/>
          <w:sz w:val="20"/>
          <w:szCs w:val="20"/>
          <w:lang w:eastAsia="en-CA"/>
        </w:rPr>
        <w:t>”).  An internal review specialist with the Commission held that the action was statute-barred.  That decision was set aside on judicial review.  A majority of the Court of Appeal upheld the reviewing judge’s decision.</w:t>
      </w:r>
    </w:p>
    <w:p w:rsidR="00602152" w:rsidRPr="00602152" w:rsidRDefault="00602152" w:rsidP="00602152">
      <w:pPr>
        <w:widowControl w:val="0"/>
        <w:jc w:val="both"/>
        <w:rPr>
          <w:rFonts w:eastAsia="Times New Roman" w:cs="Times New Roman"/>
          <w:sz w:val="20"/>
          <w:szCs w:val="20"/>
          <w:lang w:eastAsia="en-CA"/>
        </w:rPr>
      </w:pPr>
    </w:p>
    <w:p w:rsidR="00602152" w:rsidRPr="00602152" w:rsidRDefault="00602152" w:rsidP="00602152">
      <w:pPr>
        <w:widowControl w:val="0"/>
        <w:jc w:val="both"/>
        <w:rPr>
          <w:rFonts w:eastAsia="Times New Roman" w:cs="Times New Roman"/>
          <w:sz w:val="20"/>
          <w:szCs w:val="20"/>
          <w:lang w:eastAsia="en-CA"/>
        </w:rPr>
      </w:pPr>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Origin of the case:</w:t>
      </w:r>
      <w:r w:rsidRPr="00602152">
        <w:rPr>
          <w:rFonts w:eastAsia="Times New Roman" w:cs="Times New Roman"/>
          <w:sz w:val="20"/>
          <w:szCs w:val="20"/>
          <w:lang w:eastAsia="en-CA"/>
        </w:rPr>
        <w:tab/>
      </w:r>
      <w:bookmarkStart w:id="5" w:name="4"/>
      <w:bookmarkEnd w:id="5"/>
      <w:r w:rsidRPr="00602152">
        <w:rPr>
          <w:rFonts w:eastAsia="Times New Roman" w:cs="Times New Roman"/>
          <w:sz w:val="20"/>
          <w:szCs w:val="20"/>
          <w:lang w:eastAsia="en-CA"/>
        </w:rPr>
        <w:t>Newfoundland and Labrador</w:t>
      </w:r>
    </w:p>
    <w:p w:rsidR="00602152" w:rsidRPr="00602152" w:rsidRDefault="00602152" w:rsidP="00602152">
      <w:pPr>
        <w:widowControl w:val="0"/>
        <w:ind w:left="2880" w:hanging="2880"/>
        <w:jc w:val="both"/>
        <w:rPr>
          <w:rFonts w:eastAsia="Times New Roman" w:cs="Times New Roman"/>
          <w:sz w:val="20"/>
          <w:szCs w:val="20"/>
          <w:lang w:eastAsia="en-CA"/>
        </w:rPr>
      </w:pPr>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File No.:</w:t>
      </w:r>
      <w:r w:rsidRPr="00602152">
        <w:rPr>
          <w:rFonts w:eastAsia="Times New Roman" w:cs="Times New Roman"/>
          <w:sz w:val="20"/>
          <w:szCs w:val="20"/>
          <w:lang w:eastAsia="en-CA"/>
        </w:rPr>
        <w:tab/>
      </w:r>
      <w:bookmarkStart w:id="6" w:name="2"/>
      <w:bookmarkEnd w:id="6"/>
      <w:r w:rsidRPr="00602152">
        <w:rPr>
          <w:rFonts w:eastAsia="Times New Roman" w:cs="Times New Roman"/>
          <w:sz w:val="20"/>
          <w:szCs w:val="20"/>
          <w:lang w:eastAsia="en-CA"/>
        </w:rPr>
        <w:t>34429</w:t>
      </w:r>
    </w:p>
    <w:p w:rsidR="00602152" w:rsidRPr="00602152" w:rsidRDefault="00602152" w:rsidP="00602152">
      <w:pPr>
        <w:widowControl w:val="0"/>
        <w:ind w:left="2880" w:hanging="2880"/>
        <w:jc w:val="both"/>
        <w:rPr>
          <w:rFonts w:eastAsia="Times New Roman" w:cs="Times New Roman"/>
          <w:sz w:val="20"/>
          <w:szCs w:val="20"/>
          <w:lang w:eastAsia="en-CA"/>
        </w:rPr>
      </w:pPr>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Judgment of the Court of Appeal:</w:t>
      </w:r>
      <w:r w:rsidRPr="00602152">
        <w:rPr>
          <w:rFonts w:eastAsia="Times New Roman" w:cs="Times New Roman"/>
          <w:sz w:val="20"/>
          <w:szCs w:val="20"/>
          <w:lang w:eastAsia="en-CA"/>
        </w:rPr>
        <w:tab/>
      </w:r>
      <w:bookmarkStart w:id="7" w:name="5"/>
      <w:bookmarkEnd w:id="7"/>
      <w:r w:rsidRPr="00602152">
        <w:rPr>
          <w:rFonts w:eastAsia="Times New Roman" w:cs="Times New Roman"/>
          <w:sz w:val="20"/>
          <w:szCs w:val="20"/>
          <w:lang w:eastAsia="en-CA"/>
        </w:rPr>
        <w:t>June 15, 2011</w:t>
      </w:r>
    </w:p>
    <w:p w:rsidR="00602152" w:rsidRPr="00602152" w:rsidRDefault="00602152" w:rsidP="00602152">
      <w:pPr>
        <w:widowControl w:val="0"/>
        <w:ind w:left="2880" w:hanging="2880"/>
        <w:jc w:val="both"/>
        <w:rPr>
          <w:rFonts w:eastAsia="Times New Roman" w:cs="Times New Roman"/>
          <w:sz w:val="20"/>
          <w:szCs w:val="20"/>
          <w:lang w:eastAsia="en-CA"/>
        </w:rPr>
      </w:pPr>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Counsel:</w:t>
      </w:r>
      <w:r w:rsidRPr="00602152">
        <w:rPr>
          <w:rFonts w:eastAsia="Times New Roman" w:cs="Times New Roman"/>
          <w:sz w:val="20"/>
          <w:szCs w:val="20"/>
          <w:lang w:eastAsia="en-CA"/>
        </w:rPr>
        <w:tab/>
      </w:r>
      <w:bookmarkStart w:id="8" w:name="6"/>
      <w:bookmarkEnd w:id="8"/>
      <w:r w:rsidRPr="00602152">
        <w:rPr>
          <w:rFonts w:eastAsia="Times New Roman" w:cs="Times New Roman"/>
          <w:sz w:val="20"/>
          <w:szCs w:val="20"/>
          <w:lang w:eastAsia="en-CA"/>
        </w:rPr>
        <w:t>Peter O’Flaherty for the appellants</w:t>
      </w:r>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ab/>
      </w:r>
      <w:bookmarkStart w:id="9" w:name="7"/>
      <w:bookmarkEnd w:id="9"/>
      <w:proofErr w:type="gramStart"/>
      <w:r w:rsidRPr="00602152">
        <w:rPr>
          <w:rFonts w:eastAsia="Times New Roman" w:cs="Times New Roman"/>
          <w:sz w:val="20"/>
          <w:szCs w:val="20"/>
          <w:lang w:eastAsia="en-CA"/>
        </w:rPr>
        <w:t>Corwin Mills, Q.C. for the respondents Estate of Joseph Ryan, et al</w:t>
      </w:r>
      <w:r>
        <w:rPr>
          <w:rFonts w:eastAsia="Times New Roman" w:cs="Times New Roman"/>
          <w:sz w:val="20"/>
          <w:szCs w:val="20"/>
          <w:lang w:eastAsia="en-CA"/>
        </w:rPr>
        <w:t>.</w:t>
      </w:r>
      <w:proofErr w:type="gramEnd"/>
    </w:p>
    <w:p w:rsidR="00602152" w:rsidRPr="00602152" w:rsidRDefault="00602152" w:rsidP="00602152">
      <w:pPr>
        <w:widowControl w:val="0"/>
        <w:ind w:left="2880" w:hanging="2880"/>
        <w:jc w:val="both"/>
        <w:rPr>
          <w:rFonts w:eastAsia="Times New Roman" w:cs="Times New Roman"/>
          <w:sz w:val="20"/>
          <w:szCs w:val="20"/>
          <w:lang w:eastAsia="en-CA"/>
        </w:rPr>
      </w:pPr>
      <w:r w:rsidRPr="00602152">
        <w:rPr>
          <w:rFonts w:eastAsia="Times New Roman" w:cs="Times New Roman"/>
          <w:sz w:val="20"/>
          <w:szCs w:val="20"/>
          <w:lang w:eastAsia="en-CA"/>
        </w:rPr>
        <w:tab/>
        <w:t>Peter Southey and Christine Mohr for the respondent</w:t>
      </w:r>
      <w:r w:rsidR="0079705E">
        <w:rPr>
          <w:rFonts w:eastAsia="Times New Roman" w:cs="Times New Roman"/>
          <w:sz w:val="20"/>
          <w:szCs w:val="20"/>
          <w:lang w:eastAsia="en-CA"/>
        </w:rPr>
        <w:t xml:space="preserve"> </w:t>
      </w:r>
      <w:r w:rsidRPr="00602152">
        <w:rPr>
          <w:rFonts w:eastAsia="Times New Roman" w:cs="Times New Roman"/>
          <w:sz w:val="20"/>
          <w:szCs w:val="20"/>
          <w:lang w:eastAsia="en-CA"/>
        </w:rPr>
        <w:t>Attorney General of Canada</w:t>
      </w:r>
    </w:p>
    <w:p w:rsidR="00602152" w:rsidRPr="00602152" w:rsidRDefault="00602152" w:rsidP="000B3C9A">
      <w:pPr>
        <w:tabs>
          <w:tab w:val="left" w:pos="-1440"/>
          <w:tab w:val="left" w:pos="-720"/>
        </w:tabs>
        <w:ind w:left="720" w:hanging="720"/>
        <w:jc w:val="both"/>
        <w:rPr>
          <w:sz w:val="20"/>
          <w:szCs w:val="20"/>
        </w:rPr>
      </w:pPr>
    </w:p>
    <w:p w:rsidR="000B3C9A" w:rsidRPr="00DD0B49" w:rsidRDefault="007F0A1D" w:rsidP="000B3C9A">
      <w:pPr>
        <w:tabs>
          <w:tab w:val="left" w:pos="-1440"/>
          <w:tab w:val="left" w:pos="-720"/>
        </w:tabs>
        <w:ind w:left="720" w:hanging="720"/>
        <w:jc w:val="both"/>
        <w:rPr>
          <w:sz w:val="20"/>
          <w:szCs w:val="20"/>
          <w:lang w:val="fr-CA"/>
        </w:rPr>
      </w:pPr>
      <w:r w:rsidRPr="007F0A1D">
        <w:rPr>
          <w:sz w:val="20"/>
          <w:szCs w:val="20"/>
          <w:lang w:val="fr-CA"/>
        </w:rPr>
        <w:pict>
          <v:rect id="_x0000_i1054"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602152" w:rsidRPr="00602152" w:rsidRDefault="007F0A1D" w:rsidP="00602152">
      <w:pPr>
        <w:widowControl w:val="0"/>
        <w:ind w:left="720" w:hanging="720"/>
        <w:jc w:val="both"/>
        <w:rPr>
          <w:rFonts w:eastAsia="Times New Roman" w:cs="Times New Roman"/>
          <w:b/>
          <w:i/>
          <w:sz w:val="20"/>
          <w:szCs w:val="20"/>
          <w:lang w:val="fr-CA" w:eastAsia="en-CA"/>
        </w:rPr>
      </w:pPr>
      <w:r w:rsidRPr="00602152">
        <w:rPr>
          <w:rFonts w:eastAsia="Times New Roman" w:cs="Times New Roman"/>
          <w:b/>
          <w:sz w:val="20"/>
          <w:szCs w:val="20"/>
          <w:lang w:val="fr-CA" w:eastAsia="en-CA"/>
        </w:rPr>
        <w:lastRenderedPageBreak/>
        <w:fldChar w:fldCharType="begin"/>
      </w:r>
      <w:r w:rsidR="00602152" w:rsidRPr="00602152">
        <w:rPr>
          <w:rFonts w:eastAsia="Times New Roman" w:cs="Times New Roman"/>
          <w:b/>
          <w:sz w:val="20"/>
          <w:szCs w:val="20"/>
          <w:lang w:val="fr-CA" w:eastAsia="en-CA"/>
        </w:rPr>
        <w:instrText xml:space="preserve"> SEQ CHAPTER \h \r 1</w:instrText>
      </w:r>
      <w:r w:rsidRPr="00602152">
        <w:rPr>
          <w:rFonts w:eastAsia="Times New Roman" w:cs="Times New Roman"/>
          <w:b/>
          <w:sz w:val="20"/>
          <w:szCs w:val="20"/>
          <w:lang w:val="fr-CA" w:eastAsia="en-CA"/>
        </w:rPr>
        <w:fldChar w:fldCharType="end"/>
      </w:r>
      <w:r w:rsidR="00602152" w:rsidRPr="00602152">
        <w:rPr>
          <w:rFonts w:eastAsia="Times New Roman" w:cs="Times New Roman"/>
          <w:b/>
          <w:sz w:val="20"/>
          <w:szCs w:val="20"/>
          <w:lang w:val="fr-CA" w:eastAsia="en-CA"/>
        </w:rPr>
        <w:t>34429</w:t>
      </w:r>
      <w:r w:rsidR="00602152" w:rsidRPr="00602152">
        <w:rPr>
          <w:rFonts w:eastAsia="Times New Roman" w:cs="Times New Roman"/>
          <w:b/>
          <w:sz w:val="20"/>
          <w:szCs w:val="20"/>
          <w:lang w:val="fr-CA" w:eastAsia="en-CA"/>
        </w:rPr>
        <w:tab/>
      </w:r>
      <w:r w:rsidR="00602152" w:rsidRPr="00602152">
        <w:rPr>
          <w:rFonts w:eastAsia="Times New Roman" w:cs="Times New Roman"/>
          <w:b/>
          <w:i/>
          <w:sz w:val="20"/>
          <w:szCs w:val="20"/>
          <w:lang w:val="fr-CA" w:eastAsia="en-CA"/>
        </w:rPr>
        <w:t xml:space="preserve">Marine Services International Limited et David Porter c. Succession de Joseph Ryan, représentée par son administratrice Yvonne Ryan, Yvonne Ryan, en son nom, Stephen Ryan, un mineur représenté par sa tutrice à l’insistance Yvonne Ryan, Jennifer Ryan, une mineure représentée par sa tutrice à l’instance Yvonne Ryan, succession de David Ryan, représentée par son administratrice Marilyn Ryan et Marilyn Ryan, en son nom, David Michael Ryan, un mineur représenté par sa tutrice à l’instance Marilyn Ryan, J and Y </w:t>
      </w:r>
      <w:proofErr w:type="spellStart"/>
      <w:r w:rsidR="00602152" w:rsidRPr="00602152">
        <w:rPr>
          <w:rFonts w:eastAsia="Times New Roman" w:cs="Times New Roman"/>
          <w:b/>
          <w:i/>
          <w:sz w:val="20"/>
          <w:szCs w:val="20"/>
          <w:lang w:val="fr-CA" w:eastAsia="en-CA"/>
        </w:rPr>
        <w:t>Fisheries</w:t>
      </w:r>
      <w:proofErr w:type="spellEnd"/>
      <w:r w:rsidR="00602152" w:rsidRPr="00602152">
        <w:rPr>
          <w:rFonts w:eastAsia="Times New Roman" w:cs="Times New Roman"/>
          <w:b/>
          <w:i/>
          <w:sz w:val="20"/>
          <w:szCs w:val="20"/>
          <w:lang w:val="fr-CA" w:eastAsia="en-CA"/>
        </w:rPr>
        <w:t xml:space="preserve"> Inc. et D and M </w:t>
      </w:r>
      <w:proofErr w:type="spellStart"/>
      <w:r w:rsidR="00602152" w:rsidRPr="00602152">
        <w:rPr>
          <w:rFonts w:eastAsia="Times New Roman" w:cs="Times New Roman"/>
          <w:b/>
          <w:i/>
          <w:sz w:val="20"/>
          <w:szCs w:val="20"/>
          <w:lang w:val="fr-CA" w:eastAsia="en-CA"/>
        </w:rPr>
        <w:t>Fisheries</w:t>
      </w:r>
      <w:proofErr w:type="spellEnd"/>
      <w:r w:rsidR="00602152" w:rsidRPr="00602152">
        <w:rPr>
          <w:rFonts w:eastAsia="Times New Roman" w:cs="Times New Roman"/>
          <w:b/>
          <w:i/>
          <w:sz w:val="20"/>
          <w:szCs w:val="20"/>
          <w:lang w:val="fr-CA" w:eastAsia="en-CA"/>
        </w:rPr>
        <w:t xml:space="preserve"> Inc., des personnes morales, faisant affaires sous la dénomination sociale </w:t>
      </w:r>
      <w:proofErr w:type="spellStart"/>
      <w:r w:rsidR="00602152" w:rsidRPr="00602152">
        <w:rPr>
          <w:rFonts w:eastAsia="Times New Roman" w:cs="Times New Roman"/>
          <w:b/>
          <w:i/>
          <w:sz w:val="20"/>
          <w:szCs w:val="20"/>
          <w:lang w:val="fr-CA" w:eastAsia="en-CA"/>
        </w:rPr>
        <w:t>Ryan’s</w:t>
      </w:r>
      <w:proofErr w:type="spellEnd"/>
      <w:r w:rsidR="00602152" w:rsidRPr="00602152">
        <w:rPr>
          <w:rFonts w:eastAsia="Times New Roman" w:cs="Times New Roman"/>
          <w:b/>
          <w:i/>
          <w:sz w:val="20"/>
          <w:szCs w:val="20"/>
          <w:lang w:val="fr-CA" w:eastAsia="en-CA"/>
        </w:rPr>
        <w:t xml:space="preserve"> </w:t>
      </w:r>
      <w:proofErr w:type="spellStart"/>
      <w:r w:rsidR="00602152" w:rsidRPr="00602152">
        <w:rPr>
          <w:rFonts w:eastAsia="Times New Roman" w:cs="Times New Roman"/>
          <w:b/>
          <w:i/>
          <w:sz w:val="20"/>
          <w:szCs w:val="20"/>
          <w:lang w:val="fr-CA" w:eastAsia="en-CA"/>
        </w:rPr>
        <w:t>Fisheries</w:t>
      </w:r>
      <w:proofErr w:type="spellEnd"/>
      <w:r w:rsidR="00602152" w:rsidRPr="00602152">
        <w:rPr>
          <w:rFonts w:eastAsia="Times New Roman" w:cs="Times New Roman"/>
          <w:b/>
          <w:i/>
          <w:sz w:val="20"/>
          <w:szCs w:val="20"/>
          <w:lang w:val="fr-CA" w:eastAsia="en-CA"/>
        </w:rPr>
        <w:t xml:space="preserve"> </w:t>
      </w:r>
      <w:proofErr w:type="spellStart"/>
      <w:r w:rsidR="00602152" w:rsidRPr="00602152">
        <w:rPr>
          <w:rFonts w:eastAsia="Times New Roman" w:cs="Times New Roman"/>
          <w:b/>
          <w:i/>
          <w:sz w:val="20"/>
          <w:szCs w:val="20"/>
          <w:lang w:val="fr-CA" w:eastAsia="en-CA"/>
        </w:rPr>
        <w:t>Partnership</w:t>
      </w:r>
      <w:proofErr w:type="spellEnd"/>
      <w:r w:rsidR="00602152" w:rsidRPr="00602152">
        <w:rPr>
          <w:rFonts w:eastAsia="Times New Roman" w:cs="Times New Roman"/>
          <w:b/>
          <w:i/>
          <w:sz w:val="20"/>
          <w:szCs w:val="20"/>
          <w:lang w:val="fr-CA" w:eastAsia="en-CA"/>
        </w:rPr>
        <w:t xml:space="preserve">, </w:t>
      </w:r>
      <w:proofErr w:type="spellStart"/>
      <w:r w:rsidR="00602152" w:rsidRPr="00602152">
        <w:rPr>
          <w:rFonts w:eastAsia="Times New Roman" w:cs="Times New Roman"/>
          <w:b/>
          <w:i/>
          <w:sz w:val="20"/>
          <w:szCs w:val="20"/>
          <w:lang w:val="fr-CA" w:eastAsia="en-CA"/>
        </w:rPr>
        <w:t>Universal</w:t>
      </w:r>
      <w:proofErr w:type="spellEnd"/>
      <w:r w:rsidR="00602152" w:rsidRPr="00602152">
        <w:rPr>
          <w:rFonts w:eastAsia="Times New Roman" w:cs="Times New Roman"/>
          <w:b/>
          <w:i/>
          <w:sz w:val="20"/>
          <w:szCs w:val="20"/>
          <w:lang w:val="fr-CA" w:eastAsia="en-CA"/>
        </w:rPr>
        <w:t xml:space="preserve"> Marine Limited et procureur général du Canada</w:t>
      </w:r>
    </w:p>
    <w:p w:rsidR="00602152" w:rsidRPr="00602152" w:rsidRDefault="00602152" w:rsidP="00602152">
      <w:pPr>
        <w:widowControl w:val="0"/>
        <w:jc w:val="both"/>
        <w:rPr>
          <w:rFonts w:eastAsia="Times New Roman" w:cs="Times New Roman"/>
          <w:sz w:val="20"/>
          <w:szCs w:val="20"/>
          <w:lang w:val="fr-CA" w:eastAsia="en-CA"/>
        </w:rPr>
      </w:pPr>
    </w:p>
    <w:p w:rsidR="00602152" w:rsidRPr="00602152" w:rsidRDefault="00602152" w:rsidP="00602152">
      <w:pPr>
        <w:widowControl w:val="0"/>
        <w:jc w:val="both"/>
        <w:rPr>
          <w:rFonts w:eastAsia="Times New Roman" w:cs="Times New Roman"/>
          <w:sz w:val="20"/>
          <w:szCs w:val="20"/>
          <w:lang w:val="fr-CA" w:eastAsia="en-CA"/>
        </w:rPr>
      </w:pPr>
      <w:r w:rsidRPr="00602152">
        <w:rPr>
          <w:rFonts w:eastAsia="Times New Roman" w:cs="Times New Roman"/>
          <w:sz w:val="20"/>
          <w:szCs w:val="20"/>
          <w:lang w:val="fr-CA" w:eastAsia="en-CA"/>
        </w:rPr>
        <w:t xml:space="preserve">Droit constitutionnel </w:t>
      </w:r>
      <w:r w:rsidRPr="00602152">
        <w:rPr>
          <w:rFonts w:eastAsia="Times New Roman" w:cs="Times New Roman"/>
          <w:sz w:val="20"/>
          <w:szCs w:val="20"/>
          <w:lang w:val="fr-CA" w:eastAsia="en-CA"/>
        </w:rPr>
        <w:noBreakHyphen/>
        <w:t xml:space="preserve"> Partage des compétences </w:t>
      </w:r>
      <w:r w:rsidRPr="00602152">
        <w:rPr>
          <w:rFonts w:eastAsia="Times New Roman" w:cs="Times New Roman"/>
          <w:sz w:val="20"/>
          <w:szCs w:val="20"/>
          <w:lang w:val="fr-CA" w:eastAsia="en-CA"/>
        </w:rPr>
        <w:noBreakHyphen/>
        <w:t xml:space="preserve"> Navigation et bâtiments ou navires </w:t>
      </w:r>
      <w:r w:rsidRPr="00602152">
        <w:rPr>
          <w:rFonts w:eastAsia="Times New Roman" w:cs="Times New Roman"/>
          <w:sz w:val="20"/>
          <w:szCs w:val="20"/>
          <w:lang w:val="fr-CA" w:eastAsia="en-CA"/>
        </w:rPr>
        <w:noBreakHyphen/>
        <w:t xml:space="preserve"> Prépondérance </w:t>
      </w:r>
      <w:r w:rsidRPr="00602152">
        <w:rPr>
          <w:rFonts w:eastAsia="Times New Roman" w:cs="Times New Roman"/>
          <w:sz w:val="20"/>
          <w:szCs w:val="20"/>
          <w:lang w:val="fr-CA" w:eastAsia="en-CA"/>
        </w:rPr>
        <w:noBreakHyphen/>
        <w:t xml:space="preserve"> Exclusivité des compétences </w:t>
      </w:r>
      <w:r w:rsidRPr="00602152">
        <w:rPr>
          <w:rFonts w:eastAsia="Times New Roman" w:cs="Times New Roman"/>
          <w:sz w:val="20"/>
          <w:szCs w:val="20"/>
          <w:lang w:val="fr-CA" w:eastAsia="en-CA"/>
        </w:rPr>
        <w:noBreakHyphen/>
        <w:t xml:space="preserve"> Action en négligence intentée par les successions et les familles de deux hommes qui se sont noyés après que le navire de pêche conçu, construit et inspecté par les défendeurs a chaviré </w:t>
      </w:r>
      <w:r w:rsidRPr="00602152">
        <w:rPr>
          <w:rFonts w:eastAsia="Times New Roman" w:cs="Times New Roman"/>
          <w:sz w:val="20"/>
          <w:szCs w:val="20"/>
          <w:lang w:val="fr-CA" w:eastAsia="en-CA"/>
        </w:rPr>
        <w:noBreakHyphen/>
        <w:t xml:space="preserve"> L’art. 6 de la</w:t>
      </w:r>
      <w:r w:rsidRPr="00602152">
        <w:rPr>
          <w:rFonts w:eastAsia="Times New Roman" w:cs="Times New Roman"/>
          <w:i/>
          <w:sz w:val="20"/>
          <w:szCs w:val="20"/>
          <w:lang w:val="fr-CA" w:eastAsia="en-CA"/>
        </w:rPr>
        <w:t xml:space="preserve"> Loi sur la responsabilité en matière maritime</w:t>
      </w:r>
      <w:r w:rsidRPr="00602152">
        <w:rPr>
          <w:rFonts w:eastAsia="Times New Roman" w:cs="Times New Roman"/>
          <w:sz w:val="20"/>
          <w:szCs w:val="20"/>
          <w:lang w:val="fr-CA" w:eastAsia="en-CA"/>
        </w:rPr>
        <w:t xml:space="preserve">, L.C. 2001, c. 6, </w:t>
      </w:r>
      <w:proofErr w:type="spellStart"/>
      <w:r w:rsidRPr="00602152">
        <w:rPr>
          <w:rFonts w:eastAsia="Times New Roman" w:cs="Times New Roman"/>
          <w:sz w:val="20"/>
          <w:szCs w:val="20"/>
          <w:lang w:val="fr-CA" w:eastAsia="en-CA"/>
        </w:rPr>
        <w:t>confère</w:t>
      </w:r>
      <w:r w:rsidRPr="00602152">
        <w:rPr>
          <w:rFonts w:eastAsia="Times New Roman" w:cs="Times New Roman"/>
          <w:sz w:val="20"/>
          <w:szCs w:val="20"/>
          <w:lang w:val="fr-CA" w:eastAsia="en-CA"/>
        </w:rPr>
        <w:noBreakHyphen/>
        <w:t>t</w:t>
      </w:r>
      <w:r w:rsidRPr="00602152">
        <w:rPr>
          <w:rFonts w:eastAsia="Times New Roman" w:cs="Times New Roman"/>
          <w:sz w:val="20"/>
          <w:szCs w:val="20"/>
          <w:lang w:val="fr-CA" w:eastAsia="en-CA"/>
        </w:rPr>
        <w:noBreakHyphen/>
        <w:t>il</w:t>
      </w:r>
      <w:proofErr w:type="spellEnd"/>
      <w:r w:rsidRPr="00602152">
        <w:rPr>
          <w:rFonts w:eastAsia="Times New Roman" w:cs="Times New Roman"/>
          <w:sz w:val="20"/>
          <w:szCs w:val="20"/>
          <w:lang w:val="fr-CA" w:eastAsia="en-CA"/>
        </w:rPr>
        <w:t xml:space="preserve"> un droit d’action au fédéral aux personnes à charge de travailleurs blessés ou tués dans l’exercice de leur emploi dans le secteur maritime contre leur employeur, un collègue de travail ou d’autres travailleurs ou employeurs régis par le même régime d’indemnisation des accidentés du travail? </w:t>
      </w:r>
      <w:r w:rsidRPr="00602152">
        <w:rPr>
          <w:rFonts w:eastAsia="Times New Roman" w:cs="Times New Roman"/>
          <w:sz w:val="20"/>
          <w:szCs w:val="20"/>
          <w:lang w:val="en-US" w:eastAsia="en-CA"/>
        </w:rPr>
        <w:noBreakHyphen/>
        <w:t xml:space="preserve"> </w:t>
      </w:r>
      <w:proofErr w:type="spellStart"/>
      <w:r w:rsidRPr="00602152">
        <w:rPr>
          <w:rFonts w:eastAsia="Times New Roman" w:cs="Times New Roman"/>
          <w:sz w:val="20"/>
          <w:szCs w:val="20"/>
          <w:lang w:val="en-US" w:eastAsia="en-CA"/>
        </w:rPr>
        <w:t>L’art</w:t>
      </w:r>
      <w:proofErr w:type="spellEnd"/>
      <w:r w:rsidRPr="00602152">
        <w:rPr>
          <w:rFonts w:eastAsia="Times New Roman" w:cs="Times New Roman"/>
          <w:sz w:val="20"/>
          <w:szCs w:val="20"/>
          <w:lang w:val="en-US" w:eastAsia="en-CA"/>
        </w:rPr>
        <w:t xml:space="preserve">. 44 de la </w:t>
      </w:r>
      <w:r w:rsidRPr="00602152">
        <w:rPr>
          <w:rFonts w:eastAsia="Times New Roman" w:cs="Times New Roman"/>
          <w:i/>
          <w:sz w:val="20"/>
          <w:szCs w:val="20"/>
          <w:lang w:val="en-US" w:eastAsia="en-CA"/>
        </w:rPr>
        <w:t>Workplace Health, Safety and Compensation Act</w:t>
      </w:r>
      <w:r w:rsidRPr="00602152">
        <w:rPr>
          <w:rFonts w:eastAsia="Times New Roman" w:cs="Times New Roman"/>
          <w:sz w:val="20"/>
          <w:szCs w:val="20"/>
          <w:lang w:val="en-US" w:eastAsia="en-CA"/>
        </w:rPr>
        <w:t xml:space="preserve">, RSNL 1990, </w:t>
      </w:r>
      <w:proofErr w:type="spellStart"/>
      <w:r w:rsidRPr="00602152">
        <w:rPr>
          <w:rFonts w:eastAsia="Times New Roman" w:cs="Times New Roman"/>
          <w:sz w:val="20"/>
          <w:szCs w:val="20"/>
          <w:lang w:val="en-US" w:eastAsia="en-CA"/>
        </w:rPr>
        <w:t>ch</w:t>
      </w:r>
      <w:proofErr w:type="spellEnd"/>
      <w:r w:rsidRPr="00602152">
        <w:rPr>
          <w:rFonts w:eastAsia="Times New Roman" w:cs="Times New Roman"/>
          <w:sz w:val="20"/>
          <w:szCs w:val="20"/>
          <w:lang w:val="en-US" w:eastAsia="en-CA"/>
        </w:rPr>
        <w:t>. </w:t>
      </w:r>
      <w:r w:rsidRPr="00602152">
        <w:rPr>
          <w:rFonts w:eastAsia="Times New Roman" w:cs="Times New Roman"/>
          <w:sz w:val="20"/>
          <w:szCs w:val="20"/>
          <w:lang w:val="fr-CA" w:eastAsia="en-CA"/>
        </w:rPr>
        <w:t>W</w:t>
      </w:r>
      <w:r w:rsidRPr="00602152">
        <w:rPr>
          <w:rFonts w:eastAsia="Times New Roman" w:cs="Times New Roman"/>
          <w:sz w:val="20"/>
          <w:szCs w:val="20"/>
          <w:lang w:val="fr-CA" w:eastAsia="en-CA"/>
        </w:rPr>
        <w:noBreakHyphen/>
        <w:t xml:space="preserve">11 </w:t>
      </w:r>
      <w:proofErr w:type="spellStart"/>
      <w:r w:rsidRPr="00602152">
        <w:rPr>
          <w:rFonts w:eastAsia="Times New Roman" w:cs="Times New Roman"/>
          <w:sz w:val="20"/>
          <w:szCs w:val="20"/>
          <w:lang w:val="fr-CA" w:eastAsia="en-CA"/>
        </w:rPr>
        <w:t>est</w:t>
      </w:r>
      <w:r w:rsidRPr="00602152">
        <w:rPr>
          <w:rFonts w:eastAsia="Times New Roman" w:cs="Times New Roman"/>
          <w:sz w:val="20"/>
          <w:szCs w:val="20"/>
          <w:lang w:val="fr-CA" w:eastAsia="en-CA"/>
        </w:rPr>
        <w:noBreakHyphen/>
        <w:t>il</w:t>
      </w:r>
      <w:proofErr w:type="spellEnd"/>
      <w:r w:rsidRPr="00602152">
        <w:rPr>
          <w:rFonts w:eastAsia="Times New Roman" w:cs="Times New Roman"/>
          <w:sz w:val="20"/>
          <w:szCs w:val="20"/>
          <w:lang w:val="fr-CA" w:eastAsia="en-CA"/>
        </w:rPr>
        <w:t xml:space="preserve"> constitutionnellement inopérant à l’égard d’actions au fédéral pour négligence en matière maritime intentées en vertu de l’art. 6 de la </w:t>
      </w:r>
      <w:r w:rsidRPr="00602152">
        <w:rPr>
          <w:rFonts w:eastAsia="Times New Roman" w:cs="Times New Roman"/>
          <w:i/>
          <w:sz w:val="20"/>
          <w:szCs w:val="20"/>
          <w:lang w:val="fr-CA" w:eastAsia="en-CA"/>
        </w:rPr>
        <w:t>Loi sur la responsabilité en matière maritime</w:t>
      </w:r>
      <w:r w:rsidRPr="00602152">
        <w:rPr>
          <w:rFonts w:eastAsia="Times New Roman" w:cs="Times New Roman"/>
          <w:sz w:val="20"/>
          <w:szCs w:val="20"/>
          <w:lang w:val="fr-CA" w:eastAsia="en-CA"/>
        </w:rPr>
        <w:t xml:space="preserve"> en raison de la doctrine de la prépondérance fédérale? </w:t>
      </w:r>
      <w:r w:rsidRPr="00602152">
        <w:rPr>
          <w:rFonts w:eastAsia="Times New Roman" w:cs="Times New Roman"/>
          <w:sz w:val="20"/>
          <w:szCs w:val="20"/>
          <w:lang w:val="en-US" w:eastAsia="en-CA"/>
        </w:rPr>
        <w:noBreakHyphen/>
        <w:t xml:space="preserve"> </w:t>
      </w:r>
      <w:proofErr w:type="spellStart"/>
      <w:r w:rsidRPr="00602152">
        <w:rPr>
          <w:rFonts w:eastAsia="Times New Roman" w:cs="Times New Roman"/>
          <w:sz w:val="20"/>
          <w:szCs w:val="20"/>
          <w:lang w:val="en-US" w:eastAsia="en-CA"/>
        </w:rPr>
        <w:t>L’art</w:t>
      </w:r>
      <w:proofErr w:type="spellEnd"/>
      <w:r w:rsidRPr="00602152">
        <w:rPr>
          <w:rFonts w:eastAsia="Times New Roman" w:cs="Times New Roman"/>
          <w:sz w:val="20"/>
          <w:szCs w:val="20"/>
          <w:lang w:val="en-US" w:eastAsia="en-CA"/>
        </w:rPr>
        <w:t xml:space="preserve">. 44 de la  </w:t>
      </w:r>
      <w:r w:rsidRPr="00602152">
        <w:rPr>
          <w:rFonts w:eastAsia="Times New Roman" w:cs="Times New Roman"/>
          <w:i/>
          <w:sz w:val="20"/>
          <w:szCs w:val="20"/>
          <w:lang w:val="en-US" w:eastAsia="en-CA"/>
        </w:rPr>
        <w:t>Workplace Health, Safety and Compensation Act</w:t>
      </w:r>
      <w:r w:rsidRPr="00602152">
        <w:rPr>
          <w:rFonts w:eastAsia="Times New Roman" w:cs="Times New Roman"/>
          <w:sz w:val="20"/>
          <w:szCs w:val="20"/>
          <w:lang w:val="en-US" w:eastAsia="en-CA"/>
        </w:rPr>
        <w:t xml:space="preserve">, RSNL 1990, </w:t>
      </w:r>
      <w:proofErr w:type="spellStart"/>
      <w:r w:rsidRPr="00602152">
        <w:rPr>
          <w:rFonts w:eastAsia="Times New Roman" w:cs="Times New Roman"/>
          <w:sz w:val="20"/>
          <w:szCs w:val="20"/>
          <w:lang w:val="en-US" w:eastAsia="en-CA"/>
        </w:rPr>
        <w:t>ch</w:t>
      </w:r>
      <w:proofErr w:type="spellEnd"/>
      <w:r w:rsidRPr="00602152">
        <w:rPr>
          <w:rFonts w:eastAsia="Times New Roman" w:cs="Times New Roman"/>
          <w:sz w:val="20"/>
          <w:szCs w:val="20"/>
          <w:lang w:val="en-US" w:eastAsia="en-CA"/>
        </w:rPr>
        <w:t>. </w:t>
      </w:r>
      <w:r w:rsidRPr="00602152">
        <w:rPr>
          <w:rFonts w:eastAsia="Times New Roman" w:cs="Times New Roman"/>
          <w:sz w:val="20"/>
          <w:szCs w:val="20"/>
          <w:lang w:val="fr-CA" w:eastAsia="en-CA"/>
        </w:rPr>
        <w:t>W</w:t>
      </w:r>
      <w:r w:rsidRPr="00602152">
        <w:rPr>
          <w:rFonts w:eastAsia="Times New Roman" w:cs="Times New Roman"/>
          <w:sz w:val="20"/>
          <w:szCs w:val="20"/>
          <w:lang w:val="fr-CA" w:eastAsia="en-CA"/>
        </w:rPr>
        <w:noBreakHyphen/>
        <w:t xml:space="preserve">11 </w:t>
      </w:r>
      <w:proofErr w:type="spellStart"/>
      <w:r w:rsidRPr="00602152">
        <w:rPr>
          <w:rFonts w:eastAsia="Times New Roman" w:cs="Times New Roman"/>
          <w:sz w:val="20"/>
          <w:szCs w:val="20"/>
          <w:lang w:val="fr-CA" w:eastAsia="en-CA"/>
        </w:rPr>
        <w:t>est</w:t>
      </w:r>
      <w:r w:rsidRPr="00602152">
        <w:rPr>
          <w:rFonts w:eastAsia="Times New Roman" w:cs="Times New Roman"/>
          <w:sz w:val="20"/>
          <w:szCs w:val="20"/>
          <w:lang w:val="fr-CA" w:eastAsia="en-CA"/>
        </w:rPr>
        <w:noBreakHyphen/>
        <w:t>il</w:t>
      </w:r>
      <w:proofErr w:type="spellEnd"/>
      <w:r w:rsidRPr="00602152">
        <w:rPr>
          <w:rFonts w:eastAsia="Times New Roman" w:cs="Times New Roman"/>
          <w:sz w:val="20"/>
          <w:szCs w:val="20"/>
          <w:lang w:val="fr-CA" w:eastAsia="en-CA"/>
        </w:rPr>
        <w:t xml:space="preserve"> constitutionnellement inapplicable aux actions au fédéral pour négligence en matière maritime intentées en vertu de l’art. 6 de la </w:t>
      </w:r>
      <w:r w:rsidRPr="00602152">
        <w:rPr>
          <w:rFonts w:eastAsia="Times New Roman" w:cs="Times New Roman"/>
          <w:i/>
          <w:sz w:val="20"/>
          <w:szCs w:val="20"/>
          <w:lang w:val="fr-CA" w:eastAsia="en-CA"/>
        </w:rPr>
        <w:t>Loi sur la responsabilité en matière maritime</w:t>
      </w:r>
      <w:r w:rsidRPr="00602152">
        <w:rPr>
          <w:rFonts w:eastAsia="Times New Roman" w:cs="Times New Roman"/>
          <w:sz w:val="20"/>
          <w:szCs w:val="20"/>
          <w:lang w:val="fr-CA" w:eastAsia="en-CA"/>
        </w:rPr>
        <w:t xml:space="preserve"> en raison de la doctrine d’exclusivité des compétences? </w:t>
      </w:r>
    </w:p>
    <w:p w:rsidR="00602152" w:rsidRPr="00602152" w:rsidRDefault="00602152" w:rsidP="00602152">
      <w:pPr>
        <w:widowControl w:val="0"/>
        <w:jc w:val="both"/>
        <w:rPr>
          <w:rFonts w:eastAsia="Times New Roman" w:cs="Times New Roman"/>
          <w:sz w:val="20"/>
          <w:szCs w:val="20"/>
          <w:lang w:val="fr-CA" w:eastAsia="en-CA"/>
        </w:rPr>
      </w:pPr>
    </w:p>
    <w:p w:rsidR="00602152" w:rsidRPr="00602152" w:rsidRDefault="00602152" w:rsidP="00602152">
      <w:pPr>
        <w:widowControl w:val="0"/>
        <w:jc w:val="both"/>
        <w:rPr>
          <w:rFonts w:eastAsia="Times New Roman" w:cs="Times New Roman"/>
          <w:sz w:val="20"/>
          <w:szCs w:val="20"/>
          <w:lang w:val="fr-CA" w:eastAsia="en-CA"/>
        </w:rPr>
      </w:pPr>
      <w:r w:rsidRPr="00602152">
        <w:rPr>
          <w:rFonts w:eastAsia="Times New Roman" w:cs="Times New Roman"/>
          <w:sz w:val="20"/>
          <w:szCs w:val="20"/>
          <w:lang w:val="fr-CA" w:eastAsia="en-CA"/>
        </w:rPr>
        <w:t>Joseph et David Ryan se sont noyés en mer après que le navire de pêche sur lequel ils travaillaient comme membres de l’équipage a chaviré.  S’appuyant sur la</w:t>
      </w:r>
      <w:r w:rsidRPr="00602152">
        <w:rPr>
          <w:rFonts w:eastAsia="Times New Roman" w:cs="Times New Roman"/>
          <w:i/>
          <w:sz w:val="20"/>
          <w:szCs w:val="20"/>
          <w:lang w:val="fr-CA" w:eastAsia="en-CA"/>
        </w:rPr>
        <w:t xml:space="preserve"> Loi sur la responsabilité en matière maritime</w:t>
      </w:r>
      <w:r w:rsidRPr="00602152">
        <w:rPr>
          <w:rFonts w:eastAsia="Times New Roman" w:cs="Times New Roman"/>
          <w:sz w:val="20"/>
          <w:szCs w:val="20"/>
          <w:lang w:val="fr-CA" w:eastAsia="en-CA"/>
        </w:rPr>
        <w:t xml:space="preserve">, L.C. 2001, ch. 6, leurs successions et familles ont intenté une action contre un certain nombre de défendeurs, alléguant la négligence dans la conception, la construction et l’inspection du navire.  Les appelants, défendeurs à l’action, ont présenté une demande à la </w:t>
      </w:r>
      <w:proofErr w:type="spellStart"/>
      <w:r w:rsidRPr="00602152">
        <w:rPr>
          <w:rFonts w:eastAsia="Times New Roman" w:cs="Times New Roman"/>
          <w:sz w:val="20"/>
          <w:szCs w:val="20"/>
          <w:lang w:val="fr-CA" w:eastAsia="en-CA"/>
        </w:rPr>
        <w:t>Workplace</w:t>
      </w:r>
      <w:proofErr w:type="spellEnd"/>
      <w:r w:rsidRPr="00602152">
        <w:rPr>
          <w:rFonts w:eastAsia="Times New Roman" w:cs="Times New Roman"/>
          <w:sz w:val="20"/>
          <w:szCs w:val="20"/>
          <w:lang w:val="fr-CA" w:eastAsia="en-CA"/>
        </w:rPr>
        <w:t xml:space="preserve"> </w:t>
      </w:r>
      <w:proofErr w:type="spellStart"/>
      <w:r w:rsidRPr="00602152">
        <w:rPr>
          <w:rFonts w:eastAsia="Times New Roman" w:cs="Times New Roman"/>
          <w:sz w:val="20"/>
          <w:szCs w:val="20"/>
          <w:lang w:val="fr-CA" w:eastAsia="en-CA"/>
        </w:rPr>
        <w:t>Health</w:t>
      </w:r>
      <w:proofErr w:type="spellEnd"/>
      <w:r w:rsidRPr="00602152">
        <w:rPr>
          <w:rFonts w:eastAsia="Times New Roman" w:cs="Times New Roman"/>
          <w:sz w:val="20"/>
          <w:szCs w:val="20"/>
          <w:lang w:val="fr-CA" w:eastAsia="en-CA"/>
        </w:rPr>
        <w:t xml:space="preserve">, </w:t>
      </w:r>
      <w:proofErr w:type="spellStart"/>
      <w:r w:rsidRPr="00602152">
        <w:rPr>
          <w:rFonts w:eastAsia="Times New Roman" w:cs="Times New Roman"/>
          <w:sz w:val="20"/>
          <w:szCs w:val="20"/>
          <w:lang w:val="fr-CA" w:eastAsia="en-CA"/>
        </w:rPr>
        <w:t>Safety</w:t>
      </w:r>
      <w:proofErr w:type="spellEnd"/>
      <w:r w:rsidRPr="00602152">
        <w:rPr>
          <w:rFonts w:eastAsia="Times New Roman" w:cs="Times New Roman"/>
          <w:sz w:val="20"/>
          <w:szCs w:val="20"/>
          <w:lang w:val="fr-CA" w:eastAsia="en-CA"/>
        </w:rPr>
        <w:t xml:space="preserve"> and Compensation Commission pour qu’il soit statué que l’action était prescrite en vertu de l’art. 44 de la </w:t>
      </w:r>
      <w:proofErr w:type="spellStart"/>
      <w:r w:rsidRPr="00602152">
        <w:rPr>
          <w:rFonts w:eastAsia="Times New Roman" w:cs="Times New Roman"/>
          <w:i/>
          <w:sz w:val="20"/>
          <w:szCs w:val="20"/>
          <w:lang w:val="fr-CA" w:eastAsia="en-CA"/>
        </w:rPr>
        <w:t>Workplace</w:t>
      </w:r>
      <w:proofErr w:type="spellEnd"/>
      <w:r w:rsidRPr="00602152">
        <w:rPr>
          <w:rFonts w:eastAsia="Times New Roman" w:cs="Times New Roman"/>
          <w:i/>
          <w:sz w:val="20"/>
          <w:szCs w:val="20"/>
          <w:lang w:val="fr-CA" w:eastAsia="en-CA"/>
        </w:rPr>
        <w:t xml:space="preserve"> </w:t>
      </w:r>
      <w:proofErr w:type="spellStart"/>
      <w:r w:rsidRPr="00602152">
        <w:rPr>
          <w:rFonts w:eastAsia="Times New Roman" w:cs="Times New Roman"/>
          <w:i/>
          <w:sz w:val="20"/>
          <w:szCs w:val="20"/>
          <w:lang w:val="fr-CA" w:eastAsia="en-CA"/>
        </w:rPr>
        <w:t>Health</w:t>
      </w:r>
      <w:proofErr w:type="spellEnd"/>
      <w:r w:rsidRPr="00602152">
        <w:rPr>
          <w:rFonts w:eastAsia="Times New Roman" w:cs="Times New Roman"/>
          <w:i/>
          <w:sz w:val="20"/>
          <w:szCs w:val="20"/>
          <w:lang w:val="fr-CA" w:eastAsia="en-CA"/>
        </w:rPr>
        <w:t xml:space="preserve">, </w:t>
      </w:r>
      <w:proofErr w:type="spellStart"/>
      <w:r w:rsidRPr="00602152">
        <w:rPr>
          <w:rFonts w:eastAsia="Times New Roman" w:cs="Times New Roman"/>
          <w:i/>
          <w:sz w:val="20"/>
          <w:szCs w:val="20"/>
          <w:lang w:val="fr-CA" w:eastAsia="en-CA"/>
        </w:rPr>
        <w:t>Safety</w:t>
      </w:r>
      <w:proofErr w:type="spellEnd"/>
      <w:r w:rsidRPr="00602152">
        <w:rPr>
          <w:rFonts w:eastAsia="Times New Roman" w:cs="Times New Roman"/>
          <w:i/>
          <w:sz w:val="20"/>
          <w:szCs w:val="20"/>
          <w:lang w:val="fr-CA" w:eastAsia="en-CA"/>
        </w:rPr>
        <w:t xml:space="preserve"> and Compensation </w:t>
      </w:r>
      <w:proofErr w:type="spellStart"/>
      <w:r w:rsidRPr="00602152">
        <w:rPr>
          <w:rFonts w:eastAsia="Times New Roman" w:cs="Times New Roman"/>
          <w:i/>
          <w:sz w:val="20"/>
          <w:szCs w:val="20"/>
          <w:lang w:val="fr-CA" w:eastAsia="en-CA"/>
        </w:rPr>
        <w:t>Act</w:t>
      </w:r>
      <w:proofErr w:type="spellEnd"/>
      <w:r w:rsidRPr="00602152">
        <w:rPr>
          <w:rFonts w:eastAsia="Times New Roman" w:cs="Times New Roman"/>
          <w:sz w:val="20"/>
          <w:szCs w:val="20"/>
          <w:lang w:val="fr-CA" w:eastAsia="en-CA"/>
        </w:rPr>
        <w:t>, RSNL 1990, ch. W</w:t>
      </w:r>
      <w:r w:rsidRPr="00602152">
        <w:rPr>
          <w:rFonts w:eastAsia="Times New Roman" w:cs="Times New Roman"/>
          <w:sz w:val="20"/>
          <w:szCs w:val="20"/>
          <w:lang w:val="fr-CA" w:eastAsia="en-CA"/>
        </w:rPr>
        <w:noBreakHyphen/>
        <w:t>11.  Un spécialiste en révision interne de la Commission a statué que l’action était prescrite.  Cette décision a été annulée à l’issue d’une procédure de contrôle judiciaire.  Les juges majoritaires de la Cour d’appel ont confirmé la décision du juge de première instance.</w:t>
      </w:r>
    </w:p>
    <w:p w:rsidR="00602152" w:rsidRPr="00602152" w:rsidRDefault="00602152" w:rsidP="00602152">
      <w:pPr>
        <w:widowControl w:val="0"/>
        <w:jc w:val="both"/>
        <w:rPr>
          <w:rFonts w:eastAsia="Times New Roman" w:cs="Times New Roman"/>
          <w:sz w:val="20"/>
          <w:szCs w:val="20"/>
          <w:lang w:val="fr-CA" w:eastAsia="en-CA"/>
        </w:rPr>
      </w:pPr>
    </w:p>
    <w:p w:rsidR="00602152" w:rsidRPr="00602152" w:rsidRDefault="00602152" w:rsidP="00602152">
      <w:pPr>
        <w:widowControl w:val="0"/>
        <w:jc w:val="both"/>
        <w:rPr>
          <w:rFonts w:eastAsia="Times New Roman" w:cs="Times New Roman"/>
          <w:sz w:val="20"/>
          <w:szCs w:val="20"/>
          <w:lang w:val="fr-CA" w:eastAsia="en-CA"/>
        </w:rPr>
      </w:pP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Origine :</w:t>
      </w:r>
      <w:r w:rsidRPr="00602152">
        <w:rPr>
          <w:rFonts w:eastAsia="Times New Roman" w:cs="Times New Roman"/>
          <w:sz w:val="20"/>
          <w:szCs w:val="20"/>
          <w:lang w:val="fr-CA" w:eastAsia="en-CA"/>
        </w:rPr>
        <w:tab/>
      </w:r>
      <w:proofErr w:type="spellStart"/>
      <w:r>
        <w:rPr>
          <w:rFonts w:eastAsia="Times New Roman" w:cs="Times New Roman"/>
          <w:sz w:val="20"/>
          <w:szCs w:val="20"/>
          <w:lang w:val="fr-CA" w:eastAsia="en-CA"/>
        </w:rPr>
        <w:t>T</w:t>
      </w:r>
      <w:r w:rsidRPr="00602152">
        <w:rPr>
          <w:rFonts w:eastAsia="Times New Roman" w:cs="Times New Roman"/>
          <w:sz w:val="20"/>
          <w:szCs w:val="20"/>
          <w:lang w:val="fr-CA" w:eastAsia="en-CA"/>
        </w:rPr>
        <w:t>erre</w:t>
      </w:r>
      <w:r w:rsidRPr="00602152">
        <w:rPr>
          <w:rFonts w:eastAsia="Times New Roman" w:cs="Times New Roman"/>
          <w:sz w:val="20"/>
          <w:szCs w:val="20"/>
          <w:lang w:val="fr-CA" w:eastAsia="en-CA"/>
        </w:rPr>
        <w:noBreakHyphen/>
        <w:t>Neuve</w:t>
      </w:r>
      <w:r w:rsidRPr="00602152">
        <w:rPr>
          <w:rFonts w:eastAsia="Times New Roman" w:cs="Times New Roman"/>
          <w:sz w:val="20"/>
          <w:szCs w:val="20"/>
          <w:lang w:val="fr-CA" w:eastAsia="en-CA"/>
        </w:rPr>
        <w:noBreakHyphen/>
        <w:t>et</w:t>
      </w:r>
      <w:r w:rsidRPr="00602152">
        <w:rPr>
          <w:rFonts w:eastAsia="Times New Roman" w:cs="Times New Roman"/>
          <w:sz w:val="20"/>
          <w:szCs w:val="20"/>
          <w:lang w:val="fr-CA" w:eastAsia="en-CA"/>
        </w:rPr>
        <w:noBreakHyphen/>
        <w:t>Labrador</w:t>
      </w:r>
      <w:proofErr w:type="spellEnd"/>
    </w:p>
    <w:p w:rsidR="00602152" w:rsidRPr="00602152" w:rsidRDefault="00602152" w:rsidP="00602152">
      <w:pPr>
        <w:widowControl w:val="0"/>
        <w:ind w:left="2880" w:hanging="2880"/>
        <w:jc w:val="both"/>
        <w:rPr>
          <w:rFonts w:eastAsia="Times New Roman" w:cs="Times New Roman"/>
          <w:sz w:val="20"/>
          <w:szCs w:val="20"/>
          <w:lang w:val="fr-CA" w:eastAsia="en-CA"/>
        </w:rPr>
      </w:pP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N</w:t>
      </w:r>
      <w:r w:rsidRPr="00602152">
        <w:rPr>
          <w:rFonts w:eastAsia="Times New Roman" w:cs="Times New Roman"/>
          <w:sz w:val="20"/>
          <w:szCs w:val="20"/>
          <w:vertAlign w:val="superscript"/>
          <w:lang w:val="fr-CA" w:eastAsia="en-CA"/>
        </w:rPr>
        <w:t>o</w:t>
      </w:r>
      <w:r w:rsidRPr="00602152">
        <w:rPr>
          <w:rFonts w:eastAsia="Times New Roman" w:cs="Times New Roman"/>
          <w:sz w:val="20"/>
          <w:szCs w:val="20"/>
          <w:lang w:val="fr-CA" w:eastAsia="en-CA"/>
        </w:rPr>
        <w:t xml:space="preserve"> du greffe :</w:t>
      </w:r>
      <w:r w:rsidRPr="00602152">
        <w:rPr>
          <w:rFonts w:eastAsia="Times New Roman" w:cs="Times New Roman"/>
          <w:sz w:val="20"/>
          <w:szCs w:val="20"/>
          <w:lang w:val="fr-CA" w:eastAsia="en-CA"/>
        </w:rPr>
        <w:tab/>
        <w:t>34429</w:t>
      </w:r>
    </w:p>
    <w:p w:rsidR="00602152" w:rsidRPr="00602152" w:rsidRDefault="00602152" w:rsidP="00602152">
      <w:pPr>
        <w:widowControl w:val="0"/>
        <w:ind w:left="2880" w:hanging="2880"/>
        <w:jc w:val="both"/>
        <w:rPr>
          <w:rFonts w:eastAsia="Times New Roman" w:cs="Times New Roman"/>
          <w:sz w:val="20"/>
          <w:szCs w:val="20"/>
          <w:lang w:val="fr-CA" w:eastAsia="en-CA"/>
        </w:rPr>
      </w:pP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Arrêt de la Cour d’appel :</w:t>
      </w:r>
      <w:r w:rsidRPr="00602152">
        <w:rPr>
          <w:rFonts w:eastAsia="Times New Roman" w:cs="Times New Roman"/>
          <w:sz w:val="20"/>
          <w:szCs w:val="20"/>
          <w:lang w:val="fr-CA" w:eastAsia="en-CA"/>
        </w:rPr>
        <w:tab/>
        <w:t>le 15 juin 2011</w:t>
      </w:r>
    </w:p>
    <w:p w:rsidR="00602152" w:rsidRPr="00602152" w:rsidRDefault="00602152" w:rsidP="00602152">
      <w:pPr>
        <w:widowControl w:val="0"/>
        <w:ind w:left="2880" w:hanging="2880"/>
        <w:jc w:val="both"/>
        <w:rPr>
          <w:rFonts w:eastAsia="Times New Roman" w:cs="Times New Roman"/>
          <w:sz w:val="20"/>
          <w:szCs w:val="20"/>
          <w:lang w:val="fr-CA" w:eastAsia="en-CA"/>
        </w:rPr>
      </w:pP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Avocats :</w:t>
      </w:r>
      <w:r w:rsidRPr="00602152">
        <w:rPr>
          <w:rFonts w:eastAsia="Times New Roman" w:cs="Times New Roman"/>
          <w:sz w:val="20"/>
          <w:szCs w:val="20"/>
          <w:lang w:val="fr-CA" w:eastAsia="en-CA"/>
        </w:rPr>
        <w:tab/>
        <w:t xml:space="preserve">Peter </w:t>
      </w:r>
      <w:proofErr w:type="spellStart"/>
      <w:r w:rsidRPr="00602152">
        <w:rPr>
          <w:rFonts w:eastAsia="Times New Roman" w:cs="Times New Roman"/>
          <w:sz w:val="20"/>
          <w:szCs w:val="20"/>
          <w:lang w:val="fr-CA" w:eastAsia="en-CA"/>
        </w:rPr>
        <w:t>O’Flaherty</w:t>
      </w:r>
      <w:proofErr w:type="spellEnd"/>
      <w:r w:rsidRPr="00602152">
        <w:rPr>
          <w:rFonts w:eastAsia="Times New Roman" w:cs="Times New Roman"/>
          <w:sz w:val="20"/>
          <w:szCs w:val="20"/>
          <w:lang w:val="fr-CA" w:eastAsia="en-CA"/>
        </w:rPr>
        <w:t xml:space="preserve"> pour les appelants</w:t>
      </w: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ab/>
      </w:r>
      <w:proofErr w:type="spellStart"/>
      <w:r w:rsidRPr="00602152">
        <w:rPr>
          <w:rFonts w:eastAsia="Times New Roman" w:cs="Times New Roman"/>
          <w:sz w:val="20"/>
          <w:szCs w:val="20"/>
          <w:lang w:val="fr-CA" w:eastAsia="en-CA"/>
        </w:rPr>
        <w:t>Corwin</w:t>
      </w:r>
      <w:proofErr w:type="spellEnd"/>
      <w:r w:rsidRPr="00602152">
        <w:rPr>
          <w:rFonts w:eastAsia="Times New Roman" w:cs="Times New Roman"/>
          <w:sz w:val="20"/>
          <w:szCs w:val="20"/>
          <w:lang w:val="fr-CA" w:eastAsia="en-CA"/>
        </w:rPr>
        <w:t xml:space="preserve"> Mills, </w:t>
      </w:r>
      <w:proofErr w:type="spellStart"/>
      <w:r w:rsidRPr="00602152">
        <w:rPr>
          <w:rFonts w:eastAsia="Times New Roman" w:cs="Times New Roman"/>
          <w:sz w:val="20"/>
          <w:szCs w:val="20"/>
          <w:lang w:val="fr-CA" w:eastAsia="en-CA"/>
        </w:rPr>
        <w:t>c.r</w:t>
      </w:r>
      <w:proofErr w:type="spellEnd"/>
      <w:r w:rsidRPr="00602152">
        <w:rPr>
          <w:rFonts w:eastAsia="Times New Roman" w:cs="Times New Roman"/>
          <w:sz w:val="20"/>
          <w:szCs w:val="20"/>
          <w:lang w:val="fr-CA" w:eastAsia="en-CA"/>
        </w:rPr>
        <w:t xml:space="preserve">. pour les intimés, </w:t>
      </w:r>
      <w:r>
        <w:rPr>
          <w:rFonts w:eastAsia="Times New Roman" w:cs="Times New Roman"/>
          <w:sz w:val="20"/>
          <w:szCs w:val="20"/>
          <w:lang w:val="fr-CA" w:eastAsia="en-CA"/>
        </w:rPr>
        <w:t xml:space="preserve">succession de Joseph </w:t>
      </w:r>
      <w:r w:rsidRPr="00602152">
        <w:rPr>
          <w:rFonts w:eastAsia="Times New Roman" w:cs="Times New Roman"/>
          <w:sz w:val="20"/>
          <w:szCs w:val="20"/>
          <w:lang w:val="fr-CA" w:eastAsia="en-CA"/>
        </w:rPr>
        <w:t>Ryan, et a</w:t>
      </w:r>
      <w:r>
        <w:rPr>
          <w:rFonts w:eastAsia="Times New Roman" w:cs="Times New Roman"/>
          <w:sz w:val="20"/>
          <w:szCs w:val="20"/>
          <w:lang w:val="fr-CA" w:eastAsia="en-CA"/>
        </w:rPr>
        <w:t>utres</w:t>
      </w:r>
    </w:p>
    <w:p w:rsidR="00602152" w:rsidRPr="00602152" w:rsidRDefault="00602152" w:rsidP="00602152">
      <w:pPr>
        <w:widowControl w:val="0"/>
        <w:ind w:left="2880" w:hanging="2880"/>
        <w:jc w:val="both"/>
        <w:rPr>
          <w:rFonts w:eastAsia="Times New Roman" w:cs="Times New Roman"/>
          <w:sz w:val="20"/>
          <w:szCs w:val="20"/>
          <w:lang w:val="fr-CA" w:eastAsia="en-CA"/>
        </w:rPr>
      </w:pPr>
      <w:r w:rsidRPr="00602152">
        <w:rPr>
          <w:rFonts w:eastAsia="Times New Roman" w:cs="Times New Roman"/>
          <w:sz w:val="20"/>
          <w:szCs w:val="20"/>
          <w:lang w:val="fr-CA" w:eastAsia="en-CA"/>
        </w:rPr>
        <w:tab/>
        <w:t xml:space="preserve">Peter Southey et Christine </w:t>
      </w:r>
      <w:proofErr w:type="spellStart"/>
      <w:r w:rsidRPr="00602152">
        <w:rPr>
          <w:rFonts w:eastAsia="Times New Roman" w:cs="Times New Roman"/>
          <w:sz w:val="20"/>
          <w:szCs w:val="20"/>
          <w:lang w:val="fr-CA" w:eastAsia="en-CA"/>
        </w:rPr>
        <w:t>Mohr</w:t>
      </w:r>
      <w:proofErr w:type="spellEnd"/>
      <w:r w:rsidRPr="00602152">
        <w:rPr>
          <w:rFonts w:eastAsia="Times New Roman" w:cs="Times New Roman"/>
          <w:sz w:val="20"/>
          <w:szCs w:val="20"/>
          <w:lang w:val="fr-CA" w:eastAsia="en-CA"/>
        </w:rPr>
        <w:t xml:space="preserve"> pour l’intimé, procureur général du Canada</w:t>
      </w:r>
    </w:p>
    <w:p w:rsidR="00602152" w:rsidRPr="00DD0B49" w:rsidRDefault="00602152" w:rsidP="000B3C9A">
      <w:pPr>
        <w:tabs>
          <w:tab w:val="left" w:pos="-1440"/>
          <w:tab w:val="left" w:pos="-720"/>
        </w:tabs>
        <w:jc w:val="both"/>
        <w:rPr>
          <w:sz w:val="20"/>
          <w:szCs w:val="20"/>
          <w:lang w:val="fr-CA"/>
        </w:rPr>
      </w:pPr>
    </w:p>
    <w:p w:rsidR="000B3C9A" w:rsidRPr="00DD0B49" w:rsidRDefault="007F0A1D" w:rsidP="000B3C9A">
      <w:pPr>
        <w:tabs>
          <w:tab w:val="left" w:pos="-1440"/>
          <w:tab w:val="left" w:pos="-720"/>
        </w:tabs>
        <w:jc w:val="both"/>
        <w:rPr>
          <w:sz w:val="20"/>
          <w:szCs w:val="20"/>
          <w:lang w:val="fr-CA"/>
        </w:rPr>
      </w:pPr>
      <w:r w:rsidRPr="007F0A1D">
        <w:rPr>
          <w:sz w:val="20"/>
          <w:szCs w:val="20"/>
          <w:lang w:val="fr-CA"/>
        </w:rPr>
        <w:pict>
          <v:rect id="_x0000_i1055" style="width:2in;height:1pt" o:hrpct="0" o:hralign="center" o:hrstd="t" o:hrnoshade="t" o:hr="t" fillcolor="black [3213]" stroked="f"/>
        </w:pict>
      </w:r>
    </w:p>
    <w:p w:rsidR="00602152" w:rsidRDefault="00602152">
      <w:pPr>
        <w:rPr>
          <w:sz w:val="20"/>
          <w:szCs w:val="20"/>
          <w:lang w:val="fr-CA"/>
        </w:rPr>
      </w:pPr>
      <w:r>
        <w:rPr>
          <w:sz w:val="20"/>
          <w:szCs w:val="20"/>
          <w:lang w:val="fr-CA"/>
        </w:rPr>
        <w:br w:type="page"/>
      </w:r>
    </w:p>
    <w:p w:rsidR="00B746CC" w:rsidRPr="00B746CC" w:rsidRDefault="007F0A1D" w:rsidP="00B746CC">
      <w:pPr>
        <w:widowControl w:val="0"/>
        <w:ind w:left="720" w:hanging="720"/>
        <w:jc w:val="both"/>
        <w:rPr>
          <w:rFonts w:eastAsia="Times New Roman" w:cs="Times New Roman"/>
          <w:sz w:val="20"/>
          <w:szCs w:val="20"/>
          <w:lang w:eastAsia="en-CA"/>
        </w:rPr>
      </w:pPr>
      <w:r w:rsidRPr="007F0A1D">
        <w:rPr>
          <w:rFonts w:eastAsia="Times New Roman" w:cs="Times New Roman"/>
          <w:b/>
          <w:sz w:val="20"/>
          <w:szCs w:val="20"/>
          <w:lang w:eastAsia="en-CA"/>
        </w:rPr>
        <w:lastRenderedPageBreak/>
        <w:fldChar w:fldCharType="begin"/>
      </w:r>
      <w:r w:rsidR="00B746CC" w:rsidRPr="00B746CC">
        <w:rPr>
          <w:rFonts w:eastAsia="Times New Roman" w:cs="Times New Roman"/>
          <w:b/>
          <w:sz w:val="20"/>
          <w:szCs w:val="20"/>
          <w:lang w:val="en-US" w:eastAsia="en-CA"/>
        </w:rPr>
        <w:instrText xml:space="preserve"> SEQ CHAPTER \h \r 1</w:instrText>
      </w:r>
      <w:r w:rsidRPr="00B746CC">
        <w:rPr>
          <w:rFonts w:eastAsia="Times New Roman" w:cs="Times New Roman"/>
          <w:b/>
          <w:sz w:val="20"/>
          <w:szCs w:val="20"/>
          <w:lang w:val="en-US" w:eastAsia="en-CA"/>
        </w:rPr>
        <w:fldChar w:fldCharType="end"/>
      </w:r>
      <w:proofErr w:type="gramStart"/>
      <w:r w:rsidR="00B746CC" w:rsidRPr="00B746CC">
        <w:rPr>
          <w:rFonts w:eastAsia="Times New Roman" w:cs="Times New Roman"/>
          <w:b/>
          <w:sz w:val="20"/>
          <w:szCs w:val="20"/>
          <w:lang w:eastAsia="en-CA"/>
        </w:rPr>
        <w:t>34510</w:t>
      </w:r>
      <w:r w:rsidR="00B746CC" w:rsidRPr="00B746CC">
        <w:rPr>
          <w:rFonts w:eastAsia="Times New Roman" w:cs="Times New Roman"/>
          <w:sz w:val="20"/>
          <w:szCs w:val="20"/>
          <w:lang w:eastAsia="en-CA"/>
        </w:rPr>
        <w:tab/>
      </w:r>
      <w:r w:rsidR="00B746CC" w:rsidRPr="00B746CC">
        <w:rPr>
          <w:rFonts w:eastAsia="Times New Roman" w:cs="Times New Roman"/>
          <w:b/>
          <w:i/>
          <w:sz w:val="20"/>
          <w:szCs w:val="20"/>
          <w:lang w:eastAsia="en-CA"/>
        </w:rPr>
        <w:t xml:space="preserve">Edward </w:t>
      </w:r>
      <w:proofErr w:type="spellStart"/>
      <w:r w:rsidR="00B746CC" w:rsidRPr="00B746CC">
        <w:rPr>
          <w:rFonts w:eastAsia="Times New Roman" w:cs="Times New Roman"/>
          <w:b/>
          <w:i/>
          <w:sz w:val="20"/>
          <w:szCs w:val="20"/>
          <w:lang w:eastAsia="en-CA"/>
        </w:rPr>
        <w:t>Sumio</w:t>
      </w:r>
      <w:proofErr w:type="spellEnd"/>
      <w:r w:rsidR="00B746CC" w:rsidRPr="00B746CC">
        <w:rPr>
          <w:rFonts w:eastAsia="Times New Roman" w:cs="Times New Roman"/>
          <w:b/>
          <w:i/>
          <w:sz w:val="20"/>
          <w:szCs w:val="20"/>
          <w:lang w:eastAsia="en-CA"/>
        </w:rPr>
        <w:t xml:space="preserve"> Nishi v. Rascal Trucking Ltd.</w:t>
      </w:r>
      <w:proofErr w:type="gramEnd"/>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sz w:val="20"/>
          <w:szCs w:val="20"/>
          <w:lang w:eastAsia="en-CA"/>
        </w:rPr>
      </w:pPr>
      <w:r w:rsidRPr="00B746CC">
        <w:rPr>
          <w:rFonts w:eastAsia="Times New Roman" w:cs="Times New Roman"/>
          <w:sz w:val="20"/>
          <w:szCs w:val="20"/>
          <w:lang w:eastAsia="en-CA"/>
        </w:rPr>
        <w:t xml:space="preserve">Property </w:t>
      </w:r>
      <w:r w:rsidRPr="00B746CC">
        <w:rPr>
          <w:rFonts w:eastAsia="Times New Roman" w:cs="Times New Roman"/>
          <w:sz w:val="20"/>
          <w:szCs w:val="20"/>
          <w:lang w:eastAsia="en-CA"/>
        </w:rPr>
        <w:noBreakHyphen/>
        <w:t xml:space="preserve"> Real property </w:t>
      </w:r>
      <w:r w:rsidRPr="00B746CC">
        <w:rPr>
          <w:rFonts w:eastAsia="Times New Roman" w:cs="Times New Roman"/>
          <w:sz w:val="20"/>
          <w:szCs w:val="20"/>
          <w:lang w:eastAsia="en-CA"/>
        </w:rPr>
        <w:noBreakHyphen/>
        <w:t xml:space="preserve"> Trusts </w:t>
      </w:r>
      <w:r w:rsidRPr="00B746CC">
        <w:rPr>
          <w:rFonts w:eastAsia="Times New Roman" w:cs="Times New Roman"/>
          <w:sz w:val="20"/>
          <w:szCs w:val="20"/>
          <w:lang w:eastAsia="en-CA"/>
        </w:rPr>
        <w:noBreakHyphen/>
        <w:t xml:space="preserve"> Resulting trust </w:t>
      </w:r>
      <w:r w:rsidRPr="00B746CC">
        <w:rPr>
          <w:rFonts w:eastAsia="Times New Roman" w:cs="Times New Roman"/>
          <w:sz w:val="20"/>
          <w:szCs w:val="20"/>
          <w:lang w:eastAsia="en-CA"/>
        </w:rPr>
        <w:noBreakHyphen/>
        <w:t xml:space="preserve"> Appellant using funds received from Respondent to purchase property in foreclosure proceedings </w:t>
      </w:r>
      <w:r w:rsidRPr="00B746CC">
        <w:rPr>
          <w:rFonts w:eastAsia="Times New Roman" w:cs="Times New Roman"/>
          <w:sz w:val="20"/>
          <w:szCs w:val="20"/>
          <w:lang w:eastAsia="en-CA"/>
        </w:rPr>
        <w:noBreakHyphen/>
        <w:t xml:space="preserve"> Funds representing disputed monies owing to third party </w:t>
      </w:r>
      <w:r w:rsidRPr="00B746CC">
        <w:rPr>
          <w:rFonts w:eastAsia="Times New Roman" w:cs="Times New Roman"/>
          <w:sz w:val="20"/>
          <w:szCs w:val="20"/>
          <w:lang w:eastAsia="en-CA"/>
        </w:rPr>
        <w:noBreakHyphen/>
        <w:t xml:space="preserve"> Whether the doctrine of unjust enrichment is superior to the purchase</w:t>
      </w:r>
      <w:r w:rsidRPr="00B746CC">
        <w:rPr>
          <w:rFonts w:eastAsia="Times New Roman" w:cs="Times New Roman"/>
          <w:sz w:val="20"/>
          <w:szCs w:val="20"/>
          <w:lang w:eastAsia="en-CA"/>
        </w:rPr>
        <w:noBreakHyphen/>
      </w:r>
      <w:proofErr w:type="spellStart"/>
      <w:r w:rsidRPr="00B746CC">
        <w:rPr>
          <w:rFonts w:eastAsia="Times New Roman" w:cs="Times New Roman"/>
          <w:sz w:val="20"/>
          <w:szCs w:val="20"/>
          <w:lang w:eastAsia="en-CA"/>
        </w:rPr>
        <w:t>money</w:t>
      </w:r>
      <w:proofErr w:type="spellEnd"/>
      <w:r w:rsidRPr="00B746CC">
        <w:rPr>
          <w:rFonts w:eastAsia="Times New Roman" w:cs="Times New Roman"/>
          <w:sz w:val="20"/>
          <w:szCs w:val="20"/>
          <w:lang w:eastAsia="en-CA"/>
        </w:rPr>
        <w:t xml:space="preserve"> resulting trust for resolving disputes in the non</w:t>
      </w:r>
      <w:r w:rsidRPr="00B746CC">
        <w:rPr>
          <w:rFonts w:eastAsia="Times New Roman" w:cs="Times New Roman"/>
          <w:sz w:val="20"/>
          <w:szCs w:val="20"/>
          <w:lang w:eastAsia="en-CA"/>
        </w:rPr>
        <w:noBreakHyphen/>
      </w:r>
      <w:proofErr w:type="spellStart"/>
      <w:r w:rsidRPr="00B746CC">
        <w:rPr>
          <w:rFonts w:eastAsia="Times New Roman" w:cs="Times New Roman"/>
          <w:sz w:val="20"/>
          <w:szCs w:val="20"/>
          <w:lang w:eastAsia="en-CA"/>
        </w:rPr>
        <w:t>domestic</w:t>
      </w:r>
      <w:proofErr w:type="spellEnd"/>
      <w:r w:rsidRPr="00B746CC">
        <w:rPr>
          <w:rFonts w:eastAsia="Times New Roman" w:cs="Times New Roman"/>
          <w:sz w:val="20"/>
          <w:szCs w:val="20"/>
          <w:lang w:eastAsia="en-CA"/>
        </w:rPr>
        <w:t xml:space="preserve"> context where one party contributes money to the purchase of property but does not acquire legal title </w:t>
      </w:r>
      <w:r w:rsidRPr="00B746CC">
        <w:rPr>
          <w:rFonts w:eastAsia="Times New Roman" w:cs="Times New Roman"/>
          <w:sz w:val="20"/>
          <w:szCs w:val="20"/>
          <w:lang w:eastAsia="en-CA"/>
        </w:rPr>
        <w:noBreakHyphen/>
        <w:t xml:space="preserve"> Whether the appellant was unjustly enriched by the respondent’s contribution to the purchase of the property </w:t>
      </w:r>
      <w:r w:rsidRPr="00B746CC">
        <w:rPr>
          <w:rFonts w:eastAsia="Times New Roman" w:cs="Times New Roman"/>
          <w:sz w:val="20"/>
          <w:szCs w:val="20"/>
          <w:lang w:eastAsia="en-CA"/>
        </w:rPr>
        <w:noBreakHyphen/>
        <w:t xml:space="preserve"> In the alternative, whether the Court of Appeal erred in its application of resulting trust principles.</w:t>
      </w: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sz w:val="20"/>
          <w:szCs w:val="20"/>
          <w:lang w:val="en-US" w:eastAsia="en-CA"/>
        </w:rPr>
      </w:pPr>
      <w:r w:rsidRPr="00B746CC">
        <w:rPr>
          <w:rFonts w:eastAsia="Times New Roman" w:cs="Times New Roman"/>
          <w:bCs/>
          <w:sz w:val="20"/>
          <w:szCs w:val="20"/>
          <w:lang w:val="en-US" w:eastAsia="en-CA"/>
        </w:rPr>
        <w:t>Mr.</w:t>
      </w:r>
      <w:r w:rsidRPr="00B746CC">
        <w:rPr>
          <w:rFonts w:eastAsia="Times New Roman" w:cs="Times New Roman"/>
          <w:b/>
          <w:bCs/>
          <w:sz w:val="20"/>
          <w:szCs w:val="20"/>
          <w:lang w:val="en-US" w:eastAsia="en-CA"/>
        </w:rPr>
        <w:t> </w:t>
      </w:r>
      <w:proofErr w:type="spellStart"/>
      <w:r w:rsidRPr="00B746CC">
        <w:rPr>
          <w:rFonts w:eastAsia="Times New Roman" w:cs="Times New Roman"/>
          <w:sz w:val="20"/>
          <w:szCs w:val="20"/>
          <w:lang w:val="en-US" w:eastAsia="en-CA"/>
        </w:rPr>
        <w:t>Heringa</w:t>
      </w:r>
      <w:proofErr w:type="spellEnd"/>
      <w:r w:rsidRPr="00B746CC">
        <w:rPr>
          <w:rFonts w:eastAsia="Times New Roman" w:cs="Times New Roman"/>
          <w:sz w:val="20"/>
          <w:szCs w:val="20"/>
          <w:lang w:val="en-US" w:eastAsia="en-CA"/>
        </w:rPr>
        <w:t xml:space="preserve"> was the owner of Rascal Trucking Ltd. </w:t>
      </w:r>
      <w:r w:rsidR="00B509C9" w:rsidRPr="00F60D5D">
        <w:rPr>
          <w:sz w:val="20"/>
          <w:szCs w:val="20"/>
        </w:rPr>
        <w:t>(“Rascal”)</w:t>
      </w:r>
      <w:r w:rsidRPr="00B746CC">
        <w:rPr>
          <w:rFonts w:eastAsia="Times New Roman" w:cs="Times New Roman"/>
          <w:sz w:val="20"/>
          <w:szCs w:val="20"/>
          <w:lang w:val="en-US" w:eastAsia="en-CA"/>
        </w:rPr>
        <w:t>.  Mr. </w:t>
      </w:r>
      <w:proofErr w:type="spellStart"/>
      <w:r w:rsidRPr="00B746CC">
        <w:rPr>
          <w:rFonts w:eastAsia="Times New Roman" w:cs="Times New Roman"/>
          <w:sz w:val="20"/>
          <w:szCs w:val="20"/>
          <w:lang w:val="en-US" w:eastAsia="en-CA"/>
        </w:rPr>
        <w:t>Heringa</w:t>
      </w:r>
      <w:proofErr w:type="spellEnd"/>
      <w:r w:rsidRPr="00B746CC">
        <w:rPr>
          <w:rFonts w:eastAsia="Times New Roman" w:cs="Times New Roman"/>
          <w:sz w:val="20"/>
          <w:szCs w:val="20"/>
          <w:lang w:val="en-US" w:eastAsia="en-CA"/>
        </w:rPr>
        <w:t xml:space="preserve"> had developed property with Ms. </w:t>
      </w:r>
      <w:proofErr w:type="spellStart"/>
      <w:r w:rsidRPr="00B746CC">
        <w:rPr>
          <w:rFonts w:eastAsia="Times New Roman" w:cs="Times New Roman"/>
          <w:sz w:val="20"/>
          <w:szCs w:val="20"/>
          <w:lang w:val="en-US" w:eastAsia="en-CA"/>
        </w:rPr>
        <w:t>Plavetic</w:t>
      </w:r>
      <w:proofErr w:type="spellEnd"/>
      <w:r w:rsidRPr="00B746CC">
        <w:rPr>
          <w:rFonts w:eastAsia="Times New Roman" w:cs="Times New Roman"/>
          <w:sz w:val="20"/>
          <w:szCs w:val="20"/>
          <w:lang w:val="en-US" w:eastAsia="en-CA"/>
        </w:rPr>
        <w:t xml:space="preserve">, with whom he once had a personal relationship, and who was a realtor and a principal of Kismet Enterprises Ltd. (“Kismet”).  Kismet owned just </w:t>
      </w:r>
      <w:proofErr w:type="gramStart"/>
      <w:r w:rsidRPr="00B746CC">
        <w:rPr>
          <w:rFonts w:eastAsia="Times New Roman" w:cs="Times New Roman"/>
          <w:sz w:val="20"/>
          <w:szCs w:val="20"/>
          <w:lang w:val="en-US" w:eastAsia="en-CA"/>
        </w:rPr>
        <w:t>under</w:t>
      </w:r>
      <w:proofErr w:type="gramEnd"/>
      <w:r w:rsidRPr="00B746CC">
        <w:rPr>
          <w:rFonts w:eastAsia="Times New Roman" w:cs="Times New Roman"/>
          <w:sz w:val="20"/>
          <w:szCs w:val="20"/>
          <w:lang w:val="en-US" w:eastAsia="en-CA"/>
        </w:rPr>
        <w:t xml:space="preserve"> two acres of land in the City of Nanaimo (“the Property”).  In 1996, Rascal entered into a five year lease of the Property to use part of it for a topsoil processing facility.  Rascal agreed to pay royalties to Kismet and to hold Kismet harmless from any and all liabilities resulting from Rascal’s operations on the property.  </w:t>
      </w:r>
      <w:r w:rsidRPr="00B746CC">
        <w:rPr>
          <w:rFonts w:eastAsia="Times New Roman" w:cs="Times New Roman"/>
          <w:bCs/>
          <w:sz w:val="20"/>
          <w:szCs w:val="20"/>
          <w:lang w:val="en-US" w:eastAsia="en-CA"/>
        </w:rPr>
        <w:t>After</w:t>
      </w:r>
      <w:r w:rsidRPr="00B746CC">
        <w:rPr>
          <w:rFonts w:eastAsia="Times New Roman" w:cs="Times New Roman"/>
          <w:b/>
          <w:bCs/>
          <w:sz w:val="20"/>
          <w:szCs w:val="20"/>
          <w:lang w:val="en-US" w:eastAsia="en-CA"/>
        </w:rPr>
        <w:t xml:space="preserve"> </w:t>
      </w:r>
      <w:r w:rsidRPr="00B746CC">
        <w:rPr>
          <w:rFonts w:eastAsia="Times New Roman" w:cs="Times New Roman"/>
          <w:sz w:val="20"/>
          <w:szCs w:val="20"/>
          <w:lang w:val="en-US" w:eastAsia="en-CA"/>
        </w:rPr>
        <w:t xml:space="preserve">Rascal moved topsoil onto the property for processing, there were complaints from the surrounding </w:t>
      </w:r>
      <w:proofErr w:type="spellStart"/>
      <w:r w:rsidRPr="00B746CC">
        <w:rPr>
          <w:rFonts w:eastAsia="Times New Roman" w:cs="Times New Roman"/>
          <w:sz w:val="20"/>
          <w:szCs w:val="20"/>
          <w:lang w:val="en-US" w:eastAsia="en-CA"/>
        </w:rPr>
        <w:t>neighbourhood</w:t>
      </w:r>
      <w:proofErr w:type="spellEnd"/>
      <w:r w:rsidRPr="00B746CC">
        <w:rPr>
          <w:rFonts w:eastAsia="Times New Roman" w:cs="Times New Roman"/>
          <w:sz w:val="20"/>
          <w:szCs w:val="20"/>
          <w:lang w:val="en-US" w:eastAsia="en-CA"/>
        </w:rPr>
        <w:t>.  In response, the City passed a resolution that the soil processing was a nuisance and that the accumulated topsoil had to be removed.  The resolution provided the City with the power to remove the topsoil if its order was not complied with.  Kismet had no means to remove the soil and accordingly did nothing.  Rascal tried to have the City pay for the removal to another site, but the negotiations were unsuccessful.  The cost of removal by the City was $110,679 and this amount was lodged against the property as tax arrears.  The tax arrears and existing mortgage to the CIBC caused Ms. </w:t>
      </w:r>
      <w:proofErr w:type="spellStart"/>
      <w:r w:rsidRPr="00B746CC">
        <w:rPr>
          <w:rFonts w:eastAsia="Times New Roman" w:cs="Times New Roman"/>
          <w:sz w:val="20"/>
          <w:szCs w:val="20"/>
          <w:lang w:val="en-US" w:eastAsia="en-CA"/>
        </w:rPr>
        <w:t>Plavetic</w:t>
      </w:r>
      <w:proofErr w:type="spellEnd"/>
      <w:r w:rsidRPr="00B746CC">
        <w:rPr>
          <w:rFonts w:eastAsia="Times New Roman" w:cs="Times New Roman"/>
          <w:sz w:val="20"/>
          <w:szCs w:val="20"/>
          <w:lang w:val="en-US" w:eastAsia="en-CA"/>
        </w:rPr>
        <w:t xml:space="preserve"> to conclude that there was no equity in the property, and she ceased making the mortgage payments.  Mr. </w:t>
      </w:r>
      <w:proofErr w:type="spellStart"/>
      <w:r w:rsidRPr="00B746CC">
        <w:rPr>
          <w:rFonts w:eastAsia="Times New Roman" w:cs="Times New Roman"/>
          <w:sz w:val="20"/>
          <w:szCs w:val="20"/>
          <w:lang w:val="en-US" w:eastAsia="en-CA"/>
        </w:rPr>
        <w:t>Heringa</w:t>
      </w:r>
      <w:proofErr w:type="spellEnd"/>
      <w:r w:rsidRPr="00B746CC">
        <w:rPr>
          <w:rFonts w:eastAsia="Times New Roman" w:cs="Times New Roman"/>
          <w:sz w:val="20"/>
          <w:szCs w:val="20"/>
          <w:lang w:val="en-US" w:eastAsia="en-CA"/>
        </w:rPr>
        <w:t xml:space="preserve"> continued to demand of the City that the tax arrears be removed from title.  The CIBC commenced foreclosure proceedings in 1997 and paid the $110,679.74 to redeem the property from a tax sale.  Throughout the foreclosure proceedings, Mr. </w:t>
      </w:r>
      <w:proofErr w:type="spellStart"/>
      <w:r w:rsidRPr="00B746CC">
        <w:rPr>
          <w:rFonts w:eastAsia="Times New Roman" w:cs="Times New Roman"/>
          <w:sz w:val="20"/>
          <w:szCs w:val="20"/>
          <w:lang w:val="en-US" w:eastAsia="en-CA"/>
        </w:rPr>
        <w:t>Heringa</w:t>
      </w:r>
      <w:proofErr w:type="spellEnd"/>
      <w:r w:rsidRPr="00B746CC">
        <w:rPr>
          <w:rFonts w:eastAsia="Times New Roman" w:cs="Times New Roman"/>
          <w:sz w:val="20"/>
          <w:szCs w:val="20"/>
          <w:lang w:val="en-US" w:eastAsia="en-CA"/>
        </w:rPr>
        <w:t xml:space="preserve"> took an active role in seeking a way in which he might take an ownership position in the property.  Rascal also sued the City seeking damages for the topsoil removal.  In 2001, a</w:t>
      </w:r>
      <w:r w:rsidRPr="00B746CC">
        <w:rPr>
          <w:rFonts w:eastAsia="Times New Roman" w:cs="Times New Roman"/>
          <w:sz w:val="20"/>
          <w:szCs w:val="20"/>
          <w:lang w:eastAsia="en-CA"/>
        </w:rPr>
        <w:t xml:space="preserve"> vesting order was granted with title being transferred to Mr. Nishi at a price of $237,500.  He was assisted in the financing of the purchase by Mr. </w:t>
      </w:r>
      <w:proofErr w:type="spellStart"/>
      <w:r w:rsidRPr="00B746CC">
        <w:rPr>
          <w:rFonts w:eastAsia="Times New Roman" w:cs="Times New Roman"/>
          <w:sz w:val="20"/>
          <w:szCs w:val="20"/>
          <w:lang w:eastAsia="en-CA"/>
        </w:rPr>
        <w:t>Heringa</w:t>
      </w:r>
      <w:proofErr w:type="spellEnd"/>
      <w:r w:rsidRPr="00B746CC">
        <w:rPr>
          <w:rFonts w:eastAsia="Times New Roman" w:cs="Times New Roman"/>
          <w:sz w:val="20"/>
          <w:szCs w:val="20"/>
          <w:lang w:eastAsia="en-CA"/>
        </w:rPr>
        <w:t xml:space="preserve">, who advanced the sum of $110,679.74 and signed as </w:t>
      </w:r>
      <w:proofErr w:type="spellStart"/>
      <w:r w:rsidRPr="00B746CC">
        <w:rPr>
          <w:rFonts w:eastAsia="Times New Roman" w:cs="Times New Roman"/>
          <w:sz w:val="20"/>
          <w:szCs w:val="20"/>
          <w:lang w:eastAsia="en-CA"/>
        </w:rPr>
        <w:t>covenantor</w:t>
      </w:r>
      <w:proofErr w:type="spellEnd"/>
      <w:r w:rsidRPr="00B746CC">
        <w:rPr>
          <w:rFonts w:eastAsia="Times New Roman" w:cs="Times New Roman"/>
          <w:sz w:val="20"/>
          <w:szCs w:val="20"/>
          <w:lang w:eastAsia="en-CA"/>
        </w:rPr>
        <w:t>.  Mr. Nishi refused Mr. </w:t>
      </w:r>
      <w:proofErr w:type="spellStart"/>
      <w:r w:rsidRPr="00B746CC">
        <w:rPr>
          <w:rFonts w:eastAsia="Times New Roman" w:cs="Times New Roman"/>
          <w:sz w:val="20"/>
          <w:szCs w:val="20"/>
          <w:lang w:eastAsia="en-CA"/>
        </w:rPr>
        <w:t>Heringa’s</w:t>
      </w:r>
      <w:proofErr w:type="spellEnd"/>
      <w:r w:rsidRPr="00B746CC">
        <w:rPr>
          <w:rFonts w:eastAsia="Times New Roman" w:cs="Times New Roman"/>
          <w:sz w:val="20"/>
          <w:szCs w:val="20"/>
          <w:lang w:eastAsia="en-CA"/>
        </w:rPr>
        <w:t xml:space="preserve"> request for an ownership interest in the Property.  Mr. Nishi and Ms. </w:t>
      </w:r>
      <w:proofErr w:type="spellStart"/>
      <w:r w:rsidRPr="00B746CC">
        <w:rPr>
          <w:rFonts w:eastAsia="Times New Roman" w:cs="Times New Roman"/>
          <w:sz w:val="20"/>
          <w:szCs w:val="20"/>
          <w:lang w:eastAsia="en-CA"/>
        </w:rPr>
        <w:t>Plavetic</w:t>
      </w:r>
      <w:proofErr w:type="spellEnd"/>
      <w:r w:rsidRPr="00B746CC">
        <w:rPr>
          <w:rFonts w:eastAsia="Times New Roman" w:cs="Times New Roman"/>
          <w:sz w:val="20"/>
          <w:szCs w:val="20"/>
          <w:lang w:eastAsia="en-CA"/>
        </w:rPr>
        <w:t xml:space="preserve"> have resided on the Property in a common</w:t>
      </w:r>
      <w:r w:rsidRPr="00B746CC">
        <w:rPr>
          <w:rFonts w:eastAsia="Times New Roman" w:cs="Times New Roman"/>
          <w:sz w:val="20"/>
          <w:szCs w:val="20"/>
          <w:lang w:eastAsia="en-CA"/>
        </w:rPr>
        <w:noBreakHyphen/>
        <w:t>law relationship since 1997.  After Mr. Nishi obtained title, the couple spent in excess of $100,000 in development costs.  Seven years later, Rascal sued Mr. Nishi to acquire a 50 per cent interest in the Property and a caveat was filed against the Property.</w:t>
      </w: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Origin of the case:</w:t>
      </w:r>
      <w:r w:rsidRPr="00B746CC">
        <w:rPr>
          <w:rFonts w:eastAsia="Times New Roman" w:cs="Times New Roman"/>
          <w:sz w:val="20"/>
          <w:szCs w:val="20"/>
          <w:lang w:eastAsia="en-CA"/>
        </w:rPr>
        <w:tab/>
        <w:t>British Columbia</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File No.:</w:t>
      </w:r>
      <w:r w:rsidRPr="00B746CC">
        <w:rPr>
          <w:rFonts w:eastAsia="Times New Roman" w:cs="Times New Roman"/>
          <w:sz w:val="20"/>
          <w:szCs w:val="20"/>
          <w:lang w:eastAsia="en-CA"/>
        </w:rPr>
        <w:tab/>
        <w:t>34510</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Judgment of the Court of Appeal:</w:t>
      </w:r>
      <w:r w:rsidRPr="00B746CC">
        <w:rPr>
          <w:rFonts w:eastAsia="Times New Roman" w:cs="Times New Roman"/>
          <w:sz w:val="20"/>
          <w:szCs w:val="20"/>
          <w:lang w:eastAsia="en-CA"/>
        </w:rPr>
        <w:tab/>
        <w:t>August 17, 2011</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Counsel:</w:t>
      </w:r>
      <w:r w:rsidRPr="00B746CC">
        <w:rPr>
          <w:rFonts w:eastAsia="Times New Roman" w:cs="Times New Roman"/>
          <w:sz w:val="20"/>
          <w:szCs w:val="20"/>
          <w:lang w:eastAsia="en-CA"/>
        </w:rPr>
        <w:tab/>
        <w:t>D. Geoffrey Cowper, Q.C., W. Stanley Martin and Joel V.</w:t>
      </w:r>
      <w:r w:rsidR="00B509C9">
        <w:rPr>
          <w:rFonts w:eastAsia="Times New Roman" w:cs="Times New Roman"/>
          <w:sz w:val="20"/>
          <w:szCs w:val="20"/>
          <w:lang w:eastAsia="en-CA"/>
        </w:rPr>
        <w:t> </w:t>
      </w:r>
      <w:r w:rsidRPr="00B746CC">
        <w:rPr>
          <w:rFonts w:eastAsia="Times New Roman" w:cs="Times New Roman"/>
          <w:sz w:val="20"/>
          <w:szCs w:val="20"/>
          <w:lang w:eastAsia="en-CA"/>
        </w:rPr>
        <w:t>Payne for the appellant</w:t>
      </w: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ab/>
        <w:t>Craig P. Dennis and Owen J. James for the respondent</w:t>
      </w:r>
    </w:p>
    <w:p w:rsidR="00602152" w:rsidRPr="00B746CC"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56" style="width:2in;height:1pt" o:hrpct="0" o:hralign="center" o:hrstd="t" o:hrnoshade="t" o:hr="t" fillcolor="black [3213]" stroked="f"/>
        </w:pict>
      </w:r>
    </w:p>
    <w:p w:rsidR="005F263E" w:rsidRDefault="005F263E" w:rsidP="00782AE4">
      <w:pPr>
        <w:jc w:val="both"/>
        <w:rPr>
          <w:sz w:val="20"/>
          <w:szCs w:val="20"/>
          <w:lang w:val="fr-CA"/>
        </w:rPr>
      </w:pPr>
    </w:p>
    <w:p w:rsidR="00602152" w:rsidRDefault="00602152">
      <w:pPr>
        <w:rPr>
          <w:sz w:val="20"/>
          <w:szCs w:val="20"/>
          <w:lang w:val="fr-CA"/>
        </w:rPr>
      </w:pPr>
      <w:r>
        <w:rPr>
          <w:sz w:val="20"/>
          <w:szCs w:val="20"/>
          <w:lang w:val="fr-CA"/>
        </w:rPr>
        <w:br w:type="page"/>
      </w:r>
    </w:p>
    <w:p w:rsidR="00B746CC" w:rsidRPr="00B746CC" w:rsidRDefault="007F0A1D" w:rsidP="00B746CC">
      <w:pPr>
        <w:widowControl w:val="0"/>
        <w:ind w:left="720" w:hanging="720"/>
        <w:jc w:val="both"/>
        <w:rPr>
          <w:rFonts w:eastAsia="Times New Roman" w:cs="Times New Roman"/>
          <w:sz w:val="20"/>
          <w:szCs w:val="20"/>
          <w:lang w:val="en-US" w:eastAsia="en-CA"/>
        </w:rPr>
      </w:pPr>
      <w:r w:rsidRPr="00B746CC">
        <w:rPr>
          <w:rFonts w:eastAsia="Times New Roman" w:cs="Times New Roman"/>
          <w:b/>
          <w:sz w:val="20"/>
          <w:szCs w:val="20"/>
          <w:lang w:val="fr-CA" w:eastAsia="en-CA"/>
        </w:rPr>
        <w:lastRenderedPageBreak/>
        <w:fldChar w:fldCharType="begin"/>
      </w:r>
      <w:r w:rsidR="00B746CC" w:rsidRPr="00B746CC">
        <w:rPr>
          <w:rFonts w:eastAsia="Times New Roman" w:cs="Times New Roman"/>
          <w:b/>
          <w:sz w:val="20"/>
          <w:szCs w:val="20"/>
          <w:lang w:val="en-US" w:eastAsia="en-CA"/>
        </w:rPr>
        <w:instrText xml:space="preserve"> SEQ CHAPTER \h \r 1</w:instrText>
      </w:r>
      <w:r w:rsidRPr="00B746CC">
        <w:rPr>
          <w:rFonts w:eastAsia="Times New Roman" w:cs="Times New Roman"/>
          <w:b/>
          <w:sz w:val="20"/>
          <w:szCs w:val="20"/>
          <w:lang w:val="fr-CA" w:eastAsia="en-CA"/>
        </w:rPr>
        <w:fldChar w:fldCharType="end"/>
      </w:r>
      <w:proofErr w:type="gramStart"/>
      <w:r w:rsidR="00B746CC" w:rsidRPr="00B746CC">
        <w:rPr>
          <w:rFonts w:eastAsia="Times New Roman" w:cs="Times New Roman"/>
          <w:b/>
          <w:sz w:val="20"/>
          <w:szCs w:val="20"/>
          <w:lang w:val="en-US" w:eastAsia="en-CA"/>
        </w:rPr>
        <w:t>34510</w:t>
      </w:r>
      <w:r w:rsidR="00B746CC" w:rsidRPr="00B746CC">
        <w:rPr>
          <w:rFonts w:eastAsia="Times New Roman" w:cs="Times New Roman"/>
          <w:sz w:val="20"/>
          <w:szCs w:val="20"/>
          <w:lang w:val="en-US" w:eastAsia="en-CA"/>
        </w:rPr>
        <w:tab/>
      </w:r>
      <w:r w:rsidR="00B746CC" w:rsidRPr="00B746CC">
        <w:rPr>
          <w:rFonts w:eastAsia="Times New Roman" w:cs="Times New Roman"/>
          <w:b/>
          <w:i/>
          <w:sz w:val="20"/>
          <w:szCs w:val="20"/>
          <w:lang w:val="en-US" w:eastAsia="en-CA"/>
        </w:rPr>
        <w:t xml:space="preserve">Edward </w:t>
      </w:r>
      <w:proofErr w:type="spellStart"/>
      <w:r w:rsidR="00B746CC" w:rsidRPr="00B746CC">
        <w:rPr>
          <w:rFonts w:eastAsia="Times New Roman" w:cs="Times New Roman"/>
          <w:b/>
          <w:i/>
          <w:sz w:val="20"/>
          <w:szCs w:val="20"/>
          <w:lang w:val="en-US" w:eastAsia="en-CA"/>
        </w:rPr>
        <w:t>Sumio</w:t>
      </w:r>
      <w:proofErr w:type="spellEnd"/>
      <w:r w:rsidR="00B746CC" w:rsidRPr="00B746CC">
        <w:rPr>
          <w:rFonts w:eastAsia="Times New Roman" w:cs="Times New Roman"/>
          <w:b/>
          <w:i/>
          <w:sz w:val="20"/>
          <w:szCs w:val="20"/>
          <w:lang w:val="en-US" w:eastAsia="en-CA"/>
        </w:rPr>
        <w:t xml:space="preserve"> Nishi c. Rascal Trucking Ltd.</w:t>
      </w:r>
      <w:proofErr w:type="gramEnd"/>
    </w:p>
    <w:p w:rsidR="00B746CC" w:rsidRPr="00B746CC" w:rsidRDefault="00B746CC" w:rsidP="00B746CC">
      <w:pPr>
        <w:widowControl w:val="0"/>
        <w:jc w:val="both"/>
        <w:rPr>
          <w:rFonts w:eastAsia="Times New Roman" w:cs="Times New Roman"/>
          <w:sz w:val="20"/>
          <w:szCs w:val="20"/>
          <w:lang w:val="en-US" w:eastAsia="en-CA"/>
        </w:rPr>
      </w:pPr>
    </w:p>
    <w:p w:rsidR="00B746CC" w:rsidRPr="00B746CC" w:rsidRDefault="00B746CC" w:rsidP="00B746CC">
      <w:pPr>
        <w:widowControl w:val="0"/>
        <w:jc w:val="both"/>
        <w:rPr>
          <w:rFonts w:eastAsia="Times New Roman" w:cs="Times New Roman"/>
          <w:sz w:val="20"/>
          <w:szCs w:val="20"/>
          <w:lang w:val="fr-CA" w:eastAsia="en-CA"/>
        </w:rPr>
      </w:pPr>
      <w:r w:rsidRPr="00B746CC">
        <w:rPr>
          <w:rFonts w:eastAsia="Times New Roman" w:cs="Times New Roman"/>
          <w:sz w:val="20"/>
          <w:szCs w:val="20"/>
          <w:lang w:val="fr-CA" w:eastAsia="en-CA"/>
        </w:rPr>
        <w:t xml:space="preserve">Biens </w:t>
      </w:r>
      <w:r w:rsidRPr="00B746CC">
        <w:rPr>
          <w:rFonts w:eastAsia="Times New Roman" w:cs="Times New Roman"/>
          <w:sz w:val="20"/>
          <w:szCs w:val="20"/>
          <w:lang w:val="fr-CA" w:eastAsia="en-CA"/>
        </w:rPr>
        <w:noBreakHyphen/>
        <w:t xml:space="preserve"> Biens réels </w:t>
      </w:r>
      <w:r w:rsidRPr="00B746CC">
        <w:rPr>
          <w:rFonts w:eastAsia="Times New Roman" w:cs="Times New Roman"/>
          <w:sz w:val="20"/>
          <w:szCs w:val="20"/>
          <w:lang w:val="fr-CA" w:eastAsia="en-CA"/>
        </w:rPr>
        <w:noBreakHyphen/>
        <w:t xml:space="preserve"> Fiducies </w:t>
      </w:r>
      <w:r w:rsidRPr="00B746CC">
        <w:rPr>
          <w:rFonts w:eastAsia="Times New Roman" w:cs="Times New Roman"/>
          <w:sz w:val="20"/>
          <w:szCs w:val="20"/>
          <w:lang w:val="fr-CA" w:eastAsia="en-CA"/>
        </w:rPr>
        <w:noBreakHyphen/>
        <w:t xml:space="preserve"> Fiducie par déduction </w:t>
      </w:r>
      <w:r w:rsidRPr="00B746CC">
        <w:rPr>
          <w:rFonts w:eastAsia="Times New Roman" w:cs="Times New Roman"/>
          <w:sz w:val="20"/>
          <w:szCs w:val="20"/>
          <w:lang w:val="fr-CA" w:eastAsia="en-CA"/>
        </w:rPr>
        <w:noBreakHyphen/>
        <w:t xml:space="preserve"> L’appelant a employé des fonds reçus de l’intimée pour acheter une propriété dans le cadre d’une mesure de forclusion </w:t>
      </w:r>
      <w:r w:rsidRPr="00B746CC">
        <w:rPr>
          <w:rFonts w:eastAsia="Times New Roman" w:cs="Times New Roman"/>
          <w:sz w:val="20"/>
          <w:szCs w:val="20"/>
          <w:lang w:val="fr-CA" w:eastAsia="en-CA"/>
        </w:rPr>
        <w:noBreakHyphen/>
        <w:t xml:space="preserve"> Les fonds représentaient des sommes d’argent contestées dues à un tiers</w:t>
      </w:r>
      <w:r w:rsidR="0020798A" w:rsidRPr="00AD7371">
        <w:rPr>
          <w:sz w:val="20"/>
          <w:szCs w:val="20"/>
          <w:lang w:val="fr-CA"/>
        </w:rPr>
        <w:t xml:space="preserve"> </w:t>
      </w:r>
      <w:r w:rsidR="0020798A" w:rsidRPr="00AD7371">
        <w:rPr>
          <w:sz w:val="20"/>
          <w:szCs w:val="20"/>
          <w:lang w:val="fr-CA"/>
        </w:rPr>
        <w:noBreakHyphen/>
        <w:t xml:space="preserve"> </w:t>
      </w:r>
      <w:r w:rsidRPr="00B746CC">
        <w:rPr>
          <w:rFonts w:eastAsia="Times New Roman" w:cs="Times New Roman"/>
          <w:sz w:val="20"/>
          <w:szCs w:val="20"/>
          <w:lang w:val="fr-CA" w:eastAsia="en-CA"/>
        </w:rPr>
        <w:t xml:space="preserve">La doctrine de l’enrichissement injustifié </w:t>
      </w:r>
      <w:proofErr w:type="spellStart"/>
      <w:r w:rsidRPr="00B746CC">
        <w:rPr>
          <w:rFonts w:eastAsia="Times New Roman" w:cs="Times New Roman"/>
          <w:sz w:val="20"/>
          <w:szCs w:val="20"/>
          <w:lang w:val="fr-CA" w:eastAsia="en-CA"/>
        </w:rPr>
        <w:t>a</w:t>
      </w:r>
      <w:r w:rsidRPr="00B746CC">
        <w:rPr>
          <w:rFonts w:eastAsia="Times New Roman" w:cs="Times New Roman"/>
          <w:sz w:val="20"/>
          <w:szCs w:val="20"/>
          <w:lang w:val="fr-CA" w:eastAsia="en-CA"/>
        </w:rPr>
        <w:noBreakHyphen/>
        <w:t>t</w:t>
      </w:r>
      <w:r w:rsidRPr="00B746CC">
        <w:rPr>
          <w:rFonts w:eastAsia="Times New Roman" w:cs="Times New Roman"/>
          <w:sz w:val="20"/>
          <w:szCs w:val="20"/>
          <w:lang w:val="fr-CA" w:eastAsia="en-CA"/>
        </w:rPr>
        <w:noBreakHyphen/>
        <w:t>elle</w:t>
      </w:r>
      <w:proofErr w:type="spellEnd"/>
      <w:r w:rsidRPr="00B746CC">
        <w:rPr>
          <w:rFonts w:eastAsia="Times New Roman" w:cs="Times New Roman"/>
          <w:sz w:val="20"/>
          <w:szCs w:val="20"/>
          <w:lang w:val="fr-CA" w:eastAsia="en-CA"/>
        </w:rPr>
        <w:t xml:space="preserve"> primauté sur la fiducie par déduction découlant des circonstances de l’achat pour régler des différends en contexte non conjugal où une partie fait un apport d’argent pour l’achat d’une propriété mais n’acquiert aucun titre en </w:t>
      </w:r>
      <w:proofErr w:type="spellStart"/>
      <w:r w:rsidRPr="00B746CC">
        <w:rPr>
          <w:rFonts w:eastAsia="Times New Roman" w:cs="Times New Roman"/>
          <w:sz w:val="20"/>
          <w:szCs w:val="20"/>
          <w:lang w:val="fr-CA" w:eastAsia="en-CA"/>
        </w:rPr>
        <w:t>common</w:t>
      </w:r>
      <w:proofErr w:type="spellEnd"/>
      <w:r w:rsidRPr="00B746CC">
        <w:rPr>
          <w:rFonts w:eastAsia="Times New Roman" w:cs="Times New Roman"/>
          <w:sz w:val="20"/>
          <w:szCs w:val="20"/>
          <w:lang w:val="fr-CA" w:eastAsia="en-CA"/>
        </w:rPr>
        <w:t xml:space="preserve"> </w:t>
      </w:r>
      <w:proofErr w:type="spellStart"/>
      <w:r w:rsidRPr="00B746CC">
        <w:rPr>
          <w:rFonts w:eastAsia="Times New Roman" w:cs="Times New Roman"/>
          <w:sz w:val="20"/>
          <w:szCs w:val="20"/>
          <w:lang w:val="fr-CA" w:eastAsia="en-CA"/>
        </w:rPr>
        <w:t>law</w:t>
      </w:r>
      <w:proofErr w:type="spellEnd"/>
      <w:r w:rsidRPr="00B746CC">
        <w:rPr>
          <w:rFonts w:eastAsia="Times New Roman" w:cs="Times New Roman"/>
          <w:sz w:val="20"/>
          <w:szCs w:val="20"/>
          <w:lang w:val="fr-CA" w:eastAsia="en-CA"/>
        </w:rPr>
        <w:t xml:space="preserve">? </w:t>
      </w:r>
      <w:r w:rsidRPr="00B746CC">
        <w:rPr>
          <w:rFonts w:eastAsia="Times New Roman" w:cs="Times New Roman"/>
          <w:sz w:val="20"/>
          <w:szCs w:val="20"/>
          <w:lang w:val="fr-CA" w:eastAsia="en-CA"/>
        </w:rPr>
        <w:noBreakHyphen/>
        <w:t xml:space="preserve"> L’appelant </w:t>
      </w:r>
      <w:proofErr w:type="spellStart"/>
      <w:r w:rsidRPr="00B746CC">
        <w:rPr>
          <w:rFonts w:eastAsia="Times New Roman" w:cs="Times New Roman"/>
          <w:sz w:val="20"/>
          <w:szCs w:val="20"/>
          <w:lang w:val="fr-CA" w:eastAsia="en-CA"/>
        </w:rPr>
        <w:t>a</w:t>
      </w:r>
      <w:r w:rsidRPr="00B746CC">
        <w:rPr>
          <w:rFonts w:eastAsia="Times New Roman" w:cs="Times New Roman"/>
          <w:sz w:val="20"/>
          <w:szCs w:val="20"/>
          <w:lang w:val="fr-CA" w:eastAsia="en-CA"/>
        </w:rPr>
        <w:noBreakHyphen/>
        <w:t>t</w:t>
      </w:r>
      <w:r w:rsidRPr="00B746CC">
        <w:rPr>
          <w:rFonts w:eastAsia="Times New Roman" w:cs="Times New Roman"/>
          <w:sz w:val="20"/>
          <w:szCs w:val="20"/>
          <w:lang w:val="fr-CA" w:eastAsia="en-CA"/>
        </w:rPr>
        <w:noBreakHyphen/>
        <w:t>il</w:t>
      </w:r>
      <w:proofErr w:type="spellEnd"/>
      <w:r w:rsidRPr="00B746CC">
        <w:rPr>
          <w:rFonts w:eastAsia="Times New Roman" w:cs="Times New Roman"/>
          <w:sz w:val="20"/>
          <w:szCs w:val="20"/>
          <w:lang w:val="fr-CA" w:eastAsia="en-CA"/>
        </w:rPr>
        <w:t xml:space="preserve"> été injustement enrichi par l’apport de l’intimée pour l’achat de la propriété? </w:t>
      </w:r>
      <w:r w:rsidRPr="00B746CC">
        <w:rPr>
          <w:rFonts w:eastAsia="Times New Roman" w:cs="Times New Roman"/>
          <w:sz w:val="20"/>
          <w:szCs w:val="20"/>
          <w:lang w:val="fr-CA" w:eastAsia="en-CA"/>
        </w:rPr>
        <w:noBreakHyphen/>
        <w:t xml:space="preserve"> Subsidiairement, la Cour d’appel s’</w:t>
      </w:r>
      <w:proofErr w:type="spellStart"/>
      <w:r w:rsidRPr="00B746CC">
        <w:rPr>
          <w:rFonts w:eastAsia="Times New Roman" w:cs="Times New Roman"/>
          <w:sz w:val="20"/>
          <w:szCs w:val="20"/>
          <w:lang w:val="fr-CA" w:eastAsia="en-CA"/>
        </w:rPr>
        <w:t>est</w:t>
      </w:r>
      <w:r w:rsidRPr="00B746CC">
        <w:rPr>
          <w:rFonts w:eastAsia="Times New Roman" w:cs="Times New Roman"/>
          <w:sz w:val="20"/>
          <w:szCs w:val="20"/>
          <w:lang w:val="fr-CA" w:eastAsia="en-CA"/>
        </w:rPr>
        <w:noBreakHyphen/>
        <w:t>elle</w:t>
      </w:r>
      <w:proofErr w:type="spellEnd"/>
      <w:r w:rsidRPr="00B746CC">
        <w:rPr>
          <w:rFonts w:eastAsia="Times New Roman" w:cs="Times New Roman"/>
          <w:sz w:val="20"/>
          <w:szCs w:val="20"/>
          <w:lang w:val="fr-CA" w:eastAsia="en-CA"/>
        </w:rPr>
        <w:t xml:space="preserve"> trompée dans son application des principes régissant les fiducies par interprétation?</w:t>
      </w: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jc w:val="both"/>
        <w:rPr>
          <w:rFonts w:eastAsia="Times New Roman" w:cs="Times New Roman"/>
          <w:sz w:val="20"/>
          <w:szCs w:val="20"/>
          <w:lang w:val="fr-CA" w:eastAsia="en-CA"/>
        </w:rPr>
      </w:pPr>
      <w:r w:rsidRPr="00B746CC">
        <w:rPr>
          <w:rFonts w:eastAsia="Times New Roman" w:cs="Times New Roman"/>
          <w:bCs/>
          <w:color w:val="000000"/>
          <w:sz w:val="20"/>
          <w:szCs w:val="20"/>
          <w:lang w:val="fr-CA" w:eastAsia="en-CA"/>
        </w:rPr>
        <w:t>Monsieur</w:t>
      </w:r>
      <w:r w:rsidRPr="00B746CC">
        <w:rPr>
          <w:rFonts w:eastAsia="Times New Roman" w:cs="Times New Roman"/>
          <w:b/>
          <w:bCs/>
          <w:color w:val="000000"/>
          <w:sz w:val="20"/>
          <w:szCs w:val="20"/>
          <w:lang w:val="fr-CA" w:eastAsia="en-CA"/>
        </w:rPr>
        <w:t xml:space="preserve"> </w:t>
      </w:r>
      <w:proofErr w:type="spellStart"/>
      <w:r w:rsidRPr="00B746CC">
        <w:rPr>
          <w:rFonts w:eastAsia="Times New Roman" w:cs="Times New Roman"/>
          <w:color w:val="000000"/>
          <w:sz w:val="20"/>
          <w:szCs w:val="20"/>
          <w:lang w:val="fr-CA" w:eastAsia="en-CA"/>
        </w:rPr>
        <w:t>Heringa</w:t>
      </w:r>
      <w:proofErr w:type="spellEnd"/>
      <w:r w:rsidRPr="00B746CC">
        <w:rPr>
          <w:rFonts w:eastAsia="Times New Roman" w:cs="Times New Roman"/>
          <w:color w:val="000000"/>
          <w:sz w:val="20"/>
          <w:szCs w:val="20"/>
          <w:lang w:val="fr-CA" w:eastAsia="en-CA"/>
        </w:rPr>
        <w:t xml:space="preserve"> était le propriétaire de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w:t>
      </w:r>
      <w:proofErr w:type="spellStart"/>
      <w:r w:rsidRPr="00B746CC">
        <w:rPr>
          <w:rFonts w:eastAsia="Times New Roman" w:cs="Times New Roman"/>
          <w:color w:val="000000"/>
          <w:sz w:val="20"/>
          <w:szCs w:val="20"/>
          <w:lang w:val="fr-CA" w:eastAsia="en-CA"/>
        </w:rPr>
        <w:t>Trucking</w:t>
      </w:r>
      <w:proofErr w:type="spellEnd"/>
      <w:r w:rsidRPr="00B746CC">
        <w:rPr>
          <w:rFonts w:eastAsia="Times New Roman" w:cs="Times New Roman"/>
          <w:color w:val="000000"/>
          <w:sz w:val="20"/>
          <w:szCs w:val="20"/>
          <w:lang w:val="fr-CA" w:eastAsia="en-CA"/>
        </w:rPr>
        <w:t xml:space="preserve"> Ltd. («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  Monsieur </w:t>
      </w:r>
      <w:proofErr w:type="spellStart"/>
      <w:r w:rsidRPr="00B746CC">
        <w:rPr>
          <w:rFonts w:eastAsia="Times New Roman" w:cs="Times New Roman"/>
          <w:color w:val="000000"/>
          <w:sz w:val="20"/>
          <w:szCs w:val="20"/>
          <w:lang w:val="fr-CA" w:eastAsia="en-CA"/>
        </w:rPr>
        <w:t>Heringa</w:t>
      </w:r>
      <w:proofErr w:type="spellEnd"/>
      <w:r w:rsidRPr="00B746CC">
        <w:rPr>
          <w:rFonts w:eastAsia="Times New Roman" w:cs="Times New Roman"/>
          <w:color w:val="000000"/>
          <w:sz w:val="20"/>
          <w:szCs w:val="20"/>
          <w:lang w:val="fr-CA" w:eastAsia="en-CA"/>
        </w:rPr>
        <w:t xml:space="preserve"> avait aménagé des biens immobiliers avec Mme </w:t>
      </w:r>
      <w:proofErr w:type="spellStart"/>
      <w:r w:rsidRPr="00B746CC">
        <w:rPr>
          <w:rFonts w:eastAsia="Times New Roman" w:cs="Times New Roman"/>
          <w:color w:val="000000"/>
          <w:sz w:val="20"/>
          <w:szCs w:val="20"/>
          <w:lang w:val="fr-CA" w:eastAsia="en-CA"/>
        </w:rPr>
        <w:t>Plavetic</w:t>
      </w:r>
      <w:proofErr w:type="spellEnd"/>
      <w:r w:rsidRPr="00B746CC">
        <w:rPr>
          <w:rFonts w:eastAsia="Times New Roman" w:cs="Times New Roman"/>
          <w:color w:val="000000"/>
          <w:sz w:val="20"/>
          <w:szCs w:val="20"/>
          <w:lang w:val="fr-CA" w:eastAsia="en-CA"/>
        </w:rPr>
        <w:t xml:space="preserve">, avec qui il avait déjà eu une relation personnelle et qui était courtière en immeubles et propriétaire de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w:t>
      </w:r>
      <w:proofErr w:type="spellStart"/>
      <w:r w:rsidRPr="00B746CC">
        <w:rPr>
          <w:rFonts w:eastAsia="Times New Roman" w:cs="Times New Roman"/>
          <w:color w:val="000000"/>
          <w:sz w:val="20"/>
          <w:szCs w:val="20"/>
          <w:lang w:val="fr-CA" w:eastAsia="en-CA"/>
        </w:rPr>
        <w:t>Enterprises</w:t>
      </w:r>
      <w:proofErr w:type="spellEnd"/>
      <w:r w:rsidRPr="00B746CC">
        <w:rPr>
          <w:rFonts w:eastAsia="Times New Roman" w:cs="Times New Roman"/>
          <w:color w:val="000000"/>
          <w:sz w:val="20"/>
          <w:szCs w:val="20"/>
          <w:lang w:val="fr-CA" w:eastAsia="en-CA"/>
        </w:rPr>
        <w:t xml:space="preserve"> Ltd. («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était propriétaire de tout près de deux acres de terrain dans la municipalité de Nanaimo (« la propriété »).  En 1996,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a conclu un bail d’une durée de cinq ans pour la location de la propriété afin d’en utiliser une partie pour une installation de traitement de terre végétale.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a accepté de payer des redevances à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et à indemniser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à l’égard de toute responsabilité qui résultait des activités de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sur la propriété.  </w:t>
      </w:r>
      <w:r w:rsidRPr="00B746CC">
        <w:rPr>
          <w:rFonts w:eastAsia="Times New Roman" w:cs="Times New Roman"/>
          <w:bCs/>
          <w:sz w:val="20"/>
          <w:szCs w:val="20"/>
          <w:lang w:val="fr-CA" w:eastAsia="en-CA"/>
        </w:rPr>
        <w:t>Après que</w:t>
      </w:r>
      <w:r w:rsidRPr="00B746CC">
        <w:rPr>
          <w:rFonts w:eastAsia="Times New Roman" w:cs="Times New Roman"/>
          <w:b/>
          <w:bCs/>
          <w:sz w:val="20"/>
          <w:szCs w:val="20"/>
          <w:lang w:val="fr-CA" w:eastAsia="en-CA"/>
        </w:rPr>
        <w:t xml:space="preserve">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a déplacé de la terre végétale sur la propriété en vue de son traitement, il y a eu des plaintes du voisinage.  À la suite de ces plaintes, la municipalité a adopté une résolution portant que le traitement de la terre était une nuisance et que la terre végétale accumulée devait être enlevée.  La résolution conférait à la municipalité le pouvoir d’enlever la terre végétale si l’ordonnance n’était pas respectée.  </w:t>
      </w:r>
      <w:proofErr w:type="spellStart"/>
      <w:r w:rsidRPr="00B746CC">
        <w:rPr>
          <w:rFonts w:eastAsia="Times New Roman" w:cs="Times New Roman"/>
          <w:color w:val="000000"/>
          <w:sz w:val="20"/>
          <w:szCs w:val="20"/>
          <w:lang w:val="fr-CA" w:eastAsia="en-CA"/>
        </w:rPr>
        <w:t>Kismet</w:t>
      </w:r>
      <w:proofErr w:type="spellEnd"/>
      <w:r w:rsidRPr="00B746CC">
        <w:rPr>
          <w:rFonts w:eastAsia="Times New Roman" w:cs="Times New Roman"/>
          <w:color w:val="000000"/>
          <w:sz w:val="20"/>
          <w:szCs w:val="20"/>
          <w:lang w:val="fr-CA" w:eastAsia="en-CA"/>
        </w:rPr>
        <w:t xml:space="preserve"> ne disposait d’aucun moyen pour enlever la terre et n’a donc rien fait.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a tenté de faire payer la municipalité pour le déplacement vers un autre emplacement, mais les négociations ont échoué.  La municipalité a engagé la somme de 110 679 $ pour l’enlèvement et ce montant a été imputé comme charge grevant la propriété à titre d’arriérés de taxes.  Les arriérés de taxes et la dette hypothécaire envers la CIBC ont amené Mme </w:t>
      </w:r>
      <w:proofErr w:type="spellStart"/>
      <w:r w:rsidRPr="00B746CC">
        <w:rPr>
          <w:rFonts w:eastAsia="Times New Roman" w:cs="Times New Roman"/>
          <w:color w:val="000000"/>
          <w:sz w:val="20"/>
          <w:szCs w:val="20"/>
          <w:lang w:val="fr-CA" w:eastAsia="en-CA"/>
        </w:rPr>
        <w:t>Plavetic</w:t>
      </w:r>
      <w:proofErr w:type="spellEnd"/>
      <w:r w:rsidRPr="00B746CC">
        <w:rPr>
          <w:rFonts w:eastAsia="Times New Roman" w:cs="Times New Roman"/>
          <w:color w:val="000000"/>
          <w:sz w:val="20"/>
          <w:szCs w:val="20"/>
          <w:lang w:val="fr-CA" w:eastAsia="en-CA"/>
        </w:rPr>
        <w:t xml:space="preserve"> à conclure que la propriété n’avait plus de valeur nette et elle a cessé de faire les paiements hypothécaires.  Monsieur </w:t>
      </w:r>
      <w:proofErr w:type="spellStart"/>
      <w:r w:rsidRPr="00B746CC">
        <w:rPr>
          <w:rFonts w:eastAsia="Times New Roman" w:cs="Times New Roman"/>
          <w:color w:val="000000"/>
          <w:sz w:val="20"/>
          <w:szCs w:val="20"/>
          <w:lang w:val="fr-CA" w:eastAsia="en-CA"/>
        </w:rPr>
        <w:t>Heringa</w:t>
      </w:r>
      <w:proofErr w:type="spellEnd"/>
      <w:r w:rsidRPr="00B746CC">
        <w:rPr>
          <w:rFonts w:eastAsia="Times New Roman" w:cs="Times New Roman"/>
          <w:color w:val="000000"/>
          <w:sz w:val="20"/>
          <w:szCs w:val="20"/>
          <w:lang w:val="fr-CA" w:eastAsia="en-CA"/>
        </w:rPr>
        <w:t xml:space="preserve"> a continué à exiger que la municipalité radie du titre la créance pour arriérés de taxes.  La CIBC a entrepris une mesure de forclusion en 1997 et a payé la somme de 110 679,74 $ pour racheter la propriété lors d’une vente pour taxe.  Pendant la mesure de forclusion, M. </w:t>
      </w:r>
      <w:proofErr w:type="spellStart"/>
      <w:r w:rsidRPr="00B746CC">
        <w:rPr>
          <w:rFonts w:eastAsia="Times New Roman" w:cs="Times New Roman"/>
          <w:color w:val="000000"/>
          <w:sz w:val="20"/>
          <w:szCs w:val="20"/>
          <w:lang w:val="fr-CA" w:eastAsia="en-CA"/>
        </w:rPr>
        <w:t>Heringa</w:t>
      </w:r>
      <w:proofErr w:type="spellEnd"/>
      <w:r w:rsidRPr="00B746CC">
        <w:rPr>
          <w:rFonts w:eastAsia="Times New Roman" w:cs="Times New Roman"/>
          <w:color w:val="000000"/>
          <w:sz w:val="20"/>
          <w:szCs w:val="20"/>
          <w:lang w:val="fr-CA" w:eastAsia="en-CA"/>
        </w:rPr>
        <w:t xml:space="preserve"> a joué un rôle actif pour tenter de trouver un moyen qui lui permettrait d’obtenir une participation dans la propriété.  </w:t>
      </w:r>
      <w:proofErr w:type="spellStart"/>
      <w:r w:rsidRPr="00B746CC">
        <w:rPr>
          <w:rFonts w:eastAsia="Times New Roman" w:cs="Times New Roman"/>
          <w:color w:val="000000"/>
          <w:sz w:val="20"/>
          <w:szCs w:val="20"/>
          <w:lang w:val="fr-CA" w:eastAsia="en-CA"/>
        </w:rPr>
        <w:t>Rascal</w:t>
      </w:r>
      <w:proofErr w:type="spellEnd"/>
      <w:r w:rsidRPr="00B746CC">
        <w:rPr>
          <w:rFonts w:eastAsia="Times New Roman" w:cs="Times New Roman"/>
          <w:color w:val="000000"/>
          <w:sz w:val="20"/>
          <w:szCs w:val="20"/>
          <w:lang w:val="fr-CA" w:eastAsia="en-CA"/>
        </w:rPr>
        <w:t xml:space="preserve"> a également poursuivi la municipalité en </w:t>
      </w:r>
      <w:proofErr w:type="spellStart"/>
      <w:r w:rsidRPr="00B746CC">
        <w:rPr>
          <w:rFonts w:eastAsia="Times New Roman" w:cs="Times New Roman"/>
          <w:color w:val="000000"/>
          <w:sz w:val="20"/>
          <w:szCs w:val="20"/>
          <w:lang w:val="fr-CA" w:eastAsia="en-CA"/>
        </w:rPr>
        <w:t>dommages</w:t>
      </w:r>
      <w:r w:rsidRPr="00B746CC">
        <w:rPr>
          <w:rFonts w:eastAsia="Times New Roman" w:cs="Times New Roman"/>
          <w:color w:val="000000"/>
          <w:sz w:val="20"/>
          <w:szCs w:val="20"/>
          <w:lang w:val="fr-CA" w:eastAsia="en-CA"/>
        </w:rPr>
        <w:noBreakHyphen/>
        <w:t>intérêts</w:t>
      </w:r>
      <w:proofErr w:type="spellEnd"/>
      <w:r w:rsidRPr="00B746CC">
        <w:rPr>
          <w:rFonts w:eastAsia="Times New Roman" w:cs="Times New Roman"/>
          <w:color w:val="000000"/>
          <w:sz w:val="20"/>
          <w:szCs w:val="20"/>
          <w:lang w:val="fr-CA" w:eastAsia="en-CA"/>
        </w:rPr>
        <w:t xml:space="preserve"> pour l’enlèvement de la terre végétale</w:t>
      </w:r>
      <w:r w:rsidRPr="00B746CC">
        <w:rPr>
          <w:rFonts w:eastAsia="Times New Roman" w:cs="Times New Roman"/>
          <w:sz w:val="20"/>
          <w:szCs w:val="20"/>
          <w:lang w:val="fr-CA" w:eastAsia="en-CA"/>
        </w:rPr>
        <w:t xml:space="preserve">.  En 2001, une ordonnance d’envoi en possession a été prononcée et le titre a été transféré à M. Nishi au prix de 237 500 $.  Monsieur </w:t>
      </w:r>
      <w:proofErr w:type="spellStart"/>
      <w:r w:rsidRPr="00B746CC">
        <w:rPr>
          <w:rFonts w:eastAsia="Times New Roman" w:cs="Times New Roman"/>
          <w:sz w:val="20"/>
          <w:szCs w:val="20"/>
          <w:lang w:val="fr-CA" w:eastAsia="en-CA"/>
        </w:rPr>
        <w:t>Heringa</w:t>
      </w:r>
      <w:proofErr w:type="spellEnd"/>
      <w:r w:rsidRPr="00B746CC">
        <w:rPr>
          <w:rFonts w:eastAsia="Times New Roman" w:cs="Times New Roman"/>
          <w:sz w:val="20"/>
          <w:szCs w:val="20"/>
          <w:lang w:val="fr-CA" w:eastAsia="en-CA"/>
        </w:rPr>
        <w:t>, qui a avancé la somme de 110 679,74 $ et qui a signé comme garant, a aidé M. Nishi à financer l’achat.  Monsieur Nishi a refusé la demande de M. </w:t>
      </w:r>
      <w:proofErr w:type="spellStart"/>
      <w:r w:rsidRPr="00B746CC">
        <w:rPr>
          <w:rFonts w:eastAsia="Times New Roman" w:cs="Times New Roman"/>
          <w:sz w:val="20"/>
          <w:szCs w:val="20"/>
          <w:lang w:val="fr-CA" w:eastAsia="en-CA"/>
        </w:rPr>
        <w:t>Heringa</w:t>
      </w:r>
      <w:proofErr w:type="spellEnd"/>
      <w:r w:rsidRPr="00B746CC">
        <w:rPr>
          <w:rFonts w:eastAsia="Times New Roman" w:cs="Times New Roman"/>
          <w:sz w:val="20"/>
          <w:szCs w:val="20"/>
          <w:lang w:val="fr-CA" w:eastAsia="en-CA"/>
        </w:rPr>
        <w:t xml:space="preserve"> de lui consentir une participation dans la propriété.  Monsieur Nishi et Mme </w:t>
      </w:r>
      <w:proofErr w:type="spellStart"/>
      <w:r w:rsidRPr="00B746CC">
        <w:rPr>
          <w:rFonts w:eastAsia="Times New Roman" w:cs="Times New Roman"/>
          <w:sz w:val="20"/>
          <w:szCs w:val="20"/>
          <w:lang w:val="fr-CA" w:eastAsia="en-CA"/>
        </w:rPr>
        <w:t>Plavetic</w:t>
      </w:r>
      <w:proofErr w:type="spellEnd"/>
      <w:r w:rsidRPr="00B746CC">
        <w:rPr>
          <w:rFonts w:eastAsia="Times New Roman" w:cs="Times New Roman"/>
          <w:sz w:val="20"/>
          <w:szCs w:val="20"/>
          <w:lang w:val="fr-CA" w:eastAsia="en-CA"/>
        </w:rPr>
        <w:t xml:space="preserve"> habitent la propriété en union de fait depuis 1997.  Après que M. Nishi a obtenu le titre, le couple a dépensé plus de 100 000 $ en frais d’aménagement.  Sept ans plus tard, </w:t>
      </w:r>
      <w:proofErr w:type="spellStart"/>
      <w:r w:rsidRPr="00B746CC">
        <w:rPr>
          <w:rFonts w:eastAsia="Times New Roman" w:cs="Times New Roman"/>
          <w:sz w:val="20"/>
          <w:szCs w:val="20"/>
          <w:lang w:val="fr-CA" w:eastAsia="en-CA"/>
        </w:rPr>
        <w:t>Rascal</w:t>
      </w:r>
      <w:proofErr w:type="spellEnd"/>
      <w:r w:rsidRPr="00B746CC">
        <w:rPr>
          <w:rFonts w:eastAsia="Times New Roman" w:cs="Times New Roman"/>
          <w:sz w:val="20"/>
          <w:szCs w:val="20"/>
          <w:lang w:val="fr-CA" w:eastAsia="en-CA"/>
        </w:rPr>
        <w:t xml:space="preserve"> a poursuivi M. Nishi pour acquérir une participation de 50 pour cent dans la propriété et une opposition a été déposée contre la propriété.</w:t>
      </w: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Origine :</w:t>
      </w:r>
      <w:r w:rsidRPr="00B746CC">
        <w:rPr>
          <w:rFonts w:eastAsia="Times New Roman" w:cs="Times New Roman"/>
          <w:sz w:val="20"/>
          <w:szCs w:val="20"/>
          <w:lang w:val="fr-CA" w:eastAsia="en-CA"/>
        </w:rPr>
        <w:tab/>
      </w:r>
      <w:proofErr w:type="spellStart"/>
      <w:r w:rsidRPr="00B746CC">
        <w:rPr>
          <w:rFonts w:eastAsia="Times New Roman" w:cs="Times New Roman"/>
          <w:sz w:val="20"/>
          <w:szCs w:val="20"/>
          <w:lang w:val="fr-CA" w:eastAsia="en-CA"/>
        </w:rPr>
        <w:t>Colombie</w:t>
      </w:r>
      <w:r w:rsidRPr="00B746CC">
        <w:rPr>
          <w:rFonts w:eastAsia="Times New Roman" w:cs="Times New Roman"/>
          <w:sz w:val="20"/>
          <w:szCs w:val="20"/>
          <w:lang w:val="fr-CA" w:eastAsia="en-CA"/>
        </w:rPr>
        <w:noBreakHyphen/>
        <w:t>Britannique</w:t>
      </w:r>
      <w:proofErr w:type="spellEnd"/>
    </w:p>
    <w:p w:rsidR="00B746CC" w:rsidRPr="00B746CC" w:rsidRDefault="00B746CC" w:rsidP="00B746CC">
      <w:pPr>
        <w:widowControl w:val="0"/>
        <w:ind w:left="2880" w:hanging="2880"/>
        <w:jc w:val="both"/>
        <w:rPr>
          <w:rFonts w:eastAsia="Times New Roman" w:cs="Times New Roman"/>
          <w:sz w:val="20"/>
          <w:szCs w:val="20"/>
          <w:lang w:val="fr-CA" w:eastAsia="en-CA"/>
        </w:rPr>
      </w:pPr>
    </w:p>
    <w:p w:rsidR="00B746CC" w:rsidRPr="00B746CC" w:rsidRDefault="00B746CC" w:rsidP="00B746CC">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N</w:t>
      </w:r>
      <w:r w:rsidRPr="00B746CC">
        <w:rPr>
          <w:rFonts w:eastAsia="Times New Roman" w:cs="Times New Roman"/>
          <w:sz w:val="20"/>
          <w:szCs w:val="20"/>
          <w:vertAlign w:val="superscript"/>
          <w:lang w:val="fr-CA" w:eastAsia="en-CA"/>
        </w:rPr>
        <w:t>o</w:t>
      </w:r>
      <w:r w:rsidRPr="00B746CC">
        <w:rPr>
          <w:rFonts w:eastAsia="Times New Roman" w:cs="Times New Roman"/>
          <w:sz w:val="20"/>
          <w:szCs w:val="20"/>
          <w:lang w:val="fr-CA" w:eastAsia="en-CA"/>
        </w:rPr>
        <w:t xml:space="preserve"> du greffe :</w:t>
      </w:r>
      <w:r w:rsidRPr="00B746CC">
        <w:rPr>
          <w:rFonts w:eastAsia="Times New Roman" w:cs="Times New Roman"/>
          <w:sz w:val="20"/>
          <w:szCs w:val="20"/>
          <w:lang w:val="fr-CA" w:eastAsia="en-CA"/>
        </w:rPr>
        <w:tab/>
        <w:t>34510</w:t>
      </w:r>
    </w:p>
    <w:p w:rsidR="00B746CC" w:rsidRPr="00B746CC" w:rsidRDefault="00B746CC" w:rsidP="00B746CC">
      <w:pPr>
        <w:widowControl w:val="0"/>
        <w:ind w:left="2880" w:hanging="2880"/>
        <w:jc w:val="both"/>
        <w:rPr>
          <w:rFonts w:eastAsia="Times New Roman" w:cs="Times New Roman"/>
          <w:sz w:val="20"/>
          <w:szCs w:val="20"/>
          <w:lang w:val="fr-CA" w:eastAsia="en-CA"/>
        </w:rPr>
      </w:pPr>
    </w:p>
    <w:p w:rsidR="00B746CC" w:rsidRPr="00B746CC" w:rsidRDefault="00B746CC" w:rsidP="00B746CC">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Arrêt de la Cour d’appel :</w:t>
      </w:r>
      <w:r w:rsidRPr="00B746CC">
        <w:rPr>
          <w:rFonts w:eastAsia="Times New Roman" w:cs="Times New Roman"/>
          <w:sz w:val="20"/>
          <w:szCs w:val="20"/>
          <w:lang w:val="fr-CA" w:eastAsia="en-CA"/>
        </w:rPr>
        <w:tab/>
        <w:t>le 17 août 2011</w:t>
      </w:r>
    </w:p>
    <w:p w:rsidR="00B746CC" w:rsidRPr="00B746CC" w:rsidRDefault="00B746CC" w:rsidP="00B746CC">
      <w:pPr>
        <w:widowControl w:val="0"/>
        <w:ind w:left="2880" w:hanging="2880"/>
        <w:jc w:val="both"/>
        <w:rPr>
          <w:rFonts w:eastAsia="Times New Roman" w:cs="Times New Roman"/>
          <w:sz w:val="20"/>
          <w:szCs w:val="20"/>
          <w:lang w:val="fr-CA" w:eastAsia="en-CA"/>
        </w:rPr>
      </w:pPr>
    </w:p>
    <w:p w:rsidR="00B746CC" w:rsidRPr="00B746CC" w:rsidRDefault="00B746CC" w:rsidP="00B746CC">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Avocats :</w:t>
      </w:r>
      <w:r w:rsidRPr="00B746CC">
        <w:rPr>
          <w:rFonts w:eastAsia="Times New Roman" w:cs="Times New Roman"/>
          <w:sz w:val="20"/>
          <w:szCs w:val="20"/>
          <w:lang w:val="fr-CA" w:eastAsia="en-CA"/>
        </w:rPr>
        <w:tab/>
        <w:t xml:space="preserve">D. Geoffrey Cowper, </w:t>
      </w:r>
      <w:proofErr w:type="gramStart"/>
      <w:r w:rsidRPr="00B746CC">
        <w:rPr>
          <w:rFonts w:eastAsia="Times New Roman" w:cs="Times New Roman"/>
          <w:sz w:val="20"/>
          <w:szCs w:val="20"/>
          <w:lang w:val="fr-CA" w:eastAsia="en-CA"/>
        </w:rPr>
        <w:t>c.r.,</w:t>
      </w:r>
      <w:proofErr w:type="gramEnd"/>
      <w:r w:rsidRPr="00B746CC">
        <w:rPr>
          <w:rFonts w:eastAsia="Times New Roman" w:cs="Times New Roman"/>
          <w:sz w:val="20"/>
          <w:szCs w:val="20"/>
          <w:lang w:val="fr-CA" w:eastAsia="en-CA"/>
        </w:rPr>
        <w:t xml:space="preserve"> W. Stanley Martin et </w:t>
      </w:r>
      <w:proofErr w:type="spellStart"/>
      <w:r w:rsidRPr="00B746CC">
        <w:rPr>
          <w:rFonts w:eastAsia="Times New Roman" w:cs="Times New Roman"/>
          <w:sz w:val="20"/>
          <w:szCs w:val="20"/>
          <w:lang w:val="fr-CA" w:eastAsia="en-CA"/>
        </w:rPr>
        <w:t>Joel</w:t>
      </w:r>
      <w:proofErr w:type="spellEnd"/>
      <w:r w:rsidRPr="00B746CC">
        <w:rPr>
          <w:rFonts w:eastAsia="Times New Roman" w:cs="Times New Roman"/>
          <w:sz w:val="20"/>
          <w:szCs w:val="20"/>
          <w:lang w:val="fr-CA" w:eastAsia="en-CA"/>
        </w:rPr>
        <w:t> V. Payne pour l’appelant</w:t>
      </w:r>
    </w:p>
    <w:p w:rsidR="00B746CC" w:rsidRPr="00B746CC" w:rsidRDefault="00B746CC" w:rsidP="00B746CC">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ab/>
        <w:t>Craig P. Dennis et Owen J. James pour l’intimée</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57"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B746CC" w:rsidRPr="00B746CC" w:rsidRDefault="007F0A1D" w:rsidP="00B746CC">
      <w:pPr>
        <w:widowControl w:val="0"/>
        <w:ind w:left="720" w:hanging="720"/>
        <w:jc w:val="both"/>
        <w:rPr>
          <w:rFonts w:eastAsia="Times New Roman" w:cs="Times New Roman"/>
          <w:sz w:val="20"/>
          <w:szCs w:val="20"/>
          <w:lang w:eastAsia="en-CA"/>
        </w:rPr>
      </w:pPr>
      <w:r w:rsidRPr="007F0A1D">
        <w:rPr>
          <w:rFonts w:eastAsia="Times New Roman" w:cs="Times New Roman"/>
          <w:b/>
          <w:sz w:val="20"/>
          <w:szCs w:val="20"/>
          <w:lang w:eastAsia="en-CA"/>
        </w:rPr>
        <w:lastRenderedPageBreak/>
        <w:fldChar w:fldCharType="begin"/>
      </w:r>
      <w:r w:rsidR="00B746CC" w:rsidRPr="00B746CC">
        <w:rPr>
          <w:rFonts w:eastAsia="Times New Roman" w:cs="Times New Roman"/>
          <w:b/>
          <w:sz w:val="20"/>
          <w:szCs w:val="20"/>
          <w:lang w:val="en-US" w:eastAsia="en-CA"/>
        </w:rPr>
        <w:instrText xml:space="preserve"> SEQ CHAPTER \h \r 1</w:instrText>
      </w:r>
      <w:r w:rsidRPr="00B746CC">
        <w:rPr>
          <w:rFonts w:eastAsia="Times New Roman" w:cs="Times New Roman"/>
          <w:b/>
          <w:sz w:val="20"/>
          <w:szCs w:val="20"/>
          <w:lang w:val="en-US" w:eastAsia="en-CA"/>
        </w:rPr>
        <w:fldChar w:fldCharType="end"/>
      </w:r>
      <w:proofErr w:type="gramStart"/>
      <w:r w:rsidR="00B746CC" w:rsidRPr="00B746CC">
        <w:rPr>
          <w:rFonts w:eastAsia="Times New Roman" w:cs="Times New Roman"/>
          <w:b/>
          <w:sz w:val="20"/>
          <w:szCs w:val="20"/>
          <w:lang w:eastAsia="en-CA"/>
        </w:rPr>
        <w:t>34470</w:t>
      </w:r>
      <w:r w:rsidR="00B746CC" w:rsidRPr="00B746CC">
        <w:rPr>
          <w:rFonts w:eastAsia="Times New Roman" w:cs="Times New Roman"/>
          <w:sz w:val="20"/>
          <w:szCs w:val="20"/>
          <w:lang w:eastAsia="en-CA"/>
        </w:rPr>
        <w:tab/>
      </w:r>
      <w:proofErr w:type="spellStart"/>
      <w:r w:rsidR="00B746CC" w:rsidRPr="00B746CC">
        <w:rPr>
          <w:rFonts w:eastAsia="Times New Roman" w:cs="Times New Roman"/>
          <w:b/>
          <w:i/>
          <w:sz w:val="20"/>
          <w:szCs w:val="20"/>
          <w:lang w:eastAsia="en-CA"/>
        </w:rPr>
        <w:t>Rachidi</w:t>
      </w:r>
      <w:proofErr w:type="spellEnd"/>
      <w:r w:rsidR="00B746CC" w:rsidRPr="00B746CC">
        <w:rPr>
          <w:rFonts w:eastAsia="Times New Roman" w:cs="Times New Roman"/>
          <w:b/>
          <w:i/>
          <w:sz w:val="20"/>
          <w:szCs w:val="20"/>
          <w:lang w:eastAsia="en-CA"/>
        </w:rPr>
        <w:t xml:space="preserve"> </w:t>
      </w:r>
      <w:proofErr w:type="spellStart"/>
      <w:r w:rsidR="00B746CC" w:rsidRPr="00B746CC">
        <w:rPr>
          <w:rFonts w:eastAsia="Times New Roman" w:cs="Times New Roman"/>
          <w:b/>
          <w:i/>
          <w:sz w:val="20"/>
          <w:szCs w:val="20"/>
          <w:lang w:eastAsia="en-CA"/>
        </w:rPr>
        <w:t>Ekanza</w:t>
      </w:r>
      <w:proofErr w:type="spellEnd"/>
      <w:r w:rsidR="00B746CC" w:rsidRPr="00B746CC">
        <w:rPr>
          <w:rFonts w:eastAsia="Times New Roman" w:cs="Times New Roman"/>
          <w:b/>
          <w:i/>
          <w:sz w:val="20"/>
          <w:szCs w:val="20"/>
          <w:lang w:eastAsia="en-CA"/>
        </w:rPr>
        <w:t xml:space="preserve"> </w:t>
      </w:r>
      <w:proofErr w:type="spellStart"/>
      <w:r w:rsidR="00B746CC" w:rsidRPr="00B746CC">
        <w:rPr>
          <w:rFonts w:eastAsia="Times New Roman" w:cs="Times New Roman"/>
          <w:b/>
          <w:i/>
          <w:sz w:val="20"/>
          <w:szCs w:val="20"/>
          <w:lang w:eastAsia="en-CA"/>
        </w:rPr>
        <w:t>Ezokola</w:t>
      </w:r>
      <w:proofErr w:type="spellEnd"/>
      <w:r w:rsidR="00B746CC" w:rsidRPr="00B746CC">
        <w:rPr>
          <w:rFonts w:eastAsia="Times New Roman" w:cs="Times New Roman"/>
          <w:b/>
          <w:i/>
          <w:sz w:val="20"/>
          <w:szCs w:val="20"/>
          <w:lang w:eastAsia="en-CA"/>
        </w:rPr>
        <w:t xml:space="preserve"> v.</w:t>
      </w:r>
      <w:proofErr w:type="gramEnd"/>
      <w:r w:rsidR="00B746CC" w:rsidRPr="00B746CC">
        <w:rPr>
          <w:rFonts w:eastAsia="Times New Roman" w:cs="Times New Roman"/>
          <w:b/>
          <w:i/>
          <w:sz w:val="20"/>
          <w:szCs w:val="20"/>
          <w:lang w:eastAsia="en-CA"/>
        </w:rPr>
        <w:t xml:space="preserve"> The Minister of Citizenship and Immigration</w:t>
      </w: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i/>
          <w:sz w:val="20"/>
          <w:szCs w:val="20"/>
          <w:lang w:eastAsia="en-CA"/>
        </w:rPr>
      </w:pPr>
      <w:bookmarkStart w:id="10" w:name="_GoBack"/>
      <w:r w:rsidRPr="00B746CC">
        <w:rPr>
          <w:rFonts w:eastAsia="Times New Roman" w:cs="Times New Roman"/>
          <w:sz w:val="20"/>
          <w:szCs w:val="20"/>
          <w:lang w:eastAsia="en-CA"/>
        </w:rPr>
        <w:t xml:space="preserve">Immigration </w:t>
      </w:r>
      <w:r w:rsidRPr="00B746CC">
        <w:rPr>
          <w:rFonts w:eastAsia="Times New Roman" w:cs="Times New Roman"/>
          <w:sz w:val="20"/>
          <w:szCs w:val="20"/>
          <w:lang w:eastAsia="en-CA"/>
        </w:rPr>
        <w:noBreakHyphen/>
        <w:t xml:space="preserve"> Refugee Status </w:t>
      </w:r>
      <w:r w:rsidRPr="00B746CC">
        <w:rPr>
          <w:rFonts w:eastAsia="Times New Roman" w:cs="Times New Roman"/>
          <w:sz w:val="20"/>
          <w:szCs w:val="20"/>
          <w:lang w:eastAsia="en-CA"/>
        </w:rPr>
        <w:noBreakHyphen/>
        <w:t xml:space="preserve"> Decision of Immigration and Refugee Board excluding appellant from definition of “refugee” as defined in Article </w:t>
      </w:r>
      <w:proofErr w:type="gramStart"/>
      <w:r w:rsidRPr="00B746CC">
        <w:rPr>
          <w:rFonts w:eastAsia="Times New Roman" w:cs="Times New Roman"/>
          <w:sz w:val="20"/>
          <w:szCs w:val="20"/>
          <w:lang w:eastAsia="en-CA"/>
        </w:rPr>
        <w:t>1F(</w:t>
      </w:r>
      <w:proofErr w:type="gramEnd"/>
      <w:r w:rsidRPr="00B746CC">
        <w:rPr>
          <w:rFonts w:eastAsia="Times New Roman" w:cs="Times New Roman"/>
          <w:sz w:val="20"/>
          <w:szCs w:val="20"/>
          <w:lang w:eastAsia="en-CA"/>
        </w:rPr>
        <w:t xml:space="preserve">a) of the </w:t>
      </w:r>
      <w:r w:rsidRPr="00B746CC">
        <w:rPr>
          <w:rFonts w:eastAsia="Times New Roman" w:cs="Times New Roman"/>
          <w:i/>
          <w:sz w:val="20"/>
          <w:szCs w:val="20"/>
          <w:lang w:eastAsia="en-CA"/>
        </w:rPr>
        <w:t>United Nations Convention Relating to the Status of Refugees</w:t>
      </w:r>
      <w:r w:rsidRPr="00B746CC">
        <w:rPr>
          <w:rFonts w:eastAsia="Times New Roman" w:cs="Times New Roman"/>
          <w:sz w:val="20"/>
          <w:szCs w:val="20"/>
          <w:lang w:eastAsia="en-CA"/>
        </w:rPr>
        <w:t xml:space="preserve">, July 28, 1951, [1969] Can. T.S. No. 6, on basis of complicity by association in war crimes and crimes against humanity </w:t>
      </w:r>
      <w:r w:rsidRPr="00B746CC">
        <w:rPr>
          <w:rFonts w:eastAsia="Times New Roman" w:cs="Times New Roman"/>
          <w:sz w:val="20"/>
          <w:szCs w:val="20"/>
          <w:lang w:eastAsia="en-CA"/>
        </w:rPr>
        <w:noBreakHyphen/>
        <w:t xml:space="preserve"> Test for complicity </w:t>
      </w:r>
      <w:r w:rsidRPr="00B746CC">
        <w:rPr>
          <w:rFonts w:eastAsia="Times New Roman" w:cs="Times New Roman"/>
          <w:sz w:val="20"/>
          <w:szCs w:val="20"/>
          <w:lang w:eastAsia="en-CA"/>
        </w:rPr>
        <w:noBreakHyphen/>
        <w:t xml:space="preserve"> For purposes of the application of art. </w:t>
      </w:r>
      <w:proofErr w:type="gramStart"/>
      <w:r w:rsidRPr="00B746CC">
        <w:rPr>
          <w:rFonts w:eastAsia="Times New Roman" w:cs="Times New Roman"/>
          <w:sz w:val="20"/>
          <w:szCs w:val="20"/>
          <w:lang w:eastAsia="en-CA"/>
        </w:rPr>
        <w:t>1F(</w:t>
      </w:r>
      <w:proofErr w:type="gramEnd"/>
      <w:r w:rsidRPr="00B746CC">
        <w:rPr>
          <w:rFonts w:eastAsia="Times New Roman" w:cs="Times New Roman"/>
          <w:sz w:val="20"/>
          <w:szCs w:val="20"/>
          <w:lang w:eastAsia="en-CA"/>
        </w:rPr>
        <w:t xml:space="preserve">a) of the </w:t>
      </w:r>
      <w:r w:rsidRPr="00B746CC">
        <w:rPr>
          <w:rFonts w:eastAsia="Times New Roman" w:cs="Times New Roman"/>
          <w:i/>
          <w:sz w:val="20"/>
          <w:szCs w:val="20"/>
          <w:lang w:eastAsia="en-CA"/>
        </w:rPr>
        <w:t>United Nations Convention Relating to the Status of Refugees</w:t>
      </w:r>
      <w:r w:rsidRPr="00B746CC">
        <w:rPr>
          <w:rFonts w:eastAsia="Times New Roman" w:cs="Times New Roman"/>
          <w:sz w:val="20"/>
          <w:szCs w:val="20"/>
          <w:lang w:eastAsia="en-CA"/>
        </w:rPr>
        <w:t>, what is the correct legal standard for culpable complicity in international crimes?</w:t>
      </w:r>
      <w:bookmarkEnd w:id="10"/>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sz w:val="20"/>
          <w:szCs w:val="20"/>
          <w:lang w:eastAsia="en-CA"/>
        </w:rPr>
      </w:pPr>
      <w:r w:rsidRPr="00B746CC">
        <w:rPr>
          <w:rFonts w:eastAsia="Times New Roman" w:cs="Times New Roman"/>
          <w:sz w:val="20"/>
          <w:szCs w:val="20"/>
          <w:lang w:eastAsia="en-CA"/>
        </w:rPr>
        <w:t xml:space="preserve">The appellant was the economic adviser and second counsellor of embassy to the Permanent Mission of the Democratic Republic of Congo (the “DRC”) to the United Nations starting on December 1, 2004, and held that position until a few days before he arrived in Canada on January 17, 2008 to claim refugee protection, with his wife and eight children.  Prior to serving as a diplomat with the DRC’s Permanent Mission to the United Nations, he had been a public servant in the DRC since January 1999, acting principally as an economic advisor.  The Refugee Protection Division of the Immigration and Refugee Board (the “Board”) determined that the appellant was excluded from refugee protection by application of Article 1F(a) of the </w:t>
      </w:r>
      <w:r w:rsidRPr="00B746CC">
        <w:rPr>
          <w:rFonts w:eastAsia="Times New Roman" w:cs="Times New Roman"/>
          <w:i/>
          <w:sz w:val="20"/>
          <w:szCs w:val="20"/>
          <w:lang w:eastAsia="en-CA"/>
        </w:rPr>
        <w:t>United Nations Convention relating to the Status of Refugees</w:t>
      </w:r>
      <w:r w:rsidRPr="00B746CC">
        <w:rPr>
          <w:rFonts w:eastAsia="Times New Roman" w:cs="Times New Roman"/>
          <w:sz w:val="20"/>
          <w:szCs w:val="20"/>
          <w:lang w:eastAsia="en-CA"/>
        </w:rPr>
        <w:t xml:space="preserve"> (the “Convention”) on the basis of complicity by association in war crimes and crimes against humanity committed by the DRC.  The Federal Court allowed the appellant’s application for judicial review and set aside the Board’s decision on the ground that the Board could not have found serious reasons for considering that the appellant had committed the crimes at issue as a result of his diplomatic duties.  The Federal Court of Appeal allowed the appeal, finding that the test for complicity articulated by the lower court was inconsistent with </w:t>
      </w:r>
      <w:r w:rsidRPr="00B746CC">
        <w:rPr>
          <w:rFonts w:eastAsia="Times New Roman" w:cs="Times New Roman"/>
          <w:i/>
          <w:sz w:val="20"/>
          <w:szCs w:val="20"/>
          <w:lang w:eastAsia="en-CA"/>
        </w:rPr>
        <w:t>inter alia</w:t>
      </w:r>
      <w:r w:rsidRPr="00B746CC">
        <w:rPr>
          <w:rFonts w:eastAsia="Times New Roman" w:cs="Times New Roman"/>
          <w:sz w:val="20"/>
          <w:szCs w:val="20"/>
          <w:lang w:eastAsia="en-CA"/>
        </w:rPr>
        <w:t xml:space="preserve"> the jurisprudence of the Federal Court of Appeal.</w:t>
      </w: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Origin of the case:</w:t>
      </w:r>
      <w:r w:rsidRPr="00B746CC">
        <w:rPr>
          <w:rFonts w:eastAsia="Times New Roman" w:cs="Times New Roman"/>
          <w:sz w:val="20"/>
          <w:szCs w:val="20"/>
          <w:lang w:eastAsia="en-CA"/>
        </w:rPr>
        <w:tab/>
        <w:t>Federal Court of Appeal</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File No.:</w:t>
      </w:r>
      <w:r w:rsidRPr="00B746CC">
        <w:rPr>
          <w:rFonts w:eastAsia="Times New Roman" w:cs="Times New Roman"/>
          <w:sz w:val="20"/>
          <w:szCs w:val="20"/>
          <w:lang w:eastAsia="en-CA"/>
        </w:rPr>
        <w:tab/>
        <w:t>34470</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Judgment of the Court of Appeal:</w:t>
      </w:r>
      <w:r w:rsidRPr="00B746CC">
        <w:rPr>
          <w:rFonts w:eastAsia="Times New Roman" w:cs="Times New Roman"/>
          <w:sz w:val="20"/>
          <w:szCs w:val="20"/>
          <w:lang w:eastAsia="en-CA"/>
        </w:rPr>
        <w:tab/>
        <w:t>July 15, 2011</w:t>
      </w:r>
    </w:p>
    <w:p w:rsidR="00B746CC" w:rsidRPr="00B746CC" w:rsidRDefault="00B746CC" w:rsidP="00B746CC">
      <w:pPr>
        <w:widowControl w:val="0"/>
        <w:ind w:left="2880" w:hanging="2880"/>
        <w:jc w:val="both"/>
        <w:rPr>
          <w:rFonts w:eastAsia="Times New Roman" w:cs="Times New Roman"/>
          <w:sz w:val="20"/>
          <w:szCs w:val="20"/>
          <w:lang w:eastAsia="en-CA"/>
        </w:rPr>
      </w:pPr>
    </w:p>
    <w:p w:rsid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Counsel:</w:t>
      </w:r>
      <w:r w:rsidRPr="00B746CC">
        <w:rPr>
          <w:rFonts w:eastAsia="Times New Roman" w:cs="Times New Roman"/>
          <w:sz w:val="20"/>
          <w:szCs w:val="20"/>
          <w:lang w:eastAsia="en-CA"/>
        </w:rPr>
        <w:tab/>
      </w:r>
      <w:proofErr w:type="spellStart"/>
      <w:r w:rsidRPr="00B746CC">
        <w:rPr>
          <w:rFonts w:eastAsia="Times New Roman" w:cs="Times New Roman"/>
          <w:sz w:val="20"/>
          <w:szCs w:val="20"/>
          <w:lang w:eastAsia="en-CA"/>
        </w:rPr>
        <w:t>Annick</w:t>
      </w:r>
      <w:proofErr w:type="spellEnd"/>
      <w:r w:rsidRPr="00B746CC">
        <w:rPr>
          <w:rFonts w:eastAsia="Times New Roman" w:cs="Times New Roman"/>
          <w:sz w:val="20"/>
          <w:szCs w:val="20"/>
          <w:lang w:eastAsia="en-CA"/>
        </w:rPr>
        <w:t xml:space="preserve"> Legault, Jared Will and Peter Shams for</w:t>
      </w:r>
      <w:r w:rsidR="00905BD4">
        <w:rPr>
          <w:rFonts w:eastAsia="Times New Roman" w:cs="Times New Roman"/>
          <w:sz w:val="20"/>
          <w:szCs w:val="20"/>
          <w:lang w:eastAsia="en-CA"/>
        </w:rPr>
        <w:t xml:space="preserve"> the appellant</w:t>
      </w:r>
    </w:p>
    <w:p w:rsidR="00B746CC" w:rsidRPr="00B746CC" w:rsidRDefault="00B746CC" w:rsidP="00B746CC">
      <w:pPr>
        <w:widowControl w:val="0"/>
        <w:ind w:left="2880" w:hanging="2880"/>
        <w:jc w:val="both"/>
        <w:rPr>
          <w:rFonts w:eastAsia="Times New Roman" w:cs="Times New Roman"/>
          <w:sz w:val="20"/>
          <w:szCs w:val="20"/>
          <w:lang w:eastAsia="en-CA"/>
        </w:rPr>
      </w:pPr>
      <w:r w:rsidRPr="00B746CC">
        <w:rPr>
          <w:rFonts w:eastAsia="Times New Roman" w:cs="Times New Roman"/>
          <w:sz w:val="20"/>
          <w:szCs w:val="20"/>
          <w:lang w:eastAsia="en-CA"/>
        </w:rPr>
        <w:tab/>
        <w:t>Fran</w:t>
      </w:r>
      <w:proofErr w:type="spellStart"/>
      <w:r w:rsidRPr="00B746CC">
        <w:rPr>
          <w:rFonts w:eastAsia="Times New Roman" w:cs="Times New Roman"/>
          <w:sz w:val="20"/>
          <w:szCs w:val="20"/>
          <w:lang w:val="en-US" w:eastAsia="en-CA"/>
        </w:rPr>
        <w:t>çois</w:t>
      </w:r>
      <w:proofErr w:type="spellEnd"/>
      <w:r w:rsidRPr="00B746CC">
        <w:rPr>
          <w:rFonts w:eastAsia="Times New Roman" w:cs="Times New Roman"/>
          <w:sz w:val="20"/>
          <w:szCs w:val="20"/>
          <w:lang w:val="en-US" w:eastAsia="en-CA"/>
        </w:rPr>
        <w:t xml:space="preserve"> </w:t>
      </w:r>
      <w:proofErr w:type="spellStart"/>
      <w:r w:rsidRPr="00B746CC">
        <w:rPr>
          <w:rFonts w:eastAsia="Times New Roman" w:cs="Times New Roman"/>
          <w:sz w:val="20"/>
          <w:szCs w:val="20"/>
          <w:lang w:val="en-US" w:eastAsia="en-CA"/>
        </w:rPr>
        <w:t>Joyal</w:t>
      </w:r>
      <w:proofErr w:type="spellEnd"/>
      <w:r w:rsidRPr="00B746CC">
        <w:rPr>
          <w:rFonts w:eastAsia="Times New Roman" w:cs="Times New Roman"/>
          <w:sz w:val="20"/>
          <w:szCs w:val="20"/>
          <w:lang w:val="en-US" w:eastAsia="en-CA"/>
        </w:rPr>
        <w:t xml:space="preserve"> and </w:t>
      </w:r>
      <w:proofErr w:type="spellStart"/>
      <w:r w:rsidRPr="00B746CC">
        <w:rPr>
          <w:rFonts w:eastAsia="Times New Roman" w:cs="Times New Roman"/>
          <w:sz w:val="20"/>
          <w:szCs w:val="20"/>
          <w:lang w:val="en-US" w:eastAsia="en-CA"/>
        </w:rPr>
        <w:t>Ginette</w:t>
      </w:r>
      <w:proofErr w:type="spellEnd"/>
      <w:r w:rsidRPr="00B746CC">
        <w:rPr>
          <w:rFonts w:eastAsia="Times New Roman" w:cs="Times New Roman"/>
          <w:sz w:val="20"/>
          <w:szCs w:val="20"/>
          <w:lang w:val="en-US" w:eastAsia="en-CA"/>
        </w:rPr>
        <w:t xml:space="preserve"> </w:t>
      </w:r>
      <w:proofErr w:type="spellStart"/>
      <w:r w:rsidRPr="00B746CC">
        <w:rPr>
          <w:rFonts w:eastAsia="Times New Roman" w:cs="Times New Roman"/>
          <w:sz w:val="20"/>
          <w:szCs w:val="20"/>
          <w:lang w:val="en-US" w:eastAsia="en-CA"/>
        </w:rPr>
        <w:t>Gobeil</w:t>
      </w:r>
      <w:proofErr w:type="spellEnd"/>
      <w:r w:rsidRPr="00B746CC">
        <w:rPr>
          <w:rFonts w:eastAsia="Times New Roman" w:cs="Times New Roman"/>
          <w:sz w:val="20"/>
          <w:szCs w:val="20"/>
          <w:lang w:eastAsia="en-CA"/>
        </w:rPr>
        <w:t xml:space="preserve"> for the respondent</w:t>
      </w:r>
    </w:p>
    <w:p w:rsidR="00602152" w:rsidRPr="00B746CC"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58"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B746CC" w:rsidRPr="00B746CC" w:rsidRDefault="007F0A1D" w:rsidP="00B746CC">
      <w:pPr>
        <w:widowControl w:val="0"/>
        <w:ind w:left="720" w:hanging="720"/>
        <w:jc w:val="both"/>
        <w:rPr>
          <w:rFonts w:eastAsia="Times New Roman" w:cs="Times New Roman"/>
          <w:sz w:val="20"/>
          <w:szCs w:val="20"/>
          <w:lang w:val="fr-CA" w:eastAsia="en-CA"/>
        </w:rPr>
      </w:pPr>
      <w:r w:rsidRPr="00B746CC">
        <w:rPr>
          <w:rFonts w:eastAsia="Times New Roman" w:cs="Times New Roman"/>
          <w:b/>
          <w:sz w:val="20"/>
          <w:szCs w:val="20"/>
          <w:lang w:val="fr-CA" w:eastAsia="en-CA"/>
        </w:rPr>
        <w:lastRenderedPageBreak/>
        <w:fldChar w:fldCharType="begin"/>
      </w:r>
      <w:r w:rsidR="00B746CC" w:rsidRPr="00B746CC">
        <w:rPr>
          <w:rFonts w:eastAsia="Times New Roman" w:cs="Times New Roman"/>
          <w:b/>
          <w:sz w:val="20"/>
          <w:szCs w:val="20"/>
          <w:lang w:val="fr-CA" w:eastAsia="en-CA"/>
        </w:rPr>
        <w:instrText xml:space="preserve"> SEQ CHAPTER \h \r 1</w:instrText>
      </w:r>
      <w:r w:rsidRPr="00B746CC">
        <w:rPr>
          <w:rFonts w:eastAsia="Times New Roman" w:cs="Times New Roman"/>
          <w:b/>
          <w:sz w:val="20"/>
          <w:szCs w:val="20"/>
          <w:lang w:val="fr-CA" w:eastAsia="en-CA"/>
        </w:rPr>
        <w:fldChar w:fldCharType="end"/>
      </w:r>
      <w:r w:rsidR="00B746CC" w:rsidRPr="00B746CC">
        <w:rPr>
          <w:rFonts w:eastAsia="Times New Roman" w:cs="Times New Roman"/>
          <w:b/>
          <w:sz w:val="20"/>
          <w:szCs w:val="20"/>
          <w:lang w:val="fr-CA" w:eastAsia="en-CA"/>
        </w:rPr>
        <w:t>34470</w:t>
      </w:r>
      <w:r w:rsidR="00B746CC" w:rsidRPr="00B746CC">
        <w:rPr>
          <w:rFonts w:eastAsia="Times New Roman" w:cs="Times New Roman"/>
          <w:sz w:val="20"/>
          <w:szCs w:val="20"/>
          <w:lang w:val="fr-CA" w:eastAsia="en-CA"/>
        </w:rPr>
        <w:tab/>
      </w:r>
      <w:r w:rsidR="00B746CC" w:rsidRPr="00B746CC">
        <w:rPr>
          <w:rFonts w:eastAsia="Times New Roman" w:cs="Times New Roman"/>
          <w:b/>
          <w:i/>
          <w:sz w:val="20"/>
          <w:szCs w:val="20"/>
          <w:lang w:val="fr-CA" w:eastAsia="en-CA"/>
        </w:rPr>
        <w:t xml:space="preserve">Rachidi </w:t>
      </w:r>
      <w:proofErr w:type="spellStart"/>
      <w:r w:rsidR="00B746CC" w:rsidRPr="00B746CC">
        <w:rPr>
          <w:rFonts w:eastAsia="Times New Roman" w:cs="Times New Roman"/>
          <w:b/>
          <w:i/>
          <w:sz w:val="20"/>
          <w:szCs w:val="20"/>
          <w:lang w:val="fr-CA" w:eastAsia="en-CA"/>
        </w:rPr>
        <w:t>Ekanza</w:t>
      </w:r>
      <w:proofErr w:type="spellEnd"/>
      <w:r w:rsidR="00B746CC" w:rsidRPr="00B746CC">
        <w:rPr>
          <w:rFonts w:eastAsia="Times New Roman" w:cs="Times New Roman"/>
          <w:b/>
          <w:i/>
          <w:sz w:val="20"/>
          <w:szCs w:val="20"/>
          <w:lang w:val="fr-CA" w:eastAsia="en-CA"/>
        </w:rPr>
        <w:t xml:space="preserve"> </w:t>
      </w:r>
      <w:proofErr w:type="spellStart"/>
      <w:r w:rsidR="00B746CC" w:rsidRPr="00B746CC">
        <w:rPr>
          <w:rFonts w:eastAsia="Times New Roman" w:cs="Times New Roman"/>
          <w:b/>
          <w:i/>
          <w:sz w:val="20"/>
          <w:szCs w:val="20"/>
          <w:lang w:val="fr-CA" w:eastAsia="en-CA"/>
        </w:rPr>
        <w:t>Ezokola</w:t>
      </w:r>
      <w:proofErr w:type="spellEnd"/>
      <w:r w:rsidR="00B746CC" w:rsidRPr="00B746CC">
        <w:rPr>
          <w:rFonts w:eastAsia="Times New Roman" w:cs="Times New Roman"/>
          <w:b/>
          <w:i/>
          <w:sz w:val="20"/>
          <w:szCs w:val="20"/>
          <w:lang w:val="fr-CA" w:eastAsia="en-CA"/>
        </w:rPr>
        <w:t xml:space="preserve"> c. Ministre de la Citoyenneté et de l’Immigration</w:t>
      </w: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jc w:val="both"/>
        <w:rPr>
          <w:rFonts w:eastAsia="Times New Roman" w:cs="Times New Roman"/>
          <w:sz w:val="20"/>
          <w:szCs w:val="20"/>
          <w:lang w:val="fr-CA" w:eastAsia="en-CA"/>
        </w:rPr>
      </w:pPr>
      <w:r w:rsidRPr="00B746CC">
        <w:rPr>
          <w:rFonts w:eastAsia="Times New Roman" w:cs="Times New Roman"/>
          <w:iCs/>
          <w:sz w:val="20"/>
          <w:szCs w:val="20"/>
          <w:lang w:val="fr-CA" w:eastAsia="en-CA"/>
        </w:rPr>
        <w:t xml:space="preserve">Immigration </w:t>
      </w:r>
      <w:r w:rsidRPr="00B746CC">
        <w:rPr>
          <w:rFonts w:eastAsia="Times New Roman" w:cs="Times New Roman"/>
          <w:iCs/>
          <w:sz w:val="20"/>
          <w:szCs w:val="20"/>
          <w:lang w:val="fr-CA" w:eastAsia="en-CA"/>
        </w:rPr>
        <w:noBreakHyphen/>
        <w:t xml:space="preserve"> Statut de réfugié </w:t>
      </w:r>
      <w:r w:rsidRPr="00B746CC">
        <w:rPr>
          <w:rFonts w:eastAsia="Times New Roman" w:cs="Times New Roman"/>
          <w:iCs/>
          <w:sz w:val="20"/>
          <w:szCs w:val="20"/>
          <w:lang w:val="fr-CA" w:eastAsia="en-CA"/>
        </w:rPr>
        <w:noBreakHyphen/>
        <w:t xml:space="preserve"> Décision de la Commission de l’immigration et du statut de réfugié de refuser à l’appelant le statut de refugié au sens de l’article 1Fa) de la </w:t>
      </w:r>
      <w:r w:rsidRPr="00B746CC">
        <w:rPr>
          <w:rFonts w:eastAsia="Times New Roman" w:cs="Times New Roman"/>
          <w:i/>
          <w:iCs/>
          <w:sz w:val="20"/>
          <w:szCs w:val="20"/>
          <w:lang w:val="fr-CA" w:eastAsia="en-CA"/>
        </w:rPr>
        <w:t>Convention des Nations Unies relative au statut des réfugiés</w:t>
      </w:r>
      <w:r w:rsidRPr="00B746CC">
        <w:rPr>
          <w:rFonts w:eastAsia="Times New Roman" w:cs="Times New Roman"/>
          <w:iCs/>
          <w:sz w:val="20"/>
          <w:szCs w:val="20"/>
          <w:lang w:val="fr-CA" w:eastAsia="en-CA"/>
        </w:rPr>
        <w:t xml:space="preserve">, 28 juillet 1951, [1969] R.T. Can. </w:t>
      </w:r>
      <w:proofErr w:type="gramStart"/>
      <w:r w:rsidRPr="00B746CC">
        <w:rPr>
          <w:rFonts w:eastAsia="Times New Roman" w:cs="Times New Roman"/>
          <w:iCs/>
          <w:sz w:val="20"/>
          <w:szCs w:val="20"/>
          <w:lang w:val="fr-CA" w:eastAsia="en-CA"/>
        </w:rPr>
        <w:t>n</w:t>
      </w:r>
      <w:r w:rsidRPr="00B746CC">
        <w:rPr>
          <w:rFonts w:eastAsia="Times New Roman" w:cs="Times New Roman"/>
          <w:iCs/>
          <w:sz w:val="20"/>
          <w:szCs w:val="20"/>
          <w:vertAlign w:val="superscript"/>
          <w:lang w:val="fr-CA" w:eastAsia="en-CA"/>
        </w:rPr>
        <w:t>o</w:t>
      </w:r>
      <w:proofErr w:type="gramEnd"/>
      <w:r w:rsidRPr="00B746CC">
        <w:rPr>
          <w:rFonts w:eastAsia="Times New Roman" w:cs="Times New Roman"/>
          <w:iCs/>
          <w:sz w:val="20"/>
          <w:szCs w:val="20"/>
          <w:lang w:val="fr-CA" w:eastAsia="en-CA"/>
        </w:rPr>
        <w:t xml:space="preserve"> 6, pour cause de complicité par association à des crimes de guerre et à des crimes contre l’humanité </w:t>
      </w:r>
      <w:r w:rsidRPr="00B746CC">
        <w:rPr>
          <w:rFonts w:eastAsia="Times New Roman" w:cs="Times New Roman"/>
          <w:iCs/>
          <w:sz w:val="20"/>
          <w:szCs w:val="20"/>
          <w:lang w:val="fr-CA" w:eastAsia="en-CA"/>
        </w:rPr>
        <w:noBreakHyphen/>
        <w:t xml:space="preserve"> Critère de complicité </w:t>
      </w:r>
      <w:r w:rsidRPr="00B746CC">
        <w:rPr>
          <w:rFonts w:eastAsia="Times New Roman" w:cs="Times New Roman"/>
          <w:iCs/>
          <w:sz w:val="20"/>
          <w:szCs w:val="20"/>
          <w:lang w:val="fr-CA" w:eastAsia="en-CA"/>
        </w:rPr>
        <w:noBreakHyphen/>
        <w:t xml:space="preserve"> Aux fins de l’application de l’art. 1Fa) de la </w:t>
      </w:r>
      <w:r w:rsidRPr="00B746CC">
        <w:rPr>
          <w:rFonts w:eastAsia="Times New Roman" w:cs="Times New Roman"/>
          <w:i/>
          <w:iCs/>
          <w:sz w:val="20"/>
          <w:szCs w:val="20"/>
          <w:lang w:val="fr-CA" w:eastAsia="en-CA"/>
        </w:rPr>
        <w:t>Convention des Nations Unies relative au statut des réfugiés</w:t>
      </w:r>
      <w:r w:rsidRPr="00B746CC">
        <w:rPr>
          <w:rFonts w:eastAsia="Times New Roman" w:cs="Times New Roman"/>
          <w:iCs/>
          <w:sz w:val="20"/>
          <w:szCs w:val="20"/>
          <w:lang w:val="fr-CA" w:eastAsia="en-CA"/>
        </w:rPr>
        <w:t>, quelle est la bonne norme juridique en matière de complicité coupable dans les crimes internationaux</w:t>
      </w:r>
      <w:r w:rsidRPr="00B746CC">
        <w:rPr>
          <w:rFonts w:eastAsia="Times New Roman" w:cs="Times New Roman"/>
          <w:sz w:val="20"/>
          <w:szCs w:val="20"/>
          <w:lang w:val="fr-CA" w:eastAsia="en-CA"/>
        </w:rPr>
        <w:t>?</w:t>
      </w: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jc w:val="both"/>
        <w:rPr>
          <w:rFonts w:eastAsia="Times New Roman" w:cs="Times New Roman"/>
          <w:sz w:val="20"/>
          <w:szCs w:val="20"/>
          <w:lang w:val="fr-CA" w:eastAsia="en-CA"/>
        </w:rPr>
      </w:pPr>
      <w:r w:rsidRPr="00B746CC">
        <w:rPr>
          <w:rFonts w:eastAsia="Times New Roman" w:cs="Times New Roman"/>
          <w:sz w:val="20"/>
          <w:szCs w:val="20"/>
          <w:lang w:val="fr-CA" w:eastAsia="en-CA"/>
        </w:rPr>
        <w:t>L’appelant était le conseiller économique et deuxième conseiller d’ambassade à la Mission permanente de la République démocratique du Congo (la « RDC ») auprès des Nations Unies depuis le 1</w:t>
      </w:r>
      <w:r w:rsidRPr="00B746CC">
        <w:rPr>
          <w:rFonts w:eastAsia="Times New Roman" w:cs="Times New Roman"/>
          <w:sz w:val="20"/>
          <w:szCs w:val="20"/>
          <w:vertAlign w:val="superscript"/>
          <w:lang w:val="fr-CA" w:eastAsia="en-CA"/>
        </w:rPr>
        <w:t>er</w:t>
      </w:r>
      <w:r w:rsidRPr="00B746CC">
        <w:rPr>
          <w:rFonts w:eastAsia="Times New Roman" w:cs="Times New Roman"/>
          <w:sz w:val="20"/>
          <w:szCs w:val="20"/>
          <w:lang w:val="fr-CA" w:eastAsia="en-CA"/>
        </w:rPr>
        <w:t xml:space="preserve"> décembre 2004, et il a occupé ce poste jusqu’à quelques jours avant son arrivée au Canada le 17 janvier 2008 afin d’y faire une demande d’asile avec son épouse et ses huit enfants.  Avant d’occuper le poste de diplomate à la mission permanente de la RDC auprès des Nations Unies, le demandeur avait occupé un poste de fonctionnaire dans la RDC depuis 1999, principalement à titre de conseiller économique.  La Commission de l’immigration et du statut de réfugié a conclu que l’appelant était exclu de la protection accordée aux réfugiés par l’application de </w:t>
      </w:r>
      <w:r w:rsidRPr="00B746CC">
        <w:rPr>
          <w:rFonts w:eastAsia="Times New Roman" w:cs="Times New Roman"/>
          <w:iCs/>
          <w:sz w:val="20"/>
          <w:szCs w:val="20"/>
          <w:lang w:val="fr-CA" w:eastAsia="en-CA"/>
        </w:rPr>
        <w:t xml:space="preserve">l’article 1Fa) de la </w:t>
      </w:r>
      <w:r w:rsidRPr="00B746CC">
        <w:rPr>
          <w:rFonts w:eastAsia="Times New Roman" w:cs="Times New Roman"/>
          <w:i/>
          <w:iCs/>
          <w:sz w:val="20"/>
          <w:szCs w:val="20"/>
          <w:lang w:val="fr-CA" w:eastAsia="en-CA"/>
        </w:rPr>
        <w:t>Convention des Nations Unies relative au statut des réfugiés</w:t>
      </w:r>
      <w:r w:rsidRPr="00B746CC">
        <w:rPr>
          <w:rFonts w:eastAsia="Times New Roman" w:cs="Times New Roman"/>
          <w:iCs/>
          <w:sz w:val="20"/>
          <w:szCs w:val="20"/>
          <w:lang w:val="fr-CA" w:eastAsia="en-CA"/>
        </w:rPr>
        <w:t xml:space="preserve"> (la « Convention ») </w:t>
      </w:r>
      <w:r w:rsidRPr="00B746CC">
        <w:rPr>
          <w:rFonts w:eastAsia="Times New Roman" w:cs="Arial"/>
          <w:color w:val="000000"/>
          <w:sz w:val="20"/>
          <w:szCs w:val="20"/>
          <w:lang w:val="fr-CA" w:eastAsia="en-CA"/>
        </w:rPr>
        <w:t>pour cause de complicité par association à des crimes de guerre et à des crimes contre l’humanité commis par la RDC.  La Cour fédérale a accueilli la demande de contrôle judiciaire de l’appelant et a annulé la décision de la Commission au motif que la Commission ne pouvait pas avoir conclu à l’existence de raisons sérieuses de penser que l’appelant avait commis les crimes en cause dû aux fonctions diplomatiques qu’il exerçait.  La Cour d’appel fédérale a accueilli l’appel, concluant que le critère de complicité énoncé par le tribunal d’instance inférieure était incompatible, entre autres, avec la jurisprudence de la Cour d’appel fédérale.</w:t>
      </w: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B746CC">
      <w:pPr>
        <w:widowControl w:val="0"/>
        <w:jc w:val="both"/>
        <w:rPr>
          <w:rFonts w:eastAsia="Times New Roman" w:cs="Times New Roman"/>
          <w:sz w:val="20"/>
          <w:szCs w:val="20"/>
          <w:lang w:val="fr-CA" w:eastAsia="en-CA"/>
        </w:rPr>
      </w:pPr>
    </w:p>
    <w:p w:rsidR="00B746CC" w:rsidRPr="00B746CC" w:rsidRDefault="00B746CC" w:rsidP="00192A54">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Origine :</w:t>
      </w:r>
      <w:r w:rsidRPr="00B746CC">
        <w:rPr>
          <w:rFonts w:eastAsia="Times New Roman" w:cs="Times New Roman"/>
          <w:sz w:val="20"/>
          <w:szCs w:val="20"/>
          <w:lang w:val="fr-CA" w:eastAsia="en-CA"/>
        </w:rPr>
        <w:tab/>
        <w:t>Cour d’appel fédérale</w:t>
      </w:r>
    </w:p>
    <w:p w:rsidR="00B746CC" w:rsidRPr="00B746CC" w:rsidRDefault="00B746CC" w:rsidP="00192A54">
      <w:pPr>
        <w:widowControl w:val="0"/>
        <w:ind w:left="2880" w:hanging="2880"/>
        <w:jc w:val="both"/>
        <w:rPr>
          <w:rFonts w:eastAsia="Times New Roman" w:cs="Times New Roman"/>
          <w:sz w:val="20"/>
          <w:szCs w:val="20"/>
          <w:lang w:val="fr-CA" w:eastAsia="en-CA"/>
        </w:rPr>
      </w:pPr>
    </w:p>
    <w:p w:rsidR="00B746CC" w:rsidRPr="00B746CC" w:rsidRDefault="00B746CC" w:rsidP="00192A54">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N</w:t>
      </w:r>
      <w:r w:rsidRPr="00B746CC">
        <w:rPr>
          <w:rFonts w:eastAsia="Times New Roman" w:cs="Times New Roman"/>
          <w:sz w:val="20"/>
          <w:szCs w:val="20"/>
          <w:vertAlign w:val="superscript"/>
          <w:lang w:val="fr-CA" w:eastAsia="en-CA"/>
        </w:rPr>
        <w:t>o</w:t>
      </w:r>
      <w:r w:rsidRPr="00B746CC">
        <w:rPr>
          <w:rFonts w:eastAsia="Times New Roman" w:cs="Times New Roman"/>
          <w:sz w:val="20"/>
          <w:szCs w:val="20"/>
          <w:lang w:val="fr-CA" w:eastAsia="en-CA"/>
        </w:rPr>
        <w:t xml:space="preserve"> du greffe :</w:t>
      </w:r>
      <w:r w:rsidRPr="00B746CC">
        <w:rPr>
          <w:rFonts w:eastAsia="Times New Roman" w:cs="Times New Roman"/>
          <w:sz w:val="20"/>
          <w:szCs w:val="20"/>
          <w:lang w:val="fr-CA" w:eastAsia="en-CA"/>
        </w:rPr>
        <w:tab/>
        <w:t>34470</w:t>
      </w:r>
    </w:p>
    <w:p w:rsidR="00B746CC" w:rsidRPr="00B746CC" w:rsidRDefault="00B746CC" w:rsidP="00192A54">
      <w:pPr>
        <w:widowControl w:val="0"/>
        <w:ind w:left="2880" w:hanging="2880"/>
        <w:jc w:val="both"/>
        <w:rPr>
          <w:rFonts w:eastAsia="Times New Roman" w:cs="Times New Roman"/>
          <w:sz w:val="20"/>
          <w:szCs w:val="20"/>
          <w:lang w:val="fr-CA" w:eastAsia="en-CA"/>
        </w:rPr>
      </w:pPr>
    </w:p>
    <w:p w:rsidR="00B746CC" w:rsidRPr="00B746CC" w:rsidRDefault="00B746CC" w:rsidP="00192A54">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fr-CA" w:eastAsia="en-CA"/>
        </w:rPr>
        <w:t>Arrêt de la Cour d’appel :</w:t>
      </w:r>
      <w:r w:rsidRPr="00B746CC">
        <w:rPr>
          <w:rFonts w:eastAsia="Times New Roman" w:cs="Times New Roman"/>
          <w:sz w:val="20"/>
          <w:szCs w:val="20"/>
          <w:lang w:val="fr-CA" w:eastAsia="en-CA"/>
        </w:rPr>
        <w:tab/>
        <w:t>le 15 juillet 2011</w:t>
      </w:r>
    </w:p>
    <w:p w:rsidR="00B746CC" w:rsidRPr="00B746CC" w:rsidRDefault="00B746CC" w:rsidP="00192A54">
      <w:pPr>
        <w:widowControl w:val="0"/>
        <w:ind w:left="2880" w:hanging="2880"/>
        <w:jc w:val="both"/>
        <w:rPr>
          <w:rFonts w:eastAsia="Times New Roman" w:cs="Times New Roman"/>
          <w:sz w:val="20"/>
          <w:szCs w:val="20"/>
          <w:lang w:val="fr-CA" w:eastAsia="en-CA"/>
        </w:rPr>
      </w:pPr>
    </w:p>
    <w:p w:rsidR="00B746CC" w:rsidRPr="00B746CC" w:rsidRDefault="00B746CC" w:rsidP="00192A54">
      <w:pPr>
        <w:widowControl w:val="0"/>
        <w:ind w:left="2880" w:hanging="2880"/>
        <w:jc w:val="both"/>
        <w:rPr>
          <w:rFonts w:eastAsia="Times New Roman" w:cs="Times New Roman"/>
          <w:sz w:val="20"/>
          <w:szCs w:val="20"/>
          <w:lang w:val="en-US" w:eastAsia="en-CA"/>
        </w:rPr>
      </w:pPr>
      <w:proofErr w:type="spellStart"/>
      <w:proofErr w:type="gramStart"/>
      <w:r w:rsidRPr="00B746CC">
        <w:rPr>
          <w:rFonts w:eastAsia="Times New Roman" w:cs="Times New Roman"/>
          <w:sz w:val="20"/>
          <w:szCs w:val="20"/>
          <w:lang w:val="en-US" w:eastAsia="en-CA"/>
        </w:rPr>
        <w:t>Avocats</w:t>
      </w:r>
      <w:proofErr w:type="spellEnd"/>
      <w:r w:rsidRPr="00B746CC">
        <w:rPr>
          <w:rFonts w:eastAsia="Times New Roman" w:cs="Times New Roman"/>
          <w:sz w:val="20"/>
          <w:szCs w:val="20"/>
          <w:lang w:val="en-US" w:eastAsia="en-CA"/>
        </w:rPr>
        <w:t> :</w:t>
      </w:r>
      <w:proofErr w:type="gramEnd"/>
      <w:r w:rsidRPr="00B746CC">
        <w:rPr>
          <w:rFonts w:eastAsia="Times New Roman" w:cs="Times New Roman"/>
          <w:sz w:val="20"/>
          <w:szCs w:val="20"/>
          <w:lang w:val="en-US" w:eastAsia="en-CA"/>
        </w:rPr>
        <w:tab/>
      </w:r>
      <w:proofErr w:type="spellStart"/>
      <w:r w:rsidRPr="00B746CC">
        <w:rPr>
          <w:rFonts w:eastAsia="Times New Roman" w:cs="Times New Roman"/>
          <w:sz w:val="20"/>
          <w:szCs w:val="20"/>
          <w:lang w:val="en-US" w:eastAsia="en-CA"/>
        </w:rPr>
        <w:t>Annick</w:t>
      </w:r>
      <w:proofErr w:type="spellEnd"/>
      <w:r w:rsidRPr="00B746CC">
        <w:rPr>
          <w:rFonts w:eastAsia="Times New Roman" w:cs="Times New Roman"/>
          <w:sz w:val="20"/>
          <w:szCs w:val="20"/>
          <w:lang w:val="en-US" w:eastAsia="en-CA"/>
        </w:rPr>
        <w:t xml:space="preserve"> Legault, Jared Will </w:t>
      </w:r>
      <w:proofErr w:type="spellStart"/>
      <w:r w:rsidRPr="00B746CC">
        <w:rPr>
          <w:rFonts w:eastAsia="Times New Roman" w:cs="Times New Roman"/>
          <w:sz w:val="20"/>
          <w:szCs w:val="20"/>
          <w:lang w:val="en-US" w:eastAsia="en-CA"/>
        </w:rPr>
        <w:t>et</w:t>
      </w:r>
      <w:proofErr w:type="spellEnd"/>
      <w:r w:rsidRPr="00B746CC">
        <w:rPr>
          <w:rFonts w:eastAsia="Times New Roman" w:cs="Times New Roman"/>
          <w:sz w:val="20"/>
          <w:szCs w:val="20"/>
          <w:lang w:val="en-US" w:eastAsia="en-CA"/>
        </w:rPr>
        <w:t xml:space="preserve"> Peter Shams pour </w:t>
      </w:r>
      <w:proofErr w:type="spellStart"/>
      <w:r w:rsidRPr="00B746CC">
        <w:rPr>
          <w:rFonts w:eastAsia="Times New Roman" w:cs="Times New Roman"/>
          <w:sz w:val="20"/>
          <w:szCs w:val="20"/>
          <w:lang w:val="en-US" w:eastAsia="en-CA"/>
        </w:rPr>
        <w:t>l’appelant</w:t>
      </w:r>
      <w:proofErr w:type="spellEnd"/>
    </w:p>
    <w:p w:rsidR="00B746CC" w:rsidRPr="00B746CC" w:rsidRDefault="00B746CC" w:rsidP="00192A54">
      <w:pPr>
        <w:widowControl w:val="0"/>
        <w:ind w:left="2880" w:hanging="2880"/>
        <w:jc w:val="both"/>
        <w:rPr>
          <w:rFonts w:eastAsia="Times New Roman" w:cs="Times New Roman"/>
          <w:sz w:val="20"/>
          <w:szCs w:val="20"/>
          <w:lang w:val="fr-CA" w:eastAsia="en-CA"/>
        </w:rPr>
      </w:pPr>
      <w:r w:rsidRPr="00B746CC">
        <w:rPr>
          <w:rFonts w:eastAsia="Times New Roman" w:cs="Times New Roman"/>
          <w:sz w:val="20"/>
          <w:szCs w:val="20"/>
          <w:lang w:val="en-US" w:eastAsia="en-CA"/>
        </w:rPr>
        <w:tab/>
      </w:r>
      <w:r w:rsidRPr="00B746CC">
        <w:rPr>
          <w:rFonts w:eastAsia="Times New Roman" w:cs="Times New Roman"/>
          <w:sz w:val="20"/>
          <w:szCs w:val="20"/>
          <w:lang w:val="fr-CA" w:eastAsia="en-CA"/>
        </w:rPr>
        <w:t xml:space="preserve">François </w:t>
      </w:r>
      <w:proofErr w:type="spellStart"/>
      <w:r w:rsidRPr="00B746CC">
        <w:rPr>
          <w:rFonts w:eastAsia="Times New Roman" w:cs="Times New Roman"/>
          <w:sz w:val="20"/>
          <w:szCs w:val="20"/>
          <w:lang w:val="fr-CA" w:eastAsia="en-CA"/>
        </w:rPr>
        <w:t>Joyal</w:t>
      </w:r>
      <w:proofErr w:type="spellEnd"/>
      <w:r w:rsidRPr="00B746CC">
        <w:rPr>
          <w:rFonts w:eastAsia="Times New Roman" w:cs="Times New Roman"/>
          <w:sz w:val="20"/>
          <w:szCs w:val="20"/>
          <w:lang w:val="fr-CA" w:eastAsia="en-CA"/>
        </w:rPr>
        <w:t xml:space="preserve"> et Ginette </w:t>
      </w:r>
      <w:proofErr w:type="spellStart"/>
      <w:r w:rsidRPr="00B746CC">
        <w:rPr>
          <w:rFonts w:eastAsia="Times New Roman" w:cs="Times New Roman"/>
          <w:sz w:val="20"/>
          <w:szCs w:val="20"/>
          <w:lang w:val="fr-CA" w:eastAsia="en-CA"/>
        </w:rPr>
        <w:t>Gobeil</w:t>
      </w:r>
      <w:proofErr w:type="spellEnd"/>
      <w:r w:rsidRPr="00B746CC">
        <w:rPr>
          <w:rFonts w:eastAsia="Times New Roman" w:cs="Times New Roman"/>
          <w:sz w:val="20"/>
          <w:szCs w:val="20"/>
          <w:lang w:val="fr-CA" w:eastAsia="en-CA"/>
        </w:rPr>
        <w:t xml:space="preserve"> pour l’intimé</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59"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763049" w:rsidRPr="00A84FF8" w:rsidRDefault="007F0A1D" w:rsidP="00763049">
      <w:pPr>
        <w:widowControl w:val="0"/>
        <w:ind w:left="720" w:hanging="720"/>
        <w:jc w:val="both"/>
        <w:rPr>
          <w:sz w:val="20"/>
          <w:szCs w:val="20"/>
        </w:rPr>
      </w:pPr>
      <w:r w:rsidRPr="00A84FF8">
        <w:rPr>
          <w:b/>
          <w:sz w:val="20"/>
          <w:szCs w:val="20"/>
        </w:rPr>
        <w:lastRenderedPageBreak/>
        <w:fldChar w:fldCharType="begin"/>
      </w:r>
      <w:r w:rsidR="00763049" w:rsidRPr="00A84FF8">
        <w:rPr>
          <w:b/>
          <w:sz w:val="20"/>
          <w:szCs w:val="20"/>
        </w:rPr>
        <w:instrText xml:space="preserve"> SEQ CHAPTER \h \r 1</w:instrText>
      </w:r>
      <w:r w:rsidRPr="00A84FF8">
        <w:rPr>
          <w:b/>
          <w:sz w:val="20"/>
          <w:szCs w:val="20"/>
        </w:rPr>
        <w:fldChar w:fldCharType="end"/>
      </w:r>
      <w:proofErr w:type="gramStart"/>
      <w:r w:rsidR="00763049" w:rsidRPr="00A84FF8">
        <w:rPr>
          <w:b/>
          <w:sz w:val="20"/>
          <w:szCs w:val="20"/>
        </w:rPr>
        <w:t>34897</w:t>
      </w:r>
      <w:r w:rsidR="00763049" w:rsidRPr="00A84FF8">
        <w:rPr>
          <w:sz w:val="20"/>
          <w:szCs w:val="20"/>
        </w:rPr>
        <w:tab/>
      </w:r>
      <w:r w:rsidR="00763049" w:rsidRPr="00A84FF8">
        <w:rPr>
          <w:b/>
          <w:i/>
          <w:sz w:val="20"/>
          <w:szCs w:val="20"/>
        </w:rPr>
        <w:t xml:space="preserve">Hoang </w:t>
      </w:r>
      <w:proofErr w:type="spellStart"/>
      <w:r w:rsidR="00763049" w:rsidRPr="00A84FF8">
        <w:rPr>
          <w:b/>
          <w:i/>
          <w:sz w:val="20"/>
          <w:szCs w:val="20"/>
        </w:rPr>
        <w:t>Anh</w:t>
      </w:r>
      <w:proofErr w:type="spellEnd"/>
      <w:r w:rsidR="00763049" w:rsidRPr="00A84FF8">
        <w:rPr>
          <w:b/>
          <w:i/>
          <w:sz w:val="20"/>
          <w:szCs w:val="20"/>
        </w:rPr>
        <w:t xml:space="preserve"> Pham v.</w:t>
      </w:r>
      <w:proofErr w:type="gramEnd"/>
      <w:r w:rsidR="00763049" w:rsidRPr="00A84FF8">
        <w:rPr>
          <w:b/>
          <w:i/>
          <w:sz w:val="20"/>
          <w:szCs w:val="20"/>
        </w:rPr>
        <w:t xml:space="preserve"> Her Majesty the Queen</w:t>
      </w:r>
    </w:p>
    <w:p w:rsidR="00763049" w:rsidRPr="00A84FF8" w:rsidRDefault="00763049" w:rsidP="00763049">
      <w:pPr>
        <w:widowControl w:val="0"/>
        <w:jc w:val="both"/>
        <w:rPr>
          <w:sz w:val="20"/>
          <w:szCs w:val="20"/>
        </w:rPr>
      </w:pPr>
    </w:p>
    <w:p w:rsidR="00763049" w:rsidRPr="00A84FF8" w:rsidRDefault="00763049" w:rsidP="00763049">
      <w:pPr>
        <w:widowControl w:val="0"/>
        <w:jc w:val="both"/>
        <w:rPr>
          <w:sz w:val="20"/>
          <w:szCs w:val="20"/>
        </w:rPr>
      </w:pPr>
      <w:r w:rsidRPr="00A84FF8">
        <w:rPr>
          <w:sz w:val="20"/>
          <w:szCs w:val="20"/>
        </w:rPr>
        <w:t xml:space="preserve">Criminal law </w:t>
      </w:r>
      <w:r w:rsidRPr="00A84FF8">
        <w:rPr>
          <w:sz w:val="20"/>
          <w:szCs w:val="20"/>
        </w:rPr>
        <w:noBreakHyphen/>
        <w:t xml:space="preserve"> Sentencing </w:t>
      </w:r>
      <w:r w:rsidRPr="00A84FF8">
        <w:rPr>
          <w:sz w:val="20"/>
          <w:szCs w:val="20"/>
        </w:rPr>
        <w:noBreakHyphen/>
        <w:t xml:space="preserve"> Considerations </w:t>
      </w:r>
      <w:r w:rsidRPr="00A84FF8">
        <w:rPr>
          <w:sz w:val="20"/>
          <w:szCs w:val="20"/>
        </w:rPr>
        <w:noBreakHyphen/>
        <w:t xml:space="preserve"> </w:t>
      </w:r>
      <w:r w:rsidRPr="00A84FF8">
        <w:rPr>
          <w:i/>
          <w:sz w:val="20"/>
          <w:szCs w:val="20"/>
        </w:rPr>
        <w:t>Immigration and Refugee Protection Act</w:t>
      </w:r>
      <w:r w:rsidRPr="00A84FF8">
        <w:rPr>
          <w:sz w:val="20"/>
          <w:szCs w:val="20"/>
        </w:rPr>
        <w:t xml:space="preserve">, S.C. 2001, c. 27, s. 64 </w:t>
      </w:r>
      <w:r w:rsidRPr="00A84FF8">
        <w:rPr>
          <w:sz w:val="20"/>
          <w:szCs w:val="20"/>
        </w:rPr>
        <w:noBreakHyphen/>
        <w:t xml:space="preserve"> How should a criminal or appellate court consider the unintended or collateral consequences of a criminal sentence, particularly consequences relating to the immigration status of an offender? </w:t>
      </w:r>
      <w:r w:rsidRPr="00A84FF8">
        <w:rPr>
          <w:sz w:val="20"/>
          <w:szCs w:val="20"/>
        </w:rPr>
        <w:noBreakHyphen/>
        <w:t xml:space="preserve"> Whether the Court of Appeal erred in principle by refusing to vary the appellant’s sentence by one day in order to preserve his right to appeal an immigration deportation order. </w:t>
      </w:r>
    </w:p>
    <w:p w:rsidR="00763049" w:rsidRPr="00A84FF8" w:rsidRDefault="00763049" w:rsidP="00763049">
      <w:pPr>
        <w:widowControl w:val="0"/>
        <w:jc w:val="both"/>
        <w:rPr>
          <w:sz w:val="20"/>
          <w:szCs w:val="20"/>
        </w:rPr>
      </w:pPr>
    </w:p>
    <w:p w:rsidR="00763049" w:rsidRPr="00A84FF8" w:rsidRDefault="00763049" w:rsidP="00763049">
      <w:pPr>
        <w:widowControl w:val="0"/>
        <w:jc w:val="both"/>
        <w:rPr>
          <w:sz w:val="20"/>
          <w:szCs w:val="20"/>
        </w:rPr>
      </w:pPr>
      <w:r w:rsidRPr="00A84FF8">
        <w:rPr>
          <w:sz w:val="20"/>
          <w:szCs w:val="20"/>
        </w:rPr>
        <w:t xml:space="preserve">Under s. 64 of the </w:t>
      </w:r>
      <w:r w:rsidRPr="00A84FF8">
        <w:rPr>
          <w:i/>
          <w:sz w:val="20"/>
          <w:szCs w:val="20"/>
        </w:rPr>
        <w:t xml:space="preserve">Immigration and Refugee Protection Act </w:t>
      </w:r>
      <w:r w:rsidRPr="00A84FF8">
        <w:rPr>
          <w:sz w:val="20"/>
          <w:szCs w:val="20"/>
        </w:rPr>
        <w:t>(“</w:t>
      </w:r>
      <w:r w:rsidRPr="00A84FF8">
        <w:rPr>
          <w:i/>
          <w:sz w:val="20"/>
          <w:szCs w:val="20"/>
        </w:rPr>
        <w:t>IRPA</w:t>
      </w:r>
      <w:r w:rsidRPr="00A84FF8">
        <w:rPr>
          <w:sz w:val="20"/>
          <w:szCs w:val="20"/>
        </w:rPr>
        <w:t>”), a non</w:t>
      </w:r>
      <w:r w:rsidRPr="00A84FF8">
        <w:rPr>
          <w:sz w:val="20"/>
          <w:szCs w:val="20"/>
        </w:rPr>
        <w:noBreakHyphen/>
      </w:r>
      <w:proofErr w:type="spellStart"/>
      <w:r w:rsidRPr="00A84FF8">
        <w:rPr>
          <w:sz w:val="20"/>
          <w:szCs w:val="20"/>
        </w:rPr>
        <w:t>citizen</w:t>
      </w:r>
      <w:proofErr w:type="spellEnd"/>
      <w:r w:rsidRPr="00A84FF8">
        <w:rPr>
          <w:sz w:val="20"/>
          <w:szCs w:val="20"/>
        </w:rPr>
        <w:t xml:space="preserve"> loses his right to appeal a removal order if he has been, among other things, convicted of a crime for which he has been sentenced to a term of imprisonment of at least two years.  The appellant is a Vietnamese citizen who came to Canada under the sponsorship of his father.  He was convicted of producing and possessing marihuana for the purposes of trafficking.  Pursuant to a joint submission on sentence, he was sentenced to 2 years’ imprisonment.  Despite the joint submission, the appellant appealed, arguing that the consequences of the sentence with respect to the </w:t>
      </w:r>
      <w:r w:rsidRPr="00A84FF8">
        <w:rPr>
          <w:i/>
          <w:sz w:val="20"/>
          <w:szCs w:val="20"/>
        </w:rPr>
        <w:t xml:space="preserve">IRPA </w:t>
      </w:r>
      <w:r w:rsidRPr="00A84FF8">
        <w:rPr>
          <w:sz w:val="20"/>
          <w:szCs w:val="20"/>
        </w:rPr>
        <w:t xml:space="preserve">ought to have triggered a reduced sentence.  The Crown consented to the reduction.  The majority of the Court of Appeal dismissed the appeal.  In its view, the particular circumstances of this case, and in particular, the appellant’s prior convictions, did not warrant varying the sentence or undermining the provisions of the </w:t>
      </w:r>
      <w:r w:rsidRPr="00A84FF8">
        <w:rPr>
          <w:i/>
          <w:sz w:val="20"/>
          <w:szCs w:val="20"/>
        </w:rPr>
        <w:t>IRPA</w:t>
      </w:r>
      <w:r w:rsidRPr="00A84FF8">
        <w:rPr>
          <w:sz w:val="20"/>
          <w:szCs w:val="20"/>
        </w:rPr>
        <w:t>.  Martin J.A., dissenting, would have allowed the appeal solely on the basis of the Crown’s consent which, in his view, was given on the assumption that the sentencing judge would have agreed to the reduction had counsel been aware of the collateral consequence flowing from a two</w:t>
      </w:r>
      <w:r w:rsidRPr="00A84FF8">
        <w:rPr>
          <w:sz w:val="20"/>
          <w:szCs w:val="20"/>
        </w:rPr>
        <w:noBreakHyphen/>
        <w:t>year sentence.  He cautioned, however, that this relief is not automatic and that had it not been for the Crown’s concession based on fairness, the appellant would not have qualified for such relief.</w:t>
      </w:r>
    </w:p>
    <w:p w:rsidR="00763049" w:rsidRPr="00A84FF8" w:rsidRDefault="00763049" w:rsidP="00763049">
      <w:pPr>
        <w:widowControl w:val="0"/>
        <w:jc w:val="both"/>
        <w:rPr>
          <w:sz w:val="20"/>
          <w:szCs w:val="20"/>
        </w:rPr>
      </w:pPr>
    </w:p>
    <w:p w:rsidR="00763049" w:rsidRPr="00A84FF8" w:rsidRDefault="00763049" w:rsidP="00763049">
      <w:pPr>
        <w:widowControl w:val="0"/>
        <w:jc w:val="both"/>
        <w:rPr>
          <w:sz w:val="20"/>
          <w:szCs w:val="20"/>
        </w:rPr>
      </w:pPr>
    </w:p>
    <w:p w:rsidR="00763049" w:rsidRPr="00A84FF8" w:rsidRDefault="00763049" w:rsidP="00763049">
      <w:pPr>
        <w:widowControl w:val="0"/>
        <w:ind w:left="2880" w:hanging="2880"/>
        <w:jc w:val="both"/>
        <w:rPr>
          <w:sz w:val="20"/>
          <w:szCs w:val="20"/>
        </w:rPr>
      </w:pPr>
      <w:r w:rsidRPr="00A84FF8">
        <w:rPr>
          <w:sz w:val="20"/>
          <w:szCs w:val="20"/>
        </w:rPr>
        <w:t>Origin of the case:</w:t>
      </w:r>
      <w:r w:rsidRPr="00A84FF8">
        <w:rPr>
          <w:sz w:val="20"/>
          <w:szCs w:val="20"/>
        </w:rPr>
        <w:tab/>
        <w:t>Alberta</w:t>
      </w:r>
    </w:p>
    <w:p w:rsidR="00763049" w:rsidRPr="00A84FF8" w:rsidRDefault="00763049" w:rsidP="00763049">
      <w:pPr>
        <w:widowControl w:val="0"/>
        <w:ind w:left="2880" w:hanging="2880"/>
        <w:jc w:val="both"/>
        <w:rPr>
          <w:sz w:val="20"/>
          <w:szCs w:val="20"/>
        </w:rPr>
      </w:pPr>
    </w:p>
    <w:p w:rsidR="00763049" w:rsidRPr="00A84FF8" w:rsidRDefault="00763049" w:rsidP="00763049">
      <w:pPr>
        <w:widowControl w:val="0"/>
        <w:ind w:left="2880" w:hanging="2880"/>
        <w:jc w:val="both"/>
        <w:rPr>
          <w:sz w:val="20"/>
          <w:szCs w:val="20"/>
        </w:rPr>
      </w:pPr>
      <w:r w:rsidRPr="00A84FF8">
        <w:rPr>
          <w:sz w:val="20"/>
          <w:szCs w:val="20"/>
        </w:rPr>
        <w:t>File No.:</w:t>
      </w:r>
      <w:r w:rsidRPr="00A84FF8">
        <w:rPr>
          <w:sz w:val="20"/>
          <w:szCs w:val="20"/>
        </w:rPr>
        <w:tab/>
        <w:t>34897</w:t>
      </w:r>
    </w:p>
    <w:p w:rsidR="00763049" w:rsidRPr="00A84FF8" w:rsidRDefault="00763049" w:rsidP="00763049">
      <w:pPr>
        <w:widowControl w:val="0"/>
        <w:ind w:left="2880" w:hanging="2880"/>
        <w:jc w:val="both"/>
        <w:rPr>
          <w:sz w:val="20"/>
          <w:szCs w:val="20"/>
        </w:rPr>
      </w:pPr>
    </w:p>
    <w:p w:rsidR="00763049" w:rsidRPr="00A84FF8" w:rsidRDefault="00763049" w:rsidP="00763049">
      <w:pPr>
        <w:widowControl w:val="0"/>
        <w:ind w:left="2880" w:hanging="2880"/>
        <w:jc w:val="both"/>
        <w:rPr>
          <w:sz w:val="20"/>
          <w:szCs w:val="20"/>
        </w:rPr>
      </w:pPr>
      <w:r w:rsidRPr="00A84FF8">
        <w:rPr>
          <w:sz w:val="20"/>
          <w:szCs w:val="20"/>
        </w:rPr>
        <w:t>Judgment of the Court of Appeal:</w:t>
      </w:r>
      <w:r w:rsidRPr="00A84FF8">
        <w:rPr>
          <w:sz w:val="20"/>
          <w:szCs w:val="20"/>
        </w:rPr>
        <w:tab/>
        <w:t>June 28, 2012</w:t>
      </w:r>
    </w:p>
    <w:p w:rsidR="00763049" w:rsidRPr="00A84FF8" w:rsidRDefault="00763049" w:rsidP="00763049">
      <w:pPr>
        <w:widowControl w:val="0"/>
        <w:ind w:left="2880" w:hanging="2880"/>
        <w:jc w:val="both"/>
        <w:rPr>
          <w:sz w:val="20"/>
          <w:szCs w:val="20"/>
        </w:rPr>
      </w:pPr>
    </w:p>
    <w:p w:rsidR="00763049" w:rsidRPr="00A84FF8" w:rsidRDefault="00763049" w:rsidP="00763049">
      <w:pPr>
        <w:widowControl w:val="0"/>
        <w:ind w:left="2880" w:hanging="2880"/>
        <w:jc w:val="both"/>
        <w:rPr>
          <w:sz w:val="20"/>
          <w:szCs w:val="20"/>
        </w:rPr>
      </w:pPr>
      <w:r w:rsidRPr="00A84FF8">
        <w:rPr>
          <w:sz w:val="20"/>
          <w:szCs w:val="20"/>
        </w:rPr>
        <w:t>Counsel:</w:t>
      </w:r>
      <w:r w:rsidRPr="00A84FF8">
        <w:rPr>
          <w:sz w:val="20"/>
          <w:szCs w:val="20"/>
        </w:rPr>
        <w:tab/>
        <w:t xml:space="preserve">Erika </w:t>
      </w:r>
      <w:proofErr w:type="spellStart"/>
      <w:r w:rsidRPr="00A84FF8">
        <w:rPr>
          <w:sz w:val="20"/>
          <w:szCs w:val="20"/>
        </w:rPr>
        <w:t>Chozik</w:t>
      </w:r>
      <w:proofErr w:type="spellEnd"/>
      <w:r w:rsidRPr="00A84FF8">
        <w:rPr>
          <w:sz w:val="20"/>
          <w:szCs w:val="20"/>
        </w:rPr>
        <w:t xml:space="preserve"> and Alias Sanders for the appellant</w:t>
      </w:r>
    </w:p>
    <w:p w:rsidR="00763049" w:rsidRPr="00A84FF8" w:rsidRDefault="00763049" w:rsidP="00763049">
      <w:pPr>
        <w:widowControl w:val="0"/>
        <w:ind w:left="2880" w:hanging="2880"/>
        <w:jc w:val="both"/>
        <w:rPr>
          <w:sz w:val="20"/>
          <w:szCs w:val="20"/>
        </w:rPr>
      </w:pPr>
      <w:r w:rsidRPr="00A84FF8">
        <w:rPr>
          <w:sz w:val="20"/>
          <w:szCs w:val="20"/>
        </w:rPr>
        <w:tab/>
        <w:t xml:space="preserve">Ronald C. </w:t>
      </w:r>
      <w:proofErr w:type="spellStart"/>
      <w:r w:rsidRPr="00A84FF8">
        <w:rPr>
          <w:sz w:val="20"/>
          <w:szCs w:val="20"/>
        </w:rPr>
        <w:t>Reimber</w:t>
      </w:r>
      <w:proofErr w:type="spellEnd"/>
      <w:r w:rsidRPr="00A84FF8">
        <w:rPr>
          <w:sz w:val="20"/>
          <w:szCs w:val="20"/>
        </w:rPr>
        <w:t xml:space="preserve"> and Donna </w:t>
      </w:r>
      <w:proofErr w:type="spellStart"/>
      <w:r w:rsidRPr="00A84FF8">
        <w:rPr>
          <w:sz w:val="20"/>
          <w:szCs w:val="20"/>
        </w:rPr>
        <w:t>Spaner</w:t>
      </w:r>
      <w:proofErr w:type="spellEnd"/>
      <w:r w:rsidRPr="00A84FF8">
        <w:rPr>
          <w:sz w:val="20"/>
          <w:szCs w:val="20"/>
        </w:rPr>
        <w:t xml:space="preserve"> for the respondent</w:t>
      </w:r>
    </w:p>
    <w:p w:rsidR="00602152" w:rsidRPr="00763049"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0"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763049" w:rsidRPr="00763049" w:rsidRDefault="007F0A1D" w:rsidP="00763049">
      <w:pPr>
        <w:widowControl w:val="0"/>
        <w:ind w:left="720" w:hanging="720"/>
        <w:jc w:val="both"/>
        <w:rPr>
          <w:rFonts w:eastAsia="Times New Roman" w:cs="Times New Roman"/>
          <w:sz w:val="20"/>
          <w:szCs w:val="20"/>
          <w:lang w:val="fr-CA" w:eastAsia="en-CA"/>
        </w:rPr>
      </w:pPr>
      <w:r w:rsidRPr="00763049">
        <w:rPr>
          <w:rFonts w:eastAsia="Times New Roman" w:cs="Times New Roman"/>
          <w:b/>
          <w:sz w:val="20"/>
          <w:szCs w:val="20"/>
          <w:lang w:val="fr-CA" w:eastAsia="en-CA"/>
        </w:rPr>
        <w:lastRenderedPageBreak/>
        <w:fldChar w:fldCharType="begin"/>
      </w:r>
      <w:r w:rsidR="00763049" w:rsidRPr="00763049">
        <w:rPr>
          <w:rFonts w:eastAsia="Times New Roman" w:cs="Times New Roman"/>
          <w:b/>
          <w:sz w:val="20"/>
          <w:szCs w:val="20"/>
          <w:lang w:val="fr-CA" w:eastAsia="en-CA"/>
        </w:rPr>
        <w:instrText xml:space="preserve"> SEQ CHAPTER \h \r 1</w:instrText>
      </w:r>
      <w:r w:rsidRPr="00763049">
        <w:rPr>
          <w:rFonts w:eastAsia="Times New Roman" w:cs="Times New Roman"/>
          <w:b/>
          <w:sz w:val="20"/>
          <w:szCs w:val="20"/>
          <w:lang w:val="fr-CA" w:eastAsia="en-CA"/>
        </w:rPr>
        <w:fldChar w:fldCharType="end"/>
      </w:r>
      <w:r w:rsidR="00763049" w:rsidRPr="00763049">
        <w:rPr>
          <w:rFonts w:eastAsia="Times New Roman" w:cs="Times New Roman"/>
          <w:b/>
          <w:sz w:val="20"/>
          <w:szCs w:val="20"/>
          <w:lang w:val="fr-CA" w:eastAsia="en-CA"/>
        </w:rPr>
        <w:t>34897</w:t>
      </w:r>
      <w:r w:rsidR="00763049" w:rsidRPr="00763049">
        <w:rPr>
          <w:rFonts w:eastAsia="Times New Roman" w:cs="Times New Roman"/>
          <w:sz w:val="20"/>
          <w:szCs w:val="20"/>
          <w:lang w:val="fr-CA" w:eastAsia="en-CA"/>
        </w:rPr>
        <w:tab/>
      </w:r>
      <w:r w:rsidR="00763049" w:rsidRPr="00763049">
        <w:rPr>
          <w:rFonts w:eastAsia="Times New Roman" w:cs="Times New Roman"/>
          <w:b/>
          <w:i/>
          <w:sz w:val="20"/>
          <w:szCs w:val="20"/>
          <w:lang w:val="fr-CA" w:eastAsia="en-CA"/>
        </w:rPr>
        <w:t>Hoang Anh Pham c. Sa Majesté la Reine</w:t>
      </w:r>
    </w:p>
    <w:p w:rsidR="00763049" w:rsidRPr="00763049" w:rsidRDefault="00763049" w:rsidP="00763049">
      <w:pPr>
        <w:widowControl w:val="0"/>
        <w:jc w:val="both"/>
        <w:rPr>
          <w:rFonts w:eastAsia="Times New Roman" w:cs="Times New Roman"/>
          <w:sz w:val="20"/>
          <w:szCs w:val="20"/>
          <w:lang w:val="fr-CA" w:eastAsia="en-CA"/>
        </w:rPr>
      </w:pPr>
    </w:p>
    <w:p w:rsidR="00763049" w:rsidRPr="00763049" w:rsidRDefault="00763049" w:rsidP="00763049">
      <w:pPr>
        <w:widowControl w:val="0"/>
        <w:jc w:val="both"/>
        <w:rPr>
          <w:rFonts w:eastAsia="Times New Roman" w:cs="Times New Roman"/>
          <w:sz w:val="20"/>
          <w:szCs w:val="20"/>
          <w:lang w:val="fr-CA" w:eastAsia="en-CA"/>
        </w:rPr>
      </w:pPr>
      <w:r w:rsidRPr="00763049">
        <w:rPr>
          <w:rFonts w:eastAsia="Times New Roman" w:cs="Times New Roman"/>
          <w:sz w:val="20"/>
          <w:szCs w:val="20"/>
          <w:lang w:val="fr-CA" w:eastAsia="en-CA"/>
        </w:rPr>
        <w:t xml:space="preserve">Droit criminel </w:t>
      </w:r>
      <w:r w:rsidRPr="00763049">
        <w:rPr>
          <w:rFonts w:eastAsia="Times New Roman" w:cs="Times New Roman"/>
          <w:sz w:val="20"/>
          <w:szCs w:val="20"/>
          <w:lang w:val="fr-CA" w:eastAsia="en-CA"/>
        </w:rPr>
        <w:noBreakHyphen/>
        <w:t xml:space="preserve"> Détermination de la peine </w:t>
      </w:r>
      <w:r w:rsidRPr="00763049">
        <w:rPr>
          <w:rFonts w:eastAsia="Times New Roman" w:cs="Times New Roman"/>
          <w:sz w:val="20"/>
          <w:szCs w:val="20"/>
          <w:lang w:val="fr-CA" w:eastAsia="en-CA"/>
        </w:rPr>
        <w:noBreakHyphen/>
        <w:t xml:space="preserve"> Considérations </w:t>
      </w:r>
      <w:r w:rsidRPr="00763049">
        <w:rPr>
          <w:rFonts w:eastAsia="Times New Roman" w:cs="Times New Roman"/>
          <w:sz w:val="20"/>
          <w:szCs w:val="20"/>
          <w:lang w:val="fr-CA" w:eastAsia="en-CA"/>
        </w:rPr>
        <w:noBreakHyphen/>
      </w:r>
      <w:r w:rsidRPr="00763049">
        <w:rPr>
          <w:rFonts w:eastAsia="Times New Roman" w:cs="Times New Roman"/>
          <w:i/>
          <w:sz w:val="20"/>
          <w:szCs w:val="20"/>
          <w:lang w:val="fr-CA" w:eastAsia="en-CA"/>
        </w:rPr>
        <w:t xml:space="preserve"> Loi sur l’immigration et la protection des réfugiés</w:t>
      </w:r>
      <w:r w:rsidRPr="00763049">
        <w:rPr>
          <w:rFonts w:eastAsia="Times New Roman" w:cs="Times New Roman"/>
          <w:sz w:val="20"/>
          <w:szCs w:val="20"/>
          <w:lang w:val="fr-CA" w:eastAsia="en-CA"/>
        </w:rPr>
        <w:t xml:space="preserve">, L.C. 2001, ch. 27, art. 64 </w:t>
      </w:r>
      <w:r w:rsidRPr="00763049">
        <w:rPr>
          <w:rFonts w:eastAsia="Times New Roman" w:cs="Times New Roman"/>
          <w:sz w:val="20"/>
          <w:szCs w:val="20"/>
          <w:lang w:val="fr-CA" w:eastAsia="en-CA"/>
        </w:rPr>
        <w:noBreakHyphen/>
        <w:t xml:space="preserve"> Comment un tribunal criminel ou un tribunal d’appel </w:t>
      </w:r>
      <w:proofErr w:type="spellStart"/>
      <w:r w:rsidRPr="00763049">
        <w:rPr>
          <w:rFonts w:eastAsia="Times New Roman" w:cs="Times New Roman"/>
          <w:sz w:val="20"/>
          <w:szCs w:val="20"/>
          <w:lang w:val="fr-CA" w:eastAsia="en-CA"/>
        </w:rPr>
        <w:t>peut</w:t>
      </w:r>
      <w:r w:rsidRPr="00763049">
        <w:rPr>
          <w:rFonts w:eastAsia="Times New Roman" w:cs="Times New Roman"/>
          <w:sz w:val="20"/>
          <w:szCs w:val="20"/>
          <w:lang w:val="fr-CA" w:eastAsia="en-CA"/>
        </w:rPr>
        <w:noBreakHyphen/>
        <w:t>il</w:t>
      </w:r>
      <w:proofErr w:type="spellEnd"/>
      <w:r w:rsidRPr="00763049">
        <w:rPr>
          <w:rFonts w:eastAsia="Times New Roman" w:cs="Times New Roman"/>
          <w:sz w:val="20"/>
          <w:szCs w:val="20"/>
          <w:lang w:val="fr-CA" w:eastAsia="en-CA"/>
        </w:rPr>
        <w:t xml:space="preserve"> prendre en compte les conséquences non voulues ou accessoires d’une peine, en particulier les conséquences relatives au statut d’immigration du délinquant? </w:t>
      </w:r>
      <w:r w:rsidRPr="00763049">
        <w:rPr>
          <w:rFonts w:eastAsia="Times New Roman" w:cs="Times New Roman"/>
          <w:sz w:val="20"/>
          <w:szCs w:val="20"/>
          <w:lang w:val="fr-CA" w:eastAsia="en-CA"/>
        </w:rPr>
        <w:noBreakHyphen/>
        <w:t xml:space="preserve"> La Cour d’appel </w:t>
      </w:r>
      <w:proofErr w:type="spellStart"/>
      <w:r w:rsidRPr="00763049">
        <w:rPr>
          <w:rFonts w:eastAsia="Times New Roman" w:cs="Times New Roman"/>
          <w:sz w:val="20"/>
          <w:szCs w:val="20"/>
          <w:lang w:val="fr-CA" w:eastAsia="en-CA"/>
        </w:rPr>
        <w:t>a</w:t>
      </w:r>
      <w:r w:rsidRPr="00763049">
        <w:rPr>
          <w:rFonts w:eastAsia="Times New Roman" w:cs="Times New Roman"/>
          <w:sz w:val="20"/>
          <w:szCs w:val="20"/>
          <w:lang w:val="fr-CA" w:eastAsia="en-CA"/>
        </w:rPr>
        <w:noBreakHyphen/>
        <w:t>t</w:t>
      </w:r>
      <w:r w:rsidRPr="00763049">
        <w:rPr>
          <w:rFonts w:eastAsia="Times New Roman" w:cs="Times New Roman"/>
          <w:sz w:val="20"/>
          <w:szCs w:val="20"/>
          <w:lang w:val="fr-CA" w:eastAsia="en-CA"/>
        </w:rPr>
        <w:noBreakHyphen/>
        <w:t>elle</w:t>
      </w:r>
      <w:proofErr w:type="spellEnd"/>
      <w:r w:rsidRPr="00763049">
        <w:rPr>
          <w:rFonts w:eastAsia="Times New Roman" w:cs="Times New Roman"/>
          <w:sz w:val="20"/>
          <w:szCs w:val="20"/>
          <w:lang w:val="fr-CA" w:eastAsia="en-CA"/>
        </w:rPr>
        <w:t xml:space="preserve"> commis une erreur de principe en refusant de modifier la peine de l’appelant d’un jour afin de maintenir son droit d’appel d’une mesure d’expulsion de l’immigration? </w:t>
      </w:r>
    </w:p>
    <w:p w:rsidR="00763049" w:rsidRPr="00763049" w:rsidRDefault="00763049" w:rsidP="00763049">
      <w:pPr>
        <w:widowControl w:val="0"/>
        <w:jc w:val="both"/>
        <w:rPr>
          <w:rFonts w:eastAsia="Times New Roman" w:cs="Times New Roman"/>
          <w:sz w:val="20"/>
          <w:szCs w:val="20"/>
          <w:lang w:val="fr-CA" w:eastAsia="en-CA"/>
        </w:rPr>
      </w:pPr>
    </w:p>
    <w:p w:rsidR="00763049" w:rsidRPr="00763049" w:rsidRDefault="00763049" w:rsidP="00763049">
      <w:pPr>
        <w:widowControl w:val="0"/>
        <w:jc w:val="both"/>
        <w:rPr>
          <w:rFonts w:eastAsia="Times New Roman" w:cs="Times New Roman"/>
          <w:sz w:val="20"/>
          <w:szCs w:val="20"/>
          <w:lang w:val="fr-CA" w:eastAsia="en-CA"/>
        </w:rPr>
      </w:pPr>
      <w:r w:rsidRPr="00763049">
        <w:rPr>
          <w:rFonts w:eastAsia="Times New Roman" w:cs="Times New Roman"/>
          <w:sz w:val="20"/>
          <w:szCs w:val="20"/>
          <w:lang w:val="fr-CA" w:eastAsia="en-CA"/>
        </w:rPr>
        <w:t xml:space="preserve">En vertu de l’art. 64 de la </w:t>
      </w:r>
      <w:r w:rsidRPr="00763049">
        <w:rPr>
          <w:rFonts w:eastAsia="Times New Roman" w:cs="Times New Roman"/>
          <w:i/>
          <w:sz w:val="20"/>
          <w:szCs w:val="20"/>
          <w:lang w:val="fr-CA" w:eastAsia="en-CA"/>
        </w:rPr>
        <w:t>Loi sur l’immigration et la protection des réfugiés</w:t>
      </w:r>
      <w:r w:rsidRPr="00763049">
        <w:rPr>
          <w:rFonts w:eastAsia="Times New Roman" w:cs="Times New Roman"/>
          <w:sz w:val="20"/>
          <w:szCs w:val="20"/>
          <w:lang w:val="fr-CA" w:eastAsia="en-CA"/>
        </w:rPr>
        <w:t xml:space="preserve"> (« </w:t>
      </w:r>
      <w:r w:rsidRPr="00763049">
        <w:rPr>
          <w:rFonts w:eastAsia="Times New Roman" w:cs="Times New Roman"/>
          <w:i/>
          <w:sz w:val="20"/>
          <w:szCs w:val="20"/>
          <w:lang w:val="fr-CA" w:eastAsia="en-CA"/>
        </w:rPr>
        <w:t>LIPR </w:t>
      </w:r>
      <w:r w:rsidRPr="00763049">
        <w:rPr>
          <w:rFonts w:eastAsia="Times New Roman" w:cs="Times New Roman"/>
          <w:sz w:val="20"/>
          <w:szCs w:val="20"/>
          <w:lang w:val="fr-CA" w:eastAsia="en-CA"/>
        </w:rPr>
        <w:t xml:space="preserve">»), un </w:t>
      </w:r>
      <w:proofErr w:type="spellStart"/>
      <w:r w:rsidRPr="00763049">
        <w:rPr>
          <w:rFonts w:eastAsia="Times New Roman" w:cs="Times New Roman"/>
          <w:sz w:val="20"/>
          <w:szCs w:val="20"/>
          <w:lang w:val="fr-CA" w:eastAsia="en-CA"/>
        </w:rPr>
        <w:t>non</w:t>
      </w:r>
      <w:r w:rsidRPr="00763049">
        <w:rPr>
          <w:rFonts w:eastAsia="Times New Roman" w:cs="Times New Roman"/>
          <w:sz w:val="20"/>
          <w:szCs w:val="20"/>
          <w:lang w:val="fr-CA" w:eastAsia="en-CA"/>
        </w:rPr>
        <w:noBreakHyphen/>
        <w:t>citoyen</w:t>
      </w:r>
      <w:proofErr w:type="spellEnd"/>
      <w:r w:rsidRPr="00763049">
        <w:rPr>
          <w:rFonts w:eastAsia="Times New Roman" w:cs="Times New Roman"/>
          <w:sz w:val="20"/>
          <w:szCs w:val="20"/>
          <w:lang w:val="fr-CA" w:eastAsia="en-CA"/>
        </w:rPr>
        <w:t xml:space="preserve"> perd son droit d’appel d’une mesure de renvoi s’il a été, entre autres, déclaré coupable d’un crime pour lequel il a été condamné à une peine d’emprisonnement d’au moins deux ans.  L’appelant, un citoyen vietnamien, est arrivé au Canada sous le parrainage de son père.  Il a été déclaré coupable de production et de possession de marijuana aux fins d’en faire le trafic.  À la suite d’observations conjointes au sujet de la peine, il a été condamné à une peine d’emprisonnement de deux ans.  Malgré les observations conjointes, l’appelant a interjeté appel, plaidant que les conséquences de la peine aux termes de la </w:t>
      </w:r>
      <w:r w:rsidRPr="00763049">
        <w:rPr>
          <w:rFonts w:eastAsia="Times New Roman" w:cs="Times New Roman"/>
          <w:i/>
          <w:sz w:val="20"/>
          <w:szCs w:val="20"/>
          <w:lang w:val="fr-CA" w:eastAsia="en-CA"/>
        </w:rPr>
        <w:t>LIPR</w:t>
      </w:r>
      <w:r w:rsidRPr="00763049">
        <w:rPr>
          <w:rFonts w:eastAsia="Times New Roman" w:cs="Times New Roman"/>
          <w:sz w:val="20"/>
          <w:szCs w:val="20"/>
          <w:lang w:val="fr-CA" w:eastAsia="en-CA"/>
        </w:rPr>
        <w:t xml:space="preserve"> auraient dû donner lieu à une peine réduite.  Le ministère public a consenti à la réduction.  Les juges majoritaires de la Cour d’appel ont rejeté l’appel.  À leur avis, les faits en l’espèce, notamment les condamnations antérieures de l’appelant, ne justifiaient pas une modification de la peine ou le sapement des dispositions de la </w:t>
      </w:r>
      <w:r w:rsidRPr="00763049">
        <w:rPr>
          <w:rFonts w:eastAsia="Times New Roman" w:cs="Times New Roman"/>
          <w:i/>
          <w:sz w:val="20"/>
          <w:szCs w:val="20"/>
          <w:lang w:val="fr-CA" w:eastAsia="en-CA"/>
        </w:rPr>
        <w:t>LIPR</w:t>
      </w:r>
      <w:r w:rsidRPr="00763049">
        <w:rPr>
          <w:rFonts w:eastAsia="Times New Roman" w:cs="Times New Roman"/>
          <w:sz w:val="20"/>
          <w:szCs w:val="20"/>
          <w:lang w:val="fr-CA" w:eastAsia="en-CA"/>
        </w:rPr>
        <w:t>.  Le juge Martin, dissident, aurait accueilli l’appel sur le seul fondement du consentement du ministère public qui, à son avis, a été donné en présumant que le juge qui a déterminé la peine aurait accepté la réduction si les avocats avaient été conscients de la conséquence accessoire d’une peine de deux ans.  Toutefois, il a précisé que ce redressement n’était pas automatique et que n’eût été de la concession du ministère public sur le fondement de l’équité, l’appelant n’aurait pas eu droit à ce redressement.</w:t>
      </w:r>
    </w:p>
    <w:p w:rsidR="00763049" w:rsidRPr="00763049" w:rsidRDefault="00763049" w:rsidP="00763049">
      <w:pPr>
        <w:widowControl w:val="0"/>
        <w:jc w:val="both"/>
        <w:rPr>
          <w:rFonts w:eastAsia="Times New Roman" w:cs="Times New Roman"/>
          <w:sz w:val="20"/>
          <w:szCs w:val="20"/>
          <w:lang w:val="fr-CA" w:eastAsia="en-CA"/>
        </w:rPr>
      </w:pPr>
    </w:p>
    <w:p w:rsidR="00763049" w:rsidRPr="00763049" w:rsidRDefault="00763049" w:rsidP="00763049">
      <w:pPr>
        <w:widowControl w:val="0"/>
        <w:jc w:val="both"/>
        <w:rPr>
          <w:rFonts w:eastAsia="Times New Roman" w:cs="Times New Roman"/>
          <w:sz w:val="20"/>
          <w:szCs w:val="20"/>
          <w:lang w:val="fr-CA" w:eastAsia="en-CA"/>
        </w:rPr>
      </w:pPr>
    </w:p>
    <w:p w:rsidR="00763049" w:rsidRPr="00763049" w:rsidRDefault="00763049" w:rsidP="00763049">
      <w:pPr>
        <w:widowControl w:val="0"/>
        <w:ind w:left="2880" w:hanging="2880"/>
        <w:jc w:val="both"/>
        <w:rPr>
          <w:rFonts w:eastAsia="Times New Roman" w:cs="Times New Roman"/>
          <w:sz w:val="20"/>
          <w:szCs w:val="20"/>
          <w:lang w:val="fr-CA" w:eastAsia="en-CA"/>
        </w:rPr>
      </w:pPr>
      <w:r w:rsidRPr="00763049">
        <w:rPr>
          <w:rFonts w:eastAsia="Times New Roman" w:cs="Times New Roman"/>
          <w:sz w:val="20"/>
          <w:szCs w:val="20"/>
          <w:lang w:val="fr-CA" w:eastAsia="en-CA"/>
        </w:rPr>
        <w:t>Origine :</w:t>
      </w:r>
      <w:r w:rsidRPr="00763049">
        <w:rPr>
          <w:rFonts w:eastAsia="Times New Roman" w:cs="Times New Roman"/>
          <w:sz w:val="20"/>
          <w:szCs w:val="20"/>
          <w:lang w:val="fr-CA" w:eastAsia="en-CA"/>
        </w:rPr>
        <w:tab/>
        <w:t>Alberta</w:t>
      </w:r>
    </w:p>
    <w:p w:rsidR="00763049" w:rsidRPr="00763049" w:rsidRDefault="00763049" w:rsidP="00763049">
      <w:pPr>
        <w:widowControl w:val="0"/>
        <w:ind w:left="2880" w:hanging="2880"/>
        <w:jc w:val="both"/>
        <w:rPr>
          <w:rFonts w:eastAsia="Times New Roman" w:cs="Times New Roman"/>
          <w:sz w:val="20"/>
          <w:szCs w:val="20"/>
          <w:lang w:val="fr-CA" w:eastAsia="en-CA"/>
        </w:rPr>
      </w:pPr>
    </w:p>
    <w:p w:rsidR="00763049" w:rsidRPr="00763049" w:rsidRDefault="00763049" w:rsidP="00763049">
      <w:pPr>
        <w:widowControl w:val="0"/>
        <w:ind w:left="2880" w:hanging="2880"/>
        <w:jc w:val="both"/>
        <w:rPr>
          <w:rFonts w:eastAsia="Times New Roman" w:cs="Times New Roman"/>
          <w:sz w:val="20"/>
          <w:szCs w:val="20"/>
          <w:lang w:val="fr-CA" w:eastAsia="en-CA"/>
        </w:rPr>
      </w:pPr>
      <w:r w:rsidRPr="00763049">
        <w:rPr>
          <w:rFonts w:eastAsia="Times New Roman" w:cs="Times New Roman"/>
          <w:sz w:val="20"/>
          <w:szCs w:val="20"/>
          <w:lang w:val="fr-CA" w:eastAsia="en-CA"/>
        </w:rPr>
        <w:t>N</w:t>
      </w:r>
      <w:r w:rsidRPr="00763049">
        <w:rPr>
          <w:rFonts w:eastAsia="Times New Roman" w:cs="Times New Roman"/>
          <w:sz w:val="20"/>
          <w:szCs w:val="20"/>
          <w:vertAlign w:val="superscript"/>
          <w:lang w:val="fr-CA" w:eastAsia="en-CA"/>
        </w:rPr>
        <w:t>o</w:t>
      </w:r>
      <w:r w:rsidRPr="00763049">
        <w:rPr>
          <w:rFonts w:eastAsia="Times New Roman" w:cs="Times New Roman"/>
          <w:sz w:val="20"/>
          <w:szCs w:val="20"/>
          <w:lang w:val="fr-CA" w:eastAsia="en-CA"/>
        </w:rPr>
        <w:t xml:space="preserve"> du greffe :</w:t>
      </w:r>
      <w:r w:rsidRPr="00763049">
        <w:rPr>
          <w:rFonts w:eastAsia="Times New Roman" w:cs="Times New Roman"/>
          <w:sz w:val="20"/>
          <w:szCs w:val="20"/>
          <w:lang w:val="fr-CA" w:eastAsia="en-CA"/>
        </w:rPr>
        <w:tab/>
        <w:t>34897</w:t>
      </w:r>
    </w:p>
    <w:p w:rsidR="00763049" w:rsidRPr="00763049" w:rsidRDefault="00763049" w:rsidP="00763049">
      <w:pPr>
        <w:widowControl w:val="0"/>
        <w:ind w:left="2880" w:hanging="2880"/>
        <w:jc w:val="both"/>
        <w:rPr>
          <w:rFonts w:eastAsia="Times New Roman" w:cs="Times New Roman"/>
          <w:sz w:val="20"/>
          <w:szCs w:val="20"/>
          <w:lang w:val="fr-CA" w:eastAsia="en-CA"/>
        </w:rPr>
      </w:pPr>
    </w:p>
    <w:p w:rsidR="00763049" w:rsidRPr="00763049" w:rsidRDefault="00763049" w:rsidP="00763049">
      <w:pPr>
        <w:widowControl w:val="0"/>
        <w:ind w:left="2880" w:hanging="2880"/>
        <w:jc w:val="both"/>
        <w:rPr>
          <w:rFonts w:eastAsia="Times New Roman" w:cs="Times New Roman"/>
          <w:sz w:val="20"/>
          <w:szCs w:val="20"/>
          <w:lang w:val="fr-CA" w:eastAsia="en-CA"/>
        </w:rPr>
      </w:pPr>
      <w:r w:rsidRPr="00763049">
        <w:rPr>
          <w:rFonts w:eastAsia="Times New Roman" w:cs="Times New Roman"/>
          <w:sz w:val="20"/>
          <w:szCs w:val="20"/>
          <w:lang w:val="fr-CA" w:eastAsia="en-CA"/>
        </w:rPr>
        <w:t>Arrêt de la Cour d’appel :</w:t>
      </w:r>
      <w:r w:rsidRPr="00763049">
        <w:rPr>
          <w:rFonts w:eastAsia="Times New Roman" w:cs="Times New Roman"/>
          <w:sz w:val="20"/>
          <w:szCs w:val="20"/>
          <w:lang w:val="fr-CA" w:eastAsia="en-CA"/>
        </w:rPr>
        <w:tab/>
        <w:t>le 28 juin 2012</w:t>
      </w:r>
    </w:p>
    <w:p w:rsidR="00763049" w:rsidRPr="00763049" w:rsidRDefault="00763049" w:rsidP="00763049">
      <w:pPr>
        <w:widowControl w:val="0"/>
        <w:ind w:left="2880" w:hanging="2880"/>
        <w:jc w:val="both"/>
        <w:rPr>
          <w:rFonts w:eastAsia="Times New Roman" w:cs="Times New Roman"/>
          <w:sz w:val="20"/>
          <w:szCs w:val="20"/>
          <w:lang w:val="fr-CA" w:eastAsia="en-CA"/>
        </w:rPr>
      </w:pPr>
    </w:p>
    <w:p w:rsidR="00763049" w:rsidRPr="00763049" w:rsidRDefault="00763049" w:rsidP="00763049">
      <w:pPr>
        <w:widowControl w:val="0"/>
        <w:ind w:left="2880" w:hanging="2880"/>
        <w:jc w:val="both"/>
        <w:rPr>
          <w:rFonts w:eastAsia="Times New Roman" w:cs="Times New Roman"/>
          <w:sz w:val="20"/>
          <w:szCs w:val="20"/>
          <w:lang w:val="fr-CA" w:eastAsia="en-CA"/>
        </w:rPr>
      </w:pPr>
      <w:r w:rsidRPr="00763049">
        <w:rPr>
          <w:rFonts w:eastAsia="Times New Roman" w:cs="Times New Roman"/>
          <w:sz w:val="20"/>
          <w:szCs w:val="20"/>
          <w:lang w:val="fr-CA" w:eastAsia="en-CA"/>
        </w:rPr>
        <w:t>Avocats :</w:t>
      </w:r>
      <w:r w:rsidRPr="00763049">
        <w:rPr>
          <w:rFonts w:eastAsia="Times New Roman" w:cs="Times New Roman"/>
          <w:sz w:val="20"/>
          <w:szCs w:val="20"/>
          <w:lang w:val="fr-CA" w:eastAsia="en-CA"/>
        </w:rPr>
        <w:tab/>
        <w:t xml:space="preserve">Erika </w:t>
      </w:r>
      <w:proofErr w:type="spellStart"/>
      <w:r w:rsidRPr="00763049">
        <w:rPr>
          <w:rFonts w:eastAsia="Times New Roman" w:cs="Times New Roman"/>
          <w:sz w:val="20"/>
          <w:szCs w:val="20"/>
          <w:lang w:val="fr-CA" w:eastAsia="en-CA"/>
        </w:rPr>
        <w:t>Chozik</w:t>
      </w:r>
      <w:proofErr w:type="spellEnd"/>
      <w:r w:rsidRPr="00763049">
        <w:rPr>
          <w:rFonts w:eastAsia="Times New Roman" w:cs="Times New Roman"/>
          <w:sz w:val="20"/>
          <w:szCs w:val="20"/>
          <w:lang w:val="fr-CA" w:eastAsia="en-CA"/>
        </w:rPr>
        <w:t xml:space="preserve"> et Alias </w:t>
      </w:r>
      <w:proofErr w:type="spellStart"/>
      <w:r w:rsidRPr="00763049">
        <w:rPr>
          <w:rFonts w:eastAsia="Times New Roman" w:cs="Times New Roman"/>
          <w:sz w:val="20"/>
          <w:szCs w:val="20"/>
          <w:lang w:val="fr-CA" w:eastAsia="en-CA"/>
        </w:rPr>
        <w:t>Sanders</w:t>
      </w:r>
      <w:proofErr w:type="spellEnd"/>
      <w:r w:rsidRPr="00763049">
        <w:rPr>
          <w:rFonts w:eastAsia="Times New Roman" w:cs="Times New Roman"/>
          <w:sz w:val="20"/>
          <w:szCs w:val="20"/>
          <w:lang w:val="fr-CA" w:eastAsia="en-CA"/>
        </w:rPr>
        <w:t xml:space="preserve"> pour l’appelant</w:t>
      </w:r>
    </w:p>
    <w:p w:rsidR="00763049" w:rsidRPr="00763049" w:rsidRDefault="00763049" w:rsidP="00763049">
      <w:pPr>
        <w:widowControl w:val="0"/>
        <w:ind w:left="2880" w:hanging="2880"/>
        <w:jc w:val="both"/>
        <w:rPr>
          <w:rFonts w:eastAsia="Times New Roman" w:cs="Times New Roman"/>
          <w:sz w:val="20"/>
          <w:szCs w:val="20"/>
          <w:lang w:val="fr-CA" w:eastAsia="en-CA"/>
        </w:rPr>
      </w:pPr>
      <w:r w:rsidRPr="00763049">
        <w:rPr>
          <w:rFonts w:eastAsia="Times New Roman" w:cs="Times New Roman"/>
          <w:sz w:val="20"/>
          <w:szCs w:val="20"/>
          <w:lang w:val="fr-CA" w:eastAsia="en-CA"/>
        </w:rPr>
        <w:tab/>
        <w:t xml:space="preserve">Ronald C. </w:t>
      </w:r>
      <w:proofErr w:type="spellStart"/>
      <w:r w:rsidRPr="00763049">
        <w:rPr>
          <w:rFonts w:eastAsia="Times New Roman" w:cs="Times New Roman"/>
          <w:sz w:val="20"/>
          <w:szCs w:val="20"/>
          <w:lang w:val="fr-CA" w:eastAsia="en-CA"/>
        </w:rPr>
        <w:t>Reimber</w:t>
      </w:r>
      <w:proofErr w:type="spellEnd"/>
      <w:r w:rsidRPr="00763049">
        <w:rPr>
          <w:rFonts w:eastAsia="Times New Roman" w:cs="Times New Roman"/>
          <w:sz w:val="20"/>
          <w:szCs w:val="20"/>
          <w:lang w:val="fr-CA" w:eastAsia="en-CA"/>
        </w:rPr>
        <w:t xml:space="preserve"> et Donna </w:t>
      </w:r>
      <w:proofErr w:type="spellStart"/>
      <w:r w:rsidRPr="00763049">
        <w:rPr>
          <w:rFonts w:eastAsia="Times New Roman" w:cs="Times New Roman"/>
          <w:sz w:val="20"/>
          <w:szCs w:val="20"/>
          <w:lang w:val="fr-CA" w:eastAsia="en-CA"/>
        </w:rPr>
        <w:t>Spaner</w:t>
      </w:r>
      <w:proofErr w:type="spellEnd"/>
      <w:r w:rsidRPr="00763049">
        <w:rPr>
          <w:rFonts w:eastAsia="Times New Roman" w:cs="Times New Roman"/>
          <w:sz w:val="20"/>
          <w:szCs w:val="20"/>
          <w:lang w:val="fr-CA" w:eastAsia="en-CA"/>
        </w:rPr>
        <w:t xml:space="preserve"> pour l’intimée</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1"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763049" w:rsidRPr="00763049" w:rsidRDefault="007F0A1D" w:rsidP="00763049">
      <w:pPr>
        <w:widowControl w:val="0"/>
        <w:ind w:left="720" w:hanging="720"/>
        <w:jc w:val="both"/>
        <w:rPr>
          <w:rFonts w:eastAsia="Times New Roman" w:cs="Times New Roman"/>
          <w:sz w:val="20"/>
          <w:szCs w:val="20"/>
          <w:lang w:eastAsia="en-CA"/>
        </w:rPr>
      </w:pPr>
      <w:r w:rsidRPr="007F0A1D">
        <w:rPr>
          <w:rFonts w:eastAsia="Times New Roman" w:cs="Times New Roman"/>
          <w:b/>
          <w:sz w:val="20"/>
          <w:szCs w:val="20"/>
          <w:lang w:eastAsia="en-CA"/>
        </w:rPr>
        <w:lastRenderedPageBreak/>
        <w:fldChar w:fldCharType="begin"/>
      </w:r>
      <w:r w:rsidR="00763049" w:rsidRPr="00763049">
        <w:rPr>
          <w:rFonts w:eastAsia="Times New Roman" w:cs="Times New Roman"/>
          <w:b/>
          <w:sz w:val="20"/>
          <w:szCs w:val="20"/>
          <w:lang w:val="en-US" w:eastAsia="en-CA"/>
        </w:rPr>
        <w:instrText xml:space="preserve"> SEQ CHAPTER \h \r 1</w:instrText>
      </w:r>
      <w:r w:rsidRPr="00763049">
        <w:rPr>
          <w:rFonts w:eastAsia="Times New Roman" w:cs="Times New Roman"/>
          <w:b/>
          <w:sz w:val="20"/>
          <w:szCs w:val="20"/>
          <w:lang w:val="en-US" w:eastAsia="en-CA"/>
        </w:rPr>
        <w:fldChar w:fldCharType="end"/>
      </w:r>
      <w:r w:rsidR="00763049" w:rsidRPr="00763049">
        <w:rPr>
          <w:rFonts w:eastAsia="Times New Roman" w:cs="Times New Roman"/>
          <w:b/>
          <w:sz w:val="20"/>
          <w:szCs w:val="20"/>
          <w:lang w:val="en-US" w:eastAsia="en-CA"/>
        </w:rPr>
        <w:t>34522</w:t>
      </w:r>
      <w:r w:rsidR="00763049" w:rsidRPr="00763049">
        <w:rPr>
          <w:rFonts w:eastAsia="Times New Roman" w:cs="Times New Roman"/>
          <w:sz w:val="20"/>
          <w:szCs w:val="20"/>
          <w:lang w:eastAsia="en-CA"/>
        </w:rPr>
        <w:tab/>
      </w:r>
      <w:r w:rsidR="00763049" w:rsidRPr="00763049">
        <w:rPr>
          <w:rFonts w:eastAsia="Times New Roman" w:cs="Times New Roman"/>
          <w:b/>
          <w:i/>
          <w:sz w:val="20"/>
          <w:szCs w:val="20"/>
          <w:lang w:eastAsia="en-CA"/>
        </w:rPr>
        <w:t>Her Majesty the Queen v. W.H.</w:t>
      </w:r>
    </w:p>
    <w:p w:rsidR="00763049" w:rsidRPr="00763049" w:rsidRDefault="00763049" w:rsidP="00763049">
      <w:pPr>
        <w:widowControl w:val="0"/>
        <w:jc w:val="both"/>
        <w:rPr>
          <w:rFonts w:eastAsia="Times New Roman" w:cs="Times New Roman"/>
          <w:sz w:val="20"/>
          <w:szCs w:val="20"/>
          <w:lang w:eastAsia="en-CA"/>
        </w:rPr>
      </w:pPr>
    </w:p>
    <w:p w:rsidR="00763049" w:rsidRPr="00763049" w:rsidRDefault="00763049" w:rsidP="00763049">
      <w:pPr>
        <w:widowControl w:val="0"/>
        <w:jc w:val="both"/>
        <w:rPr>
          <w:rFonts w:eastAsia="Times New Roman" w:cs="Times New Roman"/>
          <w:smallCaps/>
          <w:sz w:val="20"/>
          <w:szCs w:val="20"/>
          <w:lang w:eastAsia="en-CA"/>
        </w:rPr>
      </w:pPr>
      <w:r w:rsidRPr="00763049">
        <w:rPr>
          <w:rFonts w:eastAsia="Times New Roman" w:cs="Times New Roman"/>
          <w:smallCaps/>
          <w:sz w:val="20"/>
          <w:szCs w:val="20"/>
          <w:lang w:eastAsia="en-CA"/>
        </w:rPr>
        <w:t xml:space="preserve">(Publication </w:t>
      </w:r>
      <w:r>
        <w:rPr>
          <w:rFonts w:eastAsia="Times New Roman" w:cs="Times New Roman"/>
          <w:smallCaps/>
          <w:sz w:val="20"/>
          <w:szCs w:val="20"/>
          <w:lang w:eastAsia="en-CA"/>
        </w:rPr>
        <w:t>B</w:t>
      </w:r>
      <w:r w:rsidRPr="00763049">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763049">
        <w:rPr>
          <w:rFonts w:eastAsia="Times New Roman" w:cs="Times New Roman"/>
          <w:smallCaps/>
          <w:sz w:val="20"/>
          <w:szCs w:val="20"/>
          <w:lang w:eastAsia="en-CA"/>
        </w:rPr>
        <w:t xml:space="preserve">ase) (Publication </w:t>
      </w:r>
      <w:r>
        <w:rPr>
          <w:rFonts w:eastAsia="Times New Roman" w:cs="Times New Roman"/>
          <w:smallCaps/>
          <w:sz w:val="20"/>
          <w:szCs w:val="20"/>
          <w:lang w:eastAsia="en-CA"/>
        </w:rPr>
        <w:t>B</w:t>
      </w:r>
      <w:r w:rsidRPr="00763049">
        <w:rPr>
          <w:rFonts w:eastAsia="Times New Roman" w:cs="Times New Roman"/>
          <w:smallCaps/>
          <w:sz w:val="20"/>
          <w:szCs w:val="20"/>
          <w:lang w:eastAsia="en-CA"/>
        </w:rPr>
        <w:t xml:space="preserve">an on </w:t>
      </w:r>
      <w:r>
        <w:rPr>
          <w:rFonts w:eastAsia="Times New Roman" w:cs="Times New Roman"/>
          <w:smallCaps/>
          <w:sz w:val="20"/>
          <w:szCs w:val="20"/>
          <w:lang w:eastAsia="en-CA"/>
        </w:rPr>
        <w:t>P</w:t>
      </w:r>
      <w:r w:rsidRPr="00763049">
        <w:rPr>
          <w:rFonts w:eastAsia="Times New Roman" w:cs="Times New Roman"/>
          <w:smallCaps/>
          <w:sz w:val="20"/>
          <w:szCs w:val="20"/>
          <w:lang w:eastAsia="en-CA"/>
        </w:rPr>
        <w:t>arty)</w:t>
      </w:r>
    </w:p>
    <w:p w:rsidR="00763049" w:rsidRPr="00763049" w:rsidRDefault="00763049" w:rsidP="00763049">
      <w:pPr>
        <w:widowControl w:val="0"/>
        <w:jc w:val="both"/>
        <w:rPr>
          <w:rFonts w:eastAsia="Times New Roman" w:cs="Times New Roman"/>
          <w:sz w:val="20"/>
          <w:szCs w:val="20"/>
          <w:lang w:eastAsia="en-CA"/>
        </w:rPr>
      </w:pPr>
    </w:p>
    <w:p w:rsidR="00763049" w:rsidRPr="00763049" w:rsidRDefault="00763049" w:rsidP="00763049">
      <w:pPr>
        <w:widowControl w:val="0"/>
        <w:jc w:val="both"/>
        <w:rPr>
          <w:rFonts w:eastAsia="Times New Roman" w:cs="Times New Roman"/>
          <w:sz w:val="20"/>
          <w:szCs w:val="20"/>
          <w:lang w:eastAsia="en-CA"/>
        </w:rPr>
      </w:pPr>
      <w:r w:rsidRPr="00763049">
        <w:rPr>
          <w:rFonts w:eastAsia="Times New Roman" w:cs="Times New Roman"/>
          <w:sz w:val="20"/>
          <w:szCs w:val="20"/>
          <w:lang w:eastAsia="en-CA"/>
        </w:rPr>
        <w:t xml:space="preserve">Criminal Law </w:t>
      </w:r>
      <w:r w:rsidRPr="00763049">
        <w:rPr>
          <w:rFonts w:eastAsia="Times New Roman" w:cs="Times New Roman"/>
          <w:sz w:val="20"/>
          <w:szCs w:val="20"/>
          <w:lang w:eastAsia="en-CA"/>
        </w:rPr>
        <w:noBreakHyphen/>
        <w:t xml:space="preserve"> Appeals </w:t>
      </w:r>
      <w:r w:rsidRPr="00763049">
        <w:rPr>
          <w:rFonts w:eastAsia="Times New Roman" w:cs="Times New Roman"/>
          <w:sz w:val="20"/>
          <w:szCs w:val="20"/>
          <w:lang w:eastAsia="en-CA"/>
        </w:rPr>
        <w:noBreakHyphen/>
        <w:t xml:space="preserve"> Whether Court of Appeal erred by substituting findings of credibility for those of the jury and concluding that the verdict was unreasonable </w:t>
      </w:r>
      <w:r w:rsidRPr="00763049">
        <w:rPr>
          <w:rFonts w:eastAsia="Times New Roman" w:cs="Times New Roman"/>
          <w:sz w:val="20"/>
          <w:szCs w:val="20"/>
          <w:lang w:eastAsia="en-CA"/>
        </w:rPr>
        <w:noBreakHyphen/>
        <w:t xml:space="preserve"> Whether Court of Appeal erred in interpretation and application of </w:t>
      </w:r>
      <w:r w:rsidRPr="00763049">
        <w:rPr>
          <w:rFonts w:eastAsia="Times New Roman" w:cs="Times New Roman"/>
          <w:i/>
          <w:sz w:val="20"/>
          <w:szCs w:val="20"/>
          <w:lang w:eastAsia="en-CA"/>
        </w:rPr>
        <w:t>R. v. R.E.M</w:t>
      </w:r>
      <w:r w:rsidRPr="00763049">
        <w:rPr>
          <w:rFonts w:eastAsia="Times New Roman" w:cs="Times New Roman"/>
          <w:sz w:val="20"/>
          <w:szCs w:val="20"/>
          <w:lang w:eastAsia="en-CA"/>
        </w:rPr>
        <w:t>, [2008] 3 S.C.R. 3.</w:t>
      </w:r>
    </w:p>
    <w:p w:rsidR="00763049" w:rsidRPr="00763049" w:rsidRDefault="00763049" w:rsidP="00763049">
      <w:pPr>
        <w:widowControl w:val="0"/>
        <w:jc w:val="both"/>
        <w:rPr>
          <w:rFonts w:eastAsia="Times New Roman" w:cs="Times New Roman"/>
          <w:sz w:val="20"/>
          <w:szCs w:val="20"/>
          <w:lang w:eastAsia="en-CA"/>
        </w:rPr>
      </w:pPr>
    </w:p>
    <w:p w:rsidR="00763049" w:rsidRPr="00763049" w:rsidRDefault="00763049" w:rsidP="00763049">
      <w:pPr>
        <w:widowControl w:val="0"/>
        <w:jc w:val="both"/>
        <w:rPr>
          <w:rFonts w:eastAsia="Times New Roman" w:cs="Times New Roman"/>
          <w:sz w:val="20"/>
          <w:szCs w:val="20"/>
          <w:lang w:eastAsia="en-CA"/>
        </w:rPr>
      </w:pPr>
      <w:r w:rsidRPr="00763049">
        <w:rPr>
          <w:rFonts w:eastAsia="Times New Roman" w:cs="Times New Roman"/>
          <w:sz w:val="20"/>
          <w:szCs w:val="20"/>
          <w:lang w:eastAsia="en-CA"/>
        </w:rPr>
        <w:t xml:space="preserve">The respondent was convicted by a jury of one count of sexual assault and one count of sexual interference, based on the testimony of a child complainant describing three incidents of abuse and a fourth incident for which she could recall no details other than an apology from the respondent.  The charge of sexual interference was stayed by the trial judge under the </w:t>
      </w:r>
      <w:r w:rsidRPr="00763049">
        <w:rPr>
          <w:rFonts w:eastAsia="Times New Roman" w:cs="Times New Roman"/>
          <w:i/>
          <w:iCs/>
          <w:sz w:val="20"/>
          <w:szCs w:val="20"/>
          <w:lang w:val="en-GB" w:eastAsia="en-CA"/>
        </w:rPr>
        <w:t xml:space="preserve">R. v. </w:t>
      </w:r>
      <w:proofErr w:type="spellStart"/>
      <w:r w:rsidRPr="00763049">
        <w:rPr>
          <w:rFonts w:eastAsia="Times New Roman" w:cs="Times New Roman"/>
          <w:i/>
          <w:iCs/>
          <w:sz w:val="20"/>
          <w:szCs w:val="20"/>
          <w:lang w:val="en-GB" w:eastAsia="en-CA"/>
        </w:rPr>
        <w:t>Kineapple</w:t>
      </w:r>
      <w:proofErr w:type="spellEnd"/>
      <w:r w:rsidRPr="00763049">
        <w:rPr>
          <w:rFonts w:eastAsia="Times New Roman" w:cs="Times New Roman"/>
          <w:sz w:val="20"/>
          <w:szCs w:val="20"/>
          <w:lang w:val="en-GB" w:eastAsia="en-CA"/>
        </w:rPr>
        <w:t>, [1975] 1 S.C.R. 729</w:t>
      </w:r>
      <w:r w:rsidRPr="00763049">
        <w:rPr>
          <w:rFonts w:eastAsia="Times New Roman" w:cs="Times New Roman"/>
          <w:sz w:val="20"/>
          <w:szCs w:val="20"/>
          <w:lang w:eastAsia="en-CA"/>
        </w:rPr>
        <w:t>,</w:t>
      </w:r>
      <w:r w:rsidRPr="00763049">
        <w:rPr>
          <w:rFonts w:eastAsia="Times New Roman" w:cs="Times New Roman"/>
          <w:i/>
          <w:sz w:val="20"/>
          <w:szCs w:val="20"/>
          <w:lang w:eastAsia="en-CA"/>
        </w:rPr>
        <w:t xml:space="preserve"> </w:t>
      </w:r>
      <w:r w:rsidRPr="00763049">
        <w:rPr>
          <w:rFonts w:eastAsia="Times New Roman" w:cs="Times New Roman"/>
          <w:sz w:val="20"/>
          <w:szCs w:val="20"/>
          <w:lang w:eastAsia="en-CA"/>
        </w:rPr>
        <w:t>principle</w:t>
      </w:r>
      <w:r w:rsidRPr="00763049">
        <w:rPr>
          <w:rFonts w:eastAsia="Times New Roman" w:cs="Times New Roman"/>
          <w:i/>
          <w:sz w:val="20"/>
          <w:szCs w:val="20"/>
          <w:lang w:eastAsia="en-CA"/>
        </w:rPr>
        <w:t xml:space="preserve">.  </w:t>
      </w:r>
      <w:r w:rsidRPr="00763049">
        <w:rPr>
          <w:rFonts w:eastAsia="Times New Roman" w:cs="Times New Roman"/>
          <w:sz w:val="20"/>
          <w:szCs w:val="20"/>
          <w:lang w:eastAsia="en-CA"/>
        </w:rPr>
        <w:t>The Court of Appeal held that, on the whole of the evidence, the verdict of guilty of sexual assault was not one that a properly instructed jury, acting judicially, could reasonably have rendered.  It found that the complainant’s testimony contained unexplained inconsistencies and improbabilities.  It overturned the jury’s verdict and entered an acquittal.</w:t>
      </w:r>
    </w:p>
    <w:p w:rsidR="00763049" w:rsidRPr="00763049" w:rsidRDefault="00763049" w:rsidP="00763049">
      <w:pPr>
        <w:widowControl w:val="0"/>
        <w:jc w:val="both"/>
        <w:rPr>
          <w:rFonts w:eastAsia="Times New Roman" w:cs="Times New Roman"/>
          <w:sz w:val="20"/>
          <w:szCs w:val="20"/>
          <w:lang w:eastAsia="en-CA"/>
        </w:rPr>
      </w:pPr>
    </w:p>
    <w:p w:rsidR="00763049" w:rsidRPr="00763049" w:rsidRDefault="00763049" w:rsidP="00763049">
      <w:pPr>
        <w:widowControl w:val="0"/>
        <w:jc w:val="both"/>
        <w:rPr>
          <w:rFonts w:eastAsia="Times New Roman" w:cs="Times New Roman"/>
          <w:sz w:val="20"/>
          <w:szCs w:val="20"/>
          <w:lang w:eastAsia="en-CA"/>
        </w:rPr>
      </w:pPr>
    </w:p>
    <w:p w:rsidR="00763049" w:rsidRPr="00763049" w:rsidRDefault="00763049" w:rsidP="00763049">
      <w:pPr>
        <w:widowControl w:val="0"/>
        <w:ind w:left="2880" w:hanging="2880"/>
        <w:jc w:val="both"/>
        <w:rPr>
          <w:rFonts w:eastAsia="Times New Roman" w:cs="Times New Roman"/>
          <w:sz w:val="20"/>
          <w:szCs w:val="20"/>
          <w:lang w:eastAsia="en-CA"/>
        </w:rPr>
      </w:pPr>
      <w:r w:rsidRPr="00763049">
        <w:rPr>
          <w:rFonts w:eastAsia="Times New Roman" w:cs="Times New Roman"/>
          <w:sz w:val="20"/>
          <w:szCs w:val="20"/>
          <w:lang w:eastAsia="en-CA"/>
        </w:rPr>
        <w:t>Origin of the case:</w:t>
      </w:r>
      <w:r w:rsidRPr="00763049">
        <w:rPr>
          <w:rFonts w:eastAsia="Times New Roman" w:cs="Times New Roman"/>
          <w:sz w:val="20"/>
          <w:szCs w:val="20"/>
          <w:lang w:eastAsia="en-CA"/>
        </w:rPr>
        <w:tab/>
        <w:t>Newfoundland and Labrador</w:t>
      </w:r>
    </w:p>
    <w:p w:rsidR="00763049" w:rsidRPr="00763049" w:rsidRDefault="00763049" w:rsidP="00763049">
      <w:pPr>
        <w:widowControl w:val="0"/>
        <w:ind w:left="2880" w:hanging="2880"/>
        <w:jc w:val="both"/>
        <w:rPr>
          <w:rFonts w:eastAsia="Times New Roman" w:cs="Times New Roman"/>
          <w:sz w:val="20"/>
          <w:szCs w:val="20"/>
          <w:lang w:eastAsia="en-CA"/>
        </w:rPr>
      </w:pPr>
    </w:p>
    <w:p w:rsidR="00763049" w:rsidRPr="00763049" w:rsidRDefault="00763049" w:rsidP="00763049">
      <w:pPr>
        <w:widowControl w:val="0"/>
        <w:ind w:left="2880" w:hanging="2880"/>
        <w:jc w:val="both"/>
        <w:rPr>
          <w:rFonts w:eastAsia="Times New Roman" w:cs="Times New Roman"/>
          <w:sz w:val="20"/>
          <w:szCs w:val="20"/>
          <w:lang w:eastAsia="en-CA"/>
        </w:rPr>
      </w:pPr>
      <w:r w:rsidRPr="00763049">
        <w:rPr>
          <w:rFonts w:eastAsia="Times New Roman" w:cs="Times New Roman"/>
          <w:sz w:val="20"/>
          <w:szCs w:val="20"/>
          <w:lang w:eastAsia="en-CA"/>
        </w:rPr>
        <w:t>File No.:</w:t>
      </w:r>
      <w:r w:rsidRPr="00763049">
        <w:rPr>
          <w:rFonts w:eastAsia="Times New Roman" w:cs="Times New Roman"/>
          <w:sz w:val="20"/>
          <w:szCs w:val="20"/>
          <w:lang w:eastAsia="en-CA"/>
        </w:rPr>
        <w:tab/>
        <w:t>34522</w:t>
      </w:r>
    </w:p>
    <w:p w:rsidR="00763049" w:rsidRPr="00763049" w:rsidRDefault="00763049" w:rsidP="00763049">
      <w:pPr>
        <w:widowControl w:val="0"/>
        <w:ind w:left="2880" w:hanging="2880"/>
        <w:jc w:val="both"/>
        <w:rPr>
          <w:rFonts w:eastAsia="Times New Roman" w:cs="Times New Roman"/>
          <w:sz w:val="20"/>
          <w:szCs w:val="20"/>
          <w:lang w:eastAsia="en-CA"/>
        </w:rPr>
      </w:pPr>
    </w:p>
    <w:p w:rsidR="00763049" w:rsidRPr="00763049" w:rsidRDefault="00763049" w:rsidP="00763049">
      <w:pPr>
        <w:widowControl w:val="0"/>
        <w:ind w:left="2880" w:hanging="2880"/>
        <w:jc w:val="both"/>
        <w:rPr>
          <w:rFonts w:eastAsia="Times New Roman" w:cs="Times New Roman"/>
          <w:sz w:val="20"/>
          <w:szCs w:val="20"/>
          <w:lang w:eastAsia="en-CA"/>
        </w:rPr>
      </w:pPr>
      <w:r w:rsidRPr="00763049">
        <w:rPr>
          <w:rFonts w:eastAsia="Times New Roman" w:cs="Times New Roman"/>
          <w:sz w:val="20"/>
          <w:szCs w:val="20"/>
          <w:lang w:eastAsia="en-CA"/>
        </w:rPr>
        <w:t>Judgment of the Court of Appeal:</w:t>
      </w:r>
      <w:r w:rsidRPr="00763049">
        <w:rPr>
          <w:rFonts w:eastAsia="Times New Roman" w:cs="Times New Roman"/>
          <w:sz w:val="20"/>
          <w:szCs w:val="20"/>
          <w:lang w:eastAsia="en-CA"/>
        </w:rPr>
        <w:tab/>
        <w:t>September 14, 2011</w:t>
      </w:r>
    </w:p>
    <w:p w:rsidR="00763049" w:rsidRPr="00763049" w:rsidRDefault="00763049" w:rsidP="00763049">
      <w:pPr>
        <w:widowControl w:val="0"/>
        <w:ind w:left="2880" w:hanging="2880"/>
        <w:jc w:val="both"/>
        <w:rPr>
          <w:rFonts w:eastAsia="Times New Roman" w:cs="Times New Roman"/>
          <w:sz w:val="20"/>
          <w:szCs w:val="20"/>
          <w:lang w:eastAsia="en-CA"/>
        </w:rPr>
      </w:pPr>
    </w:p>
    <w:p w:rsidR="00763049" w:rsidRPr="00763049" w:rsidRDefault="00763049" w:rsidP="00763049">
      <w:pPr>
        <w:widowControl w:val="0"/>
        <w:ind w:left="2880" w:hanging="2880"/>
        <w:jc w:val="both"/>
        <w:rPr>
          <w:rFonts w:eastAsia="Times New Roman" w:cs="Times New Roman"/>
          <w:sz w:val="20"/>
          <w:szCs w:val="20"/>
          <w:lang w:eastAsia="en-CA"/>
        </w:rPr>
      </w:pPr>
      <w:r w:rsidRPr="00763049">
        <w:rPr>
          <w:rFonts w:eastAsia="Times New Roman" w:cs="Times New Roman"/>
          <w:sz w:val="20"/>
          <w:szCs w:val="20"/>
          <w:lang w:eastAsia="en-CA"/>
        </w:rPr>
        <w:t>Counsel:</w:t>
      </w:r>
      <w:r w:rsidRPr="00763049">
        <w:rPr>
          <w:rFonts w:eastAsia="Times New Roman" w:cs="Times New Roman"/>
          <w:sz w:val="20"/>
          <w:szCs w:val="20"/>
          <w:lang w:eastAsia="en-CA"/>
        </w:rPr>
        <w:tab/>
        <w:t>Stephen R. Dawson for the appellant</w:t>
      </w:r>
    </w:p>
    <w:p w:rsidR="00763049" w:rsidRPr="00763049" w:rsidRDefault="00763049" w:rsidP="00763049">
      <w:pPr>
        <w:widowControl w:val="0"/>
        <w:ind w:left="2880" w:hanging="2880"/>
        <w:jc w:val="both"/>
        <w:rPr>
          <w:rFonts w:eastAsia="Times New Roman" w:cs="Times New Roman"/>
          <w:sz w:val="20"/>
          <w:szCs w:val="20"/>
          <w:lang w:eastAsia="en-CA"/>
        </w:rPr>
      </w:pPr>
      <w:r w:rsidRPr="00763049">
        <w:rPr>
          <w:rFonts w:eastAsia="Times New Roman" w:cs="Times New Roman"/>
          <w:sz w:val="20"/>
          <w:szCs w:val="20"/>
          <w:lang w:eastAsia="en-CA"/>
        </w:rPr>
        <w:tab/>
        <w:t>Peter E. Ralph, Q.C. for the respondent</w:t>
      </w:r>
    </w:p>
    <w:p w:rsidR="00602152" w:rsidRPr="00763049"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2" style="width:2in;height:1pt" o:hrpct="0" o:hralign="center" o:hrstd="t" o:hrnoshade="t" o:hr="t" fillcolor="black [3213]" stroked="f"/>
        </w:pict>
      </w:r>
    </w:p>
    <w:p w:rsidR="00602152" w:rsidRDefault="00602152">
      <w:pPr>
        <w:rPr>
          <w:sz w:val="20"/>
          <w:szCs w:val="20"/>
          <w:lang w:val="fr-CA"/>
        </w:rPr>
      </w:pPr>
    </w:p>
    <w:p w:rsidR="00602152" w:rsidRDefault="00602152">
      <w:pPr>
        <w:rPr>
          <w:sz w:val="20"/>
          <w:szCs w:val="20"/>
          <w:lang w:val="fr-CA"/>
        </w:rPr>
      </w:pPr>
      <w:r>
        <w:rPr>
          <w:sz w:val="20"/>
          <w:szCs w:val="20"/>
          <w:lang w:val="fr-CA"/>
        </w:rPr>
        <w:br w:type="page"/>
      </w:r>
    </w:p>
    <w:p w:rsidR="00051CA9" w:rsidRPr="00494300" w:rsidRDefault="007F0A1D" w:rsidP="00051CA9">
      <w:pPr>
        <w:widowControl w:val="0"/>
        <w:ind w:left="720" w:hanging="720"/>
        <w:jc w:val="both"/>
        <w:rPr>
          <w:sz w:val="20"/>
          <w:szCs w:val="20"/>
          <w:lang w:val="fr-CA"/>
        </w:rPr>
      </w:pPr>
      <w:r w:rsidRPr="00494300">
        <w:rPr>
          <w:b/>
          <w:sz w:val="20"/>
          <w:szCs w:val="20"/>
          <w:lang w:val="fr-CA"/>
        </w:rPr>
        <w:lastRenderedPageBreak/>
        <w:fldChar w:fldCharType="begin"/>
      </w:r>
      <w:r w:rsidR="00051CA9" w:rsidRPr="00494300">
        <w:rPr>
          <w:b/>
          <w:sz w:val="20"/>
          <w:szCs w:val="20"/>
          <w:lang w:val="fr-CA"/>
        </w:rPr>
        <w:instrText xml:space="preserve"> SEQ CHAPTER \h \r 1</w:instrText>
      </w:r>
      <w:r w:rsidRPr="00494300">
        <w:rPr>
          <w:b/>
          <w:sz w:val="20"/>
          <w:szCs w:val="20"/>
          <w:lang w:val="fr-CA"/>
        </w:rPr>
        <w:fldChar w:fldCharType="end"/>
      </w:r>
      <w:r w:rsidR="00051CA9" w:rsidRPr="00494300">
        <w:rPr>
          <w:b/>
          <w:sz w:val="20"/>
          <w:szCs w:val="20"/>
          <w:lang w:val="fr-CA"/>
        </w:rPr>
        <w:t>34522</w:t>
      </w:r>
      <w:r w:rsidR="00051CA9" w:rsidRPr="00494300">
        <w:rPr>
          <w:sz w:val="20"/>
          <w:szCs w:val="20"/>
          <w:lang w:val="fr-CA"/>
        </w:rPr>
        <w:tab/>
      </w:r>
      <w:r w:rsidR="00051CA9" w:rsidRPr="00494300">
        <w:rPr>
          <w:b/>
          <w:i/>
          <w:sz w:val="20"/>
          <w:szCs w:val="20"/>
          <w:lang w:val="fr-CA"/>
        </w:rPr>
        <w:t>Sa Majesté la Reine c. W.H.</w:t>
      </w:r>
    </w:p>
    <w:p w:rsidR="00051CA9" w:rsidRPr="00494300" w:rsidRDefault="00051CA9" w:rsidP="00051CA9">
      <w:pPr>
        <w:widowControl w:val="0"/>
        <w:jc w:val="both"/>
        <w:rPr>
          <w:sz w:val="20"/>
          <w:szCs w:val="20"/>
          <w:lang w:val="fr-CA"/>
        </w:rPr>
      </w:pPr>
    </w:p>
    <w:p w:rsidR="00051CA9" w:rsidRPr="00494300" w:rsidRDefault="00051CA9" w:rsidP="00051CA9">
      <w:pPr>
        <w:widowControl w:val="0"/>
        <w:jc w:val="both"/>
        <w:rPr>
          <w:smallCaps/>
          <w:sz w:val="20"/>
          <w:szCs w:val="20"/>
          <w:lang w:val="fr-CA"/>
        </w:rPr>
      </w:pPr>
      <w:r w:rsidRPr="00494300">
        <w:rPr>
          <w:smallCaps/>
          <w:sz w:val="20"/>
          <w:szCs w:val="20"/>
          <w:lang w:val="fr-CA"/>
        </w:rPr>
        <w:t>(Ordonnance de non-publication dans le dossier) (Ordonnance de non-publication visant une partie)</w:t>
      </w:r>
    </w:p>
    <w:p w:rsidR="00051CA9" w:rsidRPr="00494300" w:rsidRDefault="00051CA9" w:rsidP="00051CA9">
      <w:pPr>
        <w:widowControl w:val="0"/>
        <w:jc w:val="both"/>
        <w:rPr>
          <w:sz w:val="20"/>
          <w:szCs w:val="20"/>
          <w:lang w:val="fr-CA"/>
        </w:rPr>
      </w:pPr>
    </w:p>
    <w:p w:rsidR="00051CA9" w:rsidRPr="00494300" w:rsidRDefault="00051CA9" w:rsidP="00051CA9">
      <w:pPr>
        <w:widowControl w:val="0"/>
        <w:jc w:val="both"/>
        <w:rPr>
          <w:sz w:val="20"/>
          <w:szCs w:val="20"/>
          <w:lang w:val="fr-CA"/>
        </w:rPr>
      </w:pPr>
      <w:r w:rsidRPr="00494300">
        <w:rPr>
          <w:sz w:val="20"/>
          <w:szCs w:val="20"/>
          <w:lang w:val="fr-CA"/>
        </w:rPr>
        <w:t xml:space="preserve">Droit criminel - Appels - La Cour d’appel a-t-elle eu tort de substituer ses conclusions sur la crédibilité à celle du jury et de juger que le verdict était déraisonnable? - La Cour d’appel a-t-elle mal interprété et appliqué l’arrêt </w:t>
      </w:r>
      <w:r w:rsidRPr="00494300">
        <w:rPr>
          <w:i/>
          <w:sz w:val="20"/>
          <w:szCs w:val="20"/>
          <w:lang w:val="fr-CA"/>
        </w:rPr>
        <w:t>R. c. R.E.M</w:t>
      </w:r>
      <w:r w:rsidRPr="00494300">
        <w:rPr>
          <w:sz w:val="20"/>
          <w:szCs w:val="20"/>
          <w:lang w:val="fr-CA"/>
        </w:rPr>
        <w:t>, [2008] 3 R.C.S. 3?</w:t>
      </w:r>
    </w:p>
    <w:p w:rsidR="00051CA9" w:rsidRPr="00494300" w:rsidRDefault="00051CA9" w:rsidP="00051CA9">
      <w:pPr>
        <w:widowControl w:val="0"/>
        <w:jc w:val="both"/>
        <w:rPr>
          <w:sz w:val="20"/>
          <w:szCs w:val="20"/>
          <w:lang w:val="fr-CA"/>
        </w:rPr>
      </w:pPr>
    </w:p>
    <w:p w:rsidR="00051CA9" w:rsidRPr="00494300" w:rsidRDefault="00051CA9" w:rsidP="00051CA9">
      <w:pPr>
        <w:widowControl w:val="0"/>
        <w:jc w:val="both"/>
        <w:rPr>
          <w:sz w:val="20"/>
          <w:szCs w:val="20"/>
          <w:lang w:val="fr-CA"/>
        </w:rPr>
      </w:pPr>
      <w:r w:rsidRPr="00494300">
        <w:rPr>
          <w:sz w:val="20"/>
          <w:szCs w:val="20"/>
          <w:lang w:val="fr-CA"/>
        </w:rPr>
        <w:t xml:space="preserve">Un jury a reconnu l’intimé coupable d’un chef d’agression sexuelle et d’un chef de contacts sexuels sur la foi du témoignage d’une enfant plaignante qui a décrit trois épisodes d’agression et un quatrième épisode dont elle ne se rappelait rien à part une excuse de l’intimé.  La juge du procès a prononcé l’arrêt des procédures relativement à l’accusation de contacts sexuels en vertu du principe établi dans l’arrêt </w:t>
      </w:r>
      <w:r w:rsidRPr="00494300">
        <w:rPr>
          <w:i/>
          <w:sz w:val="20"/>
          <w:szCs w:val="20"/>
          <w:lang w:val="fr-CA"/>
        </w:rPr>
        <w:t xml:space="preserve">R. c. </w:t>
      </w:r>
      <w:proofErr w:type="spellStart"/>
      <w:r w:rsidRPr="00494300">
        <w:rPr>
          <w:i/>
          <w:sz w:val="20"/>
          <w:szCs w:val="20"/>
          <w:lang w:val="fr-CA"/>
        </w:rPr>
        <w:t>Kienapple</w:t>
      </w:r>
      <w:proofErr w:type="spellEnd"/>
      <w:r w:rsidRPr="00494300">
        <w:rPr>
          <w:sz w:val="20"/>
          <w:szCs w:val="20"/>
          <w:lang w:val="fr-CA"/>
        </w:rPr>
        <w:t>, [1975] 1 R.C.S. 729</w:t>
      </w:r>
      <w:r w:rsidRPr="00494300">
        <w:rPr>
          <w:i/>
          <w:sz w:val="20"/>
          <w:szCs w:val="20"/>
          <w:lang w:val="fr-CA"/>
        </w:rPr>
        <w:t xml:space="preserve">.  </w:t>
      </w:r>
      <w:r w:rsidRPr="00494300">
        <w:rPr>
          <w:sz w:val="20"/>
          <w:szCs w:val="20"/>
          <w:lang w:val="fr-CA"/>
        </w:rPr>
        <w:t>La Cour d’appel a conclu qu’eu égard à l’ensemble de la preuve, un jury ayant reçu les directives appropriées et agissant d’une manière judiciaire n’aurait pas pu raisonnablement rendre le verdict de culpabilité pour agression sexuelle.  Selon elle, le témoignage de la plaignante contenait des contradictions et des invraisemblances qui n’ont pas été expliquées.  La Cour d’appel a annulé le verdict du jury et inscrit un acquittement.</w:t>
      </w:r>
    </w:p>
    <w:p w:rsidR="00051CA9" w:rsidRPr="00494300" w:rsidRDefault="00051CA9" w:rsidP="00051CA9">
      <w:pPr>
        <w:widowControl w:val="0"/>
        <w:jc w:val="both"/>
        <w:rPr>
          <w:sz w:val="20"/>
          <w:szCs w:val="20"/>
          <w:lang w:val="fr-CA"/>
        </w:rPr>
      </w:pPr>
    </w:p>
    <w:p w:rsidR="00051CA9" w:rsidRPr="00494300" w:rsidRDefault="00051CA9" w:rsidP="00051CA9">
      <w:pPr>
        <w:widowControl w:val="0"/>
        <w:jc w:val="both"/>
        <w:rPr>
          <w:sz w:val="20"/>
          <w:szCs w:val="20"/>
          <w:lang w:val="fr-CA"/>
        </w:rPr>
      </w:pPr>
    </w:p>
    <w:p w:rsidR="00051CA9" w:rsidRPr="00494300" w:rsidRDefault="00051CA9" w:rsidP="00051CA9">
      <w:pPr>
        <w:widowControl w:val="0"/>
        <w:ind w:left="2880" w:hanging="2880"/>
        <w:jc w:val="both"/>
        <w:rPr>
          <w:sz w:val="20"/>
          <w:szCs w:val="20"/>
          <w:lang w:val="fr-CA"/>
        </w:rPr>
      </w:pPr>
      <w:r w:rsidRPr="00494300">
        <w:rPr>
          <w:sz w:val="20"/>
          <w:szCs w:val="20"/>
          <w:lang w:val="fr-CA"/>
        </w:rPr>
        <w:t>Origine :</w:t>
      </w:r>
      <w:r w:rsidRPr="00494300">
        <w:rPr>
          <w:sz w:val="20"/>
          <w:szCs w:val="20"/>
          <w:lang w:val="fr-CA"/>
        </w:rPr>
        <w:tab/>
        <w:t>Terre-Neuve-et-Labrador</w:t>
      </w:r>
    </w:p>
    <w:p w:rsidR="00051CA9" w:rsidRPr="00494300" w:rsidRDefault="00051CA9" w:rsidP="00051CA9">
      <w:pPr>
        <w:widowControl w:val="0"/>
        <w:ind w:left="2880" w:hanging="2880"/>
        <w:jc w:val="both"/>
        <w:rPr>
          <w:sz w:val="20"/>
          <w:szCs w:val="20"/>
          <w:lang w:val="fr-CA"/>
        </w:rPr>
      </w:pPr>
    </w:p>
    <w:p w:rsidR="00051CA9" w:rsidRPr="00494300" w:rsidRDefault="00051CA9" w:rsidP="00051CA9">
      <w:pPr>
        <w:widowControl w:val="0"/>
        <w:ind w:left="2880" w:hanging="2880"/>
        <w:jc w:val="both"/>
        <w:rPr>
          <w:sz w:val="20"/>
          <w:szCs w:val="20"/>
          <w:lang w:val="fr-CA"/>
        </w:rPr>
      </w:pPr>
      <w:r w:rsidRPr="00494300">
        <w:rPr>
          <w:sz w:val="20"/>
          <w:szCs w:val="20"/>
          <w:lang w:val="fr-CA"/>
        </w:rPr>
        <w:t>N</w:t>
      </w:r>
      <w:r w:rsidRPr="00494300">
        <w:rPr>
          <w:sz w:val="20"/>
          <w:szCs w:val="20"/>
          <w:vertAlign w:val="superscript"/>
          <w:lang w:val="fr-CA"/>
        </w:rPr>
        <w:t>o</w:t>
      </w:r>
      <w:r w:rsidRPr="00494300">
        <w:rPr>
          <w:sz w:val="20"/>
          <w:szCs w:val="20"/>
          <w:lang w:val="fr-CA"/>
        </w:rPr>
        <w:t xml:space="preserve"> du greffe :</w:t>
      </w:r>
      <w:r w:rsidRPr="00494300">
        <w:rPr>
          <w:sz w:val="20"/>
          <w:szCs w:val="20"/>
          <w:lang w:val="fr-CA"/>
        </w:rPr>
        <w:tab/>
        <w:t>34522</w:t>
      </w:r>
    </w:p>
    <w:p w:rsidR="00051CA9" w:rsidRPr="00494300" w:rsidRDefault="00051CA9" w:rsidP="00051CA9">
      <w:pPr>
        <w:widowControl w:val="0"/>
        <w:ind w:left="2880" w:hanging="2880"/>
        <w:jc w:val="both"/>
        <w:rPr>
          <w:sz w:val="20"/>
          <w:szCs w:val="20"/>
          <w:lang w:val="fr-CA"/>
        </w:rPr>
      </w:pPr>
    </w:p>
    <w:p w:rsidR="00051CA9" w:rsidRPr="00494300" w:rsidRDefault="00051CA9" w:rsidP="00051CA9">
      <w:pPr>
        <w:widowControl w:val="0"/>
        <w:ind w:left="2880" w:hanging="2880"/>
        <w:jc w:val="both"/>
        <w:rPr>
          <w:sz w:val="20"/>
          <w:szCs w:val="20"/>
          <w:lang w:val="fr-CA"/>
        </w:rPr>
      </w:pPr>
      <w:r w:rsidRPr="00494300">
        <w:rPr>
          <w:sz w:val="20"/>
          <w:szCs w:val="20"/>
          <w:lang w:val="fr-CA"/>
        </w:rPr>
        <w:t>Arrêt de la Cour d’appel :</w:t>
      </w:r>
      <w:r w:rsidRPr="00494300">
        <w:rPr>
          <w:sz w:val="20"/>
          <w:szCs w:val="20"/>
          <w:lang w:val="fr-CA"/>
        </w:rPr>
        <w:tab/>
        <w:t>le 14 septembre 2011</w:t>
      </w:r>
    </w:p>
    <w:p w:rsidR="00051CA9" w:rsidRPr="00494300" w:rsidRDefault="00051CA9" w:rsidP="00051CA9">
      <w:pPr>
        <w:widowControl w:val="0"/>
        <w:ind w:left="2880" w:hanging="2880"/>
        <w:jc w:val="both"/>
        <w:rPr>
          <w:sz w:val="20"/>
          <w:szCs w:val="20"/>
          <w:lang w:val="fr-CA"/>
        </w:rPr>
      </w:pPr>
    </w:p>
    <w:p w:rsidR="00051CA9" w:rsidRPr="00494300" w:rsidRDefault="00051CA9" w:rsidP="00051CA9">
      <w:pPr>
        <w:widowControl w:val="0"/>
        <w:ind w:left="2880" w:hanging="2880"/>
        <w:jc w:val="both"/>
        <w:rPr>
          <w:sz w:val="20"/>
          <w:szCs w:val="20"/>
          <w:lang w:val="fr-CA"/>
        </w:rPr>
      </w:pPr>
      <w:r w:rsidRPr="00494300">
        <w:rPr>
          <w:sz w:val="20"/>
          <w:szCs w:val="20"/>
          <w:lang w:val="fr-CA"/>
        </w:rPr>
        <w:t>Avocats :</w:t>
      </w:r>
      <w:r w:rsidRPr="00494300">
        <w:rPr>
          <w:sz w:val="20"/>
          <w:szCs w:val="20"/>
          <w:lang w:val="fr-CA"/>
        </w:rPr>
        <w:tab/>
        <w:t>Stephen R. Dawson pour l’appelante</w:t>
      </w:r>
    </w:p>
    <w:p w:rsidR="00051CA9" w:rsidRPr="00494300" w:rsidRDefault="00051CA9" w:rsidP="00051CA9">
      <w:pPr>
        <w:widowControl w:val="0"/>
        <w:ind w:left="2880" w:hanging="2880"/>
        <w:jc w:val="both"/>
        <w:rPr>
          <w:sz w:val="20"/>
          <w:szCs w:val="20"/>
          <w:lang w:val="fr-CA"/>
        </w:rPr>
      </w:pPr>
      <w:r w:rsidRPr="00494300">
        <w:rPr>
          <w:sz w:val="20"/>
          <w:szCs w:val="20"/>
          <w:lang w:val="fr-CA"/>
        </w:rPr>
        <w:tab/>
        <w:t xml:space="preserve">Peter E. Ralph, </w:t>
      </w:r>
      <w:proofErr w:type="spellStart"/>
      <w:r w:rsidRPr="00494300">
        <w:rPr>
          <w:sz w:val="20"/>
          <w:szCs w:val="20"/>
          <w:lang w:val="fr-CA"/>
        </w:rPr>
        <w:t>c.r</w:t>
      </w:r>
      <w:proofErr w:type="spellEnd"/>
      <w:r w:rsidRPr="00494300">
        <w:rPr>
          <w:sz w:val="20"/>
          <w:szCs w:val="20"/>
          <w:lang w:val="fr-CA"/>
        </w:rPr>
        <w:t>. pour l’intimé</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3"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A23F72" w:rsidRPr="00A23F72" w:rsidRDefault="007F0A1D" w:rsidP="00A23F72">
      <w:pPr>
        <w:widowControl w:val="0"/>
        <w:ind w:left="720" w:hanging="720"/>
        <w:jc w:val="both"/>
        <w:rPr>
          <w:rFonts w:eastAsia="Times New Roman" w:cs="Times New Roman"/>
          <w:sz w:val="20"/>
          <w:szCs w:val="20"/>
          <w:lang w:eastAsia="en-CA"/>
        </w:rPr>
      </w:pPr>
      <w:r w:rsidRPr="007F0A1D">
        <w:rPr>
          <w:rFonts w:eastAsia="Times New Roman" w:cs="Times New Roman"/>
          <w:b/>
          <w:sz w:val="20"/>
          <w:szCs w:val="20"/>
          <w:lang w:eastAsia="en-CA"/>
        </w:rPr>
        <w:lastRenderedPageBreak/>
        <w:fldChar w:fldCharType="begin"/>
      </w:r>
      <w:r w:rsidR="00A23F72" w:rsidRPr="00A23F72">
        <w:rPr>
          <w:rFonts w:eastAsia="Times New Roman" w:cs="Times New Roman"/>
          <w:b/>
          <w:sz w:val="20"/>
          <w:szCs w:val="20"/>
          <w:lang w:val="en-US" w:eastAsia="en-CA"/>
        </w:rPr>
        <w:instrText xml:space="preserve"> SEQ CHAPTER \h \r 1</w:instrText>
      </w:r>
      <w:r w:rsidRPr="00A23F72">
        <w:rPr>
          <w:rFonts w:eastAsia="Times New Roman" w:cs="Times New Roman"/>
          <w:b/>
          <w:sz w:val="20"/>
          <w:szCs w:val="20"/>
          <w:lang w:val="en-US" w:eastAsia="en-CA"/>
        </w:rPr>
        <w:fldChar w:fldCharType="end"/>
      </w:r>
      <w:proofErr w:type="gramStart"/>
      <w:r w:rsidR="00A23F72" w:rsidRPr="00A23F72">
        <w:rPr>
          <w:rFonts w:eastAsia="Times New Roman" w:cs="Times New Roman"/>
          <w:b/>
          <w:sz w:val="20"/>
          <w:szCs w:val="20"/>
          <w:lang w:eastAsia="en-CA"/>
        </w:rPr>
        <w:t>34524</w:t>
      </w:r>
      <w:r w:rsidR="00A23F72" w:rsidRPr="00A23F72">
        <w:rPr>
          <w:rFonts w:eastAsia="Times New Roman" w:cs="Times New Roman"/>
          <w:sz w:val="20"/>
          <w:szCs w:val="20"/>
          <w:lang w:eastAsia="en-CA"/>
        </w:rPr>
        <w:tab/>
      </w:r>
      <w:proofErr w:type="spellStart"/>
      <w:r w:rsidR="00A23F72" w:rsidRPr="00A23F72">
        <w:rPr>
          <w:rFonts w:eastAsia="Times New Roman" w:cs="Times New Roman"/>
          <w:b/>
          <w:i/>
          <w:sz w:val="20"/>
          <w:szCs w:val="20"/>
          <w:lang w:eastAsia="en-CA"/>
        </w:rPr>
        <w:t>Mandeep</w:t>
      </w:r>
      <w:proofErr w:type="spellEnd"/>
      <w:r w:rsidR="00A23F72" w:rsidRPr="00A23F72">
        <w:rPr>
          <w:rFonts w:eastAsia="Times New Roman" w:cs="Times New Roman"/>
          <w:b/>
          <w:i/>
          <w:sz w:val="20"/>
          <w:szCs w:val="20"/>
          <w:lang w:eastAsia="en-CA"/>
        </w:rPr>
        <w:t xml:space="preserve"> Singh </w:t>
      </w:r>
      <w:proofErr w:type="spellStart"/>
      <w:r w:rsidR="00A23F72" w:rsidRPr="00A23F72">
        <w:rPr>
          <w:rFonts w:eastAsia="Times New Roman" w:cs="Times New Roman"/>
          <w:b/>
          <w:i/>
          <w:sz w:val="20"/>
          <w:szCs w:val="20"/>
          <w:lang w:eastAsia="en-CA"/>
        </w:rPr>
        <w:t>Chehil</w:t>
      </w:r>
      <w:proofErr w:type="spellEnd"/>
      <w:r w:rsidR="00A23F72" w:rsidRPr="00A23F72">
        <w:rPr>
          <w:rFonts w:eastAsia="Times New Roman" w:cs="Times New Roman"/>
          <w:b/>
          <w:i/>
          <w:sz w:val="20"/>
          <w:szCs w:val="20"/>
          <w:lang w:eastAsia="en-CA"/>
        </w:rPr>
        <w:t xml:space="preserve"> v.</w:t>
      </w:r>
      <w:proofErr w:type="gramEnd"/>
      <w:r w:rsidR="00A23F72" w:rsidRPr="00A23F72">
        <w:rPr>
          <w:rFonts w:eastAsia="Times New Roman" w:cs="Times New Roman"/>
          <w:b/>
          <w:i/>
          <w:sz w:val="20"/>
          <w:szCs w:val="20"/>
          <w:lang w:eastAsia="en-CA"/>
        </w:rPr>
        <w:t xml:space="preserve"> Her Majesty the Queen</w:t>
      </w:r>
    </w:p>
    <w:p w:rsidR="00A23F72" w:rsidRPr="00A23F72" w:rsidRDefault="00A23F72" w:rsidP="00A23F72">
      <w:pPr>
        <w:widowControl w:val="0"/>
        <w:jc w:val="both"/>
        <w:rPr>
          <w:rFonts w:eastAsia="Times New Roman" w:cs="Times New Roman"/>
          <w:sz w:val="20"/>
          <w:szCs w:val="20"/>
          <w:lang w:eastAsia="en-CA"/>
        </w:rPr>
      </w:pPr>
    </w:p>
    <w:p w:rsidR="00A23F72" w:rsidRPr="00A23F72" w:rsidRDefault="00A23F72" w:rsidP="00A23F72">
      <w:pPr>
        <w:widowControl w:val="0"/>
        <w:jc w:val="both"/>
        <w:rPr>
          <w:rFonts w:eastAsia="Times New Roman" w:cs="Times New Roman"/>
          <w:sz w:val="20"/>
          <w:szCs w:val="20"/>
          <w:lang w:eastAsia="en-CA"/>
        </w:rPr>
      </w:pPr>
      <w:r w:rsidRPr="00A23F72">
        <w:rPr>
          <w:rFonts w:eastAsia="Times New Roman" w:cs="Times New Roman"/>
          <w:i/>
          <w:sz w:val="20"/>
          <w:szCs w:val="20"/>
          <w:lang w:eastAsia="en-CA"/>
        </w:rPr>
        <w:t xml:space="preserve">Charter of Rights </w:t>
      </w:r>
      <w:r w:rsidRPr="00A23F72">
        <w:rPr>
          <w:rFonts w:eastAsia="Times New Roman" w:cs="Times New Roman"/>
          <w:sz w:val="20"/>
          <w:szCs w:val="20"/>
          <w:lang w:eastAsia="en-CA"/>
        </w:rPr>
        <w:noBreakHyphen/>
        <w:t xml:space="preserve"> Criminal law </w:t>
      </w:r>
      <w:r w:rsidRPr="00A23F72">
        <w:rPr>
          <w:rFonts w:eastAsia="Times New Roman" w:cs="Times New Roman"/>
          <w:sz w:val="20"/>
          <w:szCs w:val="20"/>
          <w:lang w:eastAsia="en-CA"/>
        </w:rPr>
        <w:noBreakHyphen/>
        <w:t xml:space="preserve"> Search and seizure </w:t>
      </w:r>
      <w:r w:rsidRPr="00A23F72">
        <w:rPr>
          <w:rFonts w:eastAsia="Times New Roman" w:cs="Times New Roman"/>
          <w:sz w:val="20"/>
          <w:szCs w:val="20"/>
          <w:lang w:eastAsia="en-CA"/>
        </w:rPr>
        <w:noBreakHyphen/>
        <w:t xml:space="preserve"> Freedom from unreasonable search and seizure </w:t>
      </w:r>
      <w:r w:rsidRPr="00A23F72">
        <w:rPr>
          <w:rFonts w:eastAsia="Times New Roman" w:cs="Times New Roman"/>
          <w:sz w:val="20"/>
          <w:szCs w:val="20"/>
          <w:lang w:eastAsia="en-CA"/>
        </w:rPr>
        <w:noBreakHyphen/>
        <w:t xml:space="preserve"> Sniff search of suitcase by sniffer</w:t>
      </w:r>
      <w:r w:rsidRPr="00A23F72">
        <w:rPr>
          <w:rFonts w:eastAsia="Times New Roman" w:cs="Times New Roman"/>
          <w:sz w:val="20"/>
          <w:szCs w:val="20"/>
          <w:lang w:eastAsia="en-CA"/>
        </w:rPr>
        <w:noBreakHyphen/>
      </w:r>
      <w:proofErr w:type="spellStart"/>
      <w:r w:rsidRPr="00A23F72">
        <w:rPr>
          <w:rFonts w:eastAsia="Times New Roman" w:cs="Times New Roman"/>
          <w:sz w:val="20"/>
          <w:szCs w:val="20"/>
          <w:lang w:eastAsia="en-CA"/>
        </w:rPr>
        <w:t>dog</w:t>
      </w:r>
      <w:proofErr w:type="spellEnd"/>
      <w:r w:rsidRPr="00A23F72">
        <w:rPr>
          <w:rFonts w:eastAsia="Times New Roman" w:cs="Times New Roman"/>
          <w:sz w:val="20"/>
          <w:szCs w:val="20"/>
          <w:lang w:eastAsia="en-CA"/>
        </w:rPr>
        <w:t xml:space="preserve"> led to discovery of drugs </w:t>
      </w:r>
      <w:r w:rsidRPr="00A23F72">
        <w:rPr>
          <w:rFonts w:eastAsia="Times New Roman" w:cs="Times New Roman"/>
          <w:sz w:val="20"/>
          <w:szCs w:val="20"/>
          <w:lang w:eastAsia="en-CA"/>
        </w:rPr>
        <w:noBreakHyphen/>
        <w:t xml:space="preserve"> </w:t>
      </w:r>
      <w:proofErr w:type="gramStart"/>
      <w:r w:rsidRPr="00A23F72">
        <w:rPr>
          <w:rFonts w:eastAsia="Times New Roman" w:cs="Times New Roman"/>
          <w:sz w:val="20"/>
          <w:szCs w:val="20"/>
          <w:lang w:eastAsia="en-CA"/>
        </w:rPr>
        <w:t>Whether</w:t>
      </w:r>
      <w:proofErr w:type="gramEnd"/>
      <w:r w:rsidRPr="00A23F72">
        <w:rPr>
          <w:rFonts w:eastAsia="Times New Roman" w:cs="Times New Roman"/>
          <w:sz w:val="20"/>
          <w:szCs w:val="20"/>
          <w:lang w:eastAsia="en-CA"/>
        </w:rPr>
        <w:t xml:space="preserve"> police conduct violated s. 8 of the </w:t>
      </w:r>
      <w:r w:rsidRPr="00A23F72">
        <w:rPr>
          <w:rFonts w:eastAsia="Times New Roman" w:cs="Times New Roman"/>
          <w:i/>
          <w:sz w:val="20"/>
          <w:szCs w:val="20"/>
          <w:lang w:eastAsia="en-CA"/>
        </w:rPr>
        <w:t>Charter</w:t>
      </w:r>
      <w:r w:rsidRPr="00A23F72">
        <w:rPr>
          <w:rFonts w:eastAsia="Times New Roman" w:cs="Times New Roman"/>
          <w:sz w:val="20"/>
          <w:szCs w:val="20"/>
          <w:lang w:eastAsia="en-CA"/>
        </w:rPr>
        <w:t xml:space="preserve"> </w:t>
      </w:r>
      <w:r w:rsidRPr="00A23F72">
        <w:rPr>
          <w:rFonts w:eastAsia="Times New Roman" w:cs="Times New Roman"/>
          <w:sz w:val="20"/>
          <w:szCs w:val="20"/>
          <w:lang w:eastAsia="en-CA"/>
        </w:rPr>
        <w:noBreakHyphen/>
        <w:t xml:space="preserve"> Whether the evidence should have been excluded pursuant to s. 24(2) of the </w:t>
      </w:r>
      <w:r w:rsidRPr="00A23F72">
        <w:rPr>
          <w:rFonts w:eastAsia="Times New Roman" w:cs="Times New Roman"/>
          <w:i/>
          <w:sz w:val="20"/>
          <w:szCs w:val="20"/>
          <w:lang w:eastAsia="en-CA"/>
        </w:rPr>
        <w:t>Charter</w:t>
      </w:r>
      <w:r w:rsidRPr="00A23F72">
        <w:rPr>
          <w:rFonts w:eastAsia="Times New Roman" w:cs="Times New Roman"/>
          <w:sz w:val="20"/>
          <w:szCs w:val="20"/>
          <w:lang w:eastAsia="en-CA"/>
        </w:rPr>
        <w:t xml:space="preserve">. </w:t>
      </w:r>
    </w:p>
    <w:p w:rsidR="00A23F72" w:rsidRPr="00A23F72" w:rsidRDefault="00A23F72" w:rsidP="00A23F72">
      <w:pPr>
        <w:widowControl w:val="0"/>
        <w:jc w:val="both"/>
        <w:rPr>
          <w:rFonts w:eastAsia="Times New Roman" w:cs="Times New Roman"/>
          <w:sz w:val="20"/>
          <w:szCs w:val="20"/>
          <w:lang w:eastAsia="en-CA"/>
        </w:rPr>
      </w:pPr>
    </w:p>
    <w:p w:rsidR="00A23F72" w:rsidRPr="00A23F72" w:rsidRDefault="00A23F72" w:rsidP="00A23F72">
      <w:pPr>
        <w:widowControl w:val="0"/>
        <w:jc w:val="both"/>
        <w:rPr>
          <w:rFonts w:eastAsia="Times New Roman" w:cs="Times New Roman"/>
          <w:sz w:val="20"/>
          <w:szCs w:val="20"/>
          <w:lang w:eastAsia="en-CA"/>
        </w:rPr>
      </w:pPr>
      <w:r w:rsidRPr="00A23F72">
        <w:rPr>
          <w:rFonts w:eastAsia="Times New Roman" w:cs="Times New Roman"/>
          <w:sz w:val="20"/>
          <w:szCs w:val="20"/>
          <w:lang w:eastAsia="en-CA"/>
        </w:rPr>
        <w:t>The appellant, Mr. </w:t>
      </w:r>
      <w:proofErr w:type="spellStart"/>
      <w:r w:rsidRPr="00A23F72">
        <w:rPr>
          <w:rFonts w:eastAsia="Times New Roman" w:cs="Times New Roman"/>
          <w:sz w:val="20"/>
          <w:szCs w:val="20"/>
          <w:lang w:eastAsia="en-CA"/>
        </w:rPr>
        <w:t>Chehil</w:t>
      </w:r>
      <w:proofErr w:type="spellEnd"/>
      <w:r w:rsidRPr="00A23F72">
        <w:rPr>
          <w:rFonts w:eastAsia="Times New Roman" w:cs="Times New Roman"/>
          <w:sz w:val="20"/>
          <w:szCs w:val="20"/>
          <w:lang w:eastAsia="en-CA"/>
        </w:rPr>
        <w:t>, was travelling by plane from Vancouver to Halifax.  His travel patterns raised the suspicion of the police.  When Mr. </w:t>
      </w:r>
      <w:proofErr w:type="spellStart"/>
      <w:r w:rsidRPr="00A23F72">
        <w:rPr>
          <w:rFonts w:eastAsia="Times New Roman" w:cs="Times New Roman"/>
          <w:sz w:val="20"/>
          <w:szCs w:val="20"/>
          <w:lang w:eastAsia="en-CA"/>
        </w:rPr>
        <w:t>Chehil</w:t>
      </w:r>
      <w:proofErr w:type="spellEnd"/>
      <w:r w:rsidRPr="00A23F72">
        <w:rPr>
          <w:rFonts w:eastAsia="Times New Roman" w:cs="Times New Roman"/>
          <w:sz w:val="20"/>
          <w:szCs w:val="20"/>
          <w:lang w:eastAsia="en-CA"/>
        </w:rPr>
        <w:t xml:space="preserve"> arrived, the police deployed a sniffer dog to smell his suitcase.  The dog identified the suitcase, as well as a cooler immediately next to the suitcase, as containing narcotics.  Mr. </w:t>
      </w:r>
      <w:proofErr w:type="spellStart"/>
      <w:r w:rsidRPr="00A23F72">
        <w:rPr>
          <w:rFonts w:eastAsia="Times New Roman" w:cs="Times New Roman"/>
          <w:sz w:val="20"/>
          <w:szCs w:val="20"/>
          <w:lang w:eastAsia="en-CA"/>
        </w:rPr>
        <w:t>Chehil</w:t>
      </w:r>
      <w:proofErr w:type="spellEnd"/>
      <w:r w:rsidRPr="00A23F72">
        <w:rPr>
          <w:rFonts w:eastAsia="Times New Roman" w:cs="Times New Roman"/>
          <w:sz w:val="20"/>
          <w:szCs w:val="20"/>
          <w:lang w:eastAsia="en-CA"/>
        </w:rPr>
        <w:t xml:space="preserve"> was arrested, his suitcase was searched and a large quantity of cocaine was discovered.  The cooler was also searched but did not contain drugs.  The trial judge held that the search violated Mr. </w:t>
      </w:r>
      <w:proofErr w:type="spellStart"/>
      <w:r w:rsidRPr="00A23F72">
        <w:rPr>
          <w:rFonts w:eastAsia="Times New Roman" w:cs="Times New Roman"/>
          <w:sz w:val="20"/>
          <w:szCs w:val="20"/>
          <w:lang w:eastAsia="en-CA"/>
        </w:rPr>
        <w:t>Chehil’s</w:t>
      </w:r>
      <w:proofErr w:type="spellEnd"/>
      <w:r w:rsidRPr="00A23F72">
        <w:rPr>
          <w:rFonts w:eastAsia="Times New Roman" w:cs="Times New Roman"/>
          <w:sz w:val="20"/>
          <w:szCs w:val="20"/>
          <w:lang w:eastAsia="en-CA"/>
        </w:rPr>
        <w:t xml:space="preserve"> </w:t>
      </w:r>
      <w:r w:rsidRPr="00A23F72">
        <w:rPr>
          <w:rFonts w:eastAsia="Times New Roman" w:cs="Times New Roman"/>
          <w:i/>
          <w:sz w:val="20"/>
          <w:szCs w:val="20"/>
          <w:lang w:eastAsia="en-CA"/>
        </w:rPr>
        <w:t>Charter</w:t>
      </w:r>
      <w:r w:rsidRPr="00A23F72">
        <w:rPr>
          <w:rFonts w:eastAsia="Times New Roman" w:cs="Times New Roman"/>
          <w:sz w:val="20"/>
          <w:szCs w:val="20"/>
          <w:lang w:eastAsia="en-CA"/>
        </w:rPr>
        <w:t xml:space="preserve"> rights.  He concluded that the specific facts of the case did not meet the “reasonable suspicion” standard for deploying a drug sniffer dog, and that even if the use of the dog was </w:t>
      </w:r>
      <w:r w:rsidRPr="00A23F72">
        <w:rPr>
          <w:rFonts w:eastAsia="Times New Roman" w:cs="Times New Roman"/>
          <w:i/>
          <w:sz w:val="20"/>
          <w:szCs w:val="20"/>
          <w:lang w:eastAsia="en-CA"/>
        </w:rPr>
        <w:t>Charter</w:t>
      </w:r>
      <w:r w:rsidRPr="00A23F72">
        <w:rPr>
          <w:rFonts w:eastAsia="Times New Roman" w:cs="Times New Roman"/>
          <w:sz w:val="20"/>
          <w:szCs w:val="20"/>
          <w:lang w:eastAsia="en-CA"/>
        </w:rPr>
        <w:t xml:space="preserve"> compliant, the dog’s incorrect indication of drugs in the cooler undermined his reliability such that his positive indication of drugs in the suitcase did not give rise to reasonable grounds to believe the suitcase contained drugs.  The drugs were excluded, resulting in an acquittal.  The Court of Appeal allowed the appeal and ordered a new trial.</w:t>
      </w:r>
    </w:p>
    <w:p w:rsidR="00A23F72" w:rsidRPr="00A23F72" w:rsidRDefault="00A23F72" w:rsidP="00A23F72">
      <w:pPr>
        <w:widowControl w:val="0"/>
        <w:jc w:val="both"/>
        <w:rPr>
          <w:rFonts w:eastAsia="Times New Roman" w:cs="Times New Roman"/>
          <w:sz w:val="20"/>
          <w:szCs w:val="20"/>
          <w:lang w:eastAsia="en-CA"/>
        </w:rPr>
      </w:pPr>
    </w:p>
    <w:p w:rsidR="00A23F72" w:rsidRPr="00A23F72" w:rsidRDefault="00A23F72" w:rsidP="00A23F72">
      <w:pPr>
        <w:widowControl w:val="0"/>
        <w:jc w:val="both"/>
        <w:rPr>
          <w:rFonts w:eastAsia="Times New Roman" w:cs="Times New Roman"/>
          <w:sz w:val="20"/>
          <w:szCs w:val="20"/>
          <w:lang w:eastAsia="en-CA"/>
        </w:rPr>
      </w:pPr>
    </w:p>
    <w:p w:rsidR="00A23F72" w:rsidRPr="00A23F72" w:rsidRDefault="00A23F72" w:rsidP="00A23F72">
      <w:pPr>
        <w:widowControl w:val="0"/>
        <w:ind w:left="2880" w:hanging="2880"/>
        <w:jc w:val="both"/>
        <w:rPr>
          <w:rFonts w:eastAsia="Times New Roman" w:cs="Times New Roman"/>
          <w:sz w:val="20"/>
          <w:szCs w:val="20"/>
          <w:lang w:eastAsia="en-CA"/>
        </w:rPr>
      </w:pPr>
      <w:r w:rsidRPr="00A23F72">
        <w:rPr>
          <w:rFonts w:eastAsia="Times New Roman" w:cs="Times New Roman"/>
          <w:sz w:val="20"/>
          <w:szCs w:val="20"/>
          <w:lang w:eastAsia="en-CA"/>
        </w:rPr>
        <w:t>Origin of the case:</w:t>
      </w:r>
      <w:r w:rsidRPr="00A23F72">
        <w:rPr>
          <w:rFonts w:eastAsia="Times New Roman" w:cs="Times New Roman"/>
          <w:sz w:val="20"/>
          <w:szCs w:val="20"/>
          <w:lang w:eastAsia="en-CA"/>
        </w:rPr>
        <w:tab/>
        <w:t>Nova Scotia</w:t>
      </w:r>
    </w:p>
    <w:p w:rsidR="00A23F72" w:rsidRPr="00A23F72" w:rsidRDefault="00A23F72" w:rsidP="00A23F72">
      <w:pPr>
        <w:widowControl w:val="0"/>
        <w:ind w:left="2880" w:hanging="2880"/>
        <w:jc w:val="both"/>
        <w:rPr>
          <w:rFonts w:eastAsia="Times New Roman" w:cs="Times New Roman"/>
          <w:sz w:val="20"/>
          <w:szCs w:val="20"/>
          <w:lang w:eastAsia="en-CA"/>
        </w:rPr>
      </w:pPr>
    </w:p>
    <w:p w:rsidR="00A23F72" w:rsidRPr="00A23F72" w:rsidRDefault="00A23F72" w:rsidP="00A23F72">
      <w:pPr>
        <w:widowControl w:val="0"/>
        <w:ind w:left="2880" w:hanging="2880"/>
        <w:jc w:val="both"/>
        <w:rPr>
          <w:rFonts w:eastAsia="Times New Roman" w:cs="Times New Roman"/>
          <w:sz w:val="20"/>
          <w:szCs w:val="20"/>
          <w:lang w:eastAsia="en-CA"/>
        </w:rPr>
      </w:pPr>
      <w:r w:rsidRPr="00A23F72">
        <w:rPr>
          <w:rFonts w:eastAsia="Times New Roman" w:cs="Times New Roman"/>
          <w:sz w:val="20"/>
          <w:szCs w:val="20"/>
          <w:lang w:eastAsia="en-CA"/>
        </w:rPr>
        <w:t>File No.:</w:t>
      </w:r>
      <w:r w:rsidRPr="00A23F72">
        <w:rPr>
          <w:rFonts w:eastAsia="Times New Roman" w:cs="Times New Roman"/>
          <w:sz w:val="20"/>
          <w:szCs w:val="20"/>
          <w:lang w:eastAsia="en-CA"/>
        </w:rPr>
        <w:tab/>
        <w:t>34524</w:t>
      </w:r>
    </w:p>
    <w:p w:rsidR="00A23F72" w:rsidRPr="00A23F72" w:rsidRDefault="00A23F72" w:rsidP="00A23F72">
      <w:pPr>
        <w:widowControl w:val="0"/>
        <w:ind w:left="2880" w:hanging="2880"/>
        <w:jc w:val="both"/>
        <w:rPr>
          <w:rFonts w:eastAsia="Times New Roman" w:cs="Times New Roman"/>
          <w:sz w:val="20"/>
          <w:szCs w:val="20"/>
          <w:lang w:eastAsia="en-CA"/>
        </w:rPr>
      </w:pPr>
    </w:p>
    <w:p w:rsidR="00A23F72" w:rsidRPr="00A23F72" w:rsidRDefault="00A23F72" w:rsidP="00A23F72">
      <w:pPr>
        <w:widowControl w:val="0"/>
        <w:ind w:left="2880" w:hanging="2880"/>
        <w:jc w:val="both"/>
        <w:rPr>
          <w:rFonts w:eastAsia="Times New Roman" w:cs="Times New Roman"/>
          <w:sz w:val="20"/>
          <w:szCs w:val="20"/>
          <w:lang w:eastAsia="en-CA"/>
        </w:rPr>
      </w:pPr>
      <w:r w:rsidRPr="00A23F72">
        <w:rPr>
          <w:rFonts w:eastAsia="Times New Roman" w:cs="Times New Roman"/>
          <w:sz w:val="20"/>
          <w:szCs w:val="20"/>
          <w:lang w:eastAsia="en-CA"/>
        </w:rPr>
        <w:t>Judgment of the Court of Appeal:</w:t>
      </w:r>
      <w:r w:rsidRPr="00A23F72">
        <w:rPr>
          <w:rFonts w:eastAsia="Times New Roman" w:cs="Times New Roman"/>
          <w:sz w:val="20"/>
          <w:szCs w:val="20"/>
          <w:lang w:eastAsia="en-CA"/>
        </w:rPr>
        <w:tab/>
        <w:t>September 16, 2011</w:t>
      </w:r>
    </w:p>
    <w:p w:rsidR="00A23F72" w:rsidRPr="00A23F72" w:rsidRDefault="00A23F72" w:rsidP="00A23F72">
      <w:pPr>
        <w:widowControl w:val="0"/>
        <w:ind w:left="2880" w:hanging="2880"/>
        <w:jc w:val="both"/>
        <w:rPr>
          <w:rFonts w:eastAsia="Times New Roman" w:cs="Times New Roman"/>
          <w:sz w:val="20"/>
          <w:szCs w:val="20"/>
          <w:lang w:eastAsia="en-CA"/>
        </w:rPr>
      </w:pPr>
    </w:p>
    <w:p w:rsidR="00A23F72" w:rsidRPr="00A23F72" w:rsidRDefault="00A23F72" w:rsidP="00A23F72">
      <w:pPr>
        <w:widowControl w:val="0"/>
        <w:ind w:left="2880" w:hanging="2880"/>
        <w:jc w:val="both"/>
        <w:rPr>
          <w:rFonts w:eastAsia="Times New Roman" w:cs="Times New Roman"/>
          <w:sz w:val="20"/>
          <w:szCs w:val="20"/>
          <w:lang w:eastAsia="en-CA"/>
        </w:rPr>
      </w:pPr>
      <w:r w:rsidRPr="00A23F72">
        <w:rPr>
          <w:rFonts w:eastAsia="Times New Roman" w:cs="Times New Roman"/>
          <w:sz w:val="20"/>
          <w:szCs w:val="20"/>
          <w:lang w:eastAsia="en-CA"/>
        </w:rPr>
        <w:t>Counsel:</w:t>
      </w:r>
      <w:r w:rsidRPr="00A23F72">
        <w:rPr>
          <w:rFonts w:eastAsia="Times New Roman" w:cs="Times New Roman"/>
          <w:sz w:val="20"/>
          <w:szCs w:val="20"/>
          <w:lang w:eastAsia="en-CA"/>
        </w:rPr>
        <w:tab/>
        <w:t>Stanley W. MacDonald, Q.C. and Garson MacDonald for the appellant</w:t>
      </w:r>
    </w:p>
    <w:p w:rsidR="00A23F72" w:rsidRPr="00A23F72" w:rsidRDefault="00A23F72" w:rsidP="00A23F72">
      <w:pPr>
        <w:widowControl w:val="0"/>
        <w:ind w:left="2880" w:hanging="2880"/>
        <w:jc w:val="both"/>
        <w:rPr>
          <w:rFonts w:eastAsia="Times New Roman" w:cs="Times New Roman"/>
          <w:sz w:val="20"/>
          <w:szCs w:val="20"/>
          <w:lang w:eastAsia="en-CA"/>
        </w:rPr>
      </w:pPr>
      <w:r w:rsidRPr="00A23F72">
        <w:rPr>
          <w:rFonts w:eastAsia="Times New Roman" w:cs="Times New Roman"/>
          <w:sz w:val="20"/>
          <w:szCs w:val="20"/>
          <w:lang w:eastAsia="en-CA"/>
        </w:rPr>
        <w:tab/>
        <w:t xml:space="preserve">Mark </w:t>
      </w:r>
      <w:proofErr w:type="spellStart"/>
      <w:r w:rsidRPr="00A23F72">
        <w:rPr>
          <w:rFonts w:eastAsia="Times New Roman" w:cs="Times New Roman"/>
          <w:sz w:val="20"/>
          <w:szCs w:val="20"/>
          <w:lang w:eastAsia="en-CA"/>
        </w:rPr>
        <w:t>Covan</w:t>
      </w:r>
      <w:proofErr w:type="spellEnd"/>
      <w:r w:rsidRPr="00A23F72">
        <w:rPr>
          <w:rFonts w:eastAsia="Times New Roman" w:cs="Times New Roman"/>
          <w:sz w:val="20"/>
          <w:szCs w:val="20"/>
          <w:lang w:eastAsia="en-CA"/>
        </w:rPr>
        <w:t xml:space="preserve"> for the respondent</w:t>
      </w:r>
    </w:p>
    <w:p w:rsidR="00602152" w:rsidRPr="00985E39"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4"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985E39" w:rsidRPr="006C7F8C" w:rsidRDefault="007F0A1D" w:rsidP="00985E39">
      <w:pPr>
        <w:widowControl w:val="0"/>
        <w:ind w:left="720" w:hanging="720"/>
        <w:jc w:val="both"/>
        <w:rPr>
          <w:sz w:val="20"/>
          <w:szCs w:val="20"/>
          <w:lang w:val="fr-CA"/>
        </w:rPr>
      </w:pPr>
      <w:r w:rsidRPr="006C7F8C">
        <w:rPr>
          <w:b/>
          <w:sz w:val="20"/>
          <w:szCs w:val="20"/>
          <w:lang w:val="fr-CA"/>
        </w:rPr>
        <w:lastRenderedPageBreak/>
        <w:fldChar w:fldCharType="begin"/>
      </w:r>
      <w:r w:rsidR="00985E39" w:rsidRPr="006C7F8C">
        <w:rPr>
          <w:b/>
          <w:sz w:val="20"/>
          <w:szCs w:val="20"/>
          <w:lang w:val="fr-CA"/>
        </w:rPr>
        <w:instrText xml:space="preserve"> SEQ CHAPTER \h \r 1</w:instrText>
      </w:r>
      <w:r w:rsidRPr="006C7F8C">
        <w:rPr>
          <w:b/>
          <w:sz w:val="20"/>
          <w:szCs w:val="20"/>
          <w:lang w:val="fr-CA"/>
        </w:rPr>
        <w:fldChar w:fldCharType="end"/>
      </w:r>
      <w:r w:rsidR="00985E39" w:rsidRPr="006C7F8C">
        <w:rPr>
          <w:b/>
          <w:sz w:val="20"/>
          <w:szCs w:val="20"/>
          <w:lang w:val="fr-CA"/>
        </w:rPr>
        <w:t>34524</w:t>
      </w:r>
      <w:r w:rsidR="00985E39" w:rsidRPr="006C7F8C">
        <w:rPr>
          <w:sz w:val="20"/>
          <w:szCs w:val="20"/>
          <w:lang w:val="fr-CA"/>
        </w:rPr>
        <w:tab/>
      </w:r>
      <w:proofErr w:type="spellStart"/>
      <w:r w:rsidR="00985E39" w:rsidRPr="006C7F8C">
        <w:rPr>
          <w:b/>
          <w:i/>
          <w:sz w:val="20"/>
          <w:szCs w:val="20"/>
          <w:lang w:val="fr-CA"/>
        </w:rPr>
        <w:t>Mandeep</w:t>
      </w:r>
      <w:proofErr w:type="spellEnd"/>
      <w:r w:rsidR="00985E39" w:rsidRPr="006C7F8C">
        <w:rPr>
          <w:b/>
          <w:i/>
          <w:sz w:val="20"/>
          <w:szCs w:val="20"/>
          <w:lang w:val="fr-CA"/>
        </w:rPr>
        <w:t xml:space="preserve"> Singh </w:t>
      </w:r>
      <w:proofErr w:type="spellStart"/>
      <w:r w:rsidR="00985E39" w:rsidRPr="006C7F8C">
        <w:rPr>
          <w:b/>
          <w:i/>
          <w:sz w:val="20"/>
          <w:szCs w:val="20"/>
          <w:lang w:val="fr-CA"/>
        </w:rPr>
        <w:t>Chehil</w:t>
      </w:r>
      <w:proofErr w:type="spellEnd"/>
      <w:r w:rsidR="00985E39" w:rsidRPr="006C7F8C">
        <w:rPr>
          <w:b/>
          <w:i/>
          <w:sz w:val="20"/>
          <w:szCs w:val="20"/>
          <w:lang w:val="fr-CA"/>
        </w:rPr>
        <w:t xml:space="preserve"> c. Sa Majesté la Reine</w:t>
      </w:r>
    </w:p>
    <w:p w:rsidR="00985E39" w:rsidRPr="006C7F8C" w:rsidRDefault="00985E39" w:rsidP="00985E39">
      <w:pPr>
        <w:widowControl w:val="0"/>
        <w:jc w:val="both"/>
        <w:rPr>
          <w:sz w:val="20"/>
          <w:szCs w:val="20"/>
          <w:lang w:val="fr-CA"/>
        </w:rPr>
      </w:pPr>
    </w:p>
    <w:p w:rsidR="00985E39" w:rsidRPr="006C7F8C" w:rsidRDefault="00985E39" w:rsidP="00985E39">
      <w:pPr>
        <w:widowControl w:val="0"/>
        <w:jc w:val="both"/>
        <w:rPr>
          <w:sz w:val="20"/>
          <w:szCs w:val="20"/>
          <w:lang w:val="fr-CA"/>
        </w:rPr>
      </w:pPr>
      <w:r w:rsidRPr="006C7F8C">
        <w:rPr>
          <w:i/>
          <w:sz w:val="20"/>
          <w:szCs w:val="20"/>
          <w:lang w:val="fr-CA"/>
        </w:rPr>
        <w:t xml:space="preserve">Charte des droits </w:t>
      </w:r>
      <w:r w:rsidRPr="006C7F8C">
        <w:rPr>
          <w:sz w:val="20"/>
          <w:szCs w:val="20"/>
          <w:lang w:val="fr-CA"/>
        </w:rPr>
        <w:noBreakHyphen/>
        <w:t xml:space="preserve"> Droit criminel </w:t>
      </w:r>
      <w:r w:rsidRPr="006C7F8C">
        <w:rPr>
          <w:sz w:val="20"/>
          <w:szCs w:val="20"/>
          <w:lang w:val="fr-CA"/>
        </w:rPr>
        <w:noBreakHyphen/>
        <w:t xml:space="preserve"> Fouilles et perquisitions </w:t>
      </w:r>
      <w:r w:rsidRPr="006C7F8C">
        <w:rPr>
          <w:sz w:val="20"/>
          <w:szCs w:val="20"/>
          <w:lang w:val="fr-CA"/>
        </w:rPr>
        <w:noBreakHyphen/>
        <w:t xml:space="preserve"> Protection contre fouilles, les perquisitions et les saisies abusives </w:t>
      </w:r>
      <w:r w:rsidRPr="006C7F8C">
        <w:rPr>
          <w:sz w:val="20"/>
          <w:szCs w:val="20"/>
          <w:lang w:val="fr-CA"/>
        </w:rPr>
        <w:noBreakHyphen/>
        <w:t xml:space="preserve"> La fouille d’une valise au moyen d’un chien renifleur a mené à la découverte de drogue </w:t>
      </w:r>
      <w:r w:rsidRPr="006C7F8C">
        <w:rPr>
          <w:sz w:val="20"/>
          <w:szCs w:val="20"/>
          <w:lang w:val="fr-CA"/>
        </w:rPr>
        <w:noBreakHyphen/>
        <w:t xml:space="preserve"> La conduite de la police </w:t>
      </w:r>
      <w:proofErr w:type="spellStart"/>
      <w:r w:rsidRPr="006C7F8C">
        <w:rPr>
          <w:sz w:val="20"/>
          <w:szCs w:val="20"/>
          <w:lang w:val="fr-CA"/>
        </w:rPr>
        <w:t>a</w:t>
      </w:r>
      <w:r w:rsidRPr="006C7F8C">
        <w:rPr>
          <w:sz w:val="20"/>
          <w:szCs w:val="20"/>
          <w:lang w:val="fr-CA"/>
        </w:rPr>
        <w:noBreakHyphen/>
        <w:t>t</w:t>
      </w:r>
      <w:r w:rsidRPr="006C7F8C">
        <w:rPr>
          <w:sz w:val="20"/>
          <w:szCs w:val="20"/>
          <w:lang w:val="fr-CA"/>
        </w:rPr>
        <w:noBreakHyphen/>
        <w:t>elle</w:t>
      </w:r>
      <w:proofErr w:type="spellEnd"/>
      <w:r w:rsidRPr="006C7F8C">
        <w:rPr>
          <w:sz w:val="20"/>
          <w:szCs w:val="20"/>
          <w:lang w:val="fr-CA"/>
        </w:rPr>
        <w:t xml:space="preserve"> violé l’art. 8 de la </w:t>
      </w:r>
      <w:r w:rsidRPr="006C7F8C">
        <w:rPr>
          <w:i/>
          <w:sz w:val="20"/>
          <w:szCs w:val="20"/>
          <w:lang w:val="fr-CA"/>
        </w:rPr>
        <w:t>Charte</w:t>
      </w:r>
      <w:r w:rsidRPr="006C7F8C">
        <w:rPr>
          <w:sz w:val="20"/>
          <w:szCs w:val="20"/>
          <w:lang w:val="fr-CA"/>
        </w:rPr>
        <w:t xml:space="preserve">? </w:t>
      </w:r>
      <w:r w:rsidRPr="006C7F8C">
        <w:rPr>
          <w:sz w:val="20"/>
          <w:szCs w:val="20"/>
          <w:lang w:val="fr-CA"/>
        </w:rPr>
        <w:noBreakHyphen/>
        <w:t xml:space="preserve"> La preuve </w:t>
      </w:r>
      <w:proofErr w:type="spellStart"/>
      <w:r w:rsidRPr="006C7F8C">
        <w:rPr>
          <w:sz w:val="20"/>
          <w:szCs w:val="20"/>
          <w:lang w:val="fr-CA"/>
        </w:rPr>
        <w:t>aurait</w:t>
      </w:r>
      <w:r w:rsidRPr="006C7F8C">
        <w:rPr>
          <w:sz w:val="20"/>
          <w:szCs w:val="20"/>
          <w:lang w:val="fr-CA"/>
        </w:rPr>
        <w:noBreakHyphen/>
        <w:t>elle</w:t>
      </w:r>
      <w:proofErr w:type="spellEnd"/>
      <w:r w:rsidRPr="006C7F8C">
        <w:rPr>
          <w:sz w:val="20"/>
          <w:szCs w:val="20"/>
          <w:lang w:val="fr-CA"/>
        </w:rPr>
        <w:t xml:space="preserve"> dû être exclue en application du par. 24(2) de la </w:t>
      </w:r>
      <w:r w:rsidRPr="006C7F8C">
        <w:rPr>
          <w:i/>
          <w:sz w:val="20"/>
          <w:szCs w:val="20"/>
          <w:lang w:val="fr-CA"/>
        </w:rPr>
        <w:t>Charte</w:t>
      </w:r>
      <w:r w:rsidRPr="006C7F8C">
        <w:rPr>
          <w:sz w:val="20"/>
          <w:szCs w:val="20"/>
          <w:lang w:val="fr-CA"/>
        </w:rPr>
        <w:t xml:space="preserve">? </w:t>
      </w:r>
    </w:p>
    <w:p w:rsidR="00985E39" w:rsidRPr="006C7F8C" w:rsidRDefault="00985E39" w:rsidP="00985E39">
      <w:pPr>
        <w:widowControl w:val="0"/>
        <w:jc w:val="both"/>
        <w:rPr>
          <w:sz w:val="20"/>
          <w:szCs w:val="20"/>
          <w:lang w:val="fr-CA"/>
        </w:rPr>
      </w:pPr>
    </w:p>
    <w:p w:rsidR="00985E39" w:rsidRPr="006C7F8C" w:rsidRDefault="00985E39" w:rsidP="00985E39">
      <w:pPr>
        <w:widowControl w:val="0"/>
        <w:jc w:val="both"/>
        <w:rPr>
          <w:sz w:val="20"/>
          <w:szCs w:val="20"/>
          <w:lang w:val="fr-CA"/>
        </w:rPr>
      </w:pPr>
      <w:r w:rsidRPr="006C7F8C">
        <w:rPr>
          <w:sz w:val="20"/>
          <w:szCs w:val="20"/>
          <w:lang w:val="fr-CA"/>
        </w:rPr>
        <w:t>L’appelant, M. </w:t>
      </w:r>
      <w:proofErr w:type="spellStart"/>
      <w:r w:rsidRPr="006C7F8C">
        <w:rPr>
          <w:sz w:val="20"/>
          <w:szCs w:val="20"/>
          <w:lang w:val="fr-CA"/>
        </w:rPr>
        <w:t>Chehil</w:t>
      </w:r>
      <w:proofErr w:type="spellEnd"/>
      <w:r w:rsidRPr="006C7F8C">
        <w:rPr>
          <w:sz w:val="20"/>
          <w:szCs w:val="20"/>
          <w:lang w:val="fr-CA"/>
        </w:rPr>
        <w:t>, voyageait par avion de Vancouver à Halifax.  Ses habitudes de voyage ont éveillé les soupçons de la police.  À l’arrivée de M. </w:t>
      </w:r>
      <w:proofErr w:type="spellStart"/>
      <w:r w:rsidRPr="006C7F8C">
        <w:rPr>
          <w:sz w:val="20"/>
          <w:szCs w:val="20"/>
          <w:lang w:val="fr-CA"/>
        </w:rPr>
        <w:t>Chelil</w:t>
      </w:r>
      <w:proofErr w:type="spellEnd"/>
      <w:r w:rsidRPr="006C7F8C">
        <w:rPr>
          <w:sz w:val="20"/>
          <w:szCs w:val="20"/>
          <w:lang w:val="fr-CA"/>
        </w:rPr>
        <w:t xml:space="preserve">, la police a eu recours à un chien renifleur pour flairer sa valise.  Le chien a identifié la valise, ainsi qu’une glacière située juste à côté de la valise, comme contenant des stupéfiants.  Monsieur </w:t>
      </w:r>
      <w:proofErr w:type="spellStart"/>
      <w:r w:rsidRPr="006C7F8C">
        <w:rPr>
          <w:sz w:val="20"/>
          <w:szCs w:val="20"/>
          <w:lang w:val="fr-CA"/>
        </w:rPr>
        <w:t>Chehil</w:t>
      </w:r>
      <w:proofErr w:type="spellEnd"/>
      <w:r w:rsidRPr="006C7F8C">
        <w:rPr>
          <w:sz w:val="20"/>
          <w:szCs w:val="20"/>
          <w:lang w:val="fr-CA"/>
        </w:rPr>
        <w:t xml:space="preserve"> a été arrêté, sa valise a été fouillée et une quantité importante de cocaïne a été découverte.  La glacière a été fouillée </w:t>
      </w:r>
      <w:proofErr w:type="spellStart"/>
      <w:r w:rsidRPr="006C7F8C">
        <w:rPr>
          <w:sz w:val="20"/>
          <w:szCs w:val="20"/>
          <w:lang w:val="fr-CA"/>
        </w:rPr>
        <w:t>elle</w:t>
      </w:r>
      <w:r w:rsidRPr="006C7F8C">
        <w:rPr>
          <w:sz w:val="20"/>
          <w:szCs w:val="20"/>
          <w:lang w:val="fr-CA"/>
        </w:rPr>
        <w:noBreakHyphen/>
        <w:t>aussi</w:t>
      </w:r>
      <w:proofErr w:type="spellEnd"/>
      <w:r w:rsidRPr="006C7F8C">
        <w:rPr>
          <w:sz w:val="20"/>
          <w:szCs w:val="20"/>
          <w:lang w:val="fr-CA"/>
        </w:rPr>
        <w:t>, mais elle ne renfermait pas de drogue.  Le juge du procès a statué que la fouille avait violé les droits de M. </w:t>
      </w:r>
      <w:proofErr w:type="spellStart"/>
      <w:r w:rsidRPr="006C7F8C">
        <w:rPr>
          <w:sz w:val="20"/>
          <w:szCs w:val="20"/>
          <w:lang w:val="fr-CA"/>
        </w:rPr>
        <w:t>Chehil</w:t>
      </w:r>
      <w:proofErr w:type="spellEnd"/>
      <w:r w:rsidRPr="006C7F8C">
        <w:rPr>
          <w:sz w:val="20"/>
          <w:szCs w:val="20"/>
          <w:lang w:val="fr-CA"/>
        </w:rPr>
        <w:t xml:space="preserve"> garantis par la </w:t>
      </w:r>
      <w:r w:rsidRPr="006C7F8C">
        <w:rPr>
          <w:i/>
          <w:sz w:val="20"/>
          <w:szCs w:val="20"/>
          <w:lang w:val="fr-CA"/>
        </w:rPr>
        <w:t>Charte</w:t>
      </w:r>
      <w:r w:rsidRPr="006C7F8C">
        <w:rPr>
          <w:sz w:val="20"/>
          <w:szCs w:val="20"/>
          <w:lang w:val="fr-CA"/>
        </w:rPr>
        <w:t xml:space="preserve">.  Il a conclu que les faits précis de l’affaire ne satisfaisaient pas au critère du « soupçon raisonnable » qui justifiait le recours à un chien renifleur de drogue et que même si le recours au chien était conforme à la </w:t>
      </w:r>
      <w:r w:rsidRPr="006C7F8C">
        <w:rPr>
          <w:i/>
          <w:sz w:val="20"/>
          <w:szCs w:val="20"/>
          <w:lang w:val="fr-CA"/>
        </w:rPr>
        <w:t>Charte</w:t>
      </w:r>
      <w:r w:rsidRPr="006C7F8C">
        <w:rPr>
          <w:sz w:val="20"/>
          <w:szCs w:val="20"/>
          <w:lang w:val="fr-CA"/>
        </w:rPr>
        <w:t>, l’indication inexacte de drogue dans la glacière minait sa fiabilité de sorte que son indication positive de drogue dans la valise ne donnait pas naissance à des motifs raisonnables de croire que la valise contenait de la drogue.  La drogue a été exclue, ce qui a donné lieu à un acquittement.  La Cour d’appel a accueilli l’appel et a ordonné la tenue d’un nouveau procès.</w:t>
      </w:r>
    </w:p>
    <w:p w:rsidR="00985E39" w:rsidRPr="006C7F8C" w:rsidRDefault="00985E39" w:rsidP="00985E39">
      <w:pPr>
        <w:widowControl w:val="0"/>
        <w:jc w:val="both"/>
        <w:rPr>
          <w:sz w:val="20"/>
          <w:szCs w:val="20"/>
          <w:lang w:val="fr-CA"/>
        </w:rPr>
      </w:pPr>
    </w:p>
    <w:p w:rsidR="00985E39" w:rsidRPr="006C7F8C" w:rsidRDefault="00985E39" w:rsidP="00985E39">
      <w:pPr>
        <w:widowControl w:val="0"/>
        <w:jc w:val="both"/>
        <w:rPr>
          <w:sz w:val="20"/>
          <w:szCs w:val="20"/>
          <w:lang w:val="fr-CA"/>
        </w:rPr>
      </w:pPr>
    </w:p>
    <w:p w:rsidR="00985E39" w:rsidRPr="006C7F8C" w:rsidRDefault="00985E39" w:rsidP="00985E39">
      <w:pPr>
        <w:widowControl w:val="0"/>
        <w:ind w:left="2880" w:hanging="2880"/>
        <w:jc w:val="both"/>
        <w:rPr>
          <w:sz w:val="20"/>
          <w:szCs w:val="20"/>
          <w:lang w:val="fr-CA"/>
        </w:rPr>
      </w:pPr>
      <w:r w:rsidRPr="006C7F8C">
        <w:rPr>
          <w:sz w:val="20"/>
          <w:szCs w:val="20"/>
          <w:lang w:val="fr-CA"/>
        </w:rPr>
        <w:t>Origine :</w:t>
      </w:r>
      <w:r w:rsidRPr="006C7F8C">
        <w:rPr>
          <w:sz w:val="20"/>
          <w:szCs w:val="20"/>
          <w:lang w:val="fr-CA"/>
        </w:rPr>
        <w:tab/>
      </w:r>
      <w:proofErr w:type="spellStart"/>
      <w:r w:rsidRPr="006C7F8C">
        <w:rPr>
          <w:sz w:val="20"/>
          <w:szCs w:val="20"/>
          <w:lang w:val="fr-CA"/>
        </w:rPr>
        <w:t>Nouvelle</w:t>
      </w:r>
      <w:r w:rsidRPr="006C7F8C">
        <w:rPr>
          <w:sz w:val="20"/>
          <w:szCs w:val="20"/>
          <w:lang w:val="fr-CA"/>
        </w:rPr>
        <w:noBreakHyphen/>
        <w:t>Écosse</w:t>
      </w:r>
      <w:proofErr w:type="spellEnd"/>
    </w:p>
    <w:p w:rsidR="00985E39" w:rsidRPr="006C7F8C" w:rsidRDefault="00985E39" w:rsidP="00985E39">
      <w:pPr>
        <w:widowControl w:val="0"/>
        <w:ind w:left="2880" w:hanging="2880"/>
        <w:jc w:val="both"/>
        <w:rPr>
          <w:sz w:val="20"/>
          <w:szCs w:val="20"/>
          <w:lang w:val="fr-CA"/>
        </w:rPr>
      </w:pPr>
    </w:p>
    <w:p w:rsidR="00985E39" w:rsidRPr="006C7F8C" w:rsidRDefault="00985E39" w:rsidP="00985E39">
      <w:pPr>
        <w:widowControl w:val="0"/>
        <w:ind w:left="2880" w:hanging="2880"/>
        <w:jc w:val="both"/>
        <w:rPr>
          <w:sz w:val="20"/>
          <w:szCs w:val="20"/>
          <w:lang w:val="fr-CA"/>
        </w:rPr>
      </w:pPr>
      <w:r w:rsidRPr="006C7F8C">
        <w:rPr>
          <w:sz w:val="20"/>
          <w:szCs w:val="20"/>
          <w:lang w:val="fr-CA"/>
        </w:rPr>
        <w:t>N</w:t>
      </w:r>
      <w:r w:rsidRPr="006C7F8C">
        <w:rPr>
          <w:sz w:val="20"/>
          <w:szCs w:val="20"/>
          <w:vertAlign w:val="superscript"/>
          <w:lang w:val="fr-CA"/>
        </w:rPr>
        <w:t>o</w:t>
      </w:r>
      <w:r w:rsidRPr="006C7F8C">
        <w:rPr>
          <w:sz w:val="20"/>
          <w:szCs w:val="20"/>
          <w:lang w:val="fr-CA"/>
        </w:rPr>
        <w:t xml:space="preserve"> du greffe :</w:t>
      </w:r>
      <w:r w:rsidRPr="006C7F8C">
        <w:rPr>
          <w:sz w:val="20"/>
          <w:szCs w:val="20"/>
          <w:lang w:val="fr-CA"/>
        </w:rPr>
        <w:tab/>
        <w:t>34524</w:t>
      </w:r>
    </w:p>
    <w:p w:rsidR="00985E39" w:rsidRPr="006C7F8C" w:rsidRDefault="00985E39" w:rsidP="00985E39">
      <w:pPr>
        <w:widowControl w:val="0"/>
        <w:ind w:left="2880" w:hanging="2880"/>
        <w:jc w:val="both"/>
        <w:rPr>
          <w:sz w:val="20"/>
          <w:szCs w:val="20"/>
          <w:lang w:val="fr-CA"/>
        </w:rPr>
      </w:pPr>
    </w:p>
    <w:p w:rsidR="00985E39" w:rsidRPr="006C7F8C" w:rsidRDefault="00985E39" w:rsidP="00985E39">
      <w:pPr>
        <w:widowControl w:val="0"/>
        <w:ind w:left="2880" w:hanging="2880"/>
        <w:jc w:val="both"/>
        <w:rPr>
          <w:sz w:val="20"/>
          <w:szCs w:val="20"/>
          <w:lang w:val="fr-CA"/>
        </w:rPr>
      </w:pPr>
      <w:r w:rsidRPr="006C7F8C">
        <w:rPr>
          <w:sz w:val="20"/>
          <w:szCs w:val="20"/>
          <w:lang w:val="fr-CA"/>
        </w:rPr>
        <w:t>Arrêt de la Cour d’appel :</w:t>
      </w:r>
      <w:r w:rsidRPr="006C7F8C">
        <w:rPr>
          <w:sz w:val="20"/>
          <w:szCs w:val="20"/>
          <w:lang w:val="fr-CA"/>
        </w:rPr>
        <w:tab/>
        <w:t>le 16 septembre 2011</w:t>
      </w:r>
    </w:p>
    <w:p w:rsidR="00985E39" w:rsidRPr="006C7F8C" w:rsidRDefault="00985E39" w:rsidP="00985E39">
      <w:pPr>
        <w:widowControl w:val="0"/>
        <w:ind w:left="2880" w:hanging="2880"/>
        <w:jc w:val="both"/>
        <w:rPr>
          <w:sz w:val="20"/>
          <w:szCs w:val="20"/>
          <w:lang w:val="fr-CA"/>
        </w:rPr>
      </w:pPr>
    </w:p>
    <w:p w:rsidR="00985E39" w:rsidRPr="006C7F8C" w:rsidRDefault="00985E39" w:rsidP="00985E39">
      <w:pPr>
        <w:widowControl w:val="0"/>
        <w:ind w:left="2880" w:hanging="2880"/>
        <w:jc w:val="both"/>
        <w:rPr>
          <w:sz w:val="20"/>
          <w:szCs w:val="20"/>
          <w:lang w:val="fr-CA"/>
        </w:rPr>
      </w:pPr>
      <w:r w:rsidRPr="006C7F8C">
        <w:rPr>
          <w:sz w:val="20"/>
          <w:szCs w:val="20"/>
          <w:lang w:val="fr-CA"/>
        </w:rPr>
        <w:t>Avocats :</w:t>
      </w:r>
      <w:r w:rsidRPr="006C7F8C">
        <w:rPr>
          <w:sz w:val="20"/>
          <w:szCs w:val="20"/>
          <w:lang w:val="fr-CA"/>
        </w:rPr>
        <w:tab/>
        <w:t xml:space="preserve">Stanley W. </w:t>
      </w:r>
      <w:proofErr w:type="spellStart"/>
      <w:r w:rsidRPr="006C7F8C">
        <w:rPr>
          <w:sz w:val="20"/>
          <w:szCs w:val="20"/>
          <w:lang w:val="fr-CA"/>
        </w:rPr>
        <w:t>MacDonald</w:t>
      </w:r>
      <w:proofErr w:type="spellEnd"/>
      <w:r w:rsidRPr="006C7F8C">
        <w:rPr>
          <w:sz w:val="20"/>
          <w:szCs w:val="20"/>
          <w:lang w:val="fr-CA"/>
        </w:rPr>
        <w:t xml:space="preserve">, </w:t>
      </w:r>
      <w:proofErr w:type="spellStart"/>
      <w:r w:rsidRPr="006C7F8C">
        <w:rPr>
          <w:sz w:val="20"/>
          <w:szCs w:val="20"/>
          <w:lang w:val="fr-CA"/>
        </w:rPr>
        <w:t>c.r</w:t>
      </w:r>
      <w:proofErr w:type="spellEnd"/>
      <w:r w:rsidRPr="006C7F8C">
        <w:rPr>
          <w:sz w:val="20"/>
          <w:szCs w:val="20"/>
          <w:lang w:val="fr-CA"/>
        </w:rPr>
        <w:t xml:space="preserve">. et </w:t>
      </w:r>
      <w:proofErr w:type="spellStart"/>
      <w:r w:rsidRPr="006C7F8C">
        <w:rPr>
          <w:sz w:val="20"/>
          <w:szCs w:val="20"/>
          <w:lang w:val="fr-CA"/>
        </w:rPr>
        <w:t>Garson</w:t>
      </w:r>
      <w:proofErr w:type="spellEnd"/>
      <w:r w:rsidRPr="006C7F8C">
        <w:rPr>
          <w:sz w:val="20"/>
          <w:szCs w:val="20"/>
          <w:lang w:val="fr-CA"/>
        </w:rPr>
        <w:t xml:space="preserve"> </w:t>
      </w:r>
      <w:proofErr w:type="spellStart"/>
      <w:r w:rsidRPr="006C7F8C">
        <w:rPr>
          <w:sz w:val="20"/>
          <w:szCs w:val="20"/>
          <w:lang w:val="fr-CA"/>
        </w:rPr>
        <w:t>MacDonald</w:t>
      </w:r>
      <w:proofErr w:type="spellEnd"/>
      <w:r w:rsidRPr="006C7F8C">
        <w:rPr>
          <w:sz w:val="20"/>
          <w:szCs w:val="20"/>
          <w:lang w:val="fr-CA"/>
        </w:rPr>
        <w:t xml:space="preserve"> pour l’appelant</w:t>
      </w:r>
    </w:p>
    <w:p w:rsidR="00985E39" w:rsidRPr="006C7F8C" w:rsidRDefault="00985E39" w:rsidP="00985E39">
      <w:pPr>
        <w:widowControl w:val="0"/>
        <w:ind w:left="2880" w:hanging="2880"/>
        <w:jc w:val="both"/>
        <w:rPr>
          <w:sz w:val="20"/>
          <w:szCs w:val="20"/>
          <w:lang w:val="fr-CA"/>
        </w:rPr>
      </w:pPr>
      <w:r w:rsidRPr="006C7F8C">
        <w:rPr>
          <w:sz w:val="20"/>
          <w:szCs w:val="20"/>
          <w:lang w:val="fr-CA"/>
        </w:rPr>
        <w:tab/>
        <w:t xml:space="preserve">Mark </w:t>
      </w:r>
      <w:proofErr w:type="spellStart"/>
      <w:r w:rsidRPr="006C7F8C">
        <w:rPr>
          <w:sz w:val="20"/>
          <w:szCs w:val="20"/>
          <w:lang w:val="fr-CA"/>
        </w:rPr>
        <w:t>Covan</w:t>
      </w:r>
      <w:proofErr w:type="spellEnd"/>
      <w:r w:rsidRPr="006C7F8C">
        <w:rPr>
          <w:sz w:val="20"/>
          <w:szCs w:val="20"/>
          <w:lang w:val="fr-CA"/>
        </w:rPr>
        <w:t xml:space="preserve"> pour l’intimée</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5"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AD72EC" w:rsidRPr="00AD72EC" w:rsidRDefault="007F0A1D" w:rsidP="00AD72EC">
      <w:pPr>
        <w:widowControl w:val="0"/>
        <w:ind w:left="720" w:hanging="720"/>
        <w:jc w:val="both"/>
        <w:rPr>
          <w:rFonts w:eastAsia="Times New Roman" w:cs="Times New Roman"/>
          <w:sz w:val="20"/>
          <w:szCs w:val="20"/>
          <w:lang w:eastAsia="en-CA"/>
        </w:rPr>
      </w:pPr>
      <w:r w:rsidRPr="007F0A1D">
        <w:rPr>
          <w:rFonts w:eastAsia="Times New Roman" w:cs="Times New Roman"/>
          <w:b/>
          <w:sz w:val="20"/>
          <w:szCs w:val="20"/>
          <w:lang w:eastAsia="en-CA"/>
        </w:rPr>
        <w:lastRenderedPageBreak/>
        <w:fldChar w:fldCharType="begin"/>
      </w:r>
      <w:r w:rsidR="00AD72EC" w:rsidRPr="00AD72EC">
        <w:rPr>
          <w:rFonts w:eastAsia="Times New Roman" w:cs="Times New Roman"/>
          <w:b/>
          <w:sz w:val="20"/>
          <w:szCs w:val="20"/>
          <w:lang w:val="en-US" w:eastAsia="en-CA"/>
        </w:rPr>
        <w:instrText xml:space="preserve"> SEQ CHAPTER \h \r 1</w:instrText>
      </w:r>
      <w:r w:rsidRPr="00AD72EC">
        <w:rPr>
          <w:rFonts w:eastAsia="Times New Roman" w:cs="Times New Roman"/>
          <w:b/>
          <w:sz w:val="20"/>
          <w:szCs w:val="20"/>
          <w:lang w:val="en-US" w:eastAsia="en-CA"/>
        </w:rPr>
        <w:fldChar w:fldCharType="end"/>
      </w:r>
      <w:r w:rsidR="00AD72EC" w:rsidRPr="00AD72EC">
        <w:rPr>
          <w:rFonts w:eastAsia="Times New Roman" w:cs="Times New Roman"/>
          <w:b/>
          <w:sz w:val="20"/>
          <w:szCs w:val="20"/>
          <w:lang w:eastAsia="en-CA"/>
        </w:rPr>
        <w:t>34397</w:t>
      </w:r>
      <w:r w:rsidR="00AD72EC" w:rsidRPr="00AD72EC">
        <w:rPr>
          <w:rFonts w:eastAsia="Times New Roman" w:cs="Times New Roman"/>
          <w:sz w:val="20"/>
          <w:szCs w:val="20"/>
          <w:lang w:eastAsia="en-CA"/>
        </w:rPr>
        <w:tab/>
      </w:r>
      <w:r w:rsidR="00AD72EC" w:rsidRPr="00AD72EC">
        <w:rPr>
          <w:rFonts w:eastAsia="Times New Roman" w:cs="Times New Roman"/>
          <w:b/>
          <w:i/>
          <w:sz w:val="20"/>
          <w:szCs w:val="20"/>
          <w:lang w:eastAsia="en-CA"/>
        </w:rPr>
        <w:t xml:space="preserve">Benjamin Cain </w:t>
      </w:r>
      <w:proofErr w:type="spellStart"/>
      <w:proofErr w:type="gramStart"/>
      <w:r w:rsidR="00AD72EC" w:rsidRPr="00AD72EC">
        <w:rPr>
          <w:rFonts w:eastAsia="Times New Roman" w:cs="Times New Roman"/>
          <w:b/>
          <w:i/>
          <w:sz w:val="20"/>
          <w:szCs w:val="20"/>
          <w:lang w:eastAsia="en-CA"/>
        </w:rPr>
        <w:t>MacKenzie</w:t>
      </w:r>
      <w:proofErr w:type="spellEnd"/>
      <w:proofErr w:type="gramEnd"/>
      <w:r w:rsidR="00AD72EC" w:rsidRPr="00AD72EC">
        <w:rPr>
          <w:rFonts w:eastAsia="Times New Roman" w:cs="Times New Roman"/>
          <w:b/>
          <w:i/>
          <w:sz w:val="20"/>
          <w:szCs w:val="20"/>
          <w:lang w:eastAsia="en-CA"/>
        </w:rPr>
        <w:t xml:space="preserve"> v. Her Majesty the Queen</w:t>
      </w:r>
    </w:p>
    <w:p w:rsidR="00AD72EC" w:rsidRPr="00AD72EC" w:rsidRDefault="00AD72EC" w:rsidP="00AD72EC">
      <w:pPr>
        <w:widowControl w:val="0"/>
        <w:jc w:val="both"/>
        <w:rPr>
          <w:rFonts w:eastAsia="Times New Roman" w:cs="Times New Roman"/>
          <w:sz w:val="20"/>
          <w:szCs w:val="20"/>
          <w:lang w:eastAsia="en-CA"/>
        </w:rPr>
      </w:pPr>
    </w:p>
    <w:p w:rsidR="00AD72EC" w:rsidRPr="00AD72EC" w:rsidRDefault="00AD72EC" w:rsidP="00AD72EC">
      <w:pPr>
        <w:widowControl w:val="0"/>
        <w:jc w:val="both"/>
        <w:rPr>
          <w:rFonts w:eastAsia="Times New Roman" w:cs="Times New Roman"/>
          <w:sz w:val="20"/>
          <w:szCs w:val="20"/>
          <w:lang w:eastAsia="en-CA"/>
        </w:rPr>
      </w:pPr>
      <w:r w:rsidRPr="00AD72EC">
        <w:rPr>
          <w:rFonts w:eastAsia="Times New Roman" w:cs="Times New Roman"/>
          <w:i/>
          <w:sz w:val="20"/>
          <w:szCs w:val="20"/>
          <w:lang w:eastAsia="en-CA"/>
        </w:rPr>
        <w:t xml:space="preserve">Charter of Rights and Freedoms </w:t>
      </w:r>
      <w:r w:rsidRPr="00AD72EC">
        <w:rPr>
          <w:rFonts w:eastAsia="Times New Roman" w:cs="Times New Roman"/>
          <w:sz w:val="20"/>
          <w:szCs w:val="20"/>
          <w:lang w:eastAsia="en-CA"/>
        </w:rPr>
        <w:noBreakHyphen/>
        <w:t xml:space="preserve"> Search and seizure </w:t>
      </w:r>
      <w:r w:rsidRPr="00AD72EC">
        <w:rPr>
          <w:rFonts w:eastAsia="Times New Roman" w:cs="Times New Roman"/>
          <w:sz w:val="20"/>
          <w:szCs w:val="20"/>
          <w:lang w:eastAsia="en-CA"/>
        </w:rPr>
        <w:noBreakHyphen/>
        <w:t xml:space="preserve"> Freedom from unreasonable search and seizure </w:t>
      </w:r>
      <w:r w:rsidRPr="00AD72EC">
        <w:rPr>
          <w:rFonts w:eastAsia="Times New Roman" w:cs="Times New Roman"/>
          <w:sz w:val="20"/>
          <w:szCs w:val="20"/>
          <w:lang w:eastAsia="en-CA"/>
        </w:rPr>
        <w:noBreakHyphen/>
        <w:t xml:space="preserve"> Sniff</w:t>
      </w:r>
      <w:r w:rsidRPr="00AD72EC">
        <w:rPr>
          <w:rFonts w:eastAsia="Times New Roman" w:cs="Times New Roman"/>
          <w:sz w:val="20"/>
          <w:szCs w:val="20"/>
          <w:lang w:eastAsia="en-CA"/>
        </w:rPr>
        <w:noBreakHyphen/>
      </w:r>
      <w:proofErr w:type="spellStart"/>
      <w:r w:rsidRPr="00AD72EC">
        <w:rPr>
          <w:rFonts w:eastAsia="Times New Roman" w:cs="Times New Roman"/>
          <w:sz w:val="20"/>
          <w:szCs w:val="20"/>
          <w:lang w:eastAsia="en-CA"/>
        </w:rPr>
        <w:t>search</w:t>
      </w:r>
      <w:proofErr w:type="spellEnd"/>
      <w:r w:rsidRPr="00AD72EC">
        <w:rPr>
          <w:rFonts w:eastAsia="Times New Roman" w:cs="Times New Roman"/>
          <w:sz w:val="20"/>
          <w:szCs w:val="20"/>
          <w:lang w:eastAsia="en-CA"/>
        </w:rPr>
        <w:t xml:space="preserve"> of vehicle by sniffer dog led to discovery of drugs </w:t>
      </w:r>
      <w:r w:rsidRPr="00AD72EC">
        <w:rPr>
          <w:rFonts w:eastAsia="Times New Roman" w:cs="Times New Roman"/>
          <w:sz w:val="20"/>
          <w:szCs w:val="20"/>
          <w:lang w:eastAsia="en-CA"/>
        </w:rPr>
        <w:noBreakHyphen/>
        <w:t xml:space="preserve"> Whether police conduct violated s. 8 of the </w:t>
      </w:r>
      <w:r w:rsidRPr="00AD72EC">
        <w:rPr>
          <w:rFonts w:eastAsia="Times New Roman" w:cs="Times New Roman"/>
          <w:i/>
          <w:sz w:val="20"/>
          <w:szCs w:val="20"/>
          <w:lang w:eastAsia="en-CA"/>
        </w:rPr>
        <w:t>Charter</w:t>
      </w:r>
      <w:r w:rsidRPr="00AD72EC">
        <w:rPr>
          <w:rFonts w:eastAsia="Times New Roman" w:cs="Times New Roman"/>
          <w:sz w:val="20"/>
          <w:szCs w:val="20"/>
          <w:lang w:eastAsia="en-CA"/>
        </w:rPr>
        <w:t xml:space="preserve"> </w:t>
      </w:r>
      <w:r w:rsidRPr="00AD72EC">
        <w:rPr>
          <w:rFonts w:eastAsia="Times New Roman" w:cs="Times New Roman"/>
          <w:sz w:val="20"/>
          <w:szCs w:val="20"/>
          <w:lang w:eastAsia="en-CA"/>
        </w:rPr>
        <w:noBreakHyphen/>
        <w:t xml:space="preserve"> Whether the evidence should have been excluded pursuant to s. 24(2) of the </w:t>
      </w:r>
      <w:r w:rsidRPr="00AD72EC">
        <w:rPr>
          <w:rFonts w:eastAsia="Times New Roman" w:cs="Times New Roman"/>
          <w:i/>
          <w:sz w:val="20"/>
          <w:szCs w:val="20"/>
          <w:lang w:eastAsia="en-CA"/>
        </w:rPr>
        <w:t>Charter</w:t>
      </w:r>
      <w:r w:rsidRPr="00AD72EC">
        <w:rPr>
          <w:rFonts w:eastAsia="Times New Roman" w:cs="Times New Roman"/>
          <w:sz w:val="20"/>
          <w:szCs w:val="20"/>
          <w:lang w:eastAsia="en-CA"/>
        </w:rPr>
        <w:t xml:space="preserve"> </w:t>
      </w:r>
      <w:r w:rsidRPr="00AD72EC">
        <w:rPr>
          <w:rFonts w:eastAsia="Times New Roman" w:cs="Times New Roman"/>
          <w:sz w:val="20"/>
          <w:szCs w:val="20"/>
          <w:lang w:eastAsia="en-CA"/>
        </w:rPr>
        <w:noBreakHyphen/>
        <w:t xml:space="preserve"> What is the appropriate standard of review for appellate courts in the determination of reasonable suspicion?</w:t>
      </w:r>
    </w:p>
    <w:p w:rsidR="00AD72EC" w:rsidRPr="00AD72EC" w:rsidRDefault="00AD72EC" w:rsidP="00AD72EC">
      <w:pPr>
        <w:widowControl w:val="0"/>
        <w:jc w:val="both"/>
        <w:rPr>
          <w:rFonts w:eastAsia="Times New Roman" w:cs="Times New Roman"/>
          <w:sz w:val="20"/>
          <w:szCs w:val="20"/>
          <w:lang w:eastAsia="en-CA"/>
        </w:rPr>
      </w:pPr>
    </w:p>
    <w:p w:rsidR="00AD72EC" w:rsidRPr="00AD72EC" w:rsidRDefault="00AD72EC" w:rsidP="00AD72EC">
      <w:pPr>
        <w:widowControl w:val="0"/>
        <w:jc w:val="both"/>
        <w:rPr>
          <w:rFonts w:eastAsia="Times New Roman" w:cs="Times New Roman"/>
          <w:sz w:val="20"/>
          <w:szCs w:val="20"/>
          <w:lang w:eastAsia="en-CA"/>
        </w:rPr>
      </w:pPr>
      <w:r w:rsidRPr="00AD72EC">
        <w:rPr>
          <w:rFonts w:eastAsia="Times New Roman" w:cs="Times New Roman"/>
          <w:sz w:val="20"/>
          <w:szCs w:val="20"/>
          <w:lang w:eastAsia="en-CA"/>
        </w:rPr>
        <w:t xml:space="preserve">The officers were on traffic patrol.  The officers testified that they intended to issue the appellant a warning ticket for speeding.  The officers then became suspicious that the appellant was in possession of a controlled substance.  They conducted a sniff search with a sniffer dog.  The officers found a large quantity of marijuana in the trunk of the appellant’s vehicle.  Were there sufficient objective grounds to reasonably suspect the accused was in possession of a controlled substance?  On the </w:t>
      </w:r>
      <w:proofErr w:type="spellStart"/>
      <w:r w:rsidRPr="00AD72EC">
        <w:rPr>
          <w:rFonts w:eastAsia="Times New Roman" w:cs="Times New Roman"/>
          <w:i/>
          <w:sz w:val="20"/>
          <w:szCs w:val="20"/>
          <w:lang w:eastAsia="en-CA"/>
        </w:rPr>
        <w:t>voir</w:t>
      </w:r>
      <w:proofErr w:type="spellEnd"/>
      <w:r w:rsidRPr="00AD72EC">
        <w:rPr>
          <w:rFonts w:eastAsia="Times New Roman" w:cs="Times New Roman"/>
          <w:i/>
          <w:sz w:val="20"/>
          <w:szCs w:val="20"/>
          <w:lang w:eastAsia="en-CA"/>
        </w:rPr>
        <w:t xml:space="preserve"> dire</w:t>
      </w:r>
      <w:r w:rsidRPr="00AD72EC">
        <w:rPr>
          <w:rFonts w:eastAsia="Times New Roman" w:cs="Times New Roman"/>
          <w:sz w:val="20"/>
          <w:szCs w:val="20"/>
          <w:lang w:eastAsia="en-CA"/>
        </w:rPr>
        <w:t xml:space="preserve"> ruling, the judge held the officer’s conduct had not been grounded in a reasonable suspicion; therefore, the search was unreasonable and the evidence was excluded.  The Court of Appeal held that the reasonable suspicion standard was met.  The Court of Appeal allowed the Crown appeal and remitted the matter to a judge of the Court of Queen’s Bench for a trial on the evidence.</w:t>
      </w:r>
    </w:p>
    <w:p w:rsidR="00AD72EC" w:rsidRPr="00AD72EC" w:rsidRDefault="00AD72EC" w:rsidP="00AD72EC">
      <w:pPr>
        <w:widowControl w:val="0"/>
        <w:jc w:val="both"/>
        <w:rPr>
          <w:rFonts w:eastAsia="Times New Roman" w:cs="Times New Roman"/>
          <w:sz w:val="20"/>
          <w:szCs w:val="20"/>
          <w:lang w:eastAsia="en-CA"/>
        </w:rPr>
      </w:pPr>
    </w:p>
    <w:p w:rsidR="00AD72EC" w:rsidRPr="00AD72EC" w:rsidRDefault="00AD72EC" w:rsidP="00AD72EC">
      <w:pPr>
        <w:widowControl w:val="0"/>
        <w:jc w:val="both"/>
        <w:rPr>
          <w:rFonts w:eastAsia="Times New Roman" w:cs="Times New Roman"/>
          <w:sz w:val="20"/>
          <w:szCs w:val="20"/>
          <w:lang w:eastAsia="en-CA"/>
        </w:rPr>
      </w:pPr>
    </w:p>
    <w:p w:rsidR="00AD72EC" w:rsidRPr="00AD72EC" w:rsidRDefault="00AD72EC" w:rsidP="00AD72EC">
      <w:pPr>
        <w:widowControl w:val="0"/>
        <w:ind w:left="2880" w:hanging="2880"/>
        <w:jc w:val="both"/>
        <w:rPr>
          <w:rFonts w:eastAsia="Times New Roman" w:cs="Times New Roman"/>
          <w:sz w:val="20"/>
          <w:szCs w:val="20"/>
          <w:lang w:eastAsia="en-CA"/>
        </w:rPr>
      </w:pPr>
      <w:r w:rsidRPr="00AD72EC">
        <w:rPr>
          <w:rFonts w:eastAsia="Times New Roman" w:cs="Times New Roman"/>
          <w:sz w:val="20"/>
          <w:szCs w:val="20"/>
          <w:lang w:eastAsia="en-CA"/>
        </w:rPr>
        <w:t>Origin of the case:</w:t>
      </w:r>
      <w:r w:rsidRPr="00AD72EC">
        <w:rPr>
          <w:rFonts w:eastAsia="Times New Roman" w:cs="Times New Roman"/>
          <w:sz w:val="20"/>
          <w:szCs w:val="20"/>
          <w:lang w:eastAsia="en-CA"/>
        </w:rPr>
        <w:tab/>
        <w:t>Saskatchewan</w:t>
      </w:r>
    </w:p>
    <w:p w:rsidR="00AD72EC" w:rsidRPr="00AD72EC" w:rsidRDefault="00AD72EC" w:rsidP="00AD72EC">
      <w:pPr>
        <w:widowControl w:val="0"/>
        <w:ind w:left="2880" w:hanging="2880"/>
        <w:jc w:val="both"/>
        <w:rPr>
          <w:rFonts w:eastAsia="Times New Roman" w:cs="Times New Roman"/>
          <w:sz w:val="20"/>
          <w:szCs w:val="20"/>
          <w:lang w:eastAsia="en-CA"/>
        </w:rPr>
      </w:pPr>
    </w:p>
    <w:p w:rsidR="00AD72EC" w:rsidRPr="00AD72EC" w:rsidRDefault="00AD72EC" w:rsidP="00AD72EC">
      <w:pPr>
        <w:widowControl w:val="0"/>
        <w:ind w:left="2880" w:hanging="2880"/>
        <w:jc w:val="both"/>
        <w:rPr>
          <w:rFonts w:eastAsia="Times New Roman" w:cs="Times New Roman"/>
          <w:sz w:val="20"/>
          <w:szCs w:val="20"/>
          <w:lang w:eastAsia="en-CA"/>
        </w:rPr>
      </w:pPr>
      <w:r w:rsidRPr="00AD72EC">
        <w:rPr>
          <w:rFonts w:eastAsia="Times New Roman" w:cs="Times New Roman"/>
          <w:sz w:val="20"/>
          <w:szCs w:val="20"/>
          <w:lang w:eastAsia="en-CA"/>
        </w:rPr>
        <w:t>File No.:</w:t>
      </w:r>
      <w:r w:rsidRPr="00AD72EC">
        <w:rPr>
          <w:rFonts w:eastAsia="Times New Roman" w:cs="Times New Roman"/>
          <w:sz w:val="20"/>
          <w:szCs w:val="20"/>
          <w:lang w:eastAsia="en-CA"/>
        </w:rPr>
        <w:tab/>
        <w:t>34397</w:t>
      </w:r>
    </w:p>
    <w:p w:rsidR="00AD72EC" w:rsidRPr="00AD72EC" w:rsidRDefault="00AD72EC" w:rsidP="00AD72EC">
      <w:pPr>
        <w:widowControl w:val="0"/>
        <w:ind w:left="2880" w:hanging="2880"/>
        <w:jc w:val="both"/>
        <w:rPr>
          <w:rFonts w:eastAsia="Times New Roman" w:cs="Times New Roman"/>
          <w:sz w:val="20"/>
          <w:szCs w:val="20"/>
          <w:lang w:eastAsia="en-CA"/>
        </w:rPr>
      </w:pPr>
    </w:p>
    <w:p w:rsidR="00AD72EC" w:rsidRPr="00AD72EC" w:rsidRDefault="00AD72EC" w:rsidP="00AD72EC">
      <w:pPr>
        <w:widowControl w:val="0"/>
        <w:ind w:left="2880" w:hanging="2880"/>
        <w:jc w:val="both"/>
        <w:rPr>
          <w:rFonts w:eastAsia="Times New Roman" w:cs="Times New Roman"/>
          <w:sz w:val="20"/>
          <w:szCs w:val="20"/>
          <w:lang w:eastAsia="en-CA"/>
        </w:rPr>
      </w:pPr>
      <w:r w:rsidRPr="00AD72EC">
        <w:rPr>
          <w:rFonts w:eastAsia="Times New Roman" w:cs="Times New Roman"/>
          <w:sz w:val="20"/>
          <w:szCs w:val="20"/>
          <w:lang w:eastAsia="en-CA"/>
        </w:rPr>
        <w:t>Judgment of the Court of Appeal:</w:t>
      </w:r>
      <w:r w:rsidRPr="00AD72EC">
        <w:rPr>
          <w:rFonts w:eastAsia="Times New Roman" w:cs="Times New Roman"/>
          <w:sz w:val="20"/>
          <w:szCs w:val="20"/>
          <w:lang w:eastAsia="en-CA"/>
        </w:rPr>
        <w:tab/>
        <w:t>May 25, 2011</w:t>
      </w:r>
    </w:p>
    <w:p w:rsidR="00AD72EC" w:rsidRPr="00AD72EC" w:rsidRDefault="00AD72EC" w:rsidP="00AD72EC">
      <w:pPr>
        <w:widowControl w:val="0"/>
        <w:ind w:left="2880" w:hanging="2880"/>
        <w:jc w:val="both"/>
        <w:rPr>
          <w:rFonts w:eastAsia="Times New Roman" w:cs="Times New Roman"/>
          <w:sz w:val="20"/>
          <w:szCs w:val="20"/>
          <w:lang w:eastAsia="en-CA"/>
        </w:rPr>
      </w:pPr>
    </w:p>
    <w:p w:rsidR="00AD72EC" w:rsidRPr="00AD72EC" w:rsidRDefault="00AD72EC" w:rsidP="00AD72EC">
      <w:pPr>
        <w:widowControl w:val="0"/>
        <w:ind w:left="2880" w:hanging="2880"/>
        <w:jc w:val="both"/>
        <w:rPr>
          <w:rFonts w:eastAsia="Times New Roman" w:cs="Times New Roman"/>
          <w:sz w:val="20"/>
          <w:szCs w:val="20"/>
          <w:lang w:eastAsia="en-CA"/>
        </w:rPr>
      </w:pPr>
      <w:r w:rsidRPr="00AD72EC">
        <w:rPr>
          <w:rFonts w:eastAsia="Times New Roman" w:cs="Times New Roman"/>
          <w:sz w:val="20"/>
          <w:szCs w:val="20"/>
          <w:lang w:eastAsia="en-CA"/>
        </w:rPr>
        <w:t>Counsel:</w:t>
      </w:r>
      <w:r w:rsidRPr="00AD72EC">
        <w:rPr>
          <w:rFonts w:eastAsia="Times New Roman" w:cs="Times New Roman"/>
          <w:sz w:val="20"/>
          <w:szCs w:val="20"/>
          <w:lang w:eastAsia="en-CA"/>
        </w:rPr>
        <w:tab/>
        <w:t>Barry P. </w:t>
      </w:r>
      <w:proofErr w:type="spellStart"/>
      <w:r w:rsidRPr="00AD72EC">
        <w:rPr>
          <w:rFonts w:eastAsia="Times New Roman" w:cs="Times New Roman"/>
          <w:sz w:val="20"/>
          <w:szCs w:val="20"/>
          <w:lang w:eastAsia="en-CA"/>
        </w:rPr>
        <w:t>Nychuk</w:t>
      </w:r>
      <w:proofErr w:type="spellEnd"/>
      <w:r w:rsidRPr="00AD72EC">
        <w:rPr>
          <w:rFonts w:eastAsia="Times New Roman" w:cs="Times New Roman"/>
          <w:sz w:val="20"/>
          <w:szCs w:val="20"/>
          <w:lang w:eastAsia="en-CA"/>
        </w:rPr>
        <w:t xml:space="preserve"> for the appellant</w:t>
      </w:r>
    </w:p>
    <w:p w:rsidR="00AD72EC" w:rsidRPr="00AD72EC" w:rsidRDefault="00AD72EC" w:rsidP="00AD72EC">
      <w:pPr>
        <w:widowControl w:val="0"/>
        <w:ind w:left="2880" w:hanging="2880"/>
        <w:jc w:val="both"/>
        <w:rPr>
          <w:rFonts w:eastAsia="Times New Roman" w:cs="Times New Roman"/>
          <w:sz w:val="20"/>
          <w:szCs w:val="20"/>
          <w:lang w:eastAsia="en-CA"/>
        </w:rPr>
      </w:pPr>
      <w:r w:rsidRPr="00AD72EC">
        <w:rPr>
          <w:rFonts w:eastAsia="Times New Roman" w:cs="Times New Roman"/>
          <w:sz w:val="20"/>
          <w:szCs w:val="20"/>
          <w:lang w:eastAsia="en-CA"/>
        </w:rPr>
        <w:tab/>
        <w:t xml:space="preserve">Douglas G. </w:t>
      </w:r>
      <w:proofErr w:type="spellStart"/>
      <w:r w:rsidRPr="00AD72EC">
        <w:rPr>
          <w:rFonts w:eastAsia="Times New Roman" w:cs="Times New Roman"/>
          <w:sz w:val="20"/>
          <w:szCs w:val="20"/>
          <w:lang w:eastAsia="en-CA"/>
        </w:rPr>
        <w:t>Curliss</w:t>
      </w:r>
      <w:proofErr w:type="spellEnd"/>
      <w:r w:rsidRPr="00AD72EC">
        <w:rPr>
          <w:rFonts w:eastAsia="Times New Roman" w:cs="Times New Roman"/>
          <w:sz w:val="20"/>
          <w:szCs w:val="20"/>
          <w:lang w:eastAsia="en-CA"/>
        </w:rPr>
        <w:t>, Q.C. for the respondent</w:t>
      </w:r>
    </w:p>
    <w:p w:rsidR="00602152" w:rsidRPr="00AD72EC" w:rsidRDefault="00602152" w:rsidP="00602152">
      <w:pPr>
        <w:tabs>
          <w:tab w:val="left" w:pos="-1440"/>
          <w:tab w:val="left" w:pos="-720"/>
        </w:tabs>
        <w:jc w:val="both"/>
        <w:rPr>
          <w:sz w:val="20"/>
          <w:szCs w:val="20"/>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6"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AD72EC" w:rsidRPr="0029052C" w:rsidRDefault="007F0A1D" w:rsidP="00AD72EC">
      <w:pPr>
        <w:widowControl w:val="0"/>
        <w:ind w:left="720" w:hanging="720"/>
        <w:jc w:val="both"/>
        <w:rPr>
          <w:sz w:val="20"/>
          <w:szCs w:val="20"/>
          <w:lang w:val="fr-CA"/>
        </w:rPr>
      </w:pPr>
      <w:r w:rsidRPr="0029052C">
        <w:rPr>
          <w:b/>
          <w:sz w:val="20"/>
          <w:szCs w:val="20"/>
          <w:lang w:val="fr-CA"/>
        </w:rPr>
        <w:lastRenderedPageBreak/>
        <w:fldChar w:fldCharType="begin"/>
      </w:r>
      <w:r w:rsidR="00AD72EC" w:rsidRPr="0029052C">
        <w:rPr>
          <w:b/>
          <w:sz w:val="20"/>
          <w:szCs w:val="20"/>
          <w:lang w:val="fr-CA"/>
        </w:rPr>
        <w:instrText xml:space="preserve"> SEQ CHAPTER \h \r 1</w:instrText>
      </w:r>
      <w:r w:rsidRPr="0029052C">
        <w:rPr>
          <w:b/>
          <w:sz w:val="20"/>
          <w:szCs w:val="20"/>
          <w:lang w:val="fr-CA"/>
        </w:rPr>
        <w:fldChar w:fldCharType="end"/>
      </w:r>
      <w:r w:rsidR="00AD72EC" w:rsidRPr="0029052C">
        <w:rPr>
          <w:b/>
          <w:sz w:val="20"/>
          <w:szCs w:val="20"/>
          <w:lang w:val="fr-CA"/>
        </w:rPr>
        <w:t>34397</w:t>
      </w:r>
      <w:r w:rsidR="00AD72EC" w:rsidRPr="0029052C">
        <w:rPr>
          <w:sz w:val="20"/>
          <w:szCs w:val="20"/>
          <w:lang w:val="fr-CA"/>
        </w:rPr>
        <w:tab/>
      </w:r>
      <w:r w:rsidR="00AD72EC" w:rsidRPr="0029052C">
        <w:rPr>
          <w:b/>
          <w:i/>
          <w:sz w:val="20"/>
          <w:szCs w:val="20"/>
          <w:lang w:val="fr-CA"/>
        </w:rPr>
        <w:t xml:space="preserve">Benjamin </w:t>
      </w:r>
      <w:proofErr w:type="spellStart"/>
      <w:r w:rsidR="00AD72EC" w:rsidRPr="0029052C">
        <w:rPr>
          <w:b/>
          <w:i/>
          <w:sz w:val="20"/>
          <w:szCs w:val="20"/>
          <w:lang w:val="fr-CA"/>
        </w:rPr>
        <w:t>Cain</w:t>
      </w:r>
      <w:proofErr w:type="spellEnd"/>
      <w:r w:rsidR="00AD72EC" w:rsidRPr="0029052C">
        <w:rPr>
          <w:b/>
          <w:i/>
          <w:sz w:val="20"/>
          <w:szCs w:val="20"/>
          <w:lang w:val="fr-CA"/>
        </w:rPr>
        <w:t xml:space="preserve"> </w:t>
      </w:r>
      <w:proofErr w:type="spellStart"/>
      <w:r w:rsidR="00AD72EC" w:rsidRPr="0029052C">
        <w:rPr>
          <w:b/>
          <w:i/>
          <w:sz w:val="20"/>
          <w:szCs w:val="20"/>
          <w:lang w:val="fr-CA"/>
        </w:rPr>
        <w:t>MacKenzie</w:t>
      </w:r>
      <w:proofErr w:type="spellEnd"/>
      <w:r w:rsidR="00AD72EC" w:rsidRPr="0029052C">
        <w:rPr>
          <w:b/>
          <w:i/>
          <w:sz w:val="20"/>
          <w:szCs w:val="20"/>
          <w:lang w:val="fr-CA"/>
        </w:rPr>
        <w:t xml:space="preserve"> c. Sa Majesté la Reine</w:t>
      </w:r>
    </w:p>
    <w:p w:rsidR="00AD72EC" w:rsidRPr="0029052C" w:rsidRDefault="00AD72EC" w:rsidP="00AD72EC">
      <w:pPr>
        <w:widowControl w:val="0"/>
        <w:jc w:val="both"/>
        <w:rPr>
          <w:sz w:val="20"/>
          <w:szCs w:val="20"/>
          <w:lang w:val="fr-CA"/>
        </w:rPr>
      </w:pPr>
    </w:p>
    <w:p w:rsidR="00AD72EC" w:rsidRPr="0029052C" w:rsidRDefault="00AD72EC" w:rsidP="00AD72EC">
      <w:pPr>
        <w:widowControl w:val="0"/>
        <w:jc w:val="both"/>
        <w:rPr>
          <w:sz w:val="20"/>
          <w:szCs w:val="20"/>
          <w:lang w:val="fr-CA"/>
        </w:rPr>
      </w:pPr>
      <w:r w:rsidRPr="0029052C">
        <w:rPr>
          <w:i/>
          <w:sz w:val="20"/>
          <w:szCs w:val="20"/>
          <w:lang w:val="fr-CA"/>
        </w:rPr>
        <w:t xml:space="preserve">Charte des droits et libertés </w:t>
      </w:r>
      <w:r w:rsidRPr="0029052C">
        <w:rPr>
          <w:sz w:val="20"/>
          <w:szCs w:val="20"/>
          <w:lang w:val="fr-CA"/>
        </w:rPr>
        <w:noBreakHyphen/>
        <w:t xml:space="preserve"> Fouilles et perquisitions </w:t>
      </w:r>
      <w:r w:rsidRPr="0029052C">
        <w:rPr>
          <w:sz w:val="20"/>
          <w:szCs w:val="20"/>
          <w:lang w:val="fr-CA"/>
        </w:rPr>
        <w:noBreakHyphen/>
        <w:t xml:space="preserve"> Protection contre les fouilles, les saisies et les perquisitions abusives </w:t>
      </w:r>
      <w:r w:rsidRPr="0029052C">
        <w:rPr>
          <w:sz w:val="20"/>
          <w:szCs w:val="20"/>
          <w:lang w:val="fr-CA"/>
        </w:rPr>
        <w:noBreakHyphen/>
        <w:t xml:space="preserve"> La fouille d’un véhicule au moyen d’un chien renifleur a mené à la découverte de drogue </w:t>
      </w:r>
      <w:r w:rsidRPr="0029052C">
        <w:rPr>
          <w:sz w:val="20"/>
          <w:szCs w:val="20"/>
          <w:lang w:val="fr-CA"/>
        </w:rPr>
        <w:noBreakHyphen/>
        <w:t xml:space="preserve"> La conduite de la police </w:t>
      </w:r>
      <w:proofErr w:type="spellStart"/>
      <w:r w:rsidRPr="0029052C">
        <w:rPr>
          <w:sz w:val="20"/>
          <w:szCs w:val="20"/>
          <w:lang w:val="fr-CA"/>
        </w:rPr>
        <w:t>a</w:t>
      </w:r>
      <w:r w:rsidRPr="0029052C">
        <w:rPr>
          <w:sz w:val="20"/>
          <w:szCs w:val="20"/>
          <w:lang w:val="fr-CA"/>
        </w:rPr>
        <w:noBreakHyphen/>
        <w:t>t</w:t>
      </w:r>
      <w:r w:rsidRPr="0029052C">
        <w:rPr>
          <w:sz w:val="20"/>
          <w:szCs w:val="20"/>
          <w:lang w:val="fr-CA"/>
        </w:rPr>
        <w:noBreakHyphen/>
        <w:t>elle</w:t>
      </w:r>
      <w:proofErr w:type="spellEnd"/>
      <w:r w:rsidRPr="0029052C">
        <w:rPr>
          <w:sz w:val="20"/>
          <w:szCs w:val="20"/>
          <w:lang w:val="fr-CA"/>
        </w:rPr>
        <w:t xml:space="preserve"> violé l’art. 8 de la </w:t>
      </w:r>
      <w:r w:rsidRPr="0029052C">
        <w:rPr>
          <w:i/>
          <w:sz w:val="20"/>
          <w:szCs w:val="20"/>
          <w:lang w:val="fr-CA"/>
        </w:rPr>
        <w:t>Charte</w:t>
      </w:r>
      <w:r w:rsidRPr="0029052C">
        <w:rPr>
          <w:sz w:val="20"/>
          <w:szCs w:val="20"/>
          <w:lang w:val="fr-CA"/>
        </w:rPr>
        <w:t xml:space="preserve">? </w:t>
      </w:r>
      <w:r w:rsidRPr="0029052C">
        <w:rPr>
          <w:sz w:val="20"/>
          <w:szCs w:val="20"/>
          <w:lang w:val="fr-CA"/>
        </w:rPr>
        <w:noBreakHyphen/>
        <w:t xml:space="preserve"> La preuve </w:t>
      </w:r>
      <w:proofErr w:type="spellStart"/>
      <w:r w:rsidRPr="0029052C">
        <w:rPr>
          <w:sz w:val="20"/>
          <w:szCs w:val="20"/>
          <w:lang w:val="fr-CA"/>
        </w:rPr>
        <w:t>aurait</w:t>
      </w:r>
      <w:r w:rsidRPr="0029052C">
        <w:rPr>
          <w:sz w:val="20"/>
          <w:szCs w:val="20"/>
          <w:lang w:val="fr-CA"/>
        </w:rPr>
        <w:noBreakHyphen/>
        <w:t>elle</w:t>
      </w:r>
      <w:proofErr w:type="spellEnd"/>
      <w:r w:rsidRPr="0029052C">
        <w:rPr>
          <w:sz w:val="20"/>
          <w:szCs w:val="20"/>
          <w:lang w:val="fr-CA"/>
        </w:rPr>
        <w:t xml:space="preserve"> dû être exclue en application du par. 24(2) de la </w:t>
      </w:r>
      <w:r w:rsidRPr="0029052C">
        <w:rPr>
          <w:i/>
          <w:sz w:val="20"/>
          <w:szCs w:val="20"/>
          <w:lang w:val="fr-CA"/>
        </w:rPr>
        <w:t>Charte</w:t>
      </w:r>
      <w:r w:rsidRPr="0029052C">
        <w:rPr>
          <w:sz w:val="20"/>
          <w:szCs w:val="20"/>
          <w:lang w:val="fr-CA"/>
        </w:rPr>
        <w:t xml:space="preserve">? </w:t>
      </w:r>
      <w:r w:rsidRPr="0029052C">
        <w:rPr>
          <w:sz w:val="20"/>
          <w:szCs w:val="20"/>
          <w:lang w:val="fr-CA"/>
        </w:rPr>
        <w:noBreakHyphen/>
        <w:t xml:space="preserve"> Quelle norme de contrôle les tribunaux d’appel </w:t>
      </w:r>
      <w:proofErr w:type="spellStart"/>
      <w:r w:rsidRPr="0029052C">
        <w:rPr>
          <w:sz w:val="20"/>
          <w:szCs w:val="20"/>
          <w:lang w:val="fr-CA"/>
        </w:rPr>
        <w:t>doivent</w:t>
      </w:r>
      <w:r w:rsidRPr="0029052C">
        <w:rPr>
          <w:sz w:val="20"/>
          <w:szCs w:val="20"/>
          <w:lang w:val="fr-CA"/>
        </w:rPr>
        <w:noBreakHyphen/>
        <w:t>ils</w:t>
      </w:r>
      <w:proofErr w:type="spellEnd"/>
      <w:r w:rsidRPr="0029052C">
        <w:rPr>
          <w:sz w:val="20"/>
          <w:szCs w:val="20"/>
          <w:lang w:val="fr-CA"/>
        </w:rPr>
        <w:t xml:space="preserve"> appliquer dans la détermination du soupçon raisonnable?</w:t>
      </w:r>
    </w:p>
    <w:p w:rsidR="00AD72EC" w:rsidRPr="0029052C" w:rsidRDefault="00AD72EC" w:rsidP="00AD72EC">
      <w:pPr>
        <w:widowControl w:val="0"/>
        <w:jc w:val="both"/>
        <w:rPr>
          <w:sz w:val="20"/>
          <w:szCs w:val="20"/>
          <w:lang w:val="fr-CA"/>
        </w:rPr>
      </w:pPr>
    </w:p>
    <w:p w:rsidR="00AD72EC" w:rsidRPr="0029052C" w:rsidRDefault="00AD72EC" w:rsidP="00AD72EC">
      <w:pPr>
        <w:widowControl w:val="0"/>
        <w:jc w:val="both"/>
        <w:rPr>
          <w:sz w:val="20"/>
          <w:szCs w:val="20"/>
          <w:lang w:val="fr-CA"/>
        </w:rPr>
      </w:pPr>
      <w:r w:rsidRPr="0029052C">
        <w:rPr>
          <w:sz w:val="20"/>
          <w:szCs w:val="20"/>
          <w:lang w:val="fr-CA"/>
        </w:rPr>
        <w:t xml:space="preserve">Les agents en cause étaient en patrouille de la circulation.  Dans leurs témoignages, ils ont affirmé avoir eu l’intention de remettre à l’appelant un avertissement pour excès de vitesse.  Les agents ont ensuite commencé à soupçonner que l’appelant était en possession d’une substance réglementée.  Ils ont effectué une fouille à l’aide d’un chien renifleur.  Les agents ont trouvé une importante quantité de marijuana dans le coffre du véhicule de l’appelant.  Y </w:t>
      </w:r>
      <w:proofErr w:type="spellStart"/>
      <w:r w:rsidRPr="0029052C">
        <w:rPr>
          <w:sz w:val="20"/>
          <w:szCs w:val="20"/>
          <w:lang w:val="fr-CA"/>
        </w:rPr>
        <w:t>avait</w:t>
      </w:r>
      <w:r w:rsidRPr="0029052C">
        <w:rPr>
          <w:sz w:val="20"/>
          <w:szCs w:val="20"/>
          <w:lang w:val="fr-CA"/>
        </w:rPr>
        <w:noBreakHyphen/>
        <w:t>il</w:t>
      </w:r>
      <w:proofErr w:type="spellEnd"/>
      <w:r w:rsidRPr="0029052C">
        <w:rPr>
          <w:sz w:val="20"/>
          <w:szCs w:val="20"/>
          <w:lang w:val="fr-CA"/>
        </w:rPr>
        <w:t xml:space="preserve"> des motifs objectifs suffisants pour soupçonner raisonnablement que l’accusé était en possession d’une substance réglementée?  Dans une décision lors d’un </w:t>
      </w:r>
      <w:proofErr w:type="spellStart"/>
      <w:r w:rsidRPr="0029052C">
        <w:rPr>
          <w:sz w:val="20"/>
          <w:szCs w:val="20"/>
          <w:lang w:val="fr-CA"/>
        </w:rPr>
        <w:t>voir</w:t>
      </w:r>
      <w:r w:rsidRPr="0029052C">
        <w:rPr>
          <w:sz w:val="20"/>
          <w:szCs w:val="20"/>
          <w:lang w:val="fr-CA"/>
        </w:rPr>
        <w:noBreakHyphen/>
        <w:t>dire</w:t>
      </w:r>
      <w:proofErr w:type="spellEnd"/>
      <w:r w:rsidRPr="0029052C">
        <w:rPr>
          <w:sz w:val="20"/>
          <w:szCs w:val="20"/>
          <w:lang w:val="fr-CA"/>
        </w:rPr>
        <w:t>, le juge a statué que l’agent n’avait pas agi sur le fondement de soupçons raisonnables, si bien que la preuve était déraisonnable et la preuve a été exclue.  La Cour d’appel a statué que le critère des soupçons raisonnables avait été rempli.  La Cour d’appel a accueilli l’appel du ministère public et renvoyé l’affaire à un juge de la Cour du Banc de la Reine pour la tenue d’un procès sur la preuve.</w:t>
      </w:r>
    </w:p>
    <w:p w:rsidR="00AD72EC" w:rsidRPr="0029052C" w:rsidRDefault="00AD72EC" w:rsidP="00AD72EC">
      <w:pPr>
        <w:widowControl w:val="0"/>
        <w:jc w:val="both"/>
        <w:rPr>
          <w:sz w:val="20"/>
          <w:szCs w:val="20"/>
          <w:lang w:val="fr-CA"/>
        </w:rPr>
      </w:pPr>
    </w:p>
    <w:p w:rsidR="00AD72EC" w:rsidRPr="0029052C" w:rsidRDefault="00AD72EC" w:rsidP="00AD72EC">
      <w:pPr>
        <w:widowControl w:val="0"/>
        <w:jc w:val="both"/>
        <w:rPr>
          <w:sz w:val="20"/>
          <w:szCs w:val="20"/>
          <w:lang w:val="fr-CA"/>
        </w:rPr>
      </w:pPr>
    </w:p>
    <w:p w:rsidR="00AD72EC" w:rsidRPr="0029052C" w:rsidRDefault="00AD72EC" w:rsidP="00AD72EC">
      <w:pPr>
        <w:widowControl w:val="0"/>
        <w:ind w:left="2880" w:hanging="2880"/>
        <w:jc w:val="both"/>
        <w:rPr>
          <w:sz w:val="20"/>
          <w:szCs w:val="20"/>
        </w:rPr>
      </w:pPr>
      <w:proofErr w:type="spellStart"/>
      <w:proofErr w:type="gramStart"/>
      <w:r w:rsidRPr="0029052C">
        <w:rPr>
          <w:sz w:val="20"/>
          <w:szCs w:val="20"/>
        </w:rPr>
        <w:t>Origine</w:t>
      </w:r>
      <w:proofErr w:type="spellEnd"/>
      <w:r w:rsidRPr="0029052C">
        <w:rPr>
          <w:sz w:val="20"/>
          <w:szCs w:val="20"/>
        </w:rPr>
        <w:t> :</w:t>
      </w:r>
      <w:proofErr w:type="gramEnd"/>
      <w:r w:rsidRPr="0029052C">
        <w:rPr>
          <w:sz w:val="20"/>
          <w:szCs w:val="20"/>
        </w:rPr>
        <w:tab/>
        <w:t>Saskatchewan</w:t>
      </w:r>
    </w:p>
    <w:p w:rsidR="00AD72EC" w:rsidRPr="0029052C" w:rsidRDefault="00AD72EC" w:rsidP="00AD72EC">
      <w:pPr>
        <w:widowControl w:val="0"/>
        <w:ind w:left="2880" w:hanging="2880"/>
        <w:jc w:val="both"/>
        <w:rPr>
          <w:sz w:val="20"/>
          <w:szCs w:val="20"/>
        </w:rPr>
      </w:pPr>
    </w:p>
    <w:p w:rsidR="00AD72EC" w:rsidRPr="0029052C" w:rsidRDefault="00AD72EC" w:rsidP="00AD72EC">
      <w:pPr>
        <w:widowControl w:val="0"/>
        <w:ind w:left="2880" w:hanging="2880"/>
        <w:jc w:val="both"/>
        <w:rPr>
          <w:sz w:val="20"/>
          <w:szCs w:val="20"/>
        </w:rPr>
      </w:pPr>
      <w:r w:rsidRPr="0029052C">
        <w:rPr>
          <w:sz w:val="20"/>
          <w:szCs w:val="20"/>
        </w:rPr>
        <w:t>N</w:t>
      </w:r>
      <w:r w:rsidRPr="0029052C">
        <w:rPr>
          <w:sz w:val="20"/>
          <w:szCs w:val="20"/>
          <w:vertAlign w:val="superscript"/>
        </w:rPr>
        <w:t>o</w:t>
      </w:r>
      <w:r w:rsidRPr="0029052C">
        <w:rPr>
          <w:sz w:val="20"/>
          <w:szCs w:val="20"/>
        </w:rPr>
        <w:t xml:space="preserve"> du </w:t>
      </w:r>
      <w:proofErr w:type="spellStart"/>
      <w:proofErr w:type="gramStart"/>
      <w:r w:rsidRPr="0029052C">
        <w:rPr>
          <w:sz w:val="20"/>
          <w:szCs w:val="20"/>
        </w:rPr>
        <w:t>greffe</w:t>
      </w:r>
      <w:proofErr w:type="spellEnd"/>
      <w:r w:rsidRPr="0029052C">
        <w:rPr>
          <w:sz w:val="20"/>
          <w:szCs w:val="20"/>
        </w:rPr>
        <w:t> :</w:t>
      </w:r>
      <w:proofErr w:type="gramEnd"/>
      <w:r w:rsidRPr="0029052C">
        <w:rPr>
          <w:sz w:val="20"/>
          <w:szCs w:val="20"/>
        </w:rPr>
        <w:tab/>
        <w:t>34397</w:t>
      </w:r>
    </w:p>
    <w:p w:rsidR="00AD72EC" w:rsidRPr="0029052C" w:rsidRDefault="00AD72EC" w:rsidP="00AD72EC">
      <w:pPr>
        <w:widowControl w:val="0"/>
        <w:ind w:left="2880" w:hanging="2880"/>
        <w:jc w:val="both"/>
        <w:rPr>
          <w:sz w:val="20"/>
          <w:szCs w:val="20"/>
        </w:rPr>
      </w:pPr>
    </w:p>
    <w:p w:rsidR="00AD72EC" w:rsidRPr="0029052C" w:rsidRDefault="00AD72EC" w:rsidP="00AD72EC">
      <w:pPr>
        <w:widowControl w:val="0"/>
        <w:ind w:left="2880" w:hanging="2880"/>
        <w:jc w:val="both"/>
        <w:rPr>
          <w:sz w:val="20"/>
          <w:szCs w:val="20"/>
          <w:lang w:val="fr-CA"/>
        </w:rPr>
      </w:pPr>
      <w:r w:rsidRPr="0029052C">
        <w:rPr>
          <w:sz w:val="20"/>
          <w:szCs w:val="20"/>
          <w:lang w:val="fr-CA"/>
        </w:rPr>
        <w:t>Arrêt de la Cour d’appel :</w:t>
      </w:r>
      <w:r w:rsidRPr="0029052C">
        <w:rPr>
          <w:sz w:val="20"/>
          <w:szCs w:val="20"/>
          <w:lang w:val="fr-CA"/>
        </w:rPr>
        <w:tab/>
        <w:t>le 25 mai 2011</w:t>
      </w:r>
    </w:p>
    <w:p w:rsidR="00AD72EC" w:rsidRPr="0029052C" w:rsidRDefault="00AD72EC" w:rsidP="00AD72EC">
      <w:pPr>
        <w:widowControl w:val="0"/>
        <w:ind w:left="2880" w:hanging="2880"/>
        <w:jc w:val="both"/>
        <w:rPr>
          <w:sz w:val="20"/>
          <w:szCs w:val="20"/>
          <w:lang w:val="fr-CA"/>
        </w:rPr>
      </w:pPr>
    </w:p>
    <w:p w:rsidR="00AD72EC" w:rsidRPr="0029052C" w:rsidRDefault="00AD72EC" w:rsidP="00AD72EC">
      <w:pPr>
        <w:widowControl w:val="0"/>
        <w:ind w:left="2880" w:hanging="2880"/>
        <w:jc w:val="both"/>
        <w:rPr>
          <w:sz w:val="20"/>
          <w:szCs w:val="20"/>
          <w:lang w:val="fr-CA"/>
        </w:rPr>
      </w:pPr>
      <w:r w:rsidRPr="0029052C">
        <w:rPr>
          <w:sz w:val="20"/>
          <w:szCs w:val="20"/>
          <w:lang w:val="fr-CA"/>
        </w:rPr>
        <w:t>Avocats :</w:t>
      </w:r>
      <w:r w:rsidRPr="0029052C">
        <w:rPr>
          <w:sz w:val="20"/>
          <w:szCs w:val="20"/>
          <w:lang w:val="fr-CA"/>
        </w:rPr>
        <w:tab/>
        <w:t xml:space="preserve">Barry P. </w:t>
      </w:r>
      <w:proofErr w:type="spellStart"/>
      <w:r w:rsidRPr="0029052C">
        <w:rPr>
          <w:sz w:val="20"/>
          <w:szCs w:val="20"/>
          <w:lang w:val="fr-CA"/>
        </w:rPr>
        <w:t>Nychuk</w:t>
      </w:r>
      <w:proofErr w:type="spellEnd"/>
      <w:r w:rsidRPr="0029052C">
        <w:rPr>
          <w:sz w:val="20"/>
          <w:szCs w:val="20"/>
          <w:lang w:val="fr-CA"/>
        </w:rPr>
        <w:t xml:space="preserve"> pour l’appelant</w:t>
      </w:r>
    </w:p>
    <w:p w:rsidR="00AD72EC" w:rsidRPr="0029052C" w:rsidRDefault="00AD72EC" w:rsidP="00AD72EC">
      <w:pPr>
        <w:widowControl w:val="0"/>
        <w:ind w:left="2880" w:hanging="2880"/>
        <w:jc w:val="both"/>
        <w:rPr>
          <w:sz w:val="20"/>
          <w:szCs w:val="20"/>
          <w:lang w:val="fr-CA"/>
        </w:rPr>
      </w:pPr>
      <w:r w:rsidRPr="0029052C">
        <w:rPr>
          <w:sz w:val="20"/>
          <w:szCs w:val="20"/>
          <w:lang w:val="fr-CA"/>
        </w:rPr>
        <w:tab/>
        <w:t xml:space="preserve">Douglas G. </w:t>
      </w:r>
      <w:proofErr w:type="spellStart"/>
      <w:r w:rsidRPr="0029052C">
        <w:rPr>
          <w:sz w:val="20"/>
          <w:szCs w:val="20"/>
          <w:lang w:val="fr-CA"/>
        </w:rPr>
        <w:t>Curliss</w:t>
      </w:r>
      <w:proofErr w:type="spellEnd"/>
      <w:r w:rsidRPr="0029052C">
        <w:rPr>
          <w:sz w:val="20"/>
          <w:szCs w:val="20"/>
          <w:lang w:val="fr-CA"/>
        </w:rPr>
        <w:t xml:space="preserve">, </w:t>
      </w:r>
      <w:proofErr w:type="spellStart"/>
      <w:r w:rsidRPr="0029052C">
        <w:rPr>
          <w:sz w:val="20"/>
          <w:szCs w:val="20"/>
          <w:lang w:val="fr-CA"/>
        </w:rPr>
        <w:t>c.r</w:t>
      </w:r>
      <w:proofErr w:type="spellEnd"/>
      <w:r w:rsidRPr="0029052C">
        <w:rPr>
          <w:sz w:val="20"/>
          <w:szCs w:val="20"/>
          <w:lang w:val="fr-CA"/>
        </w:rPr>
        <w:t>. pour l’intimée</w:t>
      </w:r>
    </w:p>
    <w:p w:rsidR="00602152" w:rsidRPr="00DD0B49" w:rsidRDefault="00602152" w:rsidP="00602152">
      <w:pPr>
        <w:tabs>
          <w:tab w:val="left" w:pos="-1440"/>
          <w:tab w:val="left" w:pos="-720"/>
        </w:tabs>
        <w:jc w:val="both"/>
        <w:rPr>
          <w:sz w:val="20"/>
          <w:szCs w:val="20"/>
          <w:lang w:val="fr-CA"/>
        </w:rPr>
      </w:pPr>
    </w:p>
    <w:p w:rsidR="00602152" w:rsidRPr="00DD0B49" w:rsidRDefault="007F0A1D" w:rsidP="00602152">
      <w:pPr>
        <w:tabs>
          <w:tab w:val="left" w:pos="-1440"/>
          <w:tab w:val="left" w:pos="-720"/>
        </w:tabs>
        <w:jc w:val="both"/>
        <w:rPr>
          <w:sz w:val="20"/>
          <w:szCs w:val="20"/>
          <w:lang w:val="fr-CA"/>
        </w:rPr>
      </w:pPr>
      <w:r w:rsidRPr="007F0A1D">
        <w:rPr>
          <w:sz w:val="20"/>
          <w:szCs w:val="20"/>
          <w:lang w:val="fr-CA"/>
        </w:rPr>
        <w:pict>
          <v:rect id="_x0000_i1067" style="width:2in;height:1pt" o:hrpct="0" o:hralign="center" o:hrstd="t" o:hrnoshade="t" o:hr="t" fillcolor="black [3213]" stroked="f"/>
        </w:pict>
      </w:r>
    </w:p>
    <w:p w:rsidR="00602152" w:rsidRDefault="00602152" w:rsidP="00782AE4">
      <w:pPr>
        <w:jc w:val="both"/>
        <w:rPr>
          <w:sz w:val="20"/>
          <w:szCs w:val="20"/>
          <w:lang w:val="fr-CA"/>
        </w:rPr>
      </w:pPr>
    </w:p>
    <w:p w:rsidR="00602152" w:rsidRDefault="00602152">
      <w:pPr>
        <w:rPr>
          <w:sz w:val="20"/>
          <w:szCs w:val="20"/>
          <w:lang w:val="fr-CA"/>
        </w:rPr>
      </w:pPr>
      <w:r>
        <w:rPr>
          <w:sz w:val="20"/>
          <w:szCs w:val="20"/>
          <w:lang w:val="fr-CA"/>
        </w:rPr>
        <w:br w:type="page"/>
      </w:r>
    </w:p>
    <w:p w:rsidR="00755C79" w:rsidRPr="00755C79" w:rsidRDefault="007F0A1D" w:rsidP="00755C79">
      <w:pPr>
        <w:widowControl w:val="0"/>
        <w:ind w:left="720" w:hanging="720"/>
        <w:jc w:val="both"/>
        <w:rPr>
          <w:rFonts w:eastAsia="Times New Roman" w:cs="Times New Roman"/>
          <w:sz w:val="20"/>
          <w:szCs w:val="20"/>
          <w:lang w:eastAsia="en-CA"/>
        </w:rPr>
      </w:pPr>
      <w:r w:rsidRPr="00755C79">
        <w:rPr>
          <w:rFonts w:eastAsia="Times New Roman" w:cs="Times New Roman"/>
          <w:b/>
          <w:sz w:val="20"/>
          <w:szCs w:val="20"/>
          <w:lang w:eastAsia="en-CA"/>
        </w:rPr>
        <w:lastRenderedPageBreak/>
        <w:fldChar w:fldCharType="begin"/>
      </w:r>
      <w:r w:rsidR="00755C79" w:rsidRPr="00755C79">
        <w:rPr>
          <w:rFonts w:eastAsia="Times New Roman" w:cs="Times New Roman"/>
          <w:b/>
          <w:sz w:val="20"/>
          <w:szCs w:val="20"/>
          <w:lang w:eastAsia="en-CA"/>
        </w:rPr>
        <w:instrText xml:space="preserve"> SEQ CHAPTER \h \r 1</w:instrText>
      </w:r>
      <w:r w:rsidRPr="00755C79">
        <w:rPr>
          <w:rFonts w:eastAsia="Times New Roman" w:cs="Times New Roman"/>
          <w:b/>
          <w:sz w:val="20"/>
          <w:szCs w:val="20"/>
          <w:lang w:eastAsia="en-CA"/>
        </w:rPr>
        <w:fldChar w:fldCharType="end"/>
      </w:r>
      <w:proofErr w:type="gramStart"/>
      <w:r w:rsidR="00755C79" w:rsidRPr="00755C79">
        <w:rPr>
          <w:rFonts w:eastAsia="Times New Roman" w:cs="Times New Roman"/>
          <w:b/>
          <w:sz w:val="20"/>
          <w:szCs w:val="20"/>
          <w:lang w:eastAsia="en-CA"/>
        </w:rPr>
        <w:t>34662</w:t>
      </w:r>
      <w:r w:rsidR="00755C79" w:rsidRPr="00755C79">
        <w:rPr>
          <w:rFonts w:eastAsia="Times New Roman" w:cs="Times New Roman"/>
          <w:sz w:val="20"/>
          <w:szCs w:val="20"/>
          <w:lang w:eastAsia="en-CA"/>
        </w:rPr>
        <w:tab/>
      </w:r>
      <w:proofErr w:type="spellStart"/>
      <w:r w:rsidR="00755C79" w:rsidRPr="00755C79">
        <w:rPr>
          <w:rFonts w:eastAsia="Times New Roman" w:cs="Times New Roman"/>
          <w:b/>
          <w:i/>
          <w:sz w:val="20"/>
          <w:szCs w:val="20"/>
          <w:lang w:eastAsia="en-CA"/>
        </w:rPr>
        <w:t>Yannick</w:t>
      </w:r>
      <w:proofErr w:type="spellEnd"/>
      <w:r w:rsidR="00755C79" w:rsidRPr="00755C79">
        <w:rPr>
          <w:rFonts w:eastAsia="Times New Roman" w:cs="Times New Roman"/>
          <w:b/>
          <w:i/>
          <w:sz w:val="20"/>
          <w:szCs w:val="20"/>
          <w:lang w:eastAsia="en-CA"/>
        </w:rPr>
        <w:t xml:space="preserve"> Payette and </w:t>
      </w:r>
      <w:proofErr w:type="spellStart"/>
      <w:r w:rsidR="00755C79" w:rsidRPr="00755C79">
        <w:rPr>
          <w:rFonts w:eastAsia="Times New Roman" w:cs="Times New Roman"/>
          <w:b/>
          <w:i/>
          <w:sz w:val="20"/>
          <w:szCs w:val="20"/>
          <w:lang w:eastAsia="en-CA"/>
        </w:rPr>
        <w:t>Mammoet</w:t>
      </w:r>
      <w:proofErr w:type="spellEnd"/>
      <w:r w:rsidR="00755C79" w:rsidRPr="00755C79">
        <w:rPr>
          <w:rFonts w:eastAsia="Times New Roman" w:cs="Times New Roman"/>
          <w:b/>
          <w:i/>
          <w:sz w:val="20"/>
          <w:szCs w:val="20"/>
          <w:lang w:eastAsia="en-CA"/>
        </w:rPr>
        <w:t xml:space="preserve"> Canada Eastern Ltd., successor to </w:t>
      </w:r>
      <w:proofErr w:type="spellStart"/>
      <w:r w:rsidR="00755C79" w:rsidRPr="00755C79">
        <w:rPr>
          <w:rFonts w:eastAsia="Times New Roman" w:cs="Times New Roman"/>
          <w:b/>
          <w:i/>
          <w:sz w:val="20"/>
          <w:szCs w:val="20"/>
          <w:lang w:eastAsia="en-CA"/>
        </w:rPr>
        <w:t>Mammoet</w:t>
      </w:r>
      <w:proofErr w:type="spellEnd"/>
      <w:r w:rsidR="00755C79" w:rsidRPr="00755C79">
        <w:rPr>
          <w:rFonts w:eastAsia="Times New Roman" w:cs="Times New Roman"/>
          <w:b/>
          <w:i/>
          <w:sz w:val="20"/>
          <w:szCs w:val="20"/>
          <w:lang w:eastAsia="en-CA"/>
        </w:rPr>
        <w:t xml:space="preserve"> Crane Inc. v. </w:t>
      </w:r>
      <w:proofErr w:type="spellStart"/>
      <w:r w:rsidR="00755C79" w:rsidRPr="00755C79">
        <w:rPr>
          <w:rFonts w:eastAsia="Times New Roman" w:cs="Times New Roman"/>
          <w:b/>
          <w:i/>
          <w:sz w:val="20"/>
          <w:szCs w:val="20"/>
          <w:lang w:eastAsia="en-CA"/>
        </w:rPr>
        <w:t>Guay</w:t>
      </w:r>
      <w:proofErr w:type="spellEnd"/>
      <w:r w:rsidR="00755C79" w:rsidRPr="00755C79">
        <w:rPr>
          <w:rFonts w:eastAsia="Times New Roman" w:cs="Times New Roman"/>
          <w:b/>
          <w:i/>
          <w:sz w:val="20"/>
          <w:szCs w:val="20"/>
          <w:lang w:eastAsia="en-CA"/>
        </w:rPr>
        <w:t xml:space="preserve"> inc</w:t>
      </w:r>
      <w:proofErr w:type="gramEnd"/>
      <w:r w:rsidR="00755C79" w:rsidRPr="00755C79">
        <w:rPr>
          <w:rFonts w:eastAsia="Times New Roman" w:cs="Times New Roman"/>
          <w:b/>
          <w:i/>
          <w:sz w:val="20"/>
          <w:szCs w:val="20"/>
          <w:lang w:eastAsia="en-CA"/>
        </w:rPr>
        <w:t>.</w:t>
      </w:r>
    </w:p>
    <w:p w:rsidR="00755C79" w:rsidRPr="00755C79" w:rsidRDefault="00755C79" w:rsidP="00755C79">
      <w:pPr>
        <w:widowControl w:val="0"/>
        <w:jc w:val="both"/>
        <w:rPr>
          <w:rFonts w:eastAsia="Times New Roman" w:cs="Times New Roman"/>
          <w:sz w:val="20"/>
          <w:szCs w:val="20"/>
          <w:lang w:eastAsia="en-CA"/>
        </w:rPr>
      </w:pPr>
    </w:p>
    <w:p w:rsidR="00755C79" w:rsidRPr="00755C79" w:rsidRDefault="00755C79" w:rsidP="00755C79">
      <w:pPr>
        <w:widowControl w:val="0"/>
        <w:jc w:val="both"/>
        <w:rPr>
          <w:rFonts w:eastAsia="Times New Roman" w:cs="Times New Roman"/>
          <w:sz w:val="20"/>
          <w:szCs w:val="20"/>
          <w:lang w:eastAsia="en-CA"/>
        </w:rPr>
      </w:pPr>
      <w:r w:rsidRPr="00755C79">
        <w:rPr>
          <w:rFonts w:eastAsia="Times New Roman" w:cs="Times New Roman"/>
          <w:sz w:val="20"/>
          <w:szCs w:val="20"/>
          <w:lang w:eastAsia="en-CA"/>
        </w:rPr>
        <w:t xml:space="preserve">Sale </w:t>
      </w:r>
      <w:r w:rsidRPr="00755C79">
        <w:rPr>
          <w:rFonts w:eastAsia="Times New Roman" w:cs="Times New Roman"/>
          <w:sz w:val="20"/>
          <w:szCs w:val="20"/>
          <w:lang w:eastAsia="en-CA"/>
        </w:rPr>
        <w:noBreakHyphen/>
        <w:t xml:space="preserve"> Sale of businesses and accessory contract of employment </w:t>
      </w:r>
      <w:r w:rsidRPr="00755C79">
        <w:rPr>
          <w:rFonts w:eastAsia="Times New Roman" w:cs="Times New Roman"/>
          <w:sz w:val="20"/>
          <w:szCs w:val="20"/>
          <w:lang w:eastAsia="en-CA"/>
        </w:rPr>
        <w:noBreakHyphen/>
        <w:t xml:space="preserve">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competition</w:t>
      </w:r>
      <w:proofErr w:type="spellEnd"/>
      <w:r w:rsidRPr="00755C79">
        <w:rPr>
          <w:rFonts w:eastAsia="Times New Roman" w:cs="Times New Roman"/>
          <w:sz w:val="20"/>
          <w:szCs w:val="20"/>
          <w:lang w:eastAsia="en-CA"/>
        </w:rPr>
        <w:t xml:space="preserve"> and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solicitation</w:t>
      </w:r>
      <w:proofErr w:type="spellEnd"/>
      <w:r w:rsidRPr="00755C79">
        <w:rPr>
          <w:rFonts w:eastAsia="Times New Roman" w:cs="Times New Roman"/>
          <w:sz w:val="20"/>
          <w:szCs w:val="20"/>
          <w:lang w:eastAsia="en-CA"/>
        </w:rPr>
        <w:t xml:space="preserve"> clause </w:t>
      </w:r>
      <w:r w:rsidRPr="00755C79">
        <w:rPr>
          <w:rFonts w:eastAsia="Times New Roman" w:cs="Times New Roman"/>
          <w:sz w:val="20"/>
          <w:szCs w:val="20"/>
          <w:lang w:eastAsia="en-CA"/>
        </w:rPr>
        <w:noBreakHyphen/>
        <w:t xml:space="preserve"> Sale of assets of crane rental companies coupled with contract of employment </w:t>
      </w:r>
      <w:r w:rsidRPr="00755C79">
        <w:rPr>
          <w:rFonts w:eastAsia="Times New Roman" w:cs="Times New Roman"/>
          <w:sz w:val="20"/>
          <w:szCs w:val="20"/>
          <w:lang w:eastAsia="en-CA"/>
        </w:rPr>
        <w:noBreakHyphen/>
        <w:t xml:space="preserve"> Clauses in restraint of trade given in consideration of sale </w:t>
      </w:r>
      <w:r w:rsidRPr="00755C79">
        <w:rPr>
          <w:rFonts w:eastAsia="Times New Roman" w:cs="Times New Roman"/>
          <w:sz w:val="20"/>
          <w:szCs w:val="20"/>
          <w:lang w:eastAsia="en-CA"/>
        </w:rPr>
        <w:noBreakHyphen/>
        <w:t xml:space="preserve"> Accessory employment extended and employee later dismissed </w:t>
      </w:r>
      <w:r w:rsidRPr="00755C79">
        <w:rPr>
          <w:rFonts w:eastAsia="Times New Roman" w:cs="Times New Roman"/>
          <w:sz w:val="20"/>
          <w:szCs w:val="20"/>
          <w:lang w:eastAsia="en-CA"/>
        </w:rPr>
        <w:noBreakHyphen/>
        <w:t xml:space="preserve"> Whether Court of Appeal erred in denying appellant Payette protection conferred by art. 2095 of </w:t>
      </w:r>
      <w:r w:rsidRPr="00755C79">
        <w:rPr>
          <w:rFonts w:eastAsia="Times New Roman" w:cs="Times New Roman"/>
          <w:i/>
          <w:sz w:val="20"/>
          <w:szCs w:val="20"/>
          <w:lang w:eastAsia="en-CA"/>
        </w:rPr>
        <w:t>Civil Code of Québec</w:t>
      </w:r>
      <w:r w:rsidRPr="00755C79">
        <w:rPr>
          <w:rFonts w:eastAsia="Times New Roman" w:cs="Times New Roman"/>
          <w:sz w:val="20"/>
          <w:szCs w:val="20"/>
          <w:lang w:eastAsia="en-CA"/>
        </w:rPr>
        <w:t xml:space="preserve"> </w:t>
      </w:r>
      <w:r w:rsidRPr="00755C79">
        <w:rPr>
          <w:rFonts w:eastAsia="Times New Roman" w:cs="Times New Roman"/>
          <w:sz w:val="20"/>
          <w:szCs w:val="20"/>
          <w:lang w:eastAsia="en-CA"/>
        </w:rPr>
        <w:noBreakHyphen/>
        <w:t xml:space="preserve"> </w:t>
      </w:r>
      <w:proofErr w:type="gramStart"/>
      <w:r w:rsidRPr="00755C79">
        <w:rPr>
          <w:rFonts w:eastAsia="Times New Roman" w:cs="Times New Roman"/>
          <w:sz w:val="20"/>
          <w:szCs w:val="20"/>
          <w:lang w:eastAsia="en-CA"/>
        </w:rPr>
        <w:t>In</w:t>
      </w:r>
      <w:proofErr w:type="gramEnd"/>
      <w:r w:rsidRPr="00755C79">
        <w:rPr>
          <w:rFonts w:eastAsia="Times New Roman" w:cs="Times New Roman"/>
          <w:sz w:val="20"/>
          <w:szCs w:val="20"/>
          <w:lang w:eastAsia="en-CA"/>
        </w:rPr>
        <w:t xml:space="preserve"> alternative, whether Court of Appeal erred in finding stipulations of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competition</w:t>
      </w:r>
      <w:proofErr w:type="spellEnd"/>
      <w:r w:rsidRPr="00755C79">
        <w:rPr>
          <w:rFonts w:eastAsia="Times New Roman" w:cs="Times New Roman"/>
          <w:sz w:val="20"/>
          <w:szCs w:val="20"/>
          <w:lang w:eastAsia="en-CA"/>
        </w:rPr>
        <w:t xml:space="preserve"> and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solicitation</w:t>
      </w:r>
      <w:proofErr w:type="spellEnd"/>
      <w:r w:rsidRPr="00755C79">
        <w:rPr>
          <w:rFonts w:eastAsia="Times New Roman" w:cs="Times New Roman"/>
          <w:sz w:val="20"/>
          <w:szCs w:val="20"/>
          <w:lang w:eastAsia="en-CA"/>
        </w:rPr>
        <w:t xml:space="preserve"> in clauses 10.1 and 10.2 of contract reasonable.</w:t>
      </w:r>
    </w:p>
    <w:p w:rsidR="00755C79" w:rsidRPr="00755C79" w:rsidRDefault="00755C79" w:rsidP="00755C79">
      <w:pPr>
        <w:widowControl w:val="0"/>
        <w:jc w:val="both"/>
        <w:rPr>
          <w:rFonts w:eastAsia="Times New Roman" w:cs="Times New Roman"/>
          <w:sz w:val="20"/>
          <w:szCs w:val="20"/>
          <w:lang w:eastAsia="en-CA"/>
        </w:rPr>
      </w:pPr>
    </w:p>
    <w:p w:rsidR="00755C79" w:rsidRPr="00755C79" w:rsidRDefault="00755C79" w:rsidP="00755C79">
      <w:pPr>
        <w:widowControl w:val="0"/>
        <w:jc w:val="both"/>
        <w:rPr>
          <w:rFonts w:eastAsia="Times New Roman" w:cs="Times New Roman"/>
          <w:sz w:val="20"/>
          <w:szCs w:val="20"/>
          <w:lang w:eastAsia="en-CA"/>
        </w:rPr>
      </w:pPr>
      <w:r w:rsidRPr="00755C79">
        <w:rPr>
          <w:rFonts w:eastAsia="Times New Roman" w:cs="Times New Roman"/>
          <w:sz w:val="20"/>
          <w:szCs w:val="20"/>
          <w:lang w:eastAsia="en-CA"/>
        </w:rPr>
        <w:t xml:space="preserve">The assets of companies controlled by the appellant Mr. Payette were purchased by the respondent </w:t>
      </w:r>
      <w:proofErr w:type="spellStart"/>
      <w:r w:rsidRPr="00755C79">
        <w:rPr>
          <w:rFonts w:eastAsia="Times New Roman" w:cs="Times New Roman"/>
          <w:sz w:val="20"/>
          <w:szCs w:val="20"/>
          <w:lang w:eastAsia="en-CA"/>
        </w:rPr>
        <w:t>Guay</w:t>
      </w:r>
      <w:proofErr w:type="spellEnd"/>
      <w:r w:rsidRPr="00755C79">
        <w:rPr>
          <w:rFonts w:eastAsia="Times New Roman" w:cs="Times New Roman"/>
          <w:sz w:val="20"/>
          <w:szCs w:val="20"/>
          <w:lang w:eastAsia="en-CA"/>
        </w:rPr>
        <w:t xml:space="preserve"> inc. in October 2004.  All of those companies worked in the same field, namely crane rental.  The contract of sale provided that Mr. Payette would remain employed by </w:t>
      </w:r>
      <w:proofErr w:type="spellStart"/>
      <w:r w:rsidRPr="00755C79">
        <w:rPr>
          <w:rFonts w:eastAsia="Times New Roman" w:cs="Times New Roman"/>
          <w:sz w:val="20"/>
          <w:szCs w:val="20"/>
          <w:lang w:eastAsia="en-CA"/>
        </w:rPr>
        <w:t>Guay</w:t>
      </w:r>
      <w:proofErr w:type="spellEnd"/>
      <w:r w:rsidRPr="00755C79">
        <w:rPr>
          <w:rFonts w:eastAsia="Times New Roman" w:cs="Times New Roman"/>
          <w:sz w:val="20"/>
          <w:szCs w:val="20"/>
          <w:lang w:eastAsia="en-CA"/>
        </w:rPr>
        <w:t xml:space="preserve"> and be bound by a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competition</w:t>
      </w:r>
      <w:proofErr w:type="spellEnd"/>
      <w:r w:rsidRPr="00755C79">
        <w:rPr>
          <w:rFonts w:eastAsia="Times New Roman" w:cs="Times New Roman"/>
          <w:sz w:val="20"/>
          <w:szCs w:val="20"/>
          <w:lang w:eastAsia="en-CA"/>
        </w:rPr>
        <w:t xml:space="preserve"> clause and companion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solicitation</w:t>
      </w:r>
      <w:proofErr w:type="spellEnd"/>
      <w:r w:rsidRPr="00755C79">
        <w:rPr>
          <w:rFonts w:eastAsia="Times New Roman" w:cs="Times New Roman"/>
          <w:sz w:val="20"/>
          <w:szCs w:val="20"/>
          <w:lang w:eastAsia="en-CA"/>
        </w:rPr>
        <w:t xml:space="preserve"> clause for a period of five years after the termination of the employment relationship.  The company dismissed Mr. Payette in August 2009; in March 2010, he began working for the appellant </w:t>
      </w:r>
      <w:proofErr w:type="spellStart"/>
      <w:r w:rsidRPr="00755C79">
        <w:rPr>
          <w:rFonts w:eastAsia="Times New Roman" w:cs="Times New Roman"/>
          <w:sz w:val="20"/>
          <w:szCs w:val="20"/>
          <w:lang w:eastAsia="en-CA"/>
        </w:rPr>
        <w:t>Mammoet</w:t>
      </w:r>
      <w:proofErr w:type="spellEnd"/>
      <w:r w:rsidRPr="00755C79">
        <w:rPr>
          <w:rFonts w:eastAsia="Times New Roman" w:cs="Times New Roman"/>
          <w:sz w:val="20"/>
          <w:szCs w:val="20"/>
          <w:lang w:eastAsia="en-CA"/>
        </w:rPr>
        <w:t xml:space="preserve">, a competitor.  </w:t>
      </w:r>
      <w:proofErr w:type="spellStart"/>
      <w:r w:rsidRPr="00755C79">
        <w:rPr>
          <w:rFonts w:eastAsia="Times New Roman" w:cs="Times New Roman"/>
          <w:sz w:val="20"/>
          <w:szCs w:val="20"/>
          <w:lang w:eastAsia="en-CA"/>
        </w:rPr>
        <w:t>Guay</w:t>
      </w:r>
      <w:proofErr w:type="spellEnd"/>
      <w:r w:rsidRPr="00755C79">
        <w:rPr>
          <w:rFonts w:eastAsia="Times New Roman" w:cs="Times New Roman"/>
          <w:sz w:val="20"/>
          <w:szCs w:val="20"/>
          <w:lang w:eastAsia="en-CA"/>
        </w:rPr>
        <w:t xml:space="preserve"> applied for an injunction; pending the trial, </w:t>
      </w:r>
      <w:proofErr w:type="spellStart"/>
      <w:r w:rsidRPr="00755C79">
        <w:rPr>
          <w:rFonts w:eastAsia="Times New Roman" w:cs="Times New Roman"/>
          <w:sz w:val="20"/>
          <w:szCs w:val="20"/>
          <w:lang w:eastAsia="en-CA"/>
        </w:rPr>
        <w:t>Guay</w:t>
      </w:r>
      <w:proofErr w:type="spellEnd"/>
      <w:r w:rsidRPr="00755C79">
        <w:rPr>
          <w:rFonts w:eastAsia="Times New Roman" w:cs="Times New Roman"/>
          <w:sz w:val="20"/>
          <w:szCs w:val="20"/>
          <w:lang w:eastAsia="en-CA"/>
        </w:rPr>
        <w:t xml:space="preserve"> was granted a provisional injunction and a safeguard order.  The Superior Court found that the dismissal was wrongful and refused to apply the non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competition</w:t>
      </w:r>
      <w:proofErr w:type="spellEnd"/>
      <w:r w:rsidRPr="00755C79">
        <w:rPr>
          <w:rFonts w:eastAsia="Times New Roman" w:cs="Times New Roman"/>
          <w:sz w:val="20"/>
          <w:szCs w:val="20"/>
          <w:lang w:eastAsia="en-CA"/>
        </w:rPr>
        <w:t xml:space="preserve"> clause, which it also found too broad to be valid.  That decision was reversed by a majority of the Court of Appeal. </w:t>
      </w:r>
    </w:p>
    <w:p w:rsidR="00755C79" w:rsidRPr="00755C79" w:rsidRDefault="00755C79" w:rsidP="00755C79">
      <w:pPr>
        <w:widowControl w:val="0"/>
        <w:jc w:val="both"/>
        <w:rPr>
          <w:rFonts w:eastAsia="Times New Roman" w:cs="Times New Roman"/>
          <w:sz w:val="20"/>
          <w:szCs w:val="20"/>
          <w:lang w:eastAsia="en-CA"/>
        </w:rPr>
      </w:pPr>
    </w:p>
    <w:p w:rsidR="00755C79" w:rsidRPr="00755C79" w:rsidRDefault="00755C79" w:rsidP="00755C79">
      <w:pPr>
        <w:widowControl w:val="0"/>
        <w:jc w:val="both"/>
        <w:rPr>
          <w:rFonts w:eastAsia="Times New Roman" w:cs="Times New Roman"/>
          <w:sz w:val="20"/>
          <w:szCs w:val="20"/>
          <w:lang w:eastAsia="en-CA"/>
        </w:rPr>
      </w:pPr>
    </w:p>
    <w:p w:rsidR="00755C79" w:rsidRPr="00755C79" w:rsidRDefault="00755C79" w:rsidP="00755C79">
      <w:pPr>
        <w:widowControl w:val="0"/>
        <w:ind w:left="2880" w:hanging="2880"/>
        <w:jc w:val="both"/>
        <w:rPr>
          <w:rFonts w:eastAsia="Times New Roman" w:cs="Times New Roman"/>
          <w:sz w:val="20"/>
          <w:szCs w:val="20"/>
          <w:lang w:eastAsia="en-CA"/>
        </w:rPr>
      </w:pPr>
      <w:r w:rsidRPr="00755C79">
        <w:rPr>
          <w:rFonts w:eastAsia="Times New Roman" w:cs="Times New Roman"/>
          <w:sz w:val="20"/>
          <w:szCs w:val="20"/>
          <w:lang w:eastAsia="en-CA"/>
        </w:rPr>
        <w:t>Origin of the case:</w:t>
      </w:r>
      <w:r w:rsidRPr="00755C79">
        <w:rPr>
          <w:rFonts w:eastAsia="Times New Roman" w:cs="Times New Roman"/>
          <w:sz w:val="20"/>
          <w:szCs w:val="20"/>
          <w:lang w:eastAsia="en-CA"/>
        </w:rPr>
        <w:tab/>
        <w:t>Quebec</w:t>
      </w:r>
    </w:p>
    <w:p w:rsidR="00755C79" w:rsidRPr="00755C79" w:rsidRDefault="00755C79" w:rsidP="00755C79">
      <w:pPr>
        <w:widowControl w:val="0"/>
        <w:ind w:left="2880" w:hanging="2880"/>
        <w:jc w:val="both"/>
        <w:rPr>
          <w:rFonts w:eastAsia="Times New Roman" w:cs="Times New Roman"/>
          <w:sz w:val="20"/>
          <w:szCs w:val="20"/>
          <w:lang w:eastAsia="en-CA"/>
        </w:rPr>
      </w:pPr>
    </w:p>
    <w:p w:rsidR="00755C79" w:rsidRPr="00755C79" w:rsidRDefault="00755C79" w:rsidP="00755C79">
      <w:pPr>
        <w:widowControl w:val="0"/>
        <w:ind w:left="2880" w:hanging="2880"/>
        <w:jc w:val="both"/>
        <w:rPr>
          <w:rFonts w:eastAsia="Times New Roman" w:cs="Times New Roman"/>
          <w:sz w:val="20"/>
          <w:szCs w:val="20"/>
          <w:lang w:eastAsia="en-CA"/>
        </w:rPr>
      </w:pPr>
      <w:r w:rsidRPr="00755C79">
        <w:rPr>
          <w:rFonts w:eastAsia="Times New Roman" w:cs="Times New Roman"/>
          <w:sz w:val="20"/>
          <w:szCs w:val="20"/>
          <w:lang w:eastAsia="en-CA"/>
        </w:rPr>
        <w:t>File No.:</w:t>
      </w:r>
      <w:r w:rsidRPr="00755C79">
        <w:rPr>
          <w:rFonts w:eastAsia="Times New Roman" w:cs="Times New Roman"/>
          <w:sz w:val="20"/>
          <w:szCs w:val="20"/>
          <w:lang w:eastAsia="en-CA"/>
        </w:rPr>
        <w:tab/>
        <w:t>34662</w:t>
      </w:r>
    </w:p>
    <w:p w:rsidR="00755C79" w:rsidRPr="00755C79" w:rsidRDefault="00755C79" w:rsidP="00755C79">
      <w:pPr>
        <w:widowControl w:val="0"/>
        <w:ind w:left="2880" w:hanging="2880"/>
        <w:jc w:val="both"/>
        <w:rPr>
          <w:rFonts w:eastAsia="Times New Roman" w:cs="Times New Roman"/>
          <w:sz w:val="20"/>
          <w:szCs w:val="20"/>
          <w:lang w:eastAsia="en-CA"/>
        </w:rPr>
      </w:pPr>
    </w:p>
    <w:p w:rsidR="00755C79" w:rsidRPr="00755C79" w:rsidRDefault="00755C79" w:rsidP="00755C79">
      <w:pPr>
        <w:widowControl w:val="0"/>
        <w:ind w:left="2880" w:hanging="2880"/>
        <w:jc w:val="both"/>
        <w:rPr>
          <w:rFonts w:eastAsia="Times New Roman" w:cs="Times New Roman"/>
          <w:sz w:val="20"/>
          <w:szCs w:val="20"/>
          <w:lang w:eastAsia="en-CA"/>
        </w:rPr>
      </w:pPr>
      <w:r w:rsidRPr="00755C79">
        <w:rPr>
          <w:rFonts w:eastAsia="Times New Roman" w:cs="Times New Roman"/>
          <w:sz w:val="20"/>
          <w:szCs w:val="20"/>
          <w:lang w:eastAsia="en-CA"/>
        </w:rPr>
        <w:t>Judgment of the Court of Appeal:</w:t>
      </w:r>
      <w:r w:rsidRPr="00755C79">
        <w:rPr>
          <w:rFonts w:eastAsia="Times New Roman" w:cs="Times New Roman"/>
          <w:sz w:val="20"/>
          <w:szCs w:val="20"/>
          <w:lang w:eastAsia="en-CA"/>
        </w:rPr>
        <w:tab/>
        <w:t>December 12, 2011</w:t>
      </w:r>
    </w:p>
    <w:p w:rsidR="00755C79" w:rsidRPr="00755C79" w:rsidRDefault="00755C79" w:rsidP="00755C79">
      <w:pPr>
        <w:widowControl w:val="0"/>
        <w:ind w:left="2880" w:hanging="2880"/>
        <w:jc w:val="both"/>
        <w:rPr>
          <w:rFonts w:eastAsia="Times New Roman" w:cs="Times New Roman"/>
          <w:sz w:val="20"/>
          <w:szCs w:val="20"/>
          <w:lang w:eastAsia="en-CA"/>
        </w:rPr>
      </w:pPr>
    </w:p>
    <w:p w:rsidR="00755C79" w:rsidRPr="00755C79" w:rsidRDefault="00755C79" w:rsidP="00755C79">
      <w:pPr>
        <w:widowControl w:val="0"/>
        <w:ind w:left="2880" w:hanging="2880"/>
        <w:jc w:val="both"/>
        <w:rPr>
          <w:rFonts w:eastAsia="Times New Roman" w:cs="Times New Roman"/>
          <w:sz w:val="20"/>
          <w:szCs w:val="20"/>
          <w:lang w:eastAsia="en-CA"/>
        </w:rPr>
      </w:pPr>
      <w:r w:rsidRPr="00755C79">
        <w:rPr>
          <w:rFonts w:eastAsia="Times New Roman" w:cs="Times New Roman"/>
          <w:sz w:val="20"/>
          <w:szCs w:val="20"/>
          <w:lang w:eastAsia="en-CA"/>
        </w:rPr>
        <w:t>Counsel:</w:t>
      </w:r>
      <w:r w:rsidRPr="00755C79">
        <w:rPr>
          <w:rFonts w:eastAsia="Times New Roman" w:cs="Times New Roman"/>
          <w:sz w:val="20"/>
          <w:szCs w:val="20"/>
          <w:lang w:eastAsia="en-CA"/>
        </w:rPr>
        <w:tab/>
        <w:t xml:space="preserve">Éric Hardy, Pierre Duquette and Vincent </w:t>
      </w:r>
      <w:proofErr w:type="spellStart"/>
      <w:r w:rsidRPr="00755C79">
        <w:rPr>
          <w:rFonts w:eastAsia="Times New Roman" w:cs="Times New Roman"/>
          <w:sz w:val="20"/>
          <w:szCs w:val="20"/>
          <w:lang w:eastAsia="en-CA"/>
        </w:rPr>
        <w:t>Rochette</w:t>
      </w:r>
      <w:proofErr w:type="spellEnd"/>
      <w:r w:rsidRPr="00755C79">
        <w:rPr>
          <w:rFonts w:eastAsia="Times New Roman" w:cs="Times New Roman"/>
          <w:sz w:val="20"/>
          <w:szCs w:val="20"/>
          <w:lang w:eastAsia="en-CA"/>
        </w:rPr>
        <w:t xml:space="preserve"> for the appellants</w:t>
      </w:r>
    </w:p>
    <w:p w:rsidR="00755C79" w:rsidRPr="00755C79" w:rsidRDefault="00755C79" w:rsidP="00755C79">
      <w:pPr>
        <w:widowControl w:val="0"/>
        <w:ind w:left="2880" w:hanging="2880"/>
        <w:jc w:val="both"/>
        <w:rPr>
          <w:rFonts w:eastAsia="Times New Roman" w:cs="Times New Roman"/>
          <w:sz w:val="20"/>
          <w:szCs w:val="20"/>
          <w:lang w:eastAsia="en-CA"/>
        </w:rPr>
      </w:pPr>
      <w:r w:rsidRPr="00755C79">
        <w:rPr>
          <w:rFonts w:eastAsia="Times New Roman" w:cs="Times New Roman"/>
          <w:sz w:val="20"/>
          <w:szCs w:val="20"/>
          <w:lang w:eastAsia="en-CA"/>
        </w:rPr>
        <w:tab/>
        <w:t xml:space="preserve">Gilles </w:t>
      </w:r>
      <w:proofErr w:type="spellStart"/>
      <w:r w:rsidRPr="00755C79">
        <w:rPr>
          <w:rFonts w:eastAsia="Times New Roman" w:cs="Times New Roman"/>
          <w:sz w:val="20"/>
          <w:szCs w:val="20"/>
          <w:lang w:eastAsia="en-CA"/>
        </w:rPr>
        <w:t>Rancourt</w:t>
      </w:r>
      <w:proofErr w:type="spellEnd"/>
      <w:r w:rsidRPr="00755C79">
        <w:rPr>
          <w:rFonts w:eastAsia="Times New Roman" w:cs="Times New Roman"/>
          <w:sz w:val="20"/>
          <w:szCs w:val="20"/>
          <w:lang w:eastAsia="en-CA"/>
        </w:rPr>
        <w:t>, Mario Welsh and Jean</w:t>
      </w:r>
      <w:r w:rsidRPr="00755C79">
        <w:rPr>
          <w:rFonts w:eastAsia="Times New Roman" w:cs="Times New Roman"/>
          <w:sz w:val="20"/>
          <w:szCs w:val="20"/>
          <w:lang w:eastAsia="en-CA"/>
        </w:rPr>
        <w:noBreakHyphen/>
      </w:r>
      <w:proofErr w:type="spellStart"/>
      <w:r w:rsidRPr="00755C79">
        <w:rPr>
          <w:rFonts w:eastAsia="Times New Roman" w:cs="Times New Roman"/>
          <w:sz w:val="20"/>
          <w:szCs w:val="20"/>
          <w:lang w:eastAsia="en-CA"/>
        </w:rPr>
        <w:t>François</w:t>
      </w:r>
      <w:proofErr w:type="spellEnd"/>
      <w:r w:rsidRPr="00755C79">
        <w:rPr>
          <w:rFonts w:eastAsia="Times New Roman" w:cs="Times New Roman"/>
          <w:sz w:val="20"/>
          <w:szCs w:val="20"/>
          <w:lang w:eastAsia="en-CA"/>
        </w:rPr>
        <w:t xml:space="preserve"> </w:t>
      </w:r>
      <w:proofErr w:type="spellStart"/>
      <w:r w:rsidRPr="00755C79">
        <w:rPr>
          <w:rFonts w:eastAsia="Times New Roman" w:cs="Times New Roman"/>
          <w:sz w:val="20"/>
          <w:szCs w:val="20"/>
          <w:lang w:eastAsia="en-CA"/>
        </w:rPr>
        <w:t>Bienjonetti</w:t>
      </w:r>
      <w:proofErr w:type="spellEnd"/>
      <w:r w:rsidRPr="00755C79">
        <w:rPr>
          <w:rFonts w:eastAsia="Times New Roman" w:cs="Times New Roman"/>
          <w:sz w:val="20"/>
          <w:szCs w:val="20"/>
          <w:lang w:eastAsia="en-CA"/>
        </w:rPr>
        <w:t xml:space="preserve"> for the respondent</w:t>
      </w:r>
    </w:p>
    <w:p w:rsidR="00602152" w:rsidRPr="00755C79" w:rsidRDefault="00602152" w:rsidP="00602152">
      <w:pPr>
        <w:tabs>
          <w:tab w:val="left" w:pos="-1440"/>
          <w:tab w:val="left" w:pos="-720"/>
        </w:tabs>
        <w:jc w:val="both"/>
        <w:rPr>
          <w:sz w:val="20"/>
          <w:szCs w:val="20"/>
        </w:rPr>
      </w:pPr>
    </w:p>
    <w:p w:rsidR="00602152" w:rsidRDefault="007F0A1D" w:rsidP="00602152">
      <w:pPr>
        <w:rPr>
          <w:sz w:val="20"/>
          <w:szCs w:val="20"/>
          <w:lang w:val="fr-CA"/>
        </w:rPr>
      </w:pPr>
      <w:r w:rsidRPr="007F0A1D">
        <w:rPr>
          <w:sz w:val="20"/>
          <w:szCs w:val="20"/>
          <w:lang w:val="fr-CA"/>
        </w:rPr>
        <w:pict>
          <v:rect id="_x0000_i1068" style="width:2in;height:1pt" o:hrpct="0" o:hralign="center" o:hrstd="t" o:hrnoshade="t" o:hr="t" fillcolor="black [3213]" stroked="f"/>
        </w:pict>
      </w:r>
    </w:p>
    <w:p w:rsidR="00602152" w:rsidRDefault="00602152">
      <w:pPr>
        <w:rPr>
          <w:sz w:val="20"/>
          <w:szCs w:val="20"/>
          <w:lang w:val="fr-CA"/>
        </w:rPr>
      </w:pPr>
      <w:r>
        <w:rPr>
          <w:sz w:val="20"/>
          <w:szCs w:val="20"/>
          <w:lang w:val="fr-CA"/>
        </w:rPr>
        <w:br w:type="page"/>
      </w:r>
    </w:p>
    <w:p w:rsidR="00755C79" w:rsidRPr="00755C79" w:rsidRDefault="007F0A1D" w:rsidP="00755C79">
      <w:pPr>
        <w:widowControl w:val="0"/>
        <w:ind w:left="720" w:hanging="720"/>
        <w:jc w:val="both"/>
        <w:rPr>
          <w:rFonts w:eastAsia="Times New Roman" w:cs="Times New Roman"/>
          <w:sz w:val="20"/>
          <w:szCs w:val="20"/>
          <w:lang w:val="fr-CA" w:eastAsia="en-CA"/>
        </w:rPr>
      </w:pPr>
      <w:r w:rsidRPr="007F0A1D">
        <w:rPr>
          <w:rFonts w:eastAsia="Times New Roman" w:cs="Times New Roman"/>
          <w:b/>
          <w:sz w:val="20"/>
          <w:szCs w:val="20"/>
          <w:lang w:val="fr-CA" w:eastAsia="en-CA"/>
        </w:rPr>
        <w:lastRenderedPageBreak/>
        <w:fldChar w:fldCharType="begin"/>
      </w:r>
      <w:r w:rsidR="00755C79" w:rsidRPr="00755C79">
        <w:rPr>
          <w:rFonts w:eastAsia="Times New Roman" w:cs="Times New Roman"/>
          <w:b/>
          <w:sz w:val="20"/>
          <w:szCs w:val="20"/>
          <w:lang w:val="fr-CA" w:eastAsia="en-CA"/>
        </w:rPr>
        <w:instrText xml:space="preserve"> SEQ CHAPTER \h \r 1</w:instrText>
      </w:r>
      <w:r w:rsidRPr="00755C79">
        <w:rPr>
          <w:rFonts w:eastAsia="Times New Roman" w:cs="Times New Roman"/>
          <w:b/>
          <w:sz w:val="20"/>
          <w:szCs w:val="20"/>
          <w:lang w:val="en-US" w:eastAsia="en-CA"/>
        </w:rPr>
        <w:fldChar w:fldCharType="end"/>
      </w:r>
      <w:r w:rsidR="00755C79" w:rsidRPr="00755C79">
        <w:rPr>
          <w:rFonts w:eastAsia="Times New Roman" w:cs="Times New Roman"/>
          <w:b/>
          <w:sz w:val="20"/>
          <w:szCs w:val="20"/>
          <w:lang w:val="fr-CA" w:eastAsia="en-CA"/>
        </w:rPr>
        <w:t>34662</w:t>
      </w:r>
      <w:r w:rsidR="00755C79" w:rsidRPr="00755C79">
        <w:rPr>
          <w:rFonts w:eastAsia="Times New Roman" w:cs="Times New Roman"/>
          <w:sz w:val="20"/>
          <w:szCs w:val="20"/>
          <w:lang w:val="fr-CA" w:eastAsia="en-CA"/>
        </w:rPr>
        <w:tab/>
      </w:r>
      <w:r w:rsidR="00755C79" w:rsidRPr="00755C79">
        <w:rPr>
          <w:rFonts w:eastAsia="Times New Roman" w:cs="Times New Roman"/>
          <w:b/>
          <w:i/>
          <w:sz w:val="20"/>
          <w:szCs w:val="20"/>
          <w:lang w:val="fr-CA" w:eastAsia="en-CA"/>
        </w:rPr>
        <w:t xml:space="preserve">Yannick Payette et </w:t>
      </w:r>
      <w:proofErr w:type="spellStart"/>
      <w:r w:rsidR="00755C79" w:rsidRPr="00755C79">
        <w:rPr>
          <w:rFonts w:eastAsia="Times New Roman" w:cs="Times New Roman"/>
          <w:b/>
          <w:i/>
          <w:sz w:val="20"/>
          <w:szCs w:val="20"/>
          <w:lang w:val="fr-CA" w:eastAsia="en-CA"/>
        </w:rPr>
        <w:t>Mammoet</w:t>
      </w:r>
      <w:proofErr w:type="spellEnd"/>
      <w:r w:rsidR="00755C79" w:rsidRPr="00755C79">
        <w:rPr>
          <w:rFonts w:eastAsia="Times New Roman" w:cs="Times New Roman"/>
          <w:b/>
          <w:i/>
          <w:sz w:val="20"/>
          <w:szCs w:val="20"/>
          <w:lang w:val="fr-CA" w:eastAsia="en-CA"/>
        </w:rPr>
        <w:t xml:space="preserve"> Canada de l’Est </w:t>
      </w:r>
      <w:proofErr w:type="spellStart"/>
      <w:r w:rsidR="00755C79" w:rsidRPr="00755C79">
        <w:rPr>
          <w:rFonts w:eastAsia="Times New Roman" w:cs="Times New Roman"/>
          <w:b/>
          <w:i/>
          <w:sz w:val="20"/>
          <w:szCs w:val="20"/>
          <w:lang w:val="fr-CA" w:eastAsia="en-CA"/>
        </w:rPr>
        <w:t>Ltée</w:t>
      </w:r>
      <w:proofErr w:type="spellEnd"/>
      <w:r w:rsidR="00755C79" w:rsidRPr="00755C79">
        <w:rPr>
          <w:rFonts w:eastAsia="Times New Roman" w:cs="Times New Roman"/>
          <w:b/>
          <w:i/>
          <w:sz w:val="20"/>
          <w:szCs w:val="20"/>
          <w:lang w:val="fr-CA" w:eastAsia="en-CA"/>
        </w:rPr>
        <w:t xml:space="preserve"> maintenant aux droits de </w:t>
      </w:r>
      <w:proofErr w:type="spellStart"/>
      <w:r w:rsidR="00755C79" w:rsidRPr="00755C79">
        <w:rPr>
          <w:rFonts w:eastAsia="Times New Roman" w:cs="Times New Roman"/>
          <w:b/>
          <w:i/>
          <w:sz w:val="20"/>
          <w:szCs w:val="20"/>
          <w:lang w:val="fr-CA" w:eastAsia="en-CA"/>
        </w:rPr>
        <w:t>Mammoet</w:t>
      </w:r>
      <w:proofErr w:type="spellEnd"/>
      <w:r w:rsidR="00755C79" w:rsidRPr="00755C79">
        <w:rPr>
          <w:rFonts w:eastAsia="Times New Roman" w:cs="Times New Roman"/>
          <w:b/>
          <w:i/>
          <w:sz w:val="20"/>
          <w:szCs w:val="20"/>
          <w:lang w:val="fr-CA" w:eastAsia="en-CA"/>
        </w:rPr>
        <w:t xml:space="preserve"> Crane </w:t>
      </w:r>
      <w:proofErr w:type="spellStart"/>
      <w:r w:rsidR="00755C79" w:rsidRPr="00755C79">
        <w:rPr>
          <w:rFonts w:eastAsia="Times New Roman" w:cs="Times New Roman"/>
          <w:b/>
          <w:i/>
          <w:sz w:val="20"/>
          <w:szCs w:val="20"/>
          <w:lang w:val="fr-CA" w:eastAsia="en-CA"/>
        </w:rPr>
        <w:t>inc</w:t>
      </w:r>
      <w:proofErr w:type="spellEnd"/>
      <w:r w:rsidR="00755C79" w:rsidRPr="00755C79">
        <w:rPr>
          <w:rFonts w:eastAsia="Times New Roman" w:cs="Times New Roman"/>
          <w:b/>
          <w:i/>
          <w:sz w:val="20"/>
          <w:szCs w:val="20"/>
          <w:lang w:val="fr-CA" w:eastAsia="en-CA"/>
        </w:rPr>
        <w:t xml:space="preserve">. c. Guay </w:t>
      </w:r>
      <w:proofErr w:type="spellStart"/>
      <w:r w:rsidR="00755C79" w:rsidRPr="00755C79">
        <w:rPr>
          <w:rFonts w:eastAsia="Times New Roman" w:cs="Times New Roman"/>
          <w:b/>
          <w:i/>
          <w:sz w:val="20"/>
          <w:szCs w:val="20"/>
          <w:lang w:val="fr-CA" w:eastAsia="en-CA"/>
        </w:rPr>
        <w:t>inc</w:t>
      </w:r>
      <w:proofErr w:type="spellEnd"/>
      <w:r w:rsidR="00755C79" w:rsidRPr="00755C79">
        <w:rPr>
          <w:rFonts w:eastAsia="Times New Roman" w:cs="Times New Roman"/>
          <w:b/>
          <w:i/>
          <w:sz w:val="20"/>
          <w:szCs w:val="20"/>
          <w:lang w:val="fr-CA" w:eastAsia="en-CA"/>
        </w:rPr>
        <w:t>.</w:t>
      </w: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jc w:val="both"/>
        <w:rPr>
          <w:rFonts w:eastAsia="Times New Roman" w:cs="Times New Roman"/>
          <w:sz w:val="20"/>
          <w:szCs w:val="20"/>
          <w:lang w:val="fr-FR" w:eastAsia="en-CA"/>
        </w:rPr>
      </w:pPr>
      <w:r w:rsidRPr="00755C79">
        <w:rPr>
          <w:rFonts w:eastAsia="Times New Roman" w:cs="Times New Roman"/>
          <w:sz w:val="20"/>
          <w:szCs w:val="20"/>
          <w:lang w:val="fr-FR" w:eastAsia="en-CA"/>
        </w:rPr>
        <w:t xml:space="preserve">Vente </w:t>
      </w:r>
      <w:r w:rsidRPr="00755C79">
        <w:rPr>
          <w:rFonts w:eastAsia="Times New Roman" w:cs="Times New Roman"/>
          <w:sz w:val="20"/>
          <w:szCs w:val="20"/>
          <w:lang w:val="fr-FR" w:eastAsia="en-CA"/>
        </w:rPr>
        <w:noBreakHyphen/>
        <w:t xml:space="preserve"> Vente d’entreprises et contrat de travail accessoire </w:t>
      </w:r>
      <w:r w:rsidRPr="00755C79">
        <w:rPr>
          <w:rFonts w:eastAsia="Times New Roman" w:cs="Times New Roman"/>
          <w:sz w:val="20"/>
          <w:szCs w:val="20"/>
          <w:lang w:val="fr-FR" w:eastAsia="en-CA"/>
        </w:rPr>
        <w:noBreakHyphen/>
        <w:t xml:space="preserve"> Clause de </w:t>
      </w:r>
      <w:proofErr w:type="spellStart"/>
      <w:r w:rsidRPr="00755C79">
        <w:rPr>
          <w:rFonts w:eastAsia="Times New Roman" w:cs="Times New Roman"/>
          <w:sz w:val="20"/>
          <w:szCs w:val="20"/>
          <w:lang w:val="fr-FR" w:eastAsia="en-CA"/>
        </w:rPr>
        <w:t>non</w:t>
      </w:r>
      <w:r w:rsidRPr="00755C79">
        <w:rPr>
          <w:rFonts w:eastAsia="Times New Roman" w:cs="Times New Roman"/>
          <w:sz w:val="20"/>
          <w:szCs w:val="20"/>
          <w:lang w:val="fr-FR" w:eastAsia="en-CA"/>
        </w:rPr>
        <w:noBreakHyphen/>
        <w:t>concurrence</w:t>
      </w:r>
      <w:proofErr w:type="spellEnd"/>
      <w:r w:rsidRPr="00755C79">
        <w:rPr>
          <w:rFonts w:eastAsia="Times New Roman" w:cs="Times New Roman"/>
          <w:sz w:val="20"/>
          <w:szCs w:val="20"/>
          <w:lang w:val="fr-FR" w:eastAsia="en-CA"/>
        </w:rPr>
        <w:t xml:space="preserve"> et de </w:t>
      </w:r>
      <w:proofErr w:type="spellStart"/>
      <w:r w:rsidRPr="00755C79">
        <w:rPr>
          <w:rFonts w:eastAsia="Times New Roman" w:cs="Times New Roman"/>
          <w:sz w:val="20"/>
          <w:szCs w:val="20"/>
          <w:lang w:val="fr-FR" w:eastAsia="en-CA"/>
        </w:rPr>
        <w:t>non</w:t>
      </w:r>
      <w:r w:rsidRPr="00755C79">
        <w:rPr>
          <w:rFonts w:eastAsia="Times New Roman" w:cs="Times New Roman"/>
          <w:sz w:val="20"/>
          <w:szCs w:val="20"/>
          <w:lang w:val="fr-FR" w:eastAsia="en-CA"/>
        </w:rPr>
        <w:noBreakHyphen/>
        <w:t>sollicitation</w:t>
      </w:r>
      <w:proofErr w:type="spellEnd"/>
      <w:r w:rsidRPr="00755C79">
        <w:rPr>
          <w:rFonts w:eastAsia="Times New Roman" w:cs="Times New Roman"/>
          <w:sz w:val="20"/>
          <w:szCs w:val="20"/>
          <w:lang w:val="fr-FR" w:eastAsia="en-CA"/>
        </w:rPr>
        <w:t xml:space="preserve"> </w:t>
      </w:r>
      <w:r w:rsidRPr="00755C79">
        <w:rPr>
          <w:rFonts w:eastAsia="Times New Roman" w:cs="Times New Roman"/>
          <w:sz w:val="20"/>
          <w:szCs w:val="20"/>
          <w:lang w:val="fr-FR" w:eastAsia="en-CA"/>
        </w:rPr>
        <w:noBreakHyphen/>
        <w:t xml:space="preserve"> Vente d’actifs de compagnies de location de grues doublée d’un contrat d’emploi </w:t>
      </w:r>
      <w:r w:rsidRPr="00755C79">
        <w:rPr>
          <w:rFonts w:eastAsia="Times New Roman" w:cs="Times New Roman"/>
          <w:sz w:val="20"/>
          <w:szCs w:val="20"/>
          <w:lang w:val="fr-FR" w:eastAsia="en-CA"/>
        </w:rPr>
        <w:noBreakHyphen/>
        <w:t xml:space="preserve"> Clauses restrictives du commerce consenties en contrepartie de la vente </w:t>
      </w:r>
      <w:r w:rsidRPr="00755C79">
        <w:rPr>
          <w:rFonts w:eastAsia="Times New Roman" w:cs="Times New Roman"/>
          <w:sz w:val="20"/>
          <w:szCs w:val="20"/>
          <w:lang w:val="fr-FR" w:eastAsia="en-CA"/>
        </w:rPr>
        <w:noBreakHyphen/>
        <w:t xml:space="preserve"> Emploi accessoire prolongé suivi de congédiement </w:t>
      </w:r>
      <w:r w:rsidRPr="00755C79">
        <w:rPr>
          <w:rFonts w:eastAsia="Times New Roman" w:cs="Times New Roman"/>
          <w:sz w:val="20"/>
          <w:szCs w:val="20"/>
          <w:lang w:val="fr-FR" w:eastAsia="en-CA"/>
        </w:rPr>
        <w:noBreakHyphen/>
        <w:t xml:space="preserve"> La Cour d’appel </w:t>
      </w:r>
      <w:proofErr w:type="spellStart"/>
      <w:r w:rsidRPr="00755C79">
        <w:rPr>
          <w:rFonts w:eastAsia="Times New Roman" w:cs="Times New Roman"/>
          <w:sz w:val="20"/>
          <w:szCs w:val="20"/>
          <w:lang w:val="fr-FR" w:eastAsia="en-CA"/>
        </w:rPr>
        <w:t>a</w:t>
      </w:r>
      <w:r w:rsidRPr="00755C79">
        <w:rPr>
          <w:rFonts w:eastAsia="Times New Roman" w:cs="Times New Roman"/>
          <w:sz w:val="20"/>
          <w:szCs w:val="20"/>
          <w:lang w:val="fr-FR" w:eastAsia="en-CA"/>
        </w:rPr>
        <w:noBreakHyphen/>
        <w:t>t</w:t>
      </w:r>
      <w:r w:rsidRPr="00755C79">
        <w:rPr>
          <w:rFonts w:eastAsia="Times New Roman" w:cs="Times New Roman"/>
          <w:sz w:val="20"/>
          <w:szCs w:val="20"/>
          <w:lang w:val="fr-FR" w:eastAsia="en-CA"/>
        </w:rPr>
        <w:noBreakHyphen/>
        <w:t>elle</w:t>
      </w:r>
      <w:proofErr w:type="spellEnd"/>
      <w:r w:rsidRPr="00755C79">
        <w:rPr>
          <w:rFonts w:eastAsia="Times New Roman" w:cs="Times New Roman"/>
          <w:sz w:val="20"/>
          <w:szCs w:val="20"/>
          <w:lang w:val="fr-FR" w:eastAsia="en-CA"/>
        </w:rPr>
        <w:t xml:space="preserve"> fait erreur en privant l’appelant Payette de la protection conférée par l’art. 2095 du </w:t>
      </w:r>
      <w:r w:rsidRPr="00755C79">
        <w:rPr>
          <w:rFonts w:eastAsia="Times New Roman" w:cs="Times New Roman"/>
          <w:i/>
          <w:sz w:val="20"/>
          <w:szCs w:val="20"/>
          <w:lang w:val="fr-FR" w:eastAsia="en-CA"/>
        </w:rPr>
        <w:t>Code civil du Québec</w:t>
      </w:r>
      <w:r w:rsidRPr="00755C79">
        <w:rPr>
          <w:rFonts w:eastAsia="Times New Roman" w:cs="Times New Roman"/>
          <w:sz w:val="20"/>
          <w:szCs w:val="20"/>
          <w:lang w:val="fr-FR" w:eastAsia="en-CA"/>
        </w:rPr>
        <w:t xml:space="preserve">? </w:t>
      </w:r>
      <w:r w:rsidRPr="00755C79">
        <w:rPr>
          <w:rFonts w:eastAsia="Times New Roman" w:cs="Times New Roman"/>
          <w:sz w:val="20"/>
          <w:szCs w:val="20"/>
          <w:lang w:val="fr-FR" w:eastAsia="en-CA"/>
        </w:rPr>
        <w:noBreakHyphen/>
        <w:t xml:space="preserve"> À titre subsidiaire, la Cour d’appel </w:t>
      </w:r>
      <w:proofErr w:type="spellStart"/>
      <w:r w:rsidRPr="00755C79">
        <w:rPr>
          <w:rFonts w:eastAsia="Times New Roman" w:cs="Times New Roman"/>
          <w:sz w:val="20"/>
          <w:szCs w:val="20"/>
          <w:lang w:val="fr-FR" w:eastAsia="en-CA"/>
        </w:rPr>
        <w:t>a</w:t>
      </w:r>
      <w:r w:rsidRPr="00755C79">
        <w:rPr>
          <w:rFonts w:eastAsia="Times New Roman" w:cs="Times New Roman"/>
          <w:sz w:val="20"/>
          <w:szCs w:val="20"/>
          <w:lang w:val="fr-FR" w:eastAsia="en-CA"/>
        </w:rPr>
        <w:noBreakHyphen/>
        <w:t>t</w:t>
      </w:r>
      <w:r w:rsidRPr="00755C79">
        <w:rPr>
          <w:rFonts w:eastAsia="Times New Roman" w:cs="Times New Roman"/>
          <w:sz w:val="20"/>
          <w:szCs w:val="20"/>
          <w:lang w:val="fr-FR" w:eastAsia="en-CA"/>
        </w:rPr>
        <w:noBreakHyphen/>
        <w:t>elle</w:t>
      </w:r>
      <w:proofErr w:type="spellEnd"/>
      <w:r w:rsidRPr="00755C79">
        <w:rPr>
          <w:rFonts w:eastAsia="Times New Roman" w:cs="Times New Roman"/>
          <w:sz w:val="20"/>
          <w:szCs w:val="20"/>
          <w:lang w:val="fr-FR" w:eastAsia="en-CA"/>
        </w:rPr>
        <w:t xml:space="preserve"> fait erreur en concluant au caractère raisonnable des stipulations de </w:t>
      </w:r>
      <w:proofErr w:type="spellStart"/>
      <w:r w:rsidRPr="00755C79">
        <w:rPr>
          <w:rFonts w:eastAsia="Times New Roman" w:cs="Times New Roman"/>
          <w:sz w:val="20"/>
          <w:szCs w:val="20"/>
          <w:lang w:val="fr-FR" w:eastAsia="en-CA"/>
        </w:rPr>
        <w:t>non</w:t>
      </w:r>
      <w:r w:rsidRPr="00755C79">
        <w:rPr>
          <w:rFonts w:eastAsia="Times New Roman" w:cs="Times New Roman"/>
          <w:sz w:val="20"/>
          <w:szCs w:val="20"/>
          <w:lang w:val="fr-FR" w:eastAsia="en-CA"/>
        </w:rPr>
        <w:noBreakHyphen/>
        <w:t>concurrence</w:t>
      </w:r>
      <w:proofErr w:type="spellEnd"/>
      <w:r w:rsidRPr="00755C79">
        <w:rPr>
          <w:rFonts w:eastAsia="Times New Roman" w:cs="Times New Roman"/>
          <w:sz w:val="20"/>
          <w:szCs w:val="20"/>
          <w:lang w:val="fr-FR" w:eastAsia="en-CA"/>
        </w:rPr>
        <w:t xml:space="preserve"> et de </w:t>
      </w:r>
      <w:proofErr w:type="spellStart"/>
      <w:r w:rsidRPr="00755C79">
        <w:rPr>
          <w:rFonts w:eastAsia="Times New Roman" w:cs="Times New Roman"/>
          <w:sz w:val="20"/>
          <w:szCs w:val="20"/>
          <w:lang w:val="fr-FR" w:eastAsia="en-CA"/>
        </w:rPr>
        <w:t>non</w:t>
      </w:r>
      <w:r w:rsidRPr="00755C79">
        <w:rPr>
          <w:rFonts w:eastAsia="Times New Roman" w:cs="Times New Roman"/>
          <w:sz w:val="20"/>
          <w:szCs w:val="20"/>
          <w:lang w:val="fr-FR" w:eastAsia="en-CA"/>
        </w:rPr>
        <w:noBreakHyphen/>
        <w:t>sollicitation</w:t>
      </w:r>
      <w:proofErr w:type="spellEnd"/>
      <w:r w:rsidRPr="00755C79">
        <w:rPr>
          <w:rFonts w:eastAsia="Times New Roman" w:cs="Times New Roman"/>
          <w:sz w:val="20"/>
          <w:szCs w:val="20"/>
          <w:lang w:val="fr-FR" w:eastAsia="en-CA"/>
        </w:rPr>
        <w:t xml:space="preserve"> contenues aux clauses 10.1 et 10.2 du contrat ?</w:t>
      </w:r>
    </w:p>
    <w:p w:rsidR="00755C79" w:rsidRPr="00755C79" w:rsidRDefault="00755C79" w:rsidP="00755C79">
      <w:pPr>
        <w:widowControl w:val="0"/>
        <w:jc w:val="both"/>
        <w:rPr>
          <w:rFonts w:eastAsia="Times New Roman" w:cs="Times New Roman"/>
          <w:sz w:val="20"/>
          <w:szCs w:val="20"/>
          <w:lang w:val="fr-FR" w:eastAsia="en-CA"/>
        </w:rPr>
      </w:pPr>
    </w:p>
    <w:p w:rsidR="00755C79" w:rsidRPr="00755C79" w:rsidRDefault="00755C79" w:rsidP="00755C79">
      <w:pPr>
        <w:widowControl w:val="0"/>
        <w:jc w:val="both"/>
        <w:rPr>
          <w:rFonts w:eastAsia="Times New Roman" w:cs="Times New Roman"/>
          <w:sz w:val="20"/>
          <w:szCs w:val="20"/>
          <w:lang w:val="fr-CA" w:eastAsia="en-CA"/>
        </w:rPr>
      </w:pPr>
      <w:r w:rsidRPr="00755C79">
        <w:rPr>
          <w:rFonts w:eastAsia="Times New Roman" w:cs="Times New Roman"/>
          <w:sz w:val="20"/>
          <w:szCs w:val="20"/>
          <w:lang w:val="fr-CA" w:eastAsia="en-CA"/>
        </w:rPr>
        <w:t xml:space="preserve">Les actifs de compagnies contrôlées par l’appelant Payette ont été achetés par l’intimée Guay </w:t>
      </w:r>
      <w:proofErr w:type="spellStart"/>
      <w:r w:rsidRPr="00755C79">
        <w:rPr>
          <w:rFonts w:eastAsia="Times New Roman" w:cs="Times New Roman"/>
          <w:sz w:val="20"/>
          <w:szCs w:val="20"/>
          <w:lang w:val="fr-CA" w:eastAsia="en-CA"/>
        </w:rPr>
        <w:t>inc</w:t>
      </w:r>
      <w:proofErr w:type="spellEnd"/>
      <w:r w:rsidRPr="00755C79">
        <w:rPr>
          <w:rFonts w:eastAsia="Times New Roman" w:cs="Times New Roman"/>
          <w:sz w:val="20"/>
          <w:szCs w:val="20"/>
          <w:lang w:val="fr-CA" w:eastAsia="en-CA"/>
        </w:rPr>
        <w:t xml:space="preserve">. en octobre 2004, toutes ces entreprises œuvrant dans le même domaine, la location de grues.  Le contrat de vente prévoit que Payette reste à l’emploi de Guay et qu’il est lié par une clause de </w:t>
      </w:r>
      <w:proofErr w:type="spellStart"/>
      <w:r w:rsidRPr="00755C79">
        <w:rPr>
          <w:rFonts w:eastAsia="Times New Roman" w:cs="Times New Roman"/>
          <w:sz w:val="20"/>
          <w:szCs w:val="20"/>
          <w:lang w:val="fr-CA" w:eastAsia="en-CA"/>
        </w:rPr>
        <w:t>non</w:t>
      </w:r>
      <w:r w:rsidRPr="00755C79">
        <w:rPr>
          <w:rFonts w:eastAsia="Times New Roman" w:cs="Times New Roman"/>
          <w:sz w:val="20"/>
          <w:szCs w:val="20"/>
          <w:lang w:val="fr-CA" w:eastAsia="en-CA"/>
        </w:rPr>
        <w:noBreakHyphen/>
        <w:t>concurrence</w:t>
      </w:r>
      <w:proofErr w:type="spellEnd"/>
      <w:r w:rsidRPr="00755C79">
        <w:rPr>
          <w:rFonts w:eastAsia="Times New Roman" w:cs="Times New Roman"/>
          <w:sz w:val="20"/>
          <w:szCs w:val="20"/>
          <w:lang w:val="fr-CA" w:eastAsia="en-CA"/>
        </w:rPr>
        <w:t xml:space="preserve"> et son complément, la </w:t>
      </w:r>
      <w:proofErr w:type="spellStart"/>
      <w:r w:rsidRPr="00755C79">
        <w:rPr>
          <w:rFonts w:eastAsia="Times New Roman" w:cs="Times New Roman"/>
          <w:sz w:val="20"/>
          <w:szCs w:val="20"/>
          <w:lang w:val="fr-CA" w:eastAsia="en-CA"/>
        </w:rPr>
        <w:t>non</w:t>
      </w:r>
      <w:r w:rsidRPr="00755C79">
        <w:rPr>
          <w:rFonts w:eastAsia="Times New Roman" w:cs="Times New Roman"/>
          <w:sz w:val="20"/>
          <w:szCs w:val="20"/>
          <w:lang w:val="fr-CA" w:eastAsia="en-CA"/>
        </w:rPr>
        <w:noBreakHyphen/>
        <w:t>sollicitation</w:t>
      </w:r>
      <w:proofErr w:type="spellEnd"/>
      <w:r w:rsidRPr="00755C79">
        <w:rPr>
          <w:rFonts w:eastAsia="Times New Roman" w:cs="Times New Roman"/>
          <w:sz w:val="20"/>
          <w:szCs w:val="20"/>
          <w:lang w:val="fr-CA" w:eastAsia="en-CA"/>
        </w:rPr>
        <w:t xml:space="preserve">, pour une période de cinq ans après la fin du lien d’emploi.  L’entreprise congédie Payette en août 2009; en mars 2010, ce dernier commence un emploi chez l’appelante </w:t>
      </w:r>
      <w:proofErr w:type="spellStart"/>
      <w:r w:rsidRPr="00755C79">
        <w:rPr>
          <w:rFonts w:eastAsia="Times New Roman" w:cs="Times New Roman"/>
          <w:sz w:val="20"/>
          <w:szCs w:val="20"/>
          <w:lang w:val="fr-CA" w:eastAsia="en-CA"/>
        </w:rPr>
        <w:t>Mammoet</w:t>
      </w:r>
      <w:proofErr w:type="spellEnd"/>
      <w:r w:rsidRPr="00755C79">
        <w:rPr>
          <w:rFonts w:eastAsia="Times New Roman" w:cs="Times New Roman"/>
          <w:sz w:val="20"/>
          <w:szCs w:val="20"/>
          <w:lang w:val="fr-CA" w:eastAsia="en-CA"/>
        </w:rPr>
        <w:t xml:space="preserve">, une concurrente.  Guay demande une injonction; dans l’attente du procès, elle bénéficie d’une injonction provisoire et d’une ordonnance de sauvegarde.  La Cour supérieure estime que le congédiement était abusif et refuse d’appliquer la clause de </w:t>
      </w:r>
      <w:proofErr w:type="spellStart"/>
      <w:r w:rsidRPr="00755C79">
        <w:rPr>
          <w:rFonts w:eastAsia="Times New Roman" w:cs="Times New Roman"/>
          <w:sz w:val="20"/>
          <w:szCs w:val="20"/>
          <w:lang w:val="fr-CA" w:eastAsia="en-CA"/>
        </w:rPr>
        <w:t>non</w:t>
      </w:r>
      <w:r w:rsidRPr="00755C79">
        <w:rPr>
          <w:rFonts w:eastAsia="Times New Roman" w:cs="Times New Roman"/>
          <w:sz w:val="20"/>
          <w:szCs w:val="20"/>
          <w:lang w:val="fr-CA" w:eastAsia="en-CA"/>
        </w:rPr>
        <w:noBreakHyphen/>
        <w:t>concurrence</w:t>
      </w:r>
      <w:proofErr w:type="spellEnd"/>
      <w:r w:rsidRPr="00755C79">
        <w:rPr>
          <w:rFonts w:eastAsia="Times New Roman" w:cs="Times New Roman"/>
          <w:sz w:val="20"/>
          <w:szCs w:val="20"/>
          <w:lang w:val="fr-CA" w:eastAsia="en-CA"/>
        </w:rPr>
        <w:t xml:space="preserve">, qu’elle juge par ailleurs trop large pour être valide.  La Cour d’appel, à la majorité, renverse cette décision. </w:t>
      </w: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Origine :</w:t>
      </w:r>
      <w:r w:rsidRPr="00755C79">
        <w:rPr>
          <w:rFonts w:eastAsia="Times New Roman" w:cs="Times New Roman"/>
          <w:sz w:val="20"/>
          <w:szCs w:val="20"/>
          <w:lang w:val="fr-CA" w:eastAsia="en-CA"/>
        </w:rPr>
        <w:tab/>
        <w:t>Québec</w:t>
      </w:r>
    </w:p>
    <w:p w:rsidR="00755C79" w:rsidRPr="00755C79" w:rsidRDefault="00755C79" w:rsidP="00755C79">
      <w:pPr>
        <w:widowControl w:val="0"/>
        <w:ind w:left="2880" w:hanging="288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N</w:t>
      </w:r>
      <w:r w:rsidRPr="00755C79">
        <w:rPr>
          <w:rFonts w:eastAsia="Times New Roman" w:cs="Times New Roman"/>
          <w:sz w:val="20"/>
          <w:szCs w:val="20"/>
          <w:vertAlign w:val="superscript"/>
          <w:lang w:val="fr-CA" w:eastAsia="en-CA"/>
        </w:rPr>
        <w:t>o</w:t>
      </w:r>
      <w:r w:rsidRPr="00755C79">
        <w:rPr>
          <w:rFonts w:eastAsia="Times New Roman" w:cs="Times New Roman"/>
          <w:sz w:val="20"/>
          <w:szCs w:val="20"/>
          <w:lang w:val="fr-CA" w:eastAsia="en-CA"/>
        </w:rPr>
        <w:t xml:space="preserve"> du greffe :</w:t>
      </w:r>
      <w:r w:rsidRPr="00755C79">
        <w:rPr>
          <w:rFonts w:eastAsia="Times New Roman" w:cs="Times New Roman"/>
          <w:sz w:val="20"/>
          <w:szCs w:val="20"/>
          <w:lang w:val="fr-CA" w:eastAsia="en-CA"/>
        </w:rPr>
        <w:tab/>
        <w:t>34662</w:t>
      </w:r>
    </w:p>
    <w:p w:rsidR="00755C79" w:rsidRPr="00755C79" w:rsidRDefault="00755C79" w:rsidP="00755C79">
      <w:pPr>
        <w:widowControl w:val="0"/>
        <w:ind w:left="2880" w:hanging="288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Arrêt de la Cour d’appel :</w:t>
      </w:r>
      <w:r w:rsidRPr="00755C79">
        <w:rPr>
          <w:rFonts w:eastAsia="Times New Roman" w:cs="Times New Roman"/>
          <w:sz w:val="20"/>
          <w:szCs w:val="20"/>
          <w:lang w:val="fr-CA" w:eastAsia="en-CA"/>
        </w:rPr>
        <w:tab/>
        <w:t>Le 12 décembre 2011</w:t>
      </w:r>
    </w:p>
    <w:p w:rsidR="00755C79" w:rsidRPr="00755C79" w:rsidRDefault="00755C79" w:rsidP="00755C79">
      <w:pPr>
        <w:widowControl w:val="0"/>
        <w:ind w:left="2880" w:hanging="288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Avocats :</w:t>
      </w:r>
      <w:r w:rsidRPr="00755C79">
        <w:rPr>
          <w:rFonts w:eastAsia="Times New Roman" w:cs="Times New Roman"/>
          <w:sz w:val="20"/>
          <w:szCs w:val="20"/>
          <w:lang w:val="fr-CA" w:eastAsia="en-CA"/>
        </w:rPr>
        <w:tab/>
        <w:t>Éric Hardy, Pierre Duquette et Vincent Rochette pour les appelants</w:t>
      </w: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b/>
        <w:t xml:space="preserve">Gilles Rancourt, Mario </w:t>
      </w:r>
      <w:proofErr w:type="spellStart"/>
      <w:r w:rsidRPr="00755C79">
        <w:rPr>
          <w:rFonts w:eastAsia="Times New Roman" w:cs="Times New Roman"/>
          <w:sz w:val="20"/>
          <w:szCs w:val="20"/>
          <w:lang w:val="fr-CA" w:eastAsia="en-CA"/>
        </w:rPr>
        <w:t>Welsh</w:t>
      </w:r>
      <w:proofErr w:type="spellEnd"/>
      <w:r w:rsidRPr="00755C79">
        <w:rPr>
          <w:rFonts w:eastAsia="Times New Roman" w:cs="Times New Roman"/>
          <w:sz w:val="20"/>
          <w:szCs w:val="20"/>
          <w:lang w:val="fr-CA" w:eastAsia="en-CA"/>
        </w:rPr>
        <w:t xml:space="preserve"> et </w:t>
      </w:r>
      <w:proofErr w:type="spellStart"/>
      <w:r w:rsidRPr="00755C79">
        <w:rPr>
          <w:rFonts w:eastAsia="Times New Roman" w:cs="Times New Roman"/>
          <w:sz w:val="20"/>
          <w:szCs w:val="20"/>
          <w:lang w:val="fr-CA" w:eastAsia="en-CA"/>
        </w:rPr>
        <w:t>Jean</w:t>
      </w:r>
      <w:r w:rsidRPr="00755C79">
        <w:rPr>
          <w:rFonts w:eastAsia="Times New Roman" w:cs="Times New Roman"/>
          <w:sz w:val="20"/>
          <w:szCs w:val="20"/>
          <w:lang w:val="fr-CA" w:eastAsia="en-CA"/>
        </w:rPr>
        <w:noBreakHyphen/>
        <w:t>François</w:t>
      </w:r>
      <w:proofErr w:type="spellEnd"/>
      <w:r w:rsidRPr="00755C79">
        <w:rPr>
          <w:rFonts w:eastAsia="Times New Roman" w:cs="Times New Roman"/>
          <w:sz w:val="20"/>
          <w:szCs w:val="20"/>
          <w:lang w:val="fr-CA" w:eastAsia="en-CA"/>
        </w:rPr>
        <w:t xml:space="preserve"> </w:t>
      </w:r>
      <w:proofErr w:type="spellStart"/>
      <w:r w:rsidRPr="00755C79">
        <w:rPr>
          <w:rFonts w:eastAsia="Times New Roman" w:cs="Times New Roman"/>
          <w:sz w:val="20"/>
          <w:szCs w:val="20"/>
          <w:lang w:val="fr-CA" w:eastAsia="en-CA"/>
        </w:rPr>
        <w:t>Bienjonetti</w:t>
      </w:r>
      <w:proofErr w:type="spellEnd"/>
      <w:r w:rsidR="00A549CB">
        <w:rPr>
          <w:rFonts w:eastAsia="Times New Roman" w:cs="Times New Roman"/>
          <w:sz w:val="20"/>
          <w:szCs w:val="20"/>
          <w:lang w:val="fr-CA" w:eastAsia="en-CA"/>
        </w:rPr>
        <w:t xml:space="preserve"> </w:t>
      </w:r>
      <w:r w:rsidRPr="00755C79">
        <w:rPr>
          <w:rFonts w:eastAsia="Times New Roman" w:cs="Times New Roman"/>
          <w:sz w:val="20"/>
          <w:szCs w:val="20"/>
          <w:lang w:val="fr-CA" w:eastAsia="en-CA"/>
        </w:rPr>
        <w:t>pour l’intimée</w:t>
      </w:r>
    </w:p>
    <w:p w:rsidR="00602152" w:rsidRPr="00DD0B49" w:rsidRDefault="00602152" w:rsidP="00602152">
      <w:pPr>
        <w:tabs>
          <w:tab w:val="left" w:pos="-1440"/>
          <w:tab w:val="left" w:pos="-720"/>
        </w:tabs>
        <w:jc w:val="both"/>
        <w:rPr>
          <w:sz w:val="20"/>
          <w:szCs w:val="20"/>
          <w:lang w:val="fr-CA"/>
        </w:rPr>
      </w:pPr>
    </w:p>
    <w:p w:rsidR="00602152" w:rsidRDefault="007F0A1D" w:rsidP="00602152">
      <w:pPr>
        <w:rPr>
          <w:sz w:val="20"/>
          <w:szCs w:val="20"/>
          <w:lang w:val="fr-CA"/>
        </w:rPr>
      </w:pPr>
      <w:r w:rsidRPr="007F0A1D">
        <w:rPr>
          <w:sz w:val="20"/>
          <w:szCs w:val="20"/>
          <w:lang w:val="fr-CA"/>
        </w:rPr>
        <w:pict>
          <v:rect id="_x0000_i1069" style="width:2in;height:1pt" o:hrpct="0" o:hralign="center" o:hrstd="t" o:hrnoshade="t" o:hr="t" fillcolor="black [3213]" stroked="f"/>
        </w:pict>
      </w:r>
    </w:p>
    <w:p w:rsidR="00602152" w:rsidRDefault="00602152">
      <w:pPr>
        <w:rPr>
          <w:sz w:val="20"/>
          <w:szCs w:val="20"/>
          <w:lang w:val="fr-CA"/>
        </w:rPr>
      </w:pPr>
      <w:r>
        <w:rPr>
          <w:sz w:val="20"/>
          <w:szCs w:val="20"/>
          <w:lang w:val="fr-CA"/>
        </w:rPr>
        <w:br w:type="page"/>
      </w:r>
    </w:p>
    <w:p w:rsidR="00755C79" w:rsidRPr="00522CCF" w:rsidRDefault="007F0A1D" w:rsidP="00755C79">
      <w:pPr>
        <w:widowControl w:val="0"/>
        <w:ind w:left="720" w:hanging="720"/>
        <w:jc w:val="both"/>
        <w:rPr>
          <w:sz w:val="20"/>
          <w:szCs w:val="20"/>
        </w:rPr>
      </w:pPr>
      <w:r w:rsidRPr="00522CCF">
        <w:rPr>
          <w:b/>
          <w:sz w:val="20"/>
          <w:szCs w:val="20"/>
        </w:rPr>
        <w:lastRenderedPageBreak/>
        <w:fldChar w:fldCharType="begin"/>
      </w:r>
      <w:r w:rsidR="00755C79" w:rsidRPr="00522CCF">
        <w:rPr>
          <w:b/>
          <w:sz w:val="20"/>
          <w:szCs w:val="20"/>
        </w:rPr>
        <w:instrText xml:space="preserve"> SEQ CHAPTER \h \r 1</w:instrText>
      </w:r>
      <w:r w:rsidRPr="00522CCF">
        <w:rPr>
          <w:b/>
          <w:sz w:val="20"/>
          <w:szCs w:val="20"/>
        </w:rPr>
        <w:fldChar w:fldCharType="end"/>
      </w:r>
      <w:r w:rsidR="00755C79" w:rsidRPr="00522CCF">
        <w:rPr>
          <w:b/>
          <w:sz w:val="20"/>
          <w:szCs w:val="20"/>
        </w:rPr>
        <w:t>34545</w:t>
      </w:r>
      <w:r w:rsidR="00755C79" w:rsidRPr="00522CCF">
        <w:rPr>
          <w:sz w:val="20"/>
          <w:szCs w:val="20"/>
        </w:rPr>
        <w:tab/>
      </w:r>
      <w:r w:rsidR="00755C79" w:rsidRPr="00522CCF">
        <w:rPr>
          <w:b/>
          <w:i/>
          <w:sz w:val="20"/>
          <w:szCs w:val="20"/>
        </w:rPr>
        <w:t xml:space="preserve">Canadian National Railway v. </w:t>
      </w:r>
      <w:proofErr w:type="spellStart"/>
      <w:r w:rsidR="00755C79" w:rsidRPr="00522CCF">
        <w:rPr>
          <w:b/>
          <w:i/>
          <w:sz w:val="20"/>
          <w:szCs w:val="20"/>
        </w:rPr>
        <w:t>McKercher</w:t>
      </w:r>
      <w:proofErr w:type="spellEnd"/>
      <w:r w:rsidR="00755C79" w:rsidRPr="00522CCF">
        <w:rPr>
          <w:b/>
          <w:i/>
          <w:sz w:val="20"/>
          <w:szCs w:val="20"/>
        </w:rPr>
        <w:t xml:space="preserve"> LLP and Gordon Wallace</w:t>
      </w:r>
    </w:p>
    <w:p w:rsidR="00755C79" w:rsidRPr="00522CCF" w:rsidRDefault="00755C79" w:rsidP="00755C79">
      <w:pPr>
        <w:widowControl w:val="0"/>
        <w:jc w:val="both"/>
        <w:rPr>
          <w:sz w:val="20"/>
          <w:szCs w:val="20"/>
        </w:rPr>
      </w:pPr>
    </w:p>
    <w:p w:rsidR="00755C79" w:rsidRPr="00522CCF" w:rsidRDefault="00755C79" w:rsidP="00755C79">
      <w:pPr>
        <w:widowControl w:val="0"/>
        <w:jc w:val="both"/>
        <w:rPr>
          <w:sz w:val="20"/>
          <w:szCs w:val="20"/>
        </w:rPr>
      </w:pPr>
      <w:r w:rsidRPr="00522CCF">
        <w:rPr>
          <w:sz w:val="20"/>
          <w:szCs w:val="20"/>
        </w:rPr>
        <w:t xml:space="preserve">Fiduciary Duty </w:t>
      </w:r>
      <w:r w:rsidRPr="00522CCF">
        <w:rPr>
          <w:sz w:val="20"/>
          <w:szCs w:val="20"/>
        </w:rPr>
        <w:noBreakHyphen/>
        <w:t xml:space="preserve"> Attorneys </w:t>
      </w:r>
      <w:r w:rsidRPr="00522CCF">
        <w:rPr>
          <w:sz w:val="20"/>
          <w:szCs w:val="20"/>
        </w:rPr>
        <w:noBreakHyphen/>
        <w:t xml:space="preserve"> Conflict of Interest </w:t>
      </w:r>
      <w:r w:rsidRPr="00522CCF">
        <w:rPr>
          <w:sz w:val="20"/>
          <w:szCs w:val="20"/>
        </w:rPr>
        <w:noBreakHyphen/>
        <w:t xml:space="preserve"> </w:t>
      </w:r>
      <w:proofErr w:type="gramStart"/>
      <w:r w:rsidRPr="00522CCF">
        <w:rPr>
          <w:sz w:val="20"/>
          <w:szCs w:val="20"/>
        </w:rPr>
        <w:t>What</w:t>
      </w:r>
      <w:proofErr w:type="gramEnd"/>
      <w:r w:rsidRPr="00522CCF">
        <w:rPr>
          <w:sz w:val="20"/>
          <w:szCs w:val="20"/>
        </w:rPr>
        <w:t xml:space="preserve"> was the scope of </w:t>
      </w:r>
      <w:proofErr w:type="spellStart"/>
      <w:r w:rsidRPr="00522CCF">
        <w:rPr>
          <w:sz w:val="20"/>
          <w:szCs w:val="20"/>
        </w:rPr>
        <w:t>McKercher’s</w:t>
      </w:r>
      <w:proofErr w:type="spellEnd"/>
      <w:r w:rsidRPr="00522CCF">
        <w:rPr>
          <w:sz w:val="20"/>
          <w:szCs w:val="20"/>
        </w:rPr>
        <w:t xml:space="preserve"> duty to CN to avoid conflicts of interest? </w:t>
      </w:r>
      <w:r w:rsidRPr="00522CCF">
        <w:rPr>
          <w:sz w:val="20"/>
          <w:szCs w:val="20"/>
        </w:rPr>
        <w:noBreakHyphen/>
        <w:t xml:space="preserve"> Whether </w:t>
      </w:r>
      <w:proofErr w:type="spellStart"/>
      <w:r w:rsidRPr="00522CCF">
        <w:rPr>
          <w:sz w:val="20"/>
          <w:szCs w:val="20"/>
        </w:rPr>
        <w:t>McKercher</w:t>
      </w:r>
      <w:proofErr w:type="spellEnd"/>
      <w:r w:rsidRPr="00522CCF">
        <w:rPr>
          <w:sz w:val="20"/>
          <w:szCs w:val="20"/>
        </w:rPr>
        <w:t xml:space="preserve"> was in a conflict of interest by suing its current client </w:t>
      </w:r>
      <w:r w:rsidRPr="00522CCF">
        <w:rPr>
          <w:sz w:val="20"/>
          <w:szCs w:val="20"/>
        </w:rPr>
        <w:noBreakHyphen/>
        <w:t xml:space="preserve"> Whether </w:t>
      </w:r>
      <w:proofErr w:type="spellStart"/>
      <w:r w:rsidRPr="00522CCF">
        <w:rPr>
          <w:sz w:val="20"/>
          <w:szCs w:val="20"/>
        </w:rPr>
        <w:t>McKercher</w:t>
      </w:r>
      <w:proofErr w:type="spellEnd"/>
      <w:r w:rsidRPr="00522CCF">
        <w:rPr>
          <w:sz w:val="20"/>
          <w:szCs w:val="20"/>
        </w:rPr>
        <w:t xml:space="preserve"> breached the remaining elements of the duty of loyalty </w:t>
      </w:r>
      <w:r w:rsidRPr="00522CCF">
        <w:rPr>
          <w:sz w:val="20"/>
          <w:szCs w:val="20"/>
        </w:rPr>
        <w:noBreakHyphen/>
        <w:t xml:space="preserve"> </w:t>
      </w:r>
      <w:proofErr w:type="gramStart"/>
      <w:r w:rsidRPr="00522CCF">
        <w:rPr>
          <w:sz w:val="20"/>
          <w:szCs w:val="20"/>
        </w:rPr>
        <w:t>Whether</w:t>
      </w:r>
      <w:proofErr w:type="gramEnd"/>
      <w:r w:rsidRPr="00522CCF">
        <w:rPr>
          <w:sz w:val="20"/>
          <w:szCs w:val="20"/>
        </w:rPr>
        <w:t xml:space="preserve"> disqualification of </w:t>
      </w:r>
      <w:proofErr w:type="spellStart"/>
      <w:r w:rsidRPr="00522CCF">
        <w:rPr>
          <w:sz w:val="20"/>
          <w:szCs w:val="20"/>
        </w:rPr>
        <w:t>McKercher</w:t>
      </w:r>
      <w:proofErr w:type="spellEnd"/>
      <w:r w:rsidRPr="00522CCF">
        <w:rPr>
          <w:sz w:val="20"/>
          <w:szCs w:val="20"/>
        </w:rPr>
        <w:t xml:space="preserve"> is the appropriate remedy.</w:t>
      </w:r>
    </w:p>
    <w:p w:rsidR="00755C79" w:rsidRPr="00522CCF" w:rsidRDefault="00755C79" w:rsidP="00755C79">
      <w:pPr>
        <w:widowControl w:val="0"/>
        <w:jc w:val="both"/>
        <w:rPr>
          <w:sz w:val="20"/>
          <w:szCs w:val="20"/>
        </w:rPr>
      </w:pPr>
    </w:p>
    <w:p w:rsidR="00755C79" w:rsidRPr="00522CCF" w:rsidRDefault="00755C79" w:rsidP="00755C79">
      <w:pPr>
        <w:widowControl w:val="0"/>
        <w:jc w:val="both"/>
        <w:rPr>
          <w:sz w:val="20"/>
          <w:szCs w:val="20"/>
        </w:rPr>
      </w:pPr>
      <w:r w:rsidRPr="00522CCF">
        <w:rPr>
          <w:sz w:val="20"/>
          <w:szCs w:val="20"/>
        </w:rPr>
        <w:t xml:space="preserve">In 2008, the law firm </w:t>
      </w:r>
      <w:proofErr w:type="spellStart"/>
      <w:r w:rsidRPr="00522CCF">
        <w:rPr>
          <w:sz w:val="20"/>
          <w:szCs w:val="20"/>
        </w:rPr>
        <w:t>McKercher</w:t>
      </w:r>
      <w:proofErr w:type="spellEnd"/>
      <w:r w:rsidRPr="00522CCF">
        <w:rPr>
          <w:sz w:val="20"/>
          <w:szCs w:val="20"/>
        </w:rPr>
        <w:t xml:space="preserve"> LLP </w:t>
      </w:r>
      <w:bookmarkStart w:id="11" w:name="HIT_4"/>
      <w:bookmarkStart w:id="12" w:name="ORIGHIT_4"/>
      <w:bookmarkEnd w:id="11"/>
      <w:bookmarkEnd w:id="12"/>
      <w:r w:rsidRPr="00522CCF">
        <w:rPr>
          <w:sz w:val="20"/>
          <w:szCs w:val="20"/>
        </w:rPr>
        <w:t xml:space="preserve">began representing Gordon Wallace as the representative plaintiff in a class action law suit against Canadian National Railway, Canadian Pacific Railway and others, in which prairie farmers allege that the railways overcharged western farmers for grain transportation over a 25 year period.  When the claim was launched, </w:t>
      </w:r>
      <w:proofErr w:type="spellStart"/>
      <w:r w:rsidRPr="00522CCF">
        <w:rPr>
          <w:sz w:val="20"/>
          <w:szCs w:val="20"/>
        </w:rPr>
        <w:t>McKercher</w:t>
      </w:r>
      <w:proofErr w:type="spellEnd"/>
      <w:r w:rsidRPr="00522CCF">
        <w:rPr>
          <w:sz w:val="20"/>
          <w:szCs w:val="20"/>
        </w:rPr>
        <w:t xml:space="preserve"> LLP also was acting for Canadian National Railway on a number of other matters.  Canadian National Railway applied to disqualify </w:t>
      </w:r>
      <w:proofErr w:type="spellStart"/>
      <w:r w:rsidRPr="00522CCF">
        <w:rPr>
          <w:sz w:val="20"/>
          <w:szCs w:val="20"/>
        </w:rPr>
        <w:t>McKercher</w:t>
      </w:r>
      <w:proofErr w:type="spellEnd"/>
      <w:r w:rsidRPr="00522CCF">
        <w:rPr>
          <w:sz w:val="20"/>
          <w:szCs w:val="20"/>
        </w:rPr>
        <w:t xml:space="preserve"> LLP from acting on the class action law suit. </w:t>
      </w:r>
    </w:p>
    <w:p w:rsidR="00755C79" w:rsidRPr="00522CCF" w:rsidRDefault="00755C79" w:rsidP="00755C79">
      <w:pPr>
        <w:widowControl w:val="0"/>
        <w:jc w:val="both"/>
        <w:rPr>
          <w:sz w:val="20"/>
          <w:szCs w:val="20"/>
        </w:rPr>
      </w:pPr>
    </w:p>
    <w:p w:rsidR="00755C79" w:rsidRPr="00522CCF" w:rsidRDefault="00755C79" w:rsidP="00755C79">
      <w:pPr>
        <w:widowControl w:val="0"/>
        <w:jc w:val="both"/>
        <w:rPr>
          <w:sz w:val="20"/>
          <w:szCs w:val="20"/>
        </w:rPr>
      </w:pPr>
    </w:p>
    <w:p w:rsidR="00755C79" w:rsidRPr="00522CCF" w:rsidRDefault="00755C79" w:rsidP="00755C79">
      <w:pPr>
        <w:widowControl w:val="0"/>
        <w:ind w:left="2880" w:hanging="2880"/>
        <w:jc w:val="both"/>
        <w:rPr>
          <w:sz w:val="20"/>
          <w:szCs w:val="20"/>
        </w:rPr>
      </w:pPr>
      <w:r w:rsidRPr="00522CCF">
        <w:rPr>
          <w:sz w:val="20"/>
          <w:szCs w:val="20"/>
        </w:rPr>
        <w:t>Origin of the case:</w:t>
      </w:r>
      <w:r w:rsidRPr="00522CCF">
        <w:rPr>
          <w:sz w:val="20"/>
          <w:szCs w:val="20"/>
        </w:rPr>
        <w:tab/>
        <w:t>Saskatchewan</w:t>
      </w:r>
    </w:p>
    <w:p w:rsidR="00755C79" w:rsidRPr="00522CCF" w:rsidRDefault="00755C79" w:rsidP="00755C79">
      <w:pPr>
        <w:widowControl w:val="0"/>
        <w:ind w:left="2880" w:hanging="2880"/>
        <w:jc w:val="both"/>
        <w:rPr>
          <w:sz w:val="20"/>
          <w:szCs w:val="20"/>
        </w:rPr>
      </w:pPr>
    </w:p>
    <w:p w:rsidR="00755C79" w:rsidRPr="00522CCF" w:rsidRDefault="00755C79" w:rsidP="00755C79">
      <w:pPr>
        <w:widowControl w:val="0"/>
        <w:ind w:left="2880" w:hanging="2880"/>
        <w:jc w:val="both"/>
        <w:rPr>
          <w:sz w:val="20"/>
          <w:szCs w:val="20"/>
        </w:rPr>
      </w:pPr>
      <w:r w:rsidRPr="00522CCF">
        <w:rPr>
          <w:sz w:val="20"/>
          <w:szCs w:val="20"/>
        </w:rPr>
        <w:t>File No.:</w:t>
      </w:r>
      <w:r w:rsidRPr="00522CCF">
        <w:rPr>
          <w:sz w:val="20"/>
          <w:szCs w:val="20"/>
        </w:rPr>
        <w:tab/>
        <w:t>34545</w:t>
      </w:r>
    </w:p>
    <w:p w:rsidR="00755C79" w:rsidRPr="00522CCF" w:rsidRDefault="00755C79" w:rsidP="00755C79">
      <w:pPr>
        <w:widowControl w:val="0"/>
        <w:ind w:left="2880" w:hanging="2880"/>
        <w:jc w:val="both"/>
        <w:rPr>
          <w:sz w:val="20"/>
          <w:szCs w:val="20"/>
        </w:rPr>
      </w:pPr>
    </w:p>
    <w:p w:rsidR="00755C79" w:rsidRPr="00522CCF" w:rsidRDefault="00755C79" w:rsidP="00755C79">
      <w:pPr>
        <w:widowControl w:val="0"/>
        <w:ind w:left="2880" w:hanging="2880"/>
        <w:jc w:val="both"/>
        <w:rPr>
          <w:sz w:val="20"/>
          <w:szCs w:val="20"/>
        </w:rPr>
      </w:pPr>
      <w:r w:rsidRPr="00522CCF">
        <w:rPr>
          <w:sz w:val="20"/>
          <w:szCs w:val="20"/>
        </w:rPr>
        <w:t>Judgment of the Court of Appeal:</w:t>
      </w:r>
      <w:r w:rsidRPr="00522CCF">
        <w:rPr>
          <w:sz w:val="20"/>
          <w:szCs w:val="20"/>
        </w:rPr>
        <w:tab/>
        <w:t>September 28, 2011</w:t>
      </w:r>
    </w:p>
    <w:p w:rsidR="00755C79" w:rsidRPr="00522CCF" w:rsidRDefault="00755C79" w:rsidP="00755C79">
      <w:pPr>
        <w:widowControl w:val="0"/>
        <w:ind w:left="2880" w:hanging="2880"/>
        <w:jc w:val="both"/>
        <w:rPr>
          <w:sz w:val="20"/>
          <w:szCs w:val="20"/>
        </w:rPr>
      </w:pPr>
    </w:p>
    <w:p w:rsidR="00755C79" w:rsidRPr="00522CCF" w:rsidRDefault="00755C79" w:rsidP="00755C79">
      <w:pPr>
        <w:widowControl w:val="0"/>
        <w:ind w:left="2880" w:hanging="2880"/>
        <w:jc w:val="both"/>
        <w:rPr>
          <w:sz w:val="20"/>
          <w:szCs w:val="20"/>
        </w:rPr>
      </w:pPr>
      <w:r w:rsidRPr="00522CCF">
        <w:rPr>
          <w:sz w:val="20"/>
          <w:szCs w:val="20"/>
        </w:rPr>
        <w:t>Counsel:</w:t>
      </w:r>
      <w:r w:rsidRPr="00522CCF">
        <w:rPr>
          <w:sz w:val="20"/>
          <w:szCs w:val="20"/>
        </w:rPr>
        <w:tab/>
        <w:t xml:space="preserve">Douglas C. </w:t>
      </w:r>
      <w:proofErr w:type="spellStart"/>
      <w:r w:rsidRPr="00522CCF">
        <w:rPr>
          <w:sz w:val="20"/>
          <w:szCs w:val="20"/>
        </w:rPr>
        <w:t>Hodson</w:t>
      </w:r>
      <w:proofErr w:type="spellEnd"/>
      <w:r w:rsidRPr="00522CCF">
        <w:rPr>
          <w:sz w:val="20"/>
          <w:szCs w:val="20"/>
        </w:rPr>
        <w:t xml:space="preserve">, Q.C., Vanessa </w:t>
      </w:r>
      <w:proofErr w:type="spellStart"/>
      <w:r w:rsidRPr="00522CCF">
        <w:rPr>
          <w:sz w:val="20"/>
          <w:szCs w:val="20"/>
        </w:rPr>
        <w:t>Monar</w:t>
      </w:r>
      <w:proofErr w:type="spellEnd"/>
      <w:r w:rsidRPr="00522CCF">
        <w:rPr>
          <w:sz w:val="20"/>
          <w:szCs w:val="20"/>
        </w:rPr>
        <w:t xml:space="preserve"> </w:t>
      </w:r>
      <w:proofErr w:type="spellStart"/>
      <w:r w:rsidRPr="00522CCF">
        <w:rPr>
          <w:sz w:val="20"/>
          <w:szCs w:val="20"/>
        </w:rPr>
        <w:t>Enweani</w:t>
      </w:r>
      <w:proofErr w:type="spellEnd"/>
      <w:r w:rsidRPr="00522CCF">
        <w:rPr>
          <w:sz w:val="20"/>
          <w:szCs w:val="20"/>
        </w:rPr>
        <w:t xml:space="preserve"> and C</w:t>
      </w:r>
      <w:r w:rsidR="00A549CB">
        <w:rPr>
          <w:sz w:val="20"/>
          <w:szCs w:val="20"/>
        </w:rPr>
        <w:t xml:space="preserve">. </w:t>
      </w:r>
      <w:r w:rsidRPr="00522CCF">
        <w:rPr>
          <w:sz w:val="20"/>
          <w:szCs w:val="20"/>
        </w:rPr>
        <w:t>Ryan Lepage for the appellant</w:t>
      </w:r>
    </w:p>
    <w:p w:rsidR="00755C79" w:rsidRPr="00522CCF" w:rsidRDefault="00755C79" w:rsidP="00755C79">
      <w:pPr>
        <w:widowControl w:val="0"/>
        <w:ind w:left="2880" w:hanging="2880"/>
        <w:jc w:val="both"/>
        <w:rPr>
          <w:sz w:val="20"/>
          <w:szCs w:val="20"/>
        </w:rPr>
      </w:pPr>
      <w:r w:rsidRPr="00522CCF">
        <w:rPr>
          <w:sz w:val="20"/>
          <w:szCs w:val="20"/>
        </w:rPr>
        <w:tab/>
        <w:t xml:space="preserve">Gavin </w:t>
      </w:r>
      <w:proofErr w:type="spellStart"/>
      <w:r w:rsidRPr="00522CCF">
        <w:rPr>
          <w:sz w:val="20"/>
          <w:szCs w:val="20"/>
        </w:rPr>
        <w:t>MacKenzie</w:t>
      </w:r>
      <w:proofErr w:type="spellEnd"/>
      <w:r w:rsidRPr="00522CCF">
        <w:rPr>
          <w:sz w:val="20"/>
          <w:szCs w:val="20"/>
        </w:rPr>
        <w:t xml:space="preserve"> for the respondents</w:t>
      </w:r>
    </w:p>
    <w:p w:rsidR="00602152" w:rsidRPr="00755C79" w:rsidRDefault="00602152" w:rsidP="00602152">
      <w:pPr>
        <w:tabs>
          <w:tab w:val="left" w:pos="-1440"/>
          <w:tab w:val="left" w:pos="-720"/>
        </w:tabs>
        <w:jc w:val="both"/>
        <w:rPr>
          <w:sz w:val="20"/>
          <w:szCs w:val="20"/>
        </w:rPr>
      </w:pPr>
    </w:p>
    <w:p w:rsidR="00602152" w:rsidRDefault="007F0A1D" w:rsidP="00602152">
      <w:pPr>
        <w:jc w:val="both"/>
        <w:rPr>
          <w:sz w:val="20"/>
          <w:szCs w:val="20"/>
          <w:lang w:val="fr-CA"/>
        </w:rPr>
      </w:pPr>
      <w:r w:rsidRPr="007F0A1D">
        <w:rPr>
          <w:sz w:val="20"/>
          <w:szCs w:val="20"/>
          <w:lang w:val="fr-CA"/>
        </w:rPr>
        <w:pict>
          <v:rect id="_x0000_i1070" style="width:2in;height:1pt" o:hrpct="0" o:hralign="center" o:hrstd="t" o:hrnoshade="t" o:hr="t" fillcolor="black [3213]" stroked="f"/>
        </w:pict>
      </w:r>
    </w:p>
    <w:p w:rsidR="00755C79" w:rsidRDefault="00755C79">
      <w:pPr>
        <w:rPr>
          <w:sz w:val="20"/>
          <w:szCs w:val="20"/>
          <w:lang w:val="fr-CA"/>
        </w:rPr>
      </w:pPr>
      <w:r>
        <w:rPr>
          <w:sz w:val="20"/>
          <w:szCs w:val="20"/>
          <w:lang w:val="fr-CA"/>
        </w:rPr>
        <w:br w:type="page"/>
      </w:r>
    </w:p>
    <w:p w:rsidR="00755C79" w:rsidRPr="00755C79" w:rsidRDefault="007F0A1D" w:rsidP="00755C79">
      <w:pPr>
        <w:widowControl w:val="0"/>
        <w:ind w:left="720" w:hanging="720"/>
        <w:jc w:val="both"/>
        <w:rPr>
          <w:rFonts w:eastAsia="Times New Roman" w:cs="Times New Roman"/>
          <w:sz w:val="20"/>
          <w:szCs w:val="20"/>
          <w:lang w:val="fr-CA" w:eastAsia="en-CA"/>
        </w:rPr>
      </w:pPr>
      <w:r w:rsidRPr="00755C79">
        <w:rPr>
          <w:rFonts w:eastAsia="Times New Roman" w:cs="Times New Roman"/>
          <w:b/>
          <w:sz w:val="20"/>
          <w:szCs w:val="20"/>
          <w:lang w:val="fr-CA" w:eastAsia="en-CA"/>
        </w:rPr>
        <w:lastRenderedPageBreak/>
        <w:fldChar w:fldCharType="begin"/>
      </w:r>
      <w:r w:rsidR="00755C79" w:rsidRPr="00755C79">
        <w:rPr>
          <w:rFonts w:eastAsia="Times New Roman" w:cs="Times New Roman"/>
          <w:b/>
          <w:sz w:val="20"/>
          <w:szCs w:val="20"/>
          <w:lang w:val="fr-CA" w:eastAsia="en-CA"/>
        </w:rPr>
        <w:instrText xml:space="preserve"> SEQ CHAPTER \h \r 1</w:instrText>
      </w:r>
      <w:r w:rsidRPr="00755C79">
        <w:rPr>
          <w:rFonts w:eastAsia="Times New Roman" w:cs="Times New Roman"/>
          <w:b/>
          <w:sz w:val="20"/>
          <w:szCs w:val="20"/>
          <w:lang w:val="fr-CA" w:eastAsia="en-CA"/>
        </w:rPr>
        <w:fldChar w:fldCharType="end"/>
      </w:r>
      <w:r w:rsidR="00755C79" w:rsidRPr="00755C79">
        <w:rPr>
          <w:rFonts w:eastAsia="Times New Roman" w:cs="Times New Roman"/>
          <w:b/>
          <w:sz w:val="20"/>
          <w:szCs w:val="20"/>
          <w:lang w:val="fr-CA" w:eastAsia="en-CA"/>
        </w:rPr>
        <w:t>34545</w:t>
      </w:r>
      <w:r w:rsidR="00755C79" w:rsidRPr="00755C79">
        <w:rPr>
          <w:rFonts w:eastAsia="Times New Roman" w:cs="Times New Roman"/>
          <w:sz w:val="20"/>
          <w:szCs w:val="20"/>
          <w:lang w:val="fr-CA" w:eastAsia="en-CA"/>
        </w:rPr>
        <w:tab/>
      </w:r>
      <w:r w:rsidR="00755C79" w:rsidRPr="00755C79">
        <w:rPr>
          <w:rFonts w:eastAsia="Times New Roman" w:cs="Times New Roman"/>
          <w:b/>
          <w:i/>
          <w:sz w:val="20"/>
          <w:szCs w:val="20"/>
          <w:lang w:val="fr-CA" w:eastAsia="en-CA"/>
        </w:rPr>
        <w:t xml:space="preserve">Compagnie des chemins de fer nationaux du Canada c. </w:t>
      </w:r>
      <w:proofErr w:type="spellStart"/>
      <w:r w:rsidR="00755C79" w:rsidRPr="00755C79">
        <w:rPr>
          <w:rFonts w:eastAsia="Times New Roman" w:cs="Times New Roman"/>
          <w:b/>
          <w:i/>
          <w:sz w:val="20"/>
          <w:szCs w:val="20"/>
          <w:lang w:val="fr-CA" w:eastAsia="en-CA"/>
        </w:rPr>
        <w:t>McKercher</w:t>
      </w:r>
      <w:proofErr w:type="spellEnd"/>
      <w:r w:rsidR="00755C79" w:rsidRPr="00755C79">
        <w:rPr>
          <w:rFonts w:eastAsia="Times New Roman" w:cs="Times New Roman"/>
          <w:b/>
          <w:i/>
          <w:sz w:val="20"/>
          <w:szCs w:val="20"/>
          <w:lang w:val="fr-CA" w:eastAsia="en-CA"/>
        </w:rPr>
        <w:t xml:space="preserve"> LLP and Gordon Wallace</w:t>
      </w: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jc w:val="both"/>
        <w:rPr>
          <w:rFonts w:eastAsia="Times New Roman" w:cs="Times New Roman"/>
          <w:sz w:val="20"/>
          <w:szCs w:val="20"/>
          <w:lang w:val="fr-CA" w:eastAsia="en-CA"/>
        </w:rPr>
      </w:pPr>
      <w:r w:rsidRPr="00755C79">
        <w:rPr>
          <w:rFonts w:eastAsia="Times New Roman" w:cs="Times New Roman"/>
          <w:sz w:val="20"/>
          <w:szCs w:val="20"/>
          <w:lang w:val="fr-CA" w:eastAsia="en-CA"/>
        </w:rPr>
        <w:t xml:space="preserve">Obligation fiduciaire - Procureurs - Conflits d’intérêts - Quelle était la portée de l’obligation de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envers le CN pour éviter des conflits d’intérêts? -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était-il en conflit d’intérêts en poursuivant sa cliente actuelle? -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a-t-il violé les autres éléments de l’obligation de loyauté? - La déclaration d’inhabilité à occuper de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est-elle la réparation appropriée?</w:t>
      </w: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jc w:val="both"/>
        <w:rPr>
          <w:rFonts w:eastAsia="Times New Roman" w:cs="Times New Roman"/>
          <w:sz w:val="20"/>
          <w:szCs w:val="20"/>
          <w:lang w:val="fr-CA" w:eastAsia="en-CA"/>
        </w:rPr>
      </w:pPr>
      <w:r w:rsidRPr="00755C79">
        <w:rPr>
          <w:rFonts w:eastAsia="Times New Roman" w:cs="Times New Roman"/>
          <w:sz w:val="20"/>
          <w:szCs w:val="20"/>
          <w:lang w:val="fr-CA" w:eastAsia="en-CA"/>
        </w:rPr>
        <w:t xml:space="preserve">En 2008, le cabinet d’avocats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LLP a commencé à représenter Gordon Wallace comme représentant des demandeurs dans un recours collectif contre la Compagnie des chemins de fer nationaux du Canada, le Chemin de fer Canadien Pacifique Limitée et d’autres, dans lequel des agriculteurs des Prairies allèguent que les chemins de fer ont surfacturé les agriculteurs de l’Ouest sur une période de 25 ans.  Lorsque le recours a été intenté,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LLP agissait également pour la Compagnie des chemins de fers nationaux du Canada dans plusieurs autres dossiers.  La Compagnie des chemins de fers nationaux du Canada a présenté une demande pour faire déclarer </w:t>
      </w:r>
      <w:proofErr w:type="spellStart"/>
      <w:r w:rsidRPr="00755C79">
        <w:rPr>
          <w:rFonts w:eastAsia="Times New Roman" w:cs="Times New Roman"/>
          <w:sz w:val="20"/>
          <w:szCs w:val="20"/>
          <w:lang w:val="fr-CA" w:eastAsia="en-CA"/>
        </w:rPr>
        <w:t>McKercher</w:t>
      </w:r>
      <w:proofErr w:type="spellEnd"/>
      <w:r w:rsidRPr="00755C79">
        <w:rPr>
          <w:rFonts w:eastAsia="Times New Roman" w:cs="Times New Roman"/>
          <w:sz w:val="20"/>
          <w:szCs w:val="20"/>
          <w:lang w:val="fr-CA" w:eastAsia="en-CA"/>
        </w:rPr>
        <w:t xml:space="preserve"> LLP inhabile à occuper dans le recours collectif. </w:t>
      </w: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en-US" w:eastAsia="en-CA"/>
        </w:rPr>
      </w:pPr>
      <w:proofErr w:type="spellStart"/>
      <w:proofErr w:type="gramStart"/>
      <w:r w:rsidRPr="00755C79">
        <w:rPr>
          <w:rFonts w:eastAsia="Times New Roman" w:cs="Times New Roman"/>
          <w:sz w:val="20"/>
          <w:szCs w:val="20"/>
          <w:lang w:val="en-US" w:eastAsia="en-CA"/>
        </w:rPr>
        <w:t>Origine</w:t>
      </w:r>
      <w:proofErr w:type="spellEnd"/>
      <w:r w:rsidRPr="00755C79">
        <w:rPr>
          <w:rFonts w:eastAsia="Times New Roman" w:cs="Times New Roman"/>
          <w:sz w:val="20"/>
          <w:szCs w:val="20"/>
          <w:lang w:val="en-US" w:eastAsia="en-CA"/>
        </w:rPr>
        <w:t> :</w:t>
      </w:r>
      <w:proofErr w:type="gramEnd"/>
      <w:r w:rsidRPr="00755C79">
        <w:rPr>
          <w:rFonts w:eastAsia="Times New Roman" w:cs="Times New Roman"/>
          <w:sz w:val="20"/>
          <w:szCs w:val="20"/>
          <w:lang w:val="en-US" w:eastAsia="en-CA"/>
        </w:rPr>
        <w:tab/>
        <w:t>Saskatchewan</w:t>
      </w:r>
    </w:p>
    <w:p w:rsidR="00755C79" w:rsidRPr="00755C79" w:rsidRDefault="00755C79" w:rsidP="00755C79">
      <w:pPr>
        <w:widowControl w:val="0"/>
        <w:ind w:left="2880" w:hanging="2880"/>
        <w:jc w:val="both"/>
        <w:rPr>
          <w:rFonts w:eastAsia="Times New Roman" w:cs="Times New Roman"/>
          <w:sz w:val="20"/>
          <w:szCs w:val="20"/>
          <w:lang w:val="en-US" w:eastAsia="en-CA"/>
        </w:rPr>
      </w:pPr>
    </w:p>
    <w:p w:rsidR="00755C79" w:rsidRPr="00755C79" w:rsidRDefault="00755C79" w:rsidP="00755C79">
      <w:pPr>
        <w:widowControl w:val="0"/>
        <w:ind w:left="2880" w:hanging="2880"/>
        <w:jc w:val="both"/>
        <w:rPr>
          <w:rFonts w:eastAsia="Times New Roman" w:cs="Times New Roman"/>
          <w:sz w:val="20"/>
          <w:szCs w:val="20"/>
          <w:lang w:val="en-US" w:eastAsia="en-CA"/>
        </w:rPr>
      </w:pPr>
      <w:r w:rsidRPr="00755C79">
        <w:rPr>
          <w:rFonts w:eastAsia="Times New Roman" w:cs="Times New Roman"/>
          <w:sz w:val="20"/>
          <w:szCs w:val="20"/>
          <w:lang w:val="en-US" w:eastAsia="en-CA"/>
        </w:rPr>
        <w:t>N</w:t>
      </w:r>
      <w:r w:rsidRPr="00755C79">
        <w:rPr>
          <w:rFonts w:eastAsia="Times New Roman" w:cs="Times New Roman"/>
          <w:sz w:val="20"/>
          <w:szCs w:val="20"/>
          <w:vertAlign w:val="superscript"/>
          <w:lang w:val="en-US" w:eastAsia="en-CA"/>
        </w:rPr>
        <w:t>o</w:t>
      </w:r>
      <w:r w:rsidRPr="00755C79">
        <w:rPr>
          <w:rFonts w:eastAsia="Times New Roman" w:cs="Times New Roman"/>
          <w:sz w:val="20"/>
          <w:szCs w:val="20"/>
          <w:lang w:val="en-US" w:eastAsia="en-CA"/>
        </w:rPr>
        <w:t xml:space="preserve"> du </w:t>
      </w:r>
      <w:proofErr w:type="spellStart"/>
      <w:proofErr w:type="gramStart"/>
      <w:r w:rsidRPr="00755C79">
        <w:rPr>
          <w:rFonts w:eastAsia="Times New Roman" w:cs="Times New Roman"/>
          <w:sz w:val="20"/>
          <w:szCs w:val="20"/>
          <w:lang w:val="en-US" w:eastAsia="en-CA"/>
        </w:rPr>
        <w:t>greffe</w:t>
      </w:r>
      <w:proofErr w:type="spellEnd"/>
      <w:r w:rsidRPr="00755C79">
        <w:rPr>
          <w:rFonts w:eastAsia="Times New Roman" w:cs="Times New Roman"/>
          <w:sz w:val="20"/>
          <w:szCs w:val="20"/>
          <w:lang w:val="en-US" w:eastAsia="en-CA"/>
        </w:rPr>
        <w:t> :</w:t>
      </w:r>
      <w:proofErr w:type="gramEnd"/>
      <w:r w:rsidRPr="00755C79">
        <w:rPr>
          <w:rFonts w:eastAsia="Times New Roman" w:cs="Times New Roman"/>
          <w:sz w:val="20"/>
          <w:szCs w:val="20"/>
          <w:lang w:val="en-US" w:eastAsia="en-CA"/>
        </w:rPr>
        <w:tab/>
        <w:t>34545</w:t>
      </w:r>
    </w:p>
    <w:p w:rsidR="00755C79" w:rsidRPr="00755C79" w:rsidRDefault="00755C79" w:rsidP="00755C79">
      <w:pPr>
        <w:widowControl w:val="0"/>
        <w:ind w:left="2880" w:hanging="2880"/>
        <w:jc w:val="both"/>
        <w:rPr>
          <w:rFonts w:eastAsia="Times New Roman" w:cs="Times New Roman"/>
          <w:sz w:val="20"/>
          <w:szCs w:val="20"/>
          <w:lang w:val="en-US"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Arrêt de la Cour d’appel :</w:t>
      </w:r>
      <w:r w:rsidRPr="00755C79">
        <w:rPr>
          <w:rFonts w:eastAsia="Times New Roman" w:cs="Times New Roman"/>
          <w:sz w:val="20"/>
          <w:szCs w:val="20"/>
          <w:lang w:val="fr-CA" w:eastAsia="en-CA"/>
        </w:rPr>
        <w:tab/>
        <w:t>le 28 septembre 2011</w:t>
      </w:r>
    </w:p>
    <w:p w:rsidR="00755C79" w:rsidRPr="00755C79" w:rsidRDefault="00755C79" w:rsidP="00755C79">
      <w:pPr>
        <w:widowControl w:val="0"/>
        <w:ind w:left="2880" w:hanging="2880"/>
        <w:jc w:val="both"/>
        <w:rPr>
          <w:rFonts w:eastAsia="Times New Roman" w:cs="Times New Roman"/>
          <w:sz w:val="20"/>
          <w:szCs w:val="20"/>
          <w:lang w:val="fr-CA" w:eastAsia="en-CA"/>
        </w:rPr>
      </w:pP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Avocats :</w:t>
      </w:r>
      <w:r w:rsidRPr="00755C79">
        <w:rPr>
          <w:rFonts w:eastAsia="Times New Roman" w:cs="Times New Roman"/>
          <w:sz w:val="20"/>
          <w:szCs w:val="20"/>
          <w:lang w:val="fr-CA" w:eastAsia="en-CA"/>
        </w:rPr>
        <w:tab/>
        <w:t xml:space="preserve">Douglas C. Hodson, </w:t>
      </w:r>
      <w:proofErr w:type="gramStart"/>
      <w:r w:rsidRPr="00755C79">
        <w:rPr>
          <w:rFonts w:eastAsia="Times New Roman" w:cs="Times New Roman"/>
          <w:sz w:val="20"/>
          <w:szCs w:val="20"/>
          <w:lang w:val="fr-CA" w:eastAsia="en-CA"/>
        </w:rPr>
        <w:t>c.r.,</w:t>
      </w:r>
      <w:proofErr w:type="gramEnd"/>
      <w:r w:rsidRPr="00755C79">
        <w:rPr>
          <w:rFonts w:eastAsia="Times New Roman" w:cs="Times New Roman"/>
          <w:sz w:val="20"/>
          <w:szCs w:val="20"/>
          <w:lang w:val="fr-CA" w:eastAsia="en-CA"/>
        </w:rPr>
        <w:t xml:space="preserve"> Vanessa </w:t>
      </w:r>
      <w:proofErr w:type="spellStart"/>
      <w:r w:rsidRPr="00755C79">
        <w:rPr>
          <w:rFonts w:eastAsia="Times New Roman" w:cs="Times New Roman"/>
          <w:sz w:val="20"/>
          <w:szCs w:val="20"/>
          <w:lang w:val="fr-CA" w:eastAsia="en-CA"/>
        </w:rPr>
        <w:t>Monar</w:t>
      </w:r>
      <w:proofErr w:type="spellEnd"/>
      <w:r w:rsidRPr="00755C79">
        <w:rPr>
          <w:rFonts w:eastAsia="Times New Roman" w:cs="Times New Roman"/>
          <w:sz w:val="20"/>
          <w:szCs w:val="20"/>
          <w:lang w:val="fr-CA" w:eastAsia="en-CA"/>
        </w:rPr>
        <w:t xml:space="preserve"> </w:t>
      </w:r>
      <w:proofErr w:type="spellStart"/>
      <w:r w:rsidRPr="00755C79">
        <w:rPr>
          <w:rFonts w:eastAsia="Times New Roman" w:cs="Times New Roman"/>
          <w:sz w:val="20"/>
          <w:szCs w:val="20"/>
          <w:lang w:val="fr-CA" w:eastAsia="en-CA"/>
        </w:rPr>
        <w:t>Enweani</w:t>
      </w:r>
      <w:proofErr w:type="spellEnd"/>
      <w:r w:rsidRPr="00755C79">
        <w:rPr>
          <w:rFonts w:eastAsia="Times New Roman" w:cs="Times New Roman"/>
          <w:sz w:val="20"/>
          <w:szCs w:val="20"/>
          <w:lang w:val="fr-CA" w:eastAsia="en-CA"/>
        </w:rPr>
        <w:t xml:space="preserve"> et</w:t>
      </w:r>
      <w:r>
        <w:rPr>
          <w:rFonts w:eastAsia="Times New Roman" w:cs="Times New Roman"/>
          <w:sz w:val="20"/>
          <w:szCs w:val="20"/>
          <w:lang w:val="fr-CA" w:eastAsia="en-CA"/>
        </w:rPr>
        <w:t xml:space="preserve"> C. </w:t>
      </w:r>
      <w:r w:rsidRPr="00755C79">
        <w:rPr>
          <w:rFonts w:eastAsia="Times New Roman" w:cs="Times New Roman"/>
          <w:sz w:val="20"/>
          <w:szCs w:val="20"/>
          <w:lang w:val="fr-CA" w:eastAsia="en-CA"/>
        </w:rPr>
        <w:t>Ryan Lepage pour l’appelante</w:t>
      </w:r>
    </w:p>
    <w:p w:rsidR="00755C79" w:rsidRPr="00755C79" w:rsidRDefault="00755C79" w:rsidP="00755C79">
      <w:pPr>
        <w:widowControl w:val="0"/>
        <w:ind w:left="2880" w:hanging="2880"/>
        <w:jc w:val="both"/>
        <w:rPr>
          <w:rFonts w:eastAsia="Times New Roman" w:cs="Times New Roman"/>
          <w:sz w:val="20"/>
          <w:szCs w:val="20"/>
          <w:lang w:val="fr-CA" w:eastAsia="en-CA"/>
        </w:rPr>
      </w:pPr>
      <w:r w:rsidRPr="00755C79">
        <w:rPr>
          <w:rFonts w:eastAsia="Times New Roman" w:cs="Times New Roman"/>
          <w:sz w:val="20"/>
          <w:szCs w:val="20"/>
          <w:lang w:val="fr-CA" w:eastAsia="en-CA"/>
        </w:rPr>
        <w:tab/>
        <w:t xml:space="preserve">Gavin </w:t>
      </w:r>
      <w:proofErr w:type="spellStart"/>
      <w:r w:rsidRPr="00755C79">
        <w:rPr>
          <w:rFonts w:eastAsia="Times New Roman" w:cs="Times New Roman"/>
          <w:sz w:val="20"/>
          <w:szCs w:val="20"/>
          <w:lang w:val="fr-CA" w:eastAsia="en-CA"/>
        </w:rPr>
        <w:t>MacKenzie</w:t>
      </w:r>
      <w:proofErr w:type="spellEnd"/>
      <w:r w:rsidRPr="00755C79">
        <w:rPr>
          <w:rFonts w:eastAsia="Times New Roman" w:cs="Times New Roman"/>
          <w:sz w:val="20"/>
          <w:szCs w:val="20"/>
          <w:lang w:val="fr-CA" w:eastAsia="en-CA"/>
        </w:rPr>
        <w:t xml:space="preserve"> pour les intimés</w:t>
      </w:r>
    </w:p>
    <w:p w:rsidR="00755C79" w:rsidRPr="00DD0B49" w:rsidRDefault="00755C79" w:rsidP="00755C79">
      <w:pPr>
        <w:tabs>
          <w:tab w:val="left" w:pos="-1440"/>
          <w:tab w:val="left" w:pos="-720"/>
        </w:tabs>
        <w:jc w:val="both"/>
        <w:rPr>
          <w:sz w:val="20"/>
          <w:szCs w:val="20"/>
          <w:lang w:val="fr-CA"/>
        </w:rPr>
      </w:pPr>
    </w:p>
    <w:p w:rsidR="00755C79" w:rsidRDefault="007F0A1D" w:rsidP="00755C79">
      <w:pPr>
        <w:jc w:val="both"/>
        <w:rPr>
          <w:sz w:val="20"/>
          <w:szCs w:val="20"/>
          <w:lang w:val="fr-CA"/>
        </w:rPr>
      </w:pPr>
      <w:r w:rsidRPr="007F0A1D">
        <w:rPr>
          <w:sz w:val="20"/>
          <w:szCs w:val="20"/>
          <w:lang w:val="fr-CA"/>
        </w:rPr>
        <w:pict>
          <v:rect id="_x0000_i1071" style="width:2in;height:1pt" o:hrpct="0" o:hralign="center" o:hrstd="t" o:hrnoshade="t" o:hr="t" fillcolor="black [3213]" stroked="f"/>
        </w:pict>
      </w:r>
    </w:p>
    <w:p w:rsidR="00602152" w:rsidRDefault="00602152" w:rsidP="00602152">
      <w:pPr>
        <w:jc w:val="both"/>
        <w:rPr>
          <w:sz w:val="20"/>
          <w:szCs w:val="20"/>
          <w:lang w:val="fr-CA"/>
        </w:rPr>
      </w:pPr>
    </w:p>
    <w:p w:rsidR="00602152" w:rsidRPr="00C50A5C" w:rsidRDefault="00602152"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091FA6" w:rsidRPr="002E0C7E" w:rsidRDefault="007F0A1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B077A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DECEMBER - DÉCEMBRE</w:t>
            </w:r>
          </w:p>
        </w:tc>
      </w:tr>
      <w:tr w:rsidR="00091FA6" w:rsidRPr="002E0C7E" w:rsidTr="00B077A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r>
      <w:tr w:rsidR="00091FA6" w:rsidRPr="002E0C7E" w:rsidTr="00B077A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r>
      <w:tr w:rsidR="00091FA6" w:rsidRPr="002E0C7E" w:rsidTr="00B077A6">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B077A6">
            <w:pPr>
              <w:widowControl w:val="0"/>
              <w:jc w:val="center"/>
              <w:rPr>
                <w:rFonts w:ascii="Arial" w:hAnsi="Arial"/>
                <w:b/>
                <w:sz w:val="14"/>
              </w:rPr>
            </w:pPr>
            <w:r w:rsidRPr="000C583B">
              <w:rPr>
                <w:rFonts w:ascii="Arial" w:hAnsi="Arial"/>
                <w:b/>
                <w:sz w:val="14"/>
              </w:rPr>
              <w:t>H</w:t>
            </w:r>
          </w:p>
          <w:p w:rsidR="00091FA6" w:rsidRPr="002E0C7E" w:rsidRDefault="00091FA6" w:rsidP="00B077A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B077A6">
            <w:pPr>
              <w:widowControl w:val="0"/>
              <w:jc w:val="center"/>
              <w:rPr>
                <w:rFonts w:ascii="Arial" w:hAnsi="Arial"/>
                <w:b/>
                <w:sz w:val="14"/>
              </w:rPr>
            </w:pPr>
            <w:r w:rsidRPr="000C583B">
              <w:rPr>
                <w:rFonts w:ascii="Arial" w:hAnsi="Arial"/>
                <w:b/>
                <w:sz w:val="14"/>
              </w:rPr>
              <w:t>M</w:t>
            </w:r>
          </w:p>
          <w:p w:rsidR="00091FA6" w:rsidRPr="002E0C7E" w:rsidRDefault="00091FA6" w:rsidP="00B077A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M</w:t>
            </w:r>
          </w:p>
          <w:p w:rsidR="00091FA6" w:rsidRPr="002E0C7E" w:rsidRDefault="00091FA6" w:rsidP="00B077A6">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M</w:t>
            </w:r>
          </w:p>
          <w:p w:rsidR="00091FA6" w:rsidRPr="002E0C7E" w:rsidRDefault="00091FA6" w:rsidP="00B077A6">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r>
      <w:tr w:rsidR="00091FA6" w:rsidRPr="002E0C7E" w:rsidTr="00B077A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B077A6">
            <w:pPr>
              <w:widowControl w:val="0"/>
              <w:jc w:val="center"/>
              <w:rPr>
                <w:rFonts w:ascii="Arial" w:hAnsi="Arial"/>
                <w:b/>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B077A6">
            <w:pPr>
              <w:widowControl w:val="0"/>
              <w:jc w:val="center"/>
              <w:rPr>
                <w:rFonts w:ascii="Arial" w:hAnsi="Arial"/>
                <w:sz w:val="14"/>
              </w:rPr>
            </w:pPr>
            <w:r>
              <w:rPr>
                <w:rFonts w:ascii="Arial" w:hAnsi="Arial"/>
                <w:b/>
                <w:sz w:val="14"/>
              </w:rPr>
              <w:t>H</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B077A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B077A6">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Pr>
                <w:rFonts w:ascii="Arial" w:hAnsi="Arial"/>
                <w:sz w:val="14"/>
              </w:rPr>
              <w:t>23</w:t>
            </w:r>
          </w:p>
          <w:p w:rsidR="00091FA6" w:rsidRPr="002E0C7E" w:rsidRDefault="00091FA6" w:rsidP="00B077A6">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Pr>
                <w:rFonts w:ascii="Arial" w:hAnsi="Arial"/>
                <w:sz w:val="14"/>
              </w:rPr>
              <w:t>24</w:t>
            </w:r>
          </w:p>
          <w:p w:rsidR="00091FA6" w:rsidRPr="002E0C7E" w:rsidRDefault="00091FA6" w:rsidP="00B077A6">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H</w:t>
            </w: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B077A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MARCH - MARS</w:t>
            </w:r>
          </w:p>
        </w:tc>
      </w:tr>
      <w:tr w:rsidR="00091FA6" w:rsidRPr="002E0C7E" w:rsidTr="00B077A6">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r>
      <w:tr w:rsidR="00091FA6" w:rsidRPr="002E0C7E" w:rsidTr="00B077A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B077A6">
            <w:pPr>
              <w:widowControl w:val="0"/>
              <w:jc w:val="center"/>
              <w:rPr>
                <w:rFonts w:ascii="Arial" w:hAnsi="Arial"/>
                <w:b/>
                <w:sz w:val="14"/>
              </w:rPr>
            </w:pPr>
            <w:r>
              <w:rPr>
                <w:rFonts w:ascii="Arial" w:hAnsi="Arial"/>
                <w:b/>
                <w:sz w:val="14"/>
              </w:rPr>
              <w:t>H</w:t>
            </w:r>
          </w:p>
          <w:p w:rsidR="00091FA6" w:rsidRPr="002E0C7E" w:rsidRDefault="00091FA6" w:rsidP="00B077A6">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r>
      <w:tr w:rsidR="00091FA6" w:rsidRPr="002E0C7E" w:rsidTr="00B077A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r>
      <w:tr w:rsidR="00091FA6" w:rsidRPr="002E0C7E" w:rsidTr="00B077A6">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B077A6">
            <w:pPr>
              <w:widowControl w:val="0"/>
              <w:jc w:val="center"/>
              <w:rPr>
                <w:rFonts w:ascii="Arial" w:hAnsi="Arial"/>
                <w:b/>
                <w:sz w:val="14"/>
              </w:rPr>
            </w:pPr>
            <w:r>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B077A6">
            <w:pPr>
              <w:widowControl w:val="0"/>
              <w:jc w:val="center"/>
              <w:rPr>
                <w:rFonts w:ascii="Arial" w:hAnsi="Arial"/>
                <w:b/>
                <w:sz w:val="14"/>
              </w:rPr>
            </w:pPr>
            <w:r>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B077A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B077A6">
            <w:pPr>
              <w:widowControl w:val="0"/>
              <w:jc w:val="center"/>
              <w:rPr>
                <w:rFonts w:ascii="Arial" w:hAnsi="Arial"/>
                <w:b/>
                <w:sz w:val="14"/>
              </w:rPr>
            </w:pPr>
            <w:r>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B077A6">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Pr>
                <w:rFonts w:ascii="Arial" w:hAnsi="Arial"/>
                <w:sz w:val="14"/>
              </w:rPr>
              <w:t>24</w:t>
            </w:r>
          </w:p>
          <w:p w:rsidR="00091FA6" w:rsidRPr="002E0C7E" w:rsidRDefault="00091FA6" w:rsidP="00B077A6">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B077A6">
            <w:pPr>
              <w:widowControl w:val="0"/>
              <w:jc w:val="center"/>
              <w:rPr>
                <w:rFonts w:ascii="Arial" w:hAnsi="Arial"/>
                <w:b/>
                <w:sz w:val="14"/>
              </w:rPr>
            </w:pPr>
            <w:r w:rsidRPr="00261B35">
              <w:rPr>
                <w:rFonts w:ascii="Arial" w:hAnsi="Arial"/>
                <w:b/>
                <w:sz w:val="14"/>
              </w:rPr>
              <w:t>H</w:t>
            </w:r>
          </w:p>
          <w:p w:rsidR="00091FA6" w:rsidRPr="002E0C7E" w:rsidRDefault="00091FA6" w:rsidP="00B077A6">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B077A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077A6">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077A6">
            <w:pPr>
              <w:widowControl w:val="0"/>
              <w:jc w:val="center"/>
              <w:rPr>
                <w:rFonts w:ascii="Arial" w:hAnsi="Arial"/>
                <w:sz w:val="14"/>
              </w:rPr>
            </w:pPr>
            <w:r w:rsidRPr="002E0C7E">
              <w:rPr>
                <w:rFonts w:ascii="Arial" w:hAnsi="Arial"/>
                <w:b/>
                <w:sz w:val="14"/>
              </w:rPr>
              <w:t>JUNE - JUIN</w:t>
            </w:r>
          </w:p>
        </w:tc>
      </w:tr>
      <w:tr w:rsidR="00091FA6" w:rsidRPr="002E0C7E" w:rsidTr="00B077A6">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M</w:t>
            </w:r>
          </w:p>
          <w:p w:rsidR="00091FA6" w:rsidRPr="002E0C7E" w:rsidRDefault="00091FA6" w:rsidP="00B077A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W</w:t>
            </w:r>
          </w:p>
          <w:p w:rsidR="00091FA6" w:rsidRPr="002E0C7E" w:rsidRDefault="00091FA6" w:rsidP="00B077A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T</w:t>
            </w:r>
          </w:p>
          <w:p w:rsidR="00091FA6" w:rsidRPr="002E0C7E" w:rsidRDefault="00091FA6" w:rsidP="00B077A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F</w:t>
            </w:r>
          </w:p>
          <w:p w:rsidR="00091FA6" w:rsidRPr="002E0C7E" w:rsidRDefault="00091FA6" w:rsidP="00B077A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sidRPr="002E0C7E">
              <w:rPr>
                <w:rFonts w:ascii="Arial" w:hAnsi="Arial"/>
                <w:sz w:val="14"/>
              </w:rPr>
              <w:t>s</w:t>
            </w:r>
          </w:p>
          <w:p w:rsidR="00091FA6" w:rsidRPr="002E0C7E" w:rsidRDefault="00091FA6" w:rsidP="00B077A6">
            <w:pPr>
              <w:widowControl w:val="0"/>
              <w:jc w:val="center"/>
              <w:rPr>
                <w:rFonts w:ascii="Arial" w:hAnsi="Arial"/>
                <w:sz w:val="14"/>
              </w:rPr>
            </w:pPr>
            <w:r w:rsidRPr="002E0C7E">
              <w:rPr>
                <w:rFonts w:ascii="Arial" w:hAnsi="Arial"/>
                <w:sz w:val="14"/>
              </w:rPr>
              <w:t>s</w:t>
            </w:r>
          </w:p>
        </w:tc>
      </w:tr>
      <w:tr w:rsidR="00091FA6" w:rsidRPr="002E0C7E" w:rsidTr="00B077A6">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B077A6">
            <w:pPr>
              <w:widowControl w:val="0"/>
              <w:jc w:val="center"/>
              <w:rPr>
                <w:rFonts w:ascii="Arial" w:hAnsi="Arial"/>
                <w:b/>
                <w:sz w:val="14"/>
              </w:rPr>
            </w:pPr>
            <w:r w:rsidRPr="002453E3">
              <w:rPr>
                <w:rFonts w:ascii="Arial" w:hAnsi="Arial"/>
                <w:b/>
                <w:sz w:val="14"/>
              </w:rPr>
              <w:t>H</w:t>
            </w:r>
          </w:p>
          <w:p w:rsidR="00091FA6" w:rsidRPr="002E0C7E" w:rsidRDefault="00091FA6" w:rsidP="00B077A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b/>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w:t>
            </w:r>
          </w:p>
        </w:tc>
      </w:tr>
      <w:tr w:rsidR="00091FA6" w:rsidRPr="002E0C7E" w:rsidTr="00B077A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B077A6">
            <w:pPr>
              <w:widowControl w:val="0"/>
              <w:jc w:val="center"/>
              <w:rPr>
                <w:rFonts w:ascii="Arial" w:hAnsi="Arial"/>
                <w:b/>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8</w:t>
            </w:r>
          </w:p>
        </w:tc>
      </w:tr>
      <w:tr w:rsidR="00091FA6" w:rsidRPr="002E0C7E" w:rsidTr="00B077A6">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B077A6">
            <w:pPr>
              <w:widowControl w:val="0"/>
              <w:jc w:val="center"/>
              <w:rPr>
                <w:rFonts w:ascii="Arial" w:hAnsi="Arial"/>
                <w:b/>
                <w:sz w:val="14"/>
              </w:rPr>
            </w:pPr>
            <w:r w:rsidRPr="00DB5777">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B077A6">
            <w:pPr>
              <w:widowControl w:val="0"/>
              <w:jc w:val="center"/>
              <w:rPr>
                <w:rFonts w:ascii="Arial" w:hAnsi="Arial"/>
                <w:b/>
                <w:sz w:val="14"/>
              </w:rPr>
            </w:pPr>
            <w:r w:rsidRPr="002453E3">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B077A6">
            <w:pPr>
              <w:widowControl w:val="0"/>
              <w:jc w:val="center"/>
              <w:rPr>
                <w:rFonts w:ascii="Arial" w:hAnsi="Arial"/>
                <w:b/>
                <w:sz w:val="14"/>
              </w:rPr>
            </w:pPr>
            <w:r w:rsidRPr="006A1E8D">
              <w:rPr>
                <w:rFonts w:ascii="Arial" w:hAnsi="Arial"/>
                <w:b/>
                <w:sz w:val="14"/>
              </w:rPr>
              <w:t>M</w:t>
            </w: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B077A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B077A6">
            <w:pPr>
              <w:widowControl w:val="0"/>
              <w:jc w:val="center"/>
              <w:rPr>
                <w:rFonts w:ascii="Arial" w:hAnsi="Arial"/>
                <w:b/>
                <w:sz w:val="14"/>
              </w:rPr>
            </w:pPr>
            <w:r>
              <w:rPr>
                <w:rFonts w:ascii="Arial" w:hAnsi="Arial"/>
                <w:b/>
                <w:sz w:val="14"/>
              </w:rPr>
              <w:t>H</w:t>
            </w: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B077A6">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r>
              <w:rPr>
                <w:rFonts w:ascii="Arial" w:hAnsi="Arial"/>
                <w:sz w:val="14"/>
              </w:rPr>
              <w:t>23</w:t>
            </w:r>
          </w:p>
          <w:p w:rsidR="00091FA6" w:rsidRPr="002E0C7E" w:rsidRDefault="00091FA6" w:rsidP="00B077A6">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077A6">
            <w:pPr>
              <w:widowControl w:val="0"/>
              <w:jc w:val="center"/>
              <w:rPr>
                <w:rFonts w:ascii="Arial" w:hAnsi="Arial"/>
                <w:sz w:val="14"/>
              </w:rPr>
            </w:pPr>
          </w:p>
          <w:p w:rsidR="00091FA6" w:rsidRPr="002E0C7E" w:rsidRDefault="00091FA6" w:rsidP="00B077A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B077A6">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B077A6">
            <w:pPr>
              <w:widowControl w:val="0"/>
              <w:rPr>
                <w:rFonts w:ascii="Arial" w:hAnsi="Arial"/>
                <w:sz w:val="16"/>
              </w:rPr>
            </w:pPr>
            <w:r w:rsidRPr="002E0C7E">
              <w:rPr>
                <w:rFonts w:ascii="Arial" w:hAnsi="Arial"/>
                <w:sz w:val="16"/>
              </w:rPr>
              <w:t>Sittings of the court:</w:t>
            </w:r>
          </w:p>
          <w:p w:rsidR="00091FA6" w:rsidRPr="002E0C7E" w:rsidRDefault="00091FA6" w:rsidP="00B077A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B077A6">
            <w:pPr>
              <w:widowControl w:val="0"/>
              <w:rPr>
                <w:rFonts w:ascii="Arial" w:hAnsi="Arial"/>
                <w:sz w:val="16"/>
              </w:rPr>
            </w:pPr>
          </w:p>
          <w:p w:rsidR="00091FA6" w:rsidRPr="002E0C7E" w:rsidRDefault="00091FA6" w:rsidP="00B077A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B077A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B077A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B077A6">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B07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0"/>
      <w:footerReference w:type="default" r:id="rId4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FB" w:rsidRDefault="00BE1CFB" w:rsidP="00A87207">
      <w:r>
        <w:separator/>
      </w:r>
    </w:p>
  </w:endnote>
  <w:endnote w:type="continuationSeparator" w:id="0">
    <w:p w:rsidR="00BE1CFB" w:rsidRDefault="00BE1CF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A87207">
    <w:pPr>
      <w:pStyle w:val="Footer"/>
    </w:pPr>
    <w:r>
      <w:pict>
        <v:rect id="_x0000_i1027" style="width:480.95pt;height:1pt" o:hralign="center" o:hrstd="t" o:hrnoshade="t" o:hr="t" fillcolor="black [3213]" stroked="f"/>
      </w:pict>
    </w:r>
  </w:p>
  <w:p w:rsidR="00BE1CFB" w:rsidRPr="00B7374B" w:rsidRDefault="00BE1CFB" w:rsidP="00B7374B">
    <w:pPr>
      <w:tabs>
        <w:tab w:val="center" w:pos="4680"/>
      </w:tabs>
      <w:rPr>
        <w:szCs w:val="24"/>
      </w:rPr>
    </w:pPr>
    <w:r w:rsidRPr="00954D22">
      <w:rPr>
        <w:szCs w:val="24"/>
      </w:rPr>
      <w:tab/>
      <w:t xml:space="preserve">- </w:t>
    </w:r>
    <w:r w:rsidR="007F0A1D" w:rsidRPr="00954D22">
      <w:rPr>
        <w:szCs w:val="24"/>
      </w:rPr>
      <w:fldChar w:fldCharType="begin"/>
    </w:r>
    <w:r w:rsidRPr="00954D22">
      <w:rPr>
        <w:szCs w:val="24"/>
      </w:rPr>
      <w:instrText xml:space="preserve"> PAGE   \* MERGEFORMAT </w:instrText>
    </w:r>
    <w:r w:rsidR="007F0A1D" w:rsidRPr="00954D22">
      <w:rPr>
        <w:szCs w:val="24"/>
      </w:rPr>
      <w:fldChar w:fldCharType="separate"/>
    </w:r>
    <w:r>
      <w:rPr>
        <w:noProof/>
        <w:szCs w:val="24"/>
      </w:rPr>
      <w:t>2</w:t>
    </w:r>
    <w:r w:rsidR="007F0A1D"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pPr>
      <w:pStyle w:val="Footer"/>
      <w:rPr>
        <w:lang w:val="fr-CA"/>
      </w:rPr>
    </w:pPr>
    <w:r w:rsidRPr="007F0A1D">
      <w:rPr>
        <w:lang w:val="fr-CA"/>
      </w:rPr>
      <w:pict>
        <v:rect id="_x0000_i1049" style="width:480.95pt;height:1pt" o:hralign="center" o:hrstd="t" o:hrnoshade="t" o:hr="t" fillcolor="black [3213]" stroked="f"/>
      </w:pict>
    </w:r>
  </w:p>
  <w:p w:rsidR="00BE1CFB" w:rsidRDefault="00BE1CFB" w:rsidP="00EB2B90">
    <w:pPr>
      <w:tabs>
        <w:tab w:val="center" w:pos="4680"/>
      </w:tabs>
    </w:pPr>
    <w:r>
      <w:tab/>
      <w:t xml:space="preserve">- </w:t>
    </w:r>
    <w:fldSimple w:instr=" PAGE   \* MERGEFORMAT ">
      <w:r w:rsidR="0079705E">
        <w:rPr>
          <w:noProof/>
        </w:rPr>
        <w:t>13</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E1CFB" w:rsidRDefault="00BE1CF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E1CFB" w:rsidRDefault="00BE1CF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22323B">
    <w:r>
      <w:pict>
        <v:rect id="_x0000_i1052" style="width:480.95pt;height:1pt" o:hralign="center" o:hrstd="t" o:hrnoshade="t" o:hr="t" fillcolor="black [3213]" stroked="f"/>
      </w:pict>
    </w:r>
  </w:p>
  <w:p w:rsidR="00BE1CFB" w:rsidRDefault="00BE1CFB">
    <w:pPr>
      <w:tabs>
        <w:tab w:val="center" w:pos="4740"/>
      </w:tabs>
      <w:spacing w:line="0" w:lineRule="atLeast"/>
    </w:pPr>
    <w:r>
      <w:tab/>
      <w:t xml:space="preserve">- </w:t>
    </w:r>
    <w:fldSimple w:instr=" PAGE   \* MERGEFORMAT ">
      <w:r>
        <w:rPr>
          <w:noProof/>
        </w:rPr>
        <w:t>35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22323B">
    <w:r>
      <w:pict>
        <v:rect id="_x0000_i1053" style="width:480.95pt;height:1pt" o:hralign="center" o:hrstd="t" o:hrnoshade="t" o:hr="t" fillcolor="black [3213]" stroked="f"/>
      </w:pict>
    </w:r>
  </w:p>
  <w:p w:rsidR="00BE1CFB" w:rsidRDefault="00BE1CFB" w:rsidP="0022323B">
    <w:pPr>
      <w:tabs>
        <w:tab w:val="center" w:pos="4740"/>
      </w:tabs>
      <w:spacing w:line="0" w:lineRule="atLeast"/>
    </w:pPr>
    <w:r>
      <w:tab/>
      <w:t xml:space="preserve">- </w:t>
    </w:r>
    <w:fldSimple w:instr=" PAGE   \* MERGEFORMAT ">
      <w:r w:rsidR="0079705E">
        <w:rPr>
          <w:noProof/>
        </w:rPr>
        <w:t>14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22323B">
    <w:r>
      <w:pict>
        <v:rect id="_x0000_i1072" style="width:480.95pt;height:1pt" o:hralign="center" o:hrstd="t" o:hrnoshade="t" o:hr="t" fillcolor="black [3213]" stroked="f"/>
      </w:pict>
    </w:r>
  </w:p>
  <w:p w:rsidR="00BE1CFB" w:rsidRDefault="00BE1CFB">
    <w:pPr>
      <w:tabs>
        <w:tab w:val="center" w:pos="4740"/>
      </w:tabs>
      <w:spacing w:line="0" w:lineRule="atLeast"/>
    </w:pPr>
    <w:r>
      <w:tab/>
      <w:t xml:space="preserve">- </w:t>
    </w:r>
    <w:fldSimple w:instr=" PAGE   \* MERGEFORMAT ">
      <w:r w:rsidR="0079705E">
        <w:rPr>
          <w:noProof/>
        </w:rPr>
        <w:t>16</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22323B">
    <w:r>
      <w:pict>
        <v:rect id="_x0000_i1073" style="width:480.95pt;height:1pt" o:hralign="center" o:hrstd="t" o:hrnoshade="t" o:hr="t" fillcolor="black [3213]" stroked="f"/>
      </w:pict>
    </w:r>
  </w:p>
  <w:p w:rsidR="00BE1CFB" w:rsidRDefault="00BE1CFB" w:rsidP="0022323B">
    <w:pPr>
      <w:tabs>
        <w:tab w:val="center" w:pos="4740"/>
      </w:tabs>
      <w:spacing w:line="0" w:lineRule="atLeast"/>
    </w:pPr>
    <w:r>
      <w:tab/>
      <w:t xml:space="preserve">- </w:t>
    </w:r>
    <w:fldSimple w:instr=" PAGE   \* MERGEFORMAT ">
      <w:r w:rsidR="0079705E">
        <w:rPr>
          <w:noProof/>
        </w:rPr>
        <w:t>15</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924065" w:rsidRDefault="00BE1CFB"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755F22">
    <w:pPr>
      <w:tabs>
        <w:tab w:val="left" w:pos="-1440"/>
        <w:tab w:val="left" w:pos="-720"/>
      </w:tabs>
    </w:pPr>
    <w:r>
      <w:pict>
        <v:rect id="_x0000_i1028" style="width:480.95pt;height:1pt" o:hralign="center" o:hrstd="t" o:hrnoshade="t" o:hr="t" fillcolor="black [3213]" stroked="f"/>
      </w:pict>
    </w:r>
  </w:p>
  <w:p w:rsidR="00BE1CFB" w:rsidRPr="00954D22" w:rsidRDefault="00BE1CFB" w:rsidP="00B7374B">
    <w:pPr>
      <w:tabs>
        <w:tab w:val="center" w:pos="4680"/>
      </w:tabs>
      <w:rPr>
        <w:szCs w:val="24"/>
      </w:rPr>
    </w:pPr>
    <w:r w:rsidRPr="00954D22">
      <w:rPr>
        <w:szCs w:val="24"/>
      </w:rPr>
      <w:tab/>
      <w:t xml:space="preserve">- </w:t>
    </w:r>
    <w:r w:rsidR="007F0A1D">
      <w:rPr>
        <w:szCs w:val="24"/>
      </w:rPr>
      <w:fldChar w:fldCharType="begin"/>
    </w:r>
    <w:r>
      <w:rPr>
        <w:szCs w:val="24"/>
      </w:rPr>
      <w:instrText xml:space="preserve"> PAGE   \* MERGEFORMAT </w:instrText>
    </w:r>
    <w:r w:rsidR="007F0A1D">
      <w:rPr>
        <w:szCs w:val="24"/>
      </w:rPr>
      <w:fldChar w:fldCharType="separate"/>
    </w:r>
    <w:r w:rsidR="0079705E">
      <w:rPr>
        <w:noProof/>
        <w:szCs w:val="24"/>
      </w:rPr>
      <w:t>1</w:t>
    </w:r>
    <w:r w:rsidR="007F0A1D">
      <w:rPr>
        <w:szCs w:val="24"/>
      </w:rPr>
      <w:fldChar w:fldCharType="end"/>
    </w:r>
    <w:r w:rsidRPr="00954D22">
      <w:rPr>
        <w:szCs w:val="24"/>
      </w:rPr>
      <w:t xml:space="preserve"> -</w:t>
    </w:r>
  </w:p>
  <w:p w:rsidR="00BE1CFB" w:rsidRDefault="00BE1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A87207">
    <w:pPr>
      <w:pStyle w:val="Footer"/>
    </w:pPr>
    <w:r>
      <w:pict>
        <v:rect id="_x0000_i1030" style="width:480.95pt;height:1pt" o:hralign="center" o:hrstd="t" o:hrnoshade="t" o:hr="t" fillcolor="black [3213]" stroked="f"/>
      </w:pict>
    </w:r>
  </w:p>
  <w:p w:rsidR="00BE1CFB" w:rsidRPr="00B7374B" w:rsidRDefault="00BE1CFB" w:rsidP="00B7374B">
    <w:pPr>
      <w:tabs>
        <w:tab w:val="center" w:pos="4680"/>
      </w:tabs>
      <w:rPr>
        <w:szCs w:val="24"/>
      </w:rPr>
    </w:pPr>
    <w:r w:rsidRPr="00954D22">
      <w:rPr>
        <w:szCs w:val="24"/>
      </w:rPr>
      <w:tab/>
      <w:t xml:space="preserve">- </w:t>
    </w:r>
    <w:r w:rsidR="007F0A1D" w:rsidRPr="00954D22">
      <w:rPr>
        <w:szCs w:val="24"/>
      </w:rPr>
      <w:fldChar w:fldCharType="begin"/>
    </w:r>
    <w:r w:rsidRPr="00954D22">
      <w:rPr>
        <w:szCs w:val="24"/>
      </w:rPr>
      <w:instrText xml:space="preserve"> PAGE   \* MERGEFORMAT </w:instrText>
    </w:r>
    <w:r w:rsidR="007F0A1D" w:rsidRPr="00954D22">
      <w:rPr>
        <w:szCs w:val="24"/>
      </w:rPr>
      <w:fldChar w:fldCharType="separate"/>
    </w:r>
    <w:r>
      <w:rPr>
        <w:noProof/>
        <w:szCs w:val="24"/>
      </w:rPr>
      <w:t>3</w:t>
    </w:r>
    <w:r w:rsidR="007F0A1D"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BE1CFB" w:rsidRPr="00954D22" w:rsidRDefault="00BE1CFB" w:rsidP="00B7374B">
    <w:pPr>
      <w:tabs>
        <w:tab w:val="center" w:pos="4680"/>
      </w:tabs>
      <w:rPr>
        <w:szCs w:val="24"/>
      </w:rPr>
    </w:pPr>
    <w:r w:rsidRPr="00954D22">
      <w:rPr>
        <w:szCs w:val="24"/>
      </w:rPr>
      <w:tab/>
      <w:t xml:space="preserve">- </w:t>
    </w:r>
    <w:r w:rsidR="007F0A1D" w:rsidRPr="00954D22">
      <w:rPr>
        <w:szCs w:val="24"/>
      </w:rPr>
      <w:fldChar w:fldCharType="begin"/>
    </w:r>
    <w:r w:rsidRPr="00954D22">
      <w:rPr>
        <w:szCs w:val="24"/>
      </w:rPr>
      <w:instrText xml:space="preserve"> PAGE   \* MERGEFORMAT </w:instrText>
    </w:r>
    <w:r w:rsidR="007F0A1D" w:rsidRPr="00954D22">
      <w:rPr>
        <w:szCs w:val="24"/>
      </w:rPr>
      <w:fldChar w:fldCharType="separate"/>
    </w:r>
    <w:r w:rsidR="0079705E">
      <w:rPr>
        <w:noProof/>
        <w:szCs w:val="24"/>
      </w:rPr>
      <w:t>2</w:t>
    </w:r>
    <w:r w:rsidR="007F0A1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E1CFB" w:rsidRDefault="00BE1CFB">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755F22">
    <w:pPr>
      <w:tabs>
        <w:tab w:val="left" w:pos="-1440"/>
        <w:tab w:val="left" w:pos="-720"/>
      </w:tabs>
    </w:pPr>
    <w:r>
      <w:pict>
        <v:rect id="_x0000_i1039" style="width:480.95pt;height:1pt" o:hralign="center" o:hrstd="t" o:hrnoshade="t" o:hr="t" fillcolor="black [3213]" stroked="f"/>
      </w:pict>
    </w:r>
  </w:p>
  <w:p w:rsidR="00BE1CFB" w:rsidRDefault="00BE1CFB" w:rsidP="00EB2B90">
    <w:pPr>
      <w:tabs>
        <w:tab w:val="center" w:pos="4680"/>
      </w:tabs>
    </w:pPr>
    <w:r>
      <w:tab/>
      <w:t xml:space="preserve">- </w:t>
    </w:r>
    <w:fldSimple w:instr=" PAGE   \* MERGEFORMAT ">
      <w:r w:rsidR="0079705E">
        <w:rPr>
          <w:noProof/>
        </w:rPr>
        <w:t>12</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rsidP="00EB2B90">
    <w:pPr>
      <w:tabs>
        <w:tab w:val="center" w:pos="4680"/>
      </w:tabs>
    </w:pPr>
    <w:r>
      <w:pict>
        <v:rect id="_x0000_i1040" style="width:480.95pt;height:1pt" o:hralign="center" o:hrstd="t" o:hrnoshade="t" o:hr="t" fillcolor="black [3213]" stroked="f"/>
      </w:pict>
    </w:r>
  </w:p>
  <w:p w:rsidR="00BE1CFB" w:rsidRPr="0031432F" w:rsidRDefault="00BE1CFB" w:rsidP="00EB2B90">
    <w:pPr>
      <w:tabs>
        <w:tab w:val="center" w:pos="4680"/>
      </w:tabs>
    </w:pPr>
    <w:r>
      <w:tab/>
      <w:t xml:space="preserve">- </w:t>
    </w:r>
    <w:fldSimple w:instr=" PAGE   \* MERGEFORMAT ">
      <w:r w:rsidR="0079705E">
        <w:rPr>
          <w:noProof/>
        </w:rPr>
        <w:t>3</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E1CFB" w:rsidRDefault="00BE1CF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7F0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F0A1D">
      <w:rPr>
        <w:lang w:val="fr-CA"/>
      </w:rPr>
      <w:pict>
        <v:rect id="_x0000_i1048" style="width:480.95pt;height:1pt" o:hralign="center" o:hrstd="t" o:hrnoshade="t" o:hr="t" fillcolor="black [3213]" stroked="f"/>
      </w:pict>
    </w:r>
  </w:p>
  <w:p w:rsidR="00BE1CFB" w:rsidRDefault="00BE1CFB" w:rsidP="00EB2B90">
    <w:pPr>
      <w:tabs>
        <w:tab w:val="center" w:pos="4680"/>
      </w:tabs>
    </w:pPr>
    <w:r>
      <w:tab/>
      <w:t xml:space="preserve">- </w:t>
    </w:r>
    <w:fldSimple w:instr=" PAGE   \* MERGEFORMAT ">
      <w:r>
        <w:rPr>
          <w:noProof/>
        </w:rPr>
        <w:t>519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FB" w:rsidRDefault="00BE1CFB" w:rsidP="00A87207">
      <w:r>
        <w:separator/>
      </w:r>
    </w:p>
  </w:footnote>
  <w:footnote w:type="continuationSeparator" w:id="0">
    <w:p w:rsidR="00BE1CFB" w:rsidRDefault="00BE1CF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E1CFB" w:rsidRPr="0044776A" w:rsidTr="00245129">
      <w:tc>
        <w:tcPr>
          <w:tcW w:w="4290" w:type="dxa"/>
          <w:tcMar>
            <w:left w:w="0" w:type="dxa"/>
            <w:right w:w="0" w:type="dxa"/>
          </w:tcMar>
        </w:tcPr>
        <w:p w:rsidR="00BE1CFB" w:rsidRPr="0044776A" w:rsidRDefault="00BE1CF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E1CFB" w:rsidRPr="0044776A" w:rsidRDefault="00BE1CFB" w:rsidP="002E2327">
          <w:pPr>
            <w:keepNext/>
            <w:keepLines/>
            <w:tabs>
              <w:tab w:val="left" w:pos="-1440"/>
              <w:tab w:val="left" w:pos="-720"/>
            </w:tabs>
            <w:jc w:val="center"/>
            <w:rPr>
              <w:sz w:val="20"/>
              <w:szCs w:val="20"/>
            </w:rPr>
          </w:pPr>
        </w:p>
        <w:p w:rsidR="00BE1CFB" w:rsidRPr="0044776A" w:rsidRDefault="00BE1CFB" w:rsidP="002E2327">
          <w:pPr>
            <w:keepNext/>
            <w:keepLines/>
            <w:tabs>
              <w:tab w:val="left" w:pos="-1440"/>
              <w:tab w:val="left" w:pos="-720"/>
            </w:tabs>
            <w:jc w:val="center"/>
            <w:rPr>
              <w:sz w:val="20"/>
              <w:szCs w:val="20"/>
            </w:rPr>
          </w:pPr>
        </w:p>
        <w:p w:rsidR="00BE1CFB" w:rsidRPr="0044776A" w:rsidRDefault="00BE1CFB" w:rsidP="002E2327">
          <w:pPr>
            <w:keepNext/>
            <w:keepLines/>
            <w:tabs>
              <w:tab w:val="left" w:pos="-1440"/>
              <w:tab w:val="left" w:pos="-720"/>
            </w:tabs>
            <w:jc w:val="center"/>
            <w:rPr>
              <w:sz w:val="20"/>
              <w:szCs w:val="20"/>
            </w:rPr>
          </w:pPr>
        </w:p>
      </w:tc>
      <w:tc>
        <w:tcPr>
          <w:tcW w:w="4320" w:type="dxa"/>
          <w:tcMar>
            <w:left w:w="0" w:type="dxa"/>
            <w:right w:w="0" w:type="dxa"/>
          </w:tcMar>
        </w:tcPr>
        <w:p w:rsidR="00BE1CFB" w:rsidRPr="0044776A" w:rsidRDefault="00BE1CFB" w:rsidP="002E2327">
          <w:pPr>
            <w:keepLines/>
            <w:rPr>
              <w:sz w:val="20"/>
              <w:szCs w:val="20"/>
              <w:lang w:val="fr-CA"/>
            </w:rPr>
          </w:pPr>
          <w:r w:rsidRPr="0044776A">
            <w:rPr>
              <w:sz w:val="20"/>
              <w:szCs w:val="20"/>
              <w:lang w:val="fr-CA"/>
            </w:rPr>
            <w:t>DEMANDES D'AUTORISATION D'APPEL DÉPOSÉES</w:t>
          </w:r>
        </w:p>
      </w:tc>
    </w:tr>
  </w:tbl>
  <w:p w:rsidR="00BE1CFB" w:rsidRDefault="00BE1CF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E1CFB">
      <w:tc>
        <w:tcPr>
          <w:tcW w:w="4200" w:type="dxa"/>
          <w:tcMar>
            <w:left w:w="0" w:type="dxa"/>
            <w:right w:w="0" w:type="dxa"/>
          </w:tcMar>
        </w:tcPr>
        <w:p w:rsidR="00BE1CFB" w:rsidRDefault="00BE1CF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E1CFB" w:rsidRDefault="00BE1CF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E1CFB" w:rsidRDefault="00BE1CF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E1CFB" w:rsidRDefault="00BE1CF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E1CFB" w:rsidRDefault="00BE1CF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E1CFB" w:rsidRDefault="00BE1CF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1CFB" w:rsidRPr="00C50A5C" w:rsidTr="00245129">
      <w:tc>
        <w:tcPr>
          <w:tcW w:w="4200" w:type="dxa"/>
          <w:tcMar>
            <w:left w:w="0" w:type="dxa"/>
            <w:right w:w="0" w:type="dxa"/>
          </w:tcMar>
        </w:tcPr>
        <w:p w:rsidR="00BE1CFB" w:rsidRPr="00C50A5C" w:rsidRDefault="00BE1CF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BE1CFB" w:rsidRPr="00C50A5C" w:rsidRDefault="00BE1CF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BE1CFB" w:rsidRPr="00C50A5C" w:rsidRDefault="00BE1CFB"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BE1CFB" w:rsidRPr="00C50A5C" w:rsidRDefault="00BE1CFB"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BE1CFB" w:rsidRDefault="00BE1CF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1CFB" w:rsidRPr="005F263E" w:rsidTr="00245129">
      <w:tc>
        <w:tcPr>
          <w:tcW w:w="4200" w:type="dxa"/>
          <w:tcMar>
            <w:left w:w="0" w:type="dxa"/>
            <w:right w:w="0" w:type="dxa"/>
          </w:tcMar>
        </w:tcPr>
        <w:p w:rsidR="00BE1CFB" w:rsidRPr="005F263E" w:rsidRDefault="00BE1CFB"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BE1CFB" w:rsidRPr="005F263E" w:rsidRDefault="00BE1CFB" w:rsidP="00245129">
          <w:pPr>
            <w:keepNext/>
            <w:keepLines/>
            <w:tabs>
              <w:tab w:val="left" w:pos="-1440"/>
              <w:tab w:val="left" w:pos="-720"/>
            </w:tabs>
            <w:jc w:val="center"/>
            <w:rPr>
              <w:sz w:val="20"/>
              <w:szCs w:val="20"/>
            </w:rPr>
          </w:pPr>
        </w:p>
        <w:p w:rsidR="00BE1CFB" w:rsidRPr="005F263E" w:rsidRDefault="00BE1CFB" w:rsidP="00245129">
          <w:pPr>
            <w:keepNext/>
            <w:keepLines/>
            <w:tabs>
              <w:tab w:val="left" w:pos="-1440"/>
              <w:tab w:val="left" w:pos="-720"/>
            </w:tabs>
            <w:jc w:val="center"/>
            <w:rPr>
              <w:sz w:val="20"/>
              <w:szCs w:val="20"/>
            </w:rPr>
          </w:pPr>
        </w:p>
      </w:tc>
      <w:tc>
        <w:tcPr>
          <w:tcW w:w="4080" w:type="dxa"/>
          <w:tcMar>
            <w:left w:w="0" w:type="dxa"/>
            <w:right w:w="0" w:type="dxa"/>
          </w:tcMar>
        </w:tcPr>
        <w:p w:rsidR="00BE1CFB" w:rsidRPr="005F263E" w:rsidRDefault="00BE1CFB" w:rsidP="00245129">
          <w:pPr>
            <w:keepLines/>
            <w:tabs>
              <w:tab w:val="left" w:pos="-1440"/>
              <w:tab w:val="left" w:pos="-720"/>
            </w:tabs>
            <w:rPr>
              <w:sz w:val="20"/>
              <w:szCs w:val="20"/>
            </w:rPr>
          </w:pPr>
          <w:r w:rsidRPr="005F263E">
            <w:rPr>
              <w:sz w:val="20"/>
              <w:szCs w:val="20"/>
            </w:rPr>
            <w:t>RÉSUMÉS DES AFFAIRES</w:t>
          </w:r>
        </w:p>
      </w:tc>
    </w:tr>
  </w:tbl>
  <w:p w:rsidR="00BE1CFB" w:rsidRDefault="00BE1CFB" w:rsidP="005F263E"/>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1CFB" w:rsidRPr="00A549CB" w:rsidTr="00245129">
      <w:tc>
        <w:tcPr>
          <w:tcW w:w="4200" w:type="dxa"/>
          <w:tcMar>
            <w:left w:w="0" w:type="dxa"/>
            <w:right w:w="0" w:type="dxa"/>
          </w:tcMar>
        </w:tcPr>
        <w:p w:rsidR="00BE1CFB" w:rsidRPr="0044776A" w:rsidRDefault="00BE1CFB" w:rsidP="0044776A">
          <w:pPr>
            <w:keepNext/>
            <w:keepLines/>
            <w:widowControl w:val="0"/>
            <w:rPr>
              <w:sz w:val="20"/>
              <w:szCs w:val="20"/>
            </w:rPr>
          </w:pPr>
          <w:r>
            <w:rPr>
              <w:sz w:val="20"/>
              <w:szCs w:val="20"/>
            </w:rPr>
            <w:t>APPLICATIONS FOR LEAVE</w:t>
          </w:r>
        </w:p>
        <w:p w:rsidR="00BE1CFB" w:rsidRPr="0044776A" w:rsidRDefault="00BE1CF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E1CFB" w:rsidRPr="0044776A" w:rsidRDefault="00BE1CFB" w:rsidP="0044776A">
          <w:pPr>
            <w:keepNext/>
            <w:keepLines/>
            <w:widowControl w:val="0"/>
            <w:jc w:val="center"/>
            <w:rPr>
              <w:sz w:val="20"/>
              <w:szCs w:val="20"/>
            </w:rPr>
          </w:pPr>
        </w:p>
        <w:p w:rsidR="00BE1CFB" w:rsidRPr="0044776A" w:rsidRDefault="00BE1CFB" w:rsidP="0044776A">
          <w:pPr>
            <w:keepNext/>
            <w:keepLines/>
            <w:widowControl w:val="0"/>
            <w:jc w:val="center"/>
            <w:rPr>
              <w:sz w:val="20"/>
              <w:szCs w:val="20"/>
            </w:rPr>
          </w:pPr>
        </w:p>
        <w:p w:rsidR="00BE1CFB" w:rsidRPr="0044776A" w:rsidRDefault="00BE1CFB" w:rsidP="0044776A">
          <w:pPr>
            <w:keepNext/>
            <w:keepLines/>
            <w:widowControl w:val="0"/>
            <w:jc w:val="center"/>
            <w:rPr>
              <w:sz w:val="20"/>
              <w:szCs w:val="20"/>
            </w:rPr>
          </w:pPr>
        </w:p>
      </w:tc>
      <w:tc>
        <w:tcPr>
          <w:tcW w:w="4080" w:type="dxa"/>
          <w:tcMar>
            <w:left w:w="0" w:type="dxa"/>
            <w:right w:w="0" w:type="dxa"/>
          </w:tcMar>
        </w:tcPr>
        <w:p w:rsidR="00BE1CFB" w:rsidRPr="0044776A" w:rsidRDefault="00BE1CFB" w:rsidP="0044776A">
          <w:pPr>
            <w:keepLines/>
            <w:widowControl w:val="0"/>
            <w:rPr>
              <w:sz w:val="20"/>
              <w:szCs w:val="20"/>
              <w:lang w:val="fr-CA"/>
            </w:rPr>
          </w:pPr>
          <w:r w:rsidRPr="0044776A">
            <w:rPr>
              <w:sz w:val="20"/>
              <w:szCs w:val="20"/>
              <w:lang w:val="fr-CA"/>
            </w:rPr>
            <w:t>DEMANDES SOUMISES À LA COUR DEPUIS LA DERNIÈRE PARUTION</w:t>
          </w:r>
        </w:p>
        <w:p w:rsidR="00BE1CFB" w:rsidRPr="0044776A" w:rsidRDefault="00BE1CFB" w:rsidP="0044776A">
          <w:pPr>
            <w:widowControl w:val="0"/>
            <w:rPr>
              <w:sz w:val="20"/>
              <w:szCs w:val="20"/>
              <w:lang w:val="fr-CA"/>
            </w:rPr>
          </w:pPr>
        </w:p>
      </w:tc>
    </w:tr>
  </w:tbl>
  <w:p w:rsidR="00BE1CFB" w:rsidRPr="002E2327" w:rsidRDefault="00BE1CFB">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E1CFB">
      <w:tc>
        <w:tcPr>
          <w:tcW w:w="4230" w:type="dxa"/>
          <w:tcMar>
            <w:left w:w="0" w:type="dxa"/>
            <w:right w:w="0" w:type="dxa"/>
          </w:tcMar>
        </w:tcPr>
        <w:p w:rsidR="00BE1CFB" w:rsidRDefault="00BE1C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E1CFB" w:rsidRDefault="00BE1C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E1CFB" w:rsidRDefault="00BE1C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E1CFB">
      <w:trPr>
        <w:gridAfter w:val="2"/>
        <w:wAfter w:w="5250" w:type="dxa"/>
      </w:trPr>
      <w:tc>
        <w:tcPr>
          <w:tcW w:w="4230" w:type="dxa"/>
          <w:tcMar>
            <w:left w:w="0" w:type="dxa"/>
            <w:right w:w="0" w:type="dxa"/>
          </w:tcMar>
        </w:tcPr>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E1CFB"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E1CFB" w:rsidRPr="00755F22" w:rsidTr="00245129">
      <w:tc>
        <w:tcPr>
          <w:tcW w:w="4230" w:type="dxa"/>
          <w:tcMar>
            <w:left w:w="0" w:type="dxa"/>
            <w:right w:w="0" w:type="dxa"/>
          </w:tcMar>
        </w:tcPr>
        <w:p w:rsidR="00BE1CFB" w:rsidRPr="00755F22" w:rsidRDefault="00BE1CFB" w:rsidP="00831CA9">
          <w:pPr>
            <w:keepNext/>
            <w:keepLines/>
            <w:rPr>
              <w:sz w:val="20"/>
              <w:szCs w:val="20"/>
            </w:rPr>
          </w:pPr>
          <w:r w:rsidRPr="00755F22">
            <w:rPr>
              <w:sz w:val="20"/>
              <w:szCs w:val="20"/>
            </w:rPr>
            <w:t>MOTIONS</w:t>
          </w:r>
        </w:p>
      </w:tc>
      <w:tc>
        <w:tcPr>
          <w:tcW w:w="1170" w:type="dxa"/>
          <w:tcMar>
            <w:left w:w="0" w:type="dxa"/>
            <w:right w:w="0" w:type="dxa"/>
          </w:tcMar>
        </w:tcPr>
        <w:p w:rsidR="00BE1CFB" w:rsidRPr="00755F22" w:rsidRDefault="00BE1CFB" w:rsidP="00831CA9">
          <w:pPr>
            <w:keepLines/>
            <w:jc w:val="center"/>
            <w:rPr>
              <w:sz w:val="20"/>
              <w:szCs w:val="20"/>
            </w:rPr>
          </w:pPr>
        </w:p>
        <w:p w:rsidR="00BE1CFB" w:rsidRPr="00755F22" w:rsidRDefault="00BE1CFB" w:rsidP="00831CA9">
          <w:pPr>
            <w:keepLines/>
            <w:tabs>
              <w:tab w:val="left" w:pos="-1440"/>
              <w:tab w:val="left" w:pos="-720"/>
            </w:tabs>
            <w:jc w:val="center"/>
            <w:rPr>
              <w:sz w:val="20"/>
              <w:szCs w:val="20"/>
            </w:rPr>
          </w:pPr>
        </w:p>
      </w:tc>
      <w:tc>
        <w:tcPr>
          <w:tcW w:w="4080" w:type="dxa"/>
          <w:tcMar>
            <w:left w:w="0" w:type="dxa"/>
            <w:right w:w="0" w:type="dxa"/>
          </w:tcMar>
        </w:tcPr>
        <w:p w:rsidR="00BE1CFB" w:rsidRPr="00BA6468" w:rsidRDefault="00BE1CFB" w:rsidP="00BA6468">
          <w:pPr>
            <w:keepLines/>
            <w:rPr>
              <w:sz w:val="20"/>
              <w:szCs w:val="20"/>
              <w:lang w:val="fr-CA"/>
            </w:rPr>
          </w:pPr>
          <w:r w:rsidRPr="00BA6468">
            <w:rPr>
              <w:sz w:val="20"/>
              <w:szCs w:val="20"/>
              <w:lang w:val="fr-CA"/>
            </w:rPr>
            <w:t>REQUÊTES</w:t>
          </w:r>
        </w:p>
      </w:tc>
    </w:tr>
  </w:tbl>
  <w:p w:rsidR="00BE1CFB" w:rsidRDefault="00BE1CFB" w:rsidP="00831CA9">
    <w:pPr>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Default="00BE1CF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E1CFB" w:rsidRPr="00A549CB">
      <w:tc>
        <w:tcPr>
          <w:tcW w:w="4200" w:type="dxa"/>
          <w:tcMar>
            <w:left w:w="0" w:type="dxa"/>
            <w:right w:w="0" w:type="dxa"/>
          </w:tcMar>
        </w:tcPr>
        <w:p w:rsidR="00BE1CFB" w:rsidRDefault="00BE1C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E1CFB" w:rsidRDefault="00BE1C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E1CFB" w:rsidRPr="00B01A03" w:rsidRDefault="00BE1C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E1CFB" w:rsidRPr="00B01A03"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E1CFB" w:rsidRPr="00B01A03" w:rsidRDefault="00BE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E1CFB" w:rsidRPr="00A549CB" w:rsidTr="00245129">
      <w:tc>
        <w:tcPr>
          <w:tcW w:w="4200" w:type="dxa"/>
          <w:tcMar>
            <w:left w:w="0" w:type="dxa"/>
            <w:right w:w="0" w:type="dxa"/>
          </w:tcMar>
        </w:tcPr>
        <w:p w:rsidR="00BE1CFB" w:rsidRPr="00F40249" w:rsidRDefault="00BE1CF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E1CFB" w:rsidRDefault="00BE1CFB" w:rsidP="00102926">
          <w:pPr>
            <w:keepNext/>
            <w:keepLines/>
            <w:tabs>
              <w:tab w:val="left" w:pos="-1440"/>
              <w:tab w:val="left" w:pos="-720"/>
            </w:tabs>
            <w:jc w:val="center"/>
            <w:rPr>
              <w:sz w:val="20"/>
              <w:szCs w:val="20"/>
            </w:rPr>
          </w:pPr>
        </w:p>
        <w:p w:rsidR="00BE1CFB" w:rsidRDefault="00BE1CFB" w:rsidP="00102926">
          <w:pPr>
            <w:keepNext/>
            <w:keepLines/>
            <w:tabs>
              <w:tab w:val="left" w:pos="-1440"/>
              <w:tab w:val="left" w:pos="-720"/>
            </w:tabs>
            <w:jc w:val="center"/>
            <w:rPr>
              <w:sz w:val="20"/>
              <w:szCs w:val="20"/>
            </w:rPr>
          </w:pPr>
        </w:p>
        <w:p w:rsidR="00BE1CFB" w:rsidRPr="00F40249" w:rsidRDefault="00BE1CFB" w:rsidP="00102926">
          <w:pPr>
            <w:keepNext/>
            <w:keepLines/>
            <w:tabs>
              <w:tab w:val="left" w:pos="-1440"/>
              <w:tab w:val="left" w:pos="-720"/>
            </w:tabs>
            <w:jc w:val="center"/>
            <w:rPr>
              <w:sz w:val="20"/>
              <w:szCs w:val="20"/>
            </w:rPr>
          </w:pPr>
        </w:p>
      </w:tc>
      <w:tc>
        <w:tcPr>
          <w:tcW w:w="4230" w:type="dxa"/>
          <w:tcMar>
            <w:left w:w="0" w:type="dxa"/>
            <w:right w:w="0" w:type="dxa"/>
          </w:tcMar>
        </w:tcPr>
        <w:p w:rsidR="00BE1CFB" w:rsidRPr="00F40249" w:rsidRDefault="00BE1CF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E1CFB" w:rsidRPr="00B01A03" w:rsidRDefault="00BE1CF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5235"/>
    <w:multiLevelType w:val="hybridMultilevel"/>
    <w:tmpl w:val="0DA825A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410008"/>
    <w:multiLevelType w:val="hybridMultilevel"/>
    <w:tmpl w:val="C11A94E0"/>
    <w:lvl w:ilvl="0" w:tplc="0E2C1FEA">
      <w:start w:val="1"/>
      <w:numFmt w:val="decimal"/>
      <w:lvlText w:val="%1."/>
      <w:lvlJc w:val="left"/>
      <w:pPr>
        <w:ind w:left="630" w:hanging="360"/>
      </w:pPr>
      <w:rPr>
        <w:rFonts w:hint="default"/>
      </w:r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2">
    <w:nsid w:val="25C53DDB"/>
    <w:multiLevelType w:val="hybridMultilevel"/>
    <w:tmpl w:val="E8C6B726"/>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3342A8"/>
    <w:multiLevelType w:val="hybridMultilevel"/>
    <w:tmpl w:val="B5563BD0"/>
    <w:lvl w:ilvl="0" w:tplc="1009000F">
      <w:start w:val="1"/>
      <w:numFmt w:val="decimal"/>
      <w:lvlText w:val="%1."/>
      <w:lvlJc w:val="left"/>
      <w:pPr>
        <w:ind w:left="720" w:hanging="360"/>
      </w:pPr>
    </w:lvl>
    <w:lvl w:ilvl="1" w:tplc="10090019">
      <w:start w:val="1"/>
      <w:numFmt w:val="lowerLetter"/>
      <w:lvlText w:val="%2."/>
      <w:lvlJc w:val="left"/>
      <w:pPr>
        <w:ind w:left="163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7E5E02"/>
    <w:multiLevelType w:val="hybridMultilevel"/>
    <w:tmpl w:val="26DE8AA4"/>
    <w:lvl w:ilvl="0" w:tplc="32F08E2A">
      <w:start w:val="1"/>
      <w:numFmt w:val="lowerLetter"/>
      <w:pStyle w:val="ListContinue3"/>
      <w:lvlText w:val="%1."/>
      <w:lvlJc w:val="left"/>
      <w:pPr>
        <w:ind w:left="1569" w:hanging="360"/>
      </w:pPr>
      <w:rPr>
        <w:rFonts w:ascii="Times New Roman" w:eastAsia="Times New Roman" w:hAnsi="Times New Roman" w:cstheme="minorBidi"/>
      </w:rPr>
    </w:lvl>
    <w:lvl w:ilvl="1" w:tplc="10090019" w:tentative="1">
      <w:start w:val="1"/>
      <w:numFmt w:val="lowerLetter"/>
      <w:lvlText w:val="%2."/>
      <w:lvlJc w:val="left"/>
      <w:pPr>
        <w:ind w:left="2289" w:hanging="360"/>
      </w:pPr>
    </w:lvl>
    <w:lvl w:ilvl="2" w:tplc="1009001B" w:tentative="1">
      <w:start w:val="1"/>
      <w:numFmt w:val="lowerRoman"/>
      <w:lvlText w:val="%3."/>
      <w:lvlJc w:val="right"/>
      <w:pPr>
        <w:ind w:left="3009" w:hanging="180"/>
      </w:pPr>
    </w:lvl>
    <w:lvl w:ilvl="3" w:tplc="1009000F" w:tentative="1">
      <w:start w:val="1"/>
      <w:numFmt w:val="decimal"/>
      <w:lvlText w:val="%4."/>
      <w:lvlJc w:val="left"/>
      <w:pPr>
        <w:ind w:left="3729" w:hanging="360"/>
      </w:pPr>
    </w:lvl>
    <w:lvl w:ilvl="4" w:tplc="10090019" w:tentative="1">
      <w:start w:val="1"/>
      <w:numFmt w:val="lowerLetter"/>
      <w:lvlText w:val="%5."/>
      <w:lvlJc w:val="left"/>
      <w:pPr>
        <w:ind w:left="4449" w:hanging="360"/>
      </w:pPr>
    </w:lvl>
    <w:lvl w:ilvl="5" w:tplc="1009001B" w:tentative="1">
      <w:start w:val="1"/>
      <w:numFmt w:val="lowerRoman"/>
      <w:lvlText w:val="%6."/>
      <w:lvlJc w:val="right"/>
      <w:pPr>
        <w:ind w:left="5169" w:hanging="180"/>
      </w:pPr>
    </w:lvl>
    <w:lvl w:ilvl="6" w:tplc="1009000F" w:tentative="1">
      <w:start w:val="1"/>
      <w:numFmt w:val="decimal"/>
      <w:lvlText w:val="%7."/>
      <w:lvlJc w:val="left"/>
      <w:pPr>
        <w:ind w:left="5889" w:hanging="360"/>
      </w:pPr>
    </w:lvl>
    <w:lvl w:ilvl="7" w:tplc="10090019" w:tentative="1">
      <w:start w:val="1"/>
      <w:numFmt w:val="lowerLetter"/>
      <w:lvlText w:val="%8."/>
      <w:lvlJc w:val="left"/>
      <w:pPr>
        <w:ind w:left="6609" w:hanging="360"/>
      </w:pPr>
    </w:lvl>
    <w:lvl w:ilvl="8" w:tplc="1009001B" w:tentative="1">
      <w:start w:val="1"/>
      <w:numFmt w:val="lowerRoman"/>
      <w:lvlText w:val="%9."/>
      <w:lvlJc w:val="right"/>
      <w:pPr>
        <w:ind w:left="7329" w:hanging="180"/>
      </w:pPr>
    </w:lvl>
  </w:abstractNum>
  <w:abstractNum w:abstractNumId="6">
    <w:nsid w:val="39D73C5A"/>
    <w:multiLevelType w:val="hybridMultilevel"/>
    <w:tmpl w:val="6C764558"/>
    <w:lvl w:ilvl="0" w:tplc="179C370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A533399"/>
    <w:multiLevelType w:val="hybridMultilevel"/>
    <w:tmpl w:val="B5563BD0"/>
    <w:lvl w:ilvl="0" w:tplc="1009000F">
      <w:start w:val="1"/>
      <w:numFmt w:val="decimal"/>
      <w:lvlText w:val="%1."/>
      <w:lvlJc w:val="left"/>
      <w:pPr>
        <w:ind w:left="720" w:hanging="360"/>
      </w:pPr>
    </w:lvl>
    <w:lvl w:ilvl="1" w:tplc="10090019">
      <w:start w:val="1"/>
      <w:numFmt w:val="lowerLetter"/>
      <w:lvlText w:val="%2."/>
      <w:lvlJc w:val="left"/>
      <w:pPr>
        <w:ind w:left="163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011480"/>
    <w:multiLevelType w:val="hybridMultilevel"/>
    <w:tmpl w:val="6C764558"/>
    <w:lvl w:ilvl="0" w:tplc="179C370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67347A9D"/>
    <w:multiLevelType w:val="hybridMultilevel"/>
    <w:tmpl w:val="0DA825A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9"/>
  </w:num>
  <w:num w:numId="9">
    <w:abstractNumId w:val="4"/>
  </w:num>
  <w:num w:numId="10">
    <w:abstractNumId w:val="5"/>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49"/>
  </w:hdrShapeDefaults>
  <w:footnotePr>
    <w:footnote w:id="-1"/>
    <w:footnote w:id="0"/>
  </w:footnotePr>
  <w:endnotePr>
    <w:endnote w:id="-1"/>
    <w:endnote w:id="0"/>
  </w:endnotePr>
  <w:compat/>
  <w:rsids>
    <w:rsidRoot w:val="00875EC1"/>
    <w:rsid w:val="00003EEE"/>
    <w:rsid w:val="0003223B"/>
    <w:rsid w:val="000327B2"/>
    <w:rsid w:val="00051CA9"/>
    <w:rsid w:val="00087F8F"/>
    <w:rsid w:val="000903A1"/>
    <w:rsid w:val="00091FA6"/>
    <w:rsid w:val="00096BD9"/>
    <w:rsid w:val="000B3C9A"/>
    <w:rsid w:val="000B40A2"/>
    <w:rsid w:val="000B4624"/>
    <w:rsid w:val="000C0ACD"/>
    <w:rsid w:val="00102926"/>
    <w:rsid w:val="0010587F"/>
    <w:rsid w:val="00111C6B"/>
    <w:rsid w:val="0012102B"/>
    <w:rsid w:val="0013369E"/>
    <w:rsid w:val="001507A1"/>
    <w:rsid w:val="00164E6D"/>
    <w:rsid w:val="0018164D"/>
    <w:rsid w:val="00192A54"/>
    <w:rsid w:val="001B157C"/>
    <w:rsid w:val="001B5C23"/>
    <w:rsid w:val="001C7825"/>
    <w:rsid w:val="001D0D5F"/>
    <w:rsid w:val="001D6B8C"/>
    <w:rsid w:val="001F1F83"/>
    <w:rsid w:val="002021A9"/>
    <w:rsid w:val="0020798A"/>
    <w:rsid w:val="002139A7"/>
    <w:rsid w:val="00215F7C"/>
    <w:rsid w:val="0022323B"/>
    <w:rsid w:val="002410B8"/>
    <w:rsid w:val="00242AEE"/>
    <w:rsid w:val="00245129"/>
    <w:rsid w:val="00245879"/>
    <w:rsid w:val="00267FD5"/>
    <w:rsid w:val="002868D0"/>
    <w:rsid w:val="002A27D1"/>
    <w:rsid w:val="002A4AFA"/>
    <w:rsid w:val="002B516C"/>
    <w:rsid w:val="002D72EB"/>
    <w:rsid w:val="002E2327"/>
    <w:rsid w:val="002E3583"/>
    <w:rsid w:val="002E3D9A"/>
    <w:rsid w:val="002E5576"/>
    <w:rsid w:val="00324BD8"/>
    <w:rsid w:val="00331B52"/>
    <w:rsid w:val="003359D3"/>
    <w:rsid w:val="00355967"/>
    <w:rsid w:val="00371EF3"/>
    <w:rsid w:val="00382C47"/>
    <w:rsid w:val="00384384"/>
    <w:rsid w:val="003866AE"/>
    <w:rsid w:val="00387971"/>
    <w:rsid w:val="003B3977"/>
    <w:rsid w:val="003E75FC"/>
    <w:rsid w:val="00432989"/>
    <w:rsid w:val="00440E24"/>
    <w:rsid w:val="0044776A"/>
    <w:rsid w:val="00460AFC"/>
    <w:rsid w:val="0047471F"/>
    <w:rsid w:val="004B195E"/>
    <w:rsid w:val="004B66B4"/>
    <w:rsid w:val="004B7F60"/>
    <w:rsid w:val="004C1AAC"/>
    <w:rsid w:val="004E1E0A"/>
    <w:rsid w:val="004F090E"/>
    <w:rsid w:val="00527CC7"/>
    <w:rsid w:val="00571ADF"/>
    <w:rsid w:val="00571CA4"/>
    <w:rsid w:val="00582136"/>
    <w:rsid w:val="005C6840"/>
    <w:rsid w:val="005F23DE"/>
    <w:rsid w:val="005F263E"/>
    <w:rsid w:val="00600252"/>
    <w:rsid w:val="00602152"/>
    <w:rsid w:val="00612A40"/>
    <w:rsid w:val="006265F3"/>
    <w:rsid w:val="0062714A"/>
    <w:rsid w:val="00644156"/>
    <w:rsid w:val="0064520F"/>
    <w:rsid w:val="00675479"/>
    <w:rsid w:val="00680709"/>
    <w:rsid w:val="00690DD2"/>
    <w:rsid w:val="00696BF9"/>
    <w:rsid w:val="00697C62"/>
    <w:rsid w:val="006A329B"/>
    <w:rsid w:val="006A7EB8"/>
    <w:rsid w:val="006B6926"/>
    <w:rsid w:val="006C3835"/>
    <w:rsid w:val="006C3F47"/>
    <w:rsid w:val="006C5F7A"/>
    <w:rsid w:val="006E06AF"/>
    <w:rsid w:val="006F350F"/>
    <w:rsid w:val="00732DB7"/>
    <w:rsid w:val="0074238B"/>
    <w:rsid w:val="00745EF7"/>
    <w:rsid w:val="00755C79"/>
    <w:rsid w:val="00755F22"/>
    <w:rsid w:val="00763049"/>
    <w:rsid w:val="00766E4A"/>
    <w:rsid w:val="007820CE"/>
    <w:rsid w:val="00782AE4"/>
    <w:rsid w:val="0079095F"/>
    <w:rsid w:val="0079705E"/>
    <w:rsid w:val="0079724F"/>
    <w:rsid w:val="007A3EAE"/>
    <w:rsid w:val="007C04FC"/>
    <w:rsid w:val="007D3E0F"/>
    <w:rsid w:val="007D3F6E"/>
    <w:rsid w:val="007E4282"/>
    <w:rsid w:val="007F0A1D"/>
    <w:rsid w:val="007F387B"/>
    <w:rsid w:val="00802863"/>
    <w:rsid w:val="00815B3C"/>
    <w:rsid w:val="0082783A"/>
    <w:rsid w:val="00831CA9"/>
    <w:rsid w:val="00850E1F"/>
    <w:rsid w:val="0085476B"/>
    <w:rsid w:val="00861A0E"/>
    <w:rsid w:val="008754B6"/>
    <w:rsid w:val="00875EC1"/>
    <w:rsid w:val="00890FEB"/>
    <w:rsid w:val="008A2BB5"/>
    <w:rsid w:val="008D292F"/>
    <w:rsid w:val="008E03DC"/>
    <w:rsid w:val="008F1ABC"/>
    <w:rsid w:val="00905BD4"/>
    <w:rsid w:val="009178F9"/>
    <w:rsid w:val="00924065"/>
    <w:rsid w:val="00930D68"/>
    <w:rsid w:val="00932DB4"/>
    <w:rsid w:val="00941A4B"/>
    <w:rsid w:val="00946242"/>
    <w:rsid w:val="0095096B"/>
    <w:rsid w:val="00957A63"/>
    <w:rsid w:val="00970CD3"/>
    <w:rsid w:val="009723FA"/>
    <w:rsid w:val="00984546"/>
    <w:rsid w:val="00985E39"/>
    <w:rsid w:val="00987CE7"/>
    <w:rsid w:val="00996510"/>
    <w:rsid w:val="009D1F15"/>
    <w:rsid w:val="009D555E"/>
    <w:rsid w:val="009E28A8"/>
    <w:rsid w:val="009F3024"/>
    <w:rsid w:val="00A0355E"/>
    <w:rsid w:val="00A23F72"/>
    <w:rsid w:val="00A375D1"/>
    <w:rsid w:val="00A51D10"/>
    <w:rsid w:val="00A5287B"/>
    <w:rsid w:val="00A52A83"/>
    <w:rsid w:val="00A549CB"/>
    <w:rsid w:val="00A6552C"/>
    <w:rsid w:val="00A87207"/>
    <w:rsid w:val="00A935AA"/>
    <w:rsid w:val="00A953D4"/>
    <w:rsid w:val="00AB2201"/>
    <w:rsid w:val="00AD3259"/>
    <w:rsid w:val="00AD72EC"/>
    <w:rsid w:val="00AF1715"/>
    <w:rsid w:val="00AF3904"/>
    <w:rsid w:val="00B010C0"/>
    <w:rsid w:val="00B077A6"/>
    <w:rsid w:val="00B4740D"/>
    <w:rsid w:val="00B509C9"/>
    <w:rsid w:val="00B61629"/>
    <w:rsid w:val="00B7374B"/>
    <w:rsid w:val="00B746CC"/>
    <w:rsid w:val="00B90DC0"/>
    <w:rsid w:val="00BA116A"/>
    <w:rsid w:val="00BA5582"/>
    <w:rsid w:val="00BA6468"/>
    <w:rsid w:val="00BB1D44"/>
    <w:rsid w:val="00BD06DA"/>
    <w:rsid w:val="00BD4217"/>
    <w:rsid w:val="00BE1CFB"/>
    <w:rsid w:val="00BF25F3"/>
    <w:rsid w:val="00C1697B"/>
    <w:rsid w:val="00C1789F"/>
    <w:rsid w:val="00C21CB5"/>
    <w:rsid w:val="00C50A5C"/>
    <w:rsid w:val="00C50FDF"/>
    <w:rsid w:val="00C63381"/>
    <w:rsid w:val="00C73D06"/>
    <w:rsid w:val="00C73E1B"/>
    <w:rsid w:val="00C759B4"/>
    <w:rsid w:val="00C77713"/>
    <w:rsid w:val="00C85BB7"/>
    <w:rsid w:val="00CB43D5"/>
    <w:rsid w:val="00CC4D84"/>
    <w:rsid w:val="00CE198A"/>
    <w:rsid w:val="00CE4CD2"/>
    <w:rsid w:val="00D64901"/>
    <w:rsid w:val="00D76BDF"/>
    <w:rsid w:val="00D862C1"/>
    <w:rsid w:val="00D93B50"/>
    <w:rsid w:val="00D94670"/>
    <w:rsid w:val="00DA46F6"/>
    <w:rsid w:val="00DD0B49"/>
    <w:rsid w:val="00E036B5"/>
    <w:rsid w:val="00E06DFA"/>
    <w:rsid w:val="00E20A0A"/>
    <w:rsid w:val="00E356C7"/>
    <w:rsid w:val="00E45FE4"/>
    <w:rsid w:val="00E64FA7"/>
    <w:rsid w:val="00E770CB"/>
    <w:rsid w:val="00E8173F"/>
    <w:rsid w:val="00E903A1"/>
    <w:rsid w:val="00E940EB"/>
    <w:rsid w:val="00E9703F"/>
    <w:rsid w:val="00EB2B90"/>
    <w:rsid w:val="00ED7E83"/>
    <w:rsid w:val="00EF4B63"/>
    <w:rsid w:val="00F0068D"/>
    <w:rsid w:val="00F054A7"/>
    <w:rsid w:val="00F0576D"/>
    <w:rsid w:val="00F14E6D"/>
    <w:rsid w:val="00F15EA8"/>
    <w:rsid w:val="00F16C8D"/>
    <w:rsid w:val="00F26C61"/>
    <w:rsid w:val="00F33CCE"/>
    <w:rsid w:val="00F40249"/>
    <w:rsid w:val="00F526C8"/>
    <w:rsid w:val="00F55DF6"/>
    <w:rsid w:val="00F9272D"/>
    <w:rsid w:val="00F9518C"/>
    <w:rsid w:val="00FA316E"/>
    <w:rsid w:val="00FA59EF"/>
    <w:rsid w:val="00FB19A2"/>
    <w:rsid w:val="00FD1BA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987CE7"/>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Continue3">
    <w:name w:val="List Continue 3"/>
    <w:basedOn w:val="Normal"/>
    <w:uiPriority w:val="99"/>
    <w:unhideWhenUsed/>
    <w:rsid w:val="00987CE7"/>
    <w:pPr>
      <w:numPr>
        <w:numId w:val="3"/>
      </w:numPr>
      <w:spacing w:after="240" w:line="360" w:lineRule="auto"/>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10742</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2013-01-04T18:16:00Z</dcterms:created>
  <dcterms:modified xsi:type="dcterms:W3CDTF">2013-01-04T18:29:00Z</dcterms:modified>
</cp:coreProperties>
</file>