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970EF1"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70EF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70EF1"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970EF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70EF1" w:rsidTr="002E5576">
        <w:tc>
          <w:tcPr>
            <w:tcW w:w="4518" w:type="dxa"/>
          </w:tcPr>
          <w:p w:rsidR="00BF25F3" w:rsidRPr="002E2327" w:rsidRDefault="00CD48BC"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CD48BC"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970EF1"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970EF1"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proofErr w:type="spellStart"/>
      <w:r>
        <w:rPr>
          <w:lang w:val="fr-CA"/>
        </w:rPr>
        <w:t>January</w:t>
      </w:r>
      <w:proofErr w:type="spellEnd"/>
      <w:r w:rsidR="00440E24" w:rsidRPr="00675479">
        <w:rPr>
          <w:lang w:val="fr-CA"/>
        </w:rPr>
        <w:t xml:space="preserve"> </w:t>
      </w:r>
      <w:r w:rsidR="00A56AB1">
        <w:rPr>
          <w:lang w:val="fr-CA"/>
        </w:rPr>
        <w:t>18</w:t>
      </w:r>
      <w:r w:rsidR="00440E24" w:rsidRPr="00675479">
        <w:rPr>
          <w:lang w:val="fr-CA"/>
        </w:rPr>
        <w:t>, 201</w:t>
      </w:r>
      <w:r w:rsidR="00F761A3">
        <w:rPr>
          <w:lang w:val="fr-CA"/>
        </w:rPr>
        <w:t>3</w:t>
      </w:r>
      <w:r w:rsidR="00F0068D" w:rsidRPr="00675479">
        <w:rPr>
          <w:lang w:val="fr-CA"/>
        </w:rPr>
        <w:tab/>
      </w:r>
      <w:r w:rsidR="00A56AB1">
        <w:rPr>
          <w:lang w:val="fr-CA"/>
        </w:rPr>
        <w:t>54</w:t>
      </w:r>
      <w:r w:rsidR="00F0068D" w:rsidRPr="00675479">
        <w:rPr>
          <w:lang w:val="fr-CA"/>
        </w:rPr>
        <w:t xml:space="preserve"> - </w:t>
      </w:r>
      <w:r w:rsidR="006F53FB">
        <w:rPr>
          <w:lang w:val="fr-CA"/>
        </w:rPr>
        <w:t>105</w:t>
      </w:r>
      <w:r w:rsidR="00440E24" w:rsidRPr="00675479">
        <w:rPr>
          <w:lang w:val="fr-CA"/>
        </w:rPr>
        <w:tab/>
      </w:r>
      <w:r w:rsidR="00440E24" w:rsidRPr="002E2327">
        <w:rPr>
          <w:lang w:val="fr-CA"/>
        </w:rPr>
        <w:t>Le</w:t>
      </w:r>
      <w:r>
        <w:rPr>
          <w:lang w:val="fr-CA"/>
        </w:rPr>
        <w:t xml:space="preserve"> </w:t>
      </w:r>
      <w:r w:rsidR="00A56AB1">
        <w:rPr>
          <w:lang w:val="fr-CA"/>
        </w:rPr>
        <w:t>18</w:t>
      </w:r>
      <w:r>
        <w:rPr>
          <w:lang w:val="fr-CA"/>
        </w:rPr>
        <w:t xml:space="preserve"> j</w:t>
      </w:r>
      <w:r w:rsidR="00440E24" w:rsidRPr="002E2327">
        <w:rPr>
          <w:lang w:val="fr-CA"/>
        </w:rPr>
        <w:t>a</w:t>
      </w:r>
      <w:r>
        <w:rPr>
          <w:lang w:val="fr-CA"/>
        </w:rPr>
        <w:t>n</w:t>
      </w:r>
      <w:r w:rsidR="00440E24" w:rsidRPr="002E2327">
        <w:rPr>
          <w:lang w:val="fr-CA"/>
        </w:rPr>
        <w:t>vi</w:t>
      </w:r>
      <w:r>
        <w:rPr>
          <w:lang w:val="fr-CA"/>
        </w:rPr>
        <w:t>er</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A56AB1" w:rsidRDefault="00440E24" w:rsidP="00440E24">
      <w:pPr>
        <w:pBdr>
          <w:bottom w:val="single" w:sz="6" w:space="1" w:color="auto"/>
        </w:pBdr>
        <w:tabs>
          <w:tab w:val="right" w:pos="9360"/>
        </w:tabs>
        <w:rPr>
          <w:sz w:val="18"/>
          <w:szCs w:val="18"/>
          <w:lang w:val="fr-CA"/>
        </w:rPr>
      </w:pPr>
      <w:r w:rsidRPr="00A56AB1">
        <w:rPr>
          <w:sz w:val="18"/>
          <w:szCs w:val="18"/>
          <w:lang w:val="fr-CA"/>
        </w:rPr>
        <w:t xml:space="preserve">© </w:t>
      </w:r>
      <w:proofErr w:type="spellStart"/>
      <w:r w:rsidRPr="00A56AB1">
        <w:rPr>
          <w:sz w:val="18"/>
          <w:szCs w:val="18"/>
          <w:lang w:val="fr-CA"/>
        </w:rPr>
        <w:t>Supreme</w:t>
      </w:r>
      <w:proofErr w:type="spellEnd"/>
      <w:r w:rsidRPr="00A56AB1">
        <w:rPr>
          <w:sz w:val="18"/>
          <w:szCs w:val="18"/>
          <w:lang w:val="fr-CA"/>
        </w:rPr>
        <w:t xml:space="preserve"> Court of Canada (201</w:t>
      </w:r>
      <w:r w:rsidR="00F761A3" w:rsidRPr="00A56AB1">
        <w:rPr>
          <w:sz w:val="18"/>
          <w:szCs w:val="18"/>
          <w:lang w:val="fr-CA"/>
        </w:rPr>
        <w:t>3</w:t>
      </w:r>
      <w:r w:rsidRPr="00A56AB1">
        <w:rPr>
          <w:sz w:val="18"/>
          <w:szCs w:val="18"/>
          <w:lang w:val="fr-CA"/>
        </w:rPr>
        <w:t>)</w:t>
      </w:r>
      <w:r w:rsidRPr="00A56AB1">
        <w:rPr>
          <w:sz w:val="18"/>
          <w:szCs w:val="18"/>
          <w:lang w:val="fr-CA"/>
        </w:rPr>
        <w:tab/>
        <w:t>© Cour suprême du Canada (201</w:t>
      </w:r>
      <w:r w:rsidR="00F761A3" w:rsidRPr="00A56AB1">
        <w:rPr>
          <w:sz w:val="18"/>
          <w:szCs w:val="18"/>
          <w:lang w:val="fr-CA"/>
        </w:rPr>
        <w:t>3</w:t>
      </w:r>
      <w:r w:rsidRPr="00A56AB1">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D953C9"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A87207" w:rsidRPr="002E2327" w:rsidRDefault="00A87207" w:rsidP="008C0831">
            <w:pPr>
              <w:tabs>
                <w:tab w:val="right" w:pos="9360"/>
              </w:tabs>
              <w:rPr>
                <w:rFonts w:cs="Times New Roman"/>
                <w:sz w:val="20"/>
                <w:szCs w:val="20"/>
              </w:rPr>
            </w:pPr>
          </w:p>
        </w:tc>
        <w:tc>
          <w:tcPr>
            <w:tcW w:w="1980" w:type="dxa"/>
          </w:tcPr>
          <w:p w:rsidR="0095096B" w:rsidRPr="002E2327" w:rsidRDefault="003C1FA2" w:rsidP="0095096B">
            <w:pPr>
              <w:jc w:val="center"/>
              <w:rPr>
                <w:rFonts w:cs="Times New Roman"/>
                <w:sz w:val="20"/>
                <w:szCs w:val="20"/>
              </w:rPr>
            </w:pPr>
            <w:r>
              <w:rPr>
                <w:rFonts w:cs="Times New Roman"/>
                <w:sz w:val="20"/>
                <w:szCs w:val="20"/>
              </w:rPr>
              <w:t>54</w:t>
            </w:r>
            <w:r w:rsidR="00CD48BC" w:rsidRPr="002E2327">
              <w:rPr>
                <w:rFonts w:cs="Times New Roman"/>
                <w:sz w:val="20"/>
                <w:szCs w:val="20"/>
              </w:rPr>
              <w:fldChar w:fldCharType="begin"/>
            </w:r>
            <w:r w:rsidR="0095096B" w:rsidRPr="002E2327">
              <w:rPr>
                <w:rFonts w:cs="Times New Roman"/>
                <w:sz w:val="20"/>
                <w:szCs w:val="20"/>
              </w:rPr>
              <w:instrText xml:space="preserve"> SEQ CHAPTER \h \r 1</w:instrText>
            </w:r>
            <w:r w:rsidR="00CD48BC"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E0D23" w:rsidP="0095096B">
            <w:pPr>
              <w:jc w:val="center"/>
              <w:rPr>
                <w:rFonts w:cs="Times New Roman"/>
                <w:sz w:val="20"/>
                <w:szCs w:val="20"/>
              </w:rPr>
            </w:pPr>
            <w:r>
              <w:rPr>
                <w:rFonts w:cs="Times New Roman"/>
                <w:sz w:val="20"/>
                <w:szCs w:val="20"/>
              </w:rPr>
              <w:t>5</w:t>
            </w:r>
            <w:r w:rsidR="008668CB">
              <w:rPr>
                <w:rFonts w:cs="Times New Roman"/>
                <w:sz w:val="20"/>
                <w:szCs w:val="20"/>
              </w:rPr>
              <w:t>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668CB" w:rsidP="0095096B">
            <w:pPr>
              <w:jc w:val="center"/>
              <w:rPr>
                <w:rFonts w:cs="Times New Roman"/>
                <w:sz w:val="20"/>
                <w:szCs w:val="20"/>
              </w:rPr>
            </w:pPr>
            <w:r>
              <w:rPr>
                <w:rFonts w:cs="Times New Roman"/>
                <w:sz w:val="20"/>
                <w:szCs w:val="20"/>
              </w:rPr>
              <w:t xml:space="preserve">56 </w:t>
            </w:r>
            <w:r w:rsidR="0095096B" w:rsidRPr="002E2327">
              <w:rPr>
                <w:rFonts w:cs="Times New Roman"/>
                <w:sz w:val="20"/>
                <w:szCs w:val="20"/>
              </w:rPr>
              <w:t>-</w:t>
            </w:r>
            <w:r w:rsidR="008C0831">
              <w:rPr>
                <w:rFonts w:cs="Times New Roman"/>
                <w:sz w:val="20"/>
                <w:szCs w:val="20"/>
              </w:rPr>
              <w:t xml:space="preserve"> 84</w:t>
            </w:r>
          </w:p>
          <w:p w:rsidR="0095096B" w:rsidRPr="002E2327" w:rsidRDefault="0095096B" w:rsidP="0095096B">
            <w:pPr>
              <w:jc w:val="center"/>
              <w:rPr>
                <w:rFonts w:cs="Times New Roman"/>
                <w:sz w:val="20"/>
                <w:szCs w:val="20"/>
              </w:rPr>
            </w:pPr>
          </w:p>
          <w:p w:rsidR="008C0831" w:rsidRDefault="008C0831" w:rsidP="0095096B">
            <w:pPr>
              <w:jc w:val="center"/>
              <w:rPr>
                <w:rFonts w:cs="Times New Roman"/>
                <w:sz w:val="20"/>
                <w:szCs w:val="20"/>
              </w:rPr>
            </w:pPr>
          </w:p>
          <w:p w:rsidR="0095096B" w:rsidRPr="002E2327" w:rsidRDefault="008C0831" w:rsidP="0095096B">
            <w:pPr>
              <w:jc w:val="center"/>
              <w:rPr>
                <w:rFonts w:cs="Times New Roman"/>
                <w:sz w:val="20"/>
                <w:szCs w:val="20"/>
              </w:rPr>
            </w:pPr>
            <w:r>
              <w:rPr>
                <w:rFonts w:cs="Times New Roman"/>
                <w:sz w:val="20"/>
                <w:szCs w:val="20"/>
              </w:rPr>
              <w:t xml:space="preserve">85 </w:t>
            </w:r>
            <w:r w:rsidR="0095096B" w:rsidRPr="002E2327">
              <w:rPr>
                <w:rFonts w:cs="Times New Roman"/>
                <w:sz w:val="20"/>
                <w:szCs w:val="20"/>
              </w:rPr>
              <w:t>-</w:t>
            </w:r>
            <w:r>
              <w:rPr>
                <w:rFonts w:cs="Times New Roman"/>
                <w:sz w:val="20"/>
                <w:szCs w:val="20"/>
              </w:rPr>
              <w:t xml:space="preserve"> 92</w:t>
            </w:r>
          </w:p>
          <w:p w:rsidR="0095096B" w:rsidRPr="002E2327" w:rsidRDefault="0095096B" w:rsidP="0095096B">
            <w:pPr>
              <w:jc w:val="center"/>
              <w:rPr>
                <w:rFonts w:cs="Times New Roman"/>
                <w:sz w:val="20"/>
                <w:szCs w:val="20"/>
              </w:rPr>
            </w:pPr>
          </w:p>
          <w:p w:rsidR="0095096B" w:rsidRPr="002E2327" w:rsidRDefault="008C0831" w:rsidP="0095096B">
            <w:pPr>
              <w:jc w:val="center"/>
              <w:rPr>
                <w:rFonts w:cs="Times New Roman"/>
                <w:sz w:val="20"/>
                <w:szCs w:val="20"/>
              </w:rPr>
            </w:pPr>
            <w:r>
              <w:rPr>
                <w:rFonts w:cs="Times New Roman"/>
                <w:sz w:val="20"/>
                <w:szCs w:val="20"/>
              </w:rPr>
              <w:t>93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C0831" w:rsidP="0095096B">
            <w:pPr>
              <w:jc w:val="center"/>
              <w:rPr>
                <w:rFonts w:cs="Times New Roman"/>
                <w:sz w:val="20"/>
                <w:szCs w:val="20"/>
              </w:rPr>
            </w:pPr>
            <w:r>
              <w:rPr>
                <w:rFonts w:cs="Times New Roman"/>
                <w:sz w:val="20"/>
                <w:szCs w:val="20"/>
              </w:rPr>
              <w:t xml:space="preserve">94 </w:t>
            </w:r>
            <w:r w:rsidR="0095096B" w:rsidRPr="002E2327">
              <w:rPr>
                <w:rFonts w:cs="Times New Roman"/>
                <w:sz w:val="20"/>
                <w:szCs w:val="20"/>
              </w:rPr>
              <w:t>-</w:t>
            </w:r>
            <w:r>
              <w:rPr>
                <w:rFonts w:cs="Times New Roman"/>
                <w:sz w:val="20"/>
                <w:szCs w:val="20"/>
              </w:rPr>
              <w:t xml:space="preserve"> 96</w:t>
            </w:r>
          </w:p>
          <w:p w:rsidR="0095096B" w:rsidRPr="002E2327" w:rsidRDefault="0095096B" w:rsidP="0095096B">
            <w:pPr>
              <w:jc w:val="center"/>
              <w:rPr>
                <w:rFonts w:cs="Times New Roman"/>
                <w:sz w:val="20"/>
                <w:szCs w:val="20"/>
              </w:rPr>
            </w:pPr>
          </w:p>
          <w:p w:rsidR="008C0831" w:rsidRDefault="008C0831" w:rsidP="0095096B">
            <w:pPr>
              <w:jc w:val="center"/>
              <w:rPr>
                <w:rFonts w:cs="Times New Roman"/>
                <w:sz w:val="20"/>
                <w:szCs w:val="20"/>
              </w:rPr>
            </w:pPr>
          </w:p>
          <w:p w:rsidR="0095096B" w:rsidRPr="002E2327" w:rsidRDefault="008C0831" w:rsidP="0095096B">
            <w:pPr>
              <w:jc w:val="center"/>
              <w:rPr>
                <w:rFonts w:cs="Times New Roman"/>
                <w:sz w:val="20"/>
                <w:szCs w:val="20"/>
              </w:rPr>
            </w:pPr>
            <w:r>
              <w:rPr>
                <w:rFonts w:cs="Times New Roman"/>
                <w:sz w:val="20"/>
                <w:szCs w:val="20"/>
              </w:rPr>
              <w:t>97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44E42" w:rsidP="0095096B">
            <w:pPr>
              <w:jc w:val="center"/>
              <w:rPr>
                <w:rFonts w:cs="Times New Roman"/>
                <w:sz w:val="20"/>
                <w:szCs w:val="20"/>
              </w:rPr>
            </w:pPr>
            <w:r>
              <w:rPr>
                <w:rFonts w:cs="Times New Roman"/>
                <w:sz w:val="20"/>
                <w:szCs w:val="20"/>
              </w:rPr>
              <w:t xml:space="preserve">98 </w:t>
            </w:r>
            <w:r w:rsidR="0095096B" w:rsidRPr="002E2327">
              <w:rPr>
                <w:rFonts w:cs="Times New Roman"/>
                <w:sz w:val="20"/>
                <w:szCs w:val="20"/>
              </w:rPr>
              <w:t>-</w:t>
            </w:r>
            <w:r>
              <w:rPr>
                <w:rFonts w:cs="Times New Roman"/>
                <w:sz w:val="20"/>
                <w:szCs w:val="20"/>
              </w:rPr>
              <w:t xml:space="preserve"> 105</w:t>
            </w:r>
          </w:p>
          <w:p w:rsidR="00A87207" w:rsidRPr="002E2327" w:rsidRDefault="00A87207" w:rsidP="008C0831">
            <w:pPr>
              <w:jc w:val="center"/>
              <w:rPr>
                <w:rFonts w:cs="Times New Roman"/>
                <w:sz w:val="20"/>
                <w:szCs w:val="20"/>
              </w:rPr>
            </w:pPr>
          </w:p>
        </w:tc>
        <w:tc>
          <w:tcPr>
            <w:tcW w:w="3888" w:type="dxa"/>
          </w:tcPr>
          <w:p w:rsidR="0095096B" w:rsidRPr="002E2327" w:rsidRDefault="00CD48BC"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8C0831">
            <w:pPr>
              <w:tabs>
                <w:tab w:val="right" w:pos="9360"/>
              </w:tabs>
              <w:rPr>
                <w:rFonts w:cs="Times New Roman"/>
                <w:sz w:val="20"/>
                <w:szCs w:val="20"/>
                <w:lang w:val="fr-CA"/>
              </w:rPr>
            </w:pPr>
          </w:p>
        </w:tc>
      </w:tr>
    </w:tbl>
    <w:p w:rsidR="0095096B" w:rsidRPr="00EA08C6" w:rsidRDefault="0095096B" w:rsidP="0095096B">
      <w:pPr>
        <w:tabs>
          <w:tab w:val="right" w:pos="9360"/>
        </w:tabs>
        <w:rPr>
          <w:lang w:val="fr-CA"/>
        </w:rPr>
      </w:pPr>
    </w:p>
    <w:p w:rsidR="008E0D23" w:rsidRPr="00EA08C6" w:rsidRDefault="008E0D23" w:rsidP="0095096B">
      <w:pPr>
        <w:tabs>
          <w:tab w:val="right" w:pos="9360"/>
        </w:tabs>
        <w:rPr>
          <w:lang w:val="fr-CA"/>
        </w:rPr>
      </w:pPr>
    </w:p>
    <w:p w:rsidR="008E0D23" w:rsidRPr="00EA08C6" w:rsidRDefault="008E0D23" w:rsidP="0095096B">
      <w:pPr>
        <w:tabs>
          <w:tab w:val="right" w:pos="9360"/>
        </w:tabs>
        <w:rPr>
          <w:lang w:val="fr-CA"/>
        </w:rPr>
      </w:pPr>
    </w:p>
    <w:p w:rsidR="008E0D23" w:rsidRPr="00EA08C6" w:rsidRDefault="008E0D23" w:rsidP="0095096B">
      <w:pPr>
        <w:tabs>
          <w:tab w:val="right" w:pos="9360"/>
        </w:tabs>
        <w:rPr>
          <w:lang w:val="fr-CA"/>
        </w:rPr>
      </w:pPr>
    </w:p>
    <w:p w:rsidR="008E0D23" w:rsidRPr="00EA08C6" w:rsidRDefault="008E0D23" w:rsidP="0095096B">
      <w:pPr>
        <w:tabs>
          <w:tab w:val="right" w:pos="9360"/>
        </w:tabs>
        <w:rPr>
          <w:lang w:val="fr-CA"/>
        </w:rPr>
      </w:pPr>
    </w:p>
    <w:tbl>
      <w:tblPr>
        <w:tblStyle w:val="TableGrid"/>
        <w:tblW w:w="0" w:type="auto"/>
        <w:tblLook w:val="04A0"/>
      </w:tblPr>
      <w:tblGrid>
        <w:gridCol w:w="9576"/>
      </w:tblGrid>
      <w:tr w:rsidR="0079724F" w:rsidRPr="00970EF1"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7F7936" w:rsidRPr="00A935AA" w:rsidTr="0079565C">
        <w:trPr>
          <w:cantSplit/>
        </w:trPr>
        <w:tc>
          <w:tcPr>
            <w:tcW w:w="4320" w:type="dxa"/>
            <w:shd w:val="clear" w:color="auto" w:fill="auto"/>
          </w:tcPr>
          <w:p w:rsidR="007F7936" w:rsidRPr="00FD2176" w:rsidRDefault="007F7936" w:rsidP="007F7936">
            <w:pPr>
              <w:rPr>
                <w:b/>
                <w:sz w:val="20"/>
                <w:szCs w:val="20"/>
                <w:lang w:val="fr-CA"/>
              </w:rPr>
            </w:pPr>
            <w:r w:rsidRPr="00FD2176">
              <w:rPr>
                <w:b/>
                <w:sz w:val="20"/>
                <w:szCs w:val="20"/>
                <w:lang w:val="fr-CA"/>
              </w:rPr>
              <w:t xml:space="preserve">Connie </w:t>
            </w:r>
            <w:proofErr w:type="spellStart"/>
            <w:r w:rsidRPr="00FD2176">
              <w:rPr>
                <w:b/>
                <w:sz w:val="20"/>
                <w:szCs w:val="20"/>
                <w:lang w:val="fr-CA"/>
              </w:rPr>
              <w:t>Brauer</w:t>
            </w:r>
            <w:proofErr w:type="spellEnd"/>
          </w:p>
          <w:p w:rsidR="007F7936" w:rsidRPr="00FD2176" w:rsidRDefault="007F7936" w:rsidP="007F7936">
            <w:pPr>
              <w:tabs>
                <w:tab w:val="left" w:pos="-1440"/>
                <w:tab w:val="left" w:pos="-720"/>
              </w:tabs>
              <w:rPr>
                <w:sz w:val="20"/>
                <w:szCs w:val="20"/>
                <w:lang w:val="fr-CA"/>
              </w:rPr>
            </w:pPr>
            <w:r w:rsidRPr="00FD2176">
              <w:rPr>
                <w:sz w:val="20"/>
                <w:szCs w:val="20"/>
                <w:lang w:val="fr-CA"/>
              </w:rPr>
              <w:tab/>
              <w:t xml:space="preserve">Connie </w:t>
            </w:r>
            <w:proofErr w:type="spellStart"/>
            <w:r w:rsidRPr="00FD2176">
              <w:rPr>
                <w:sz w:val="20"/>
                <w:szCs w:val="20"/>
                <w:lang w:val="fr-CA"/>
              </w:rPr>
              <w:t>Brauer</w:t>
            </w:r>
            <w:proofErr w:type="spellEnd"/>
          </w:p>
          <w:p w:rsidR="007F7936" w:rsidRPr="00FD2176" w:rsidRDefault="007F7936" w:rsidP="007F7936">
            <w:pPr>
              <w:tabs>
                <w:tab w:val="left" w:pos="-1440"/>
                <w:tab w:val="left" w:pos="-720"/>
              </w:tabs>
              <w:rPr>
                <w:sz w:val="20"/>
                <w:szCs w:val="20"/>
                <w:lang w:val="fr-CA"/>
              </w:rPr>
            </w:pPr>
          </w:p>
          <w:p w:rsidR="007F7936" w:rsidRPr="007F7936" w:rsidRDefault="007F7936" w:rsidP="007F7936">
            <w:pPr>
              <w:tabs>
                <w:tab w:val="left" w:pos="-1440"/>
                <w:tab w:val="left" w:pos="-720"/>
              </w:tabs>
              <w:rPr>
                <w:sz w:val="20"/>
                <w:szCs w:val="20"/>
                <w:lang w:val="fr-CA"/>
              </w:rPr>
            </w:pPr>
            <w:r w:rsidRPr="00FD2176">
              <w:rPr>
                <w:sz w:val="20"/>
                <w:szCs w:val="20"/>
                <w:lang w:val="fr-CA"/>
              </w:rPr>
              <w:tab/>
            </w:r>
            <w:r w:rsidRPr="007F7936">
              <w:rPr>
                <w:sz w:val="20"/>
                <w:szCs w:val="20"/>
                <w:lang w:val="fr-CA"/>
              </w:rPr>
              <w:t>v. (35159)</w:t>
            </w:r>
          </w:p>
          <w:p w:rsidR="007F7936" w:rsidRPr="007F7936" w:rsidRDefault="007F7936" w:rsidP="007F7936">
            <w:pPr>
              <w:tabs>
                <w:tab w:val="left" w:pos="-1440"/>
                <w:tab w:val="left" w:pos="-720"/>
              </w:tabs>
              <w:rPr>
                <w:sz w:val="20"/>
                <w:szCs w:val="20"/>
                <w:lang w:val="fr-CA"/>
              </w:rPr>
            </w:pPr>
          </w:p>
          <w:p w:rsidR="007F7936" w:rsidRPr="007F7936" w:rsidRDefault="007F7936" w:rsidP="007F7936">
            <w:pPr>
              <w:tabs>
                <w:tab w:val="left" w:pos="-1440"/>
                <w:tab w:val="left" w:pos="-720"/>
              </w:tabs>
              <w:rPr>
                <w:b/>
                <w:sz w:val="20"/>
                <w:szCs w:val="20"/>
                <w:lang w:val="fr-CA"/>
              </w:rPr>
            </w:pPr>
            <w:r w:rsidRPr="007F7936">
              <w:rPr>
                <w:b/>
                <w:sz w:val="20"/>
                <w:szCs w:val="20"/>
                <w:lang w:val="fr-CA"/>
              </w:rPr>
              <w:t>Paulette Raymond (N.S.)</w:t>
            </w:r>
          </w:p>
          <w:p w:rsidR="007F7936" w:rsidRPr="007F7936" w:rsidRDefault="007F7936" w:rsidP="007F7936">
            <w:pPr>
              <w:tabs>
                <w:tab w:val="left" w:pos="-1440"/>
                <w:tab w:val="left" w:pos="-720"/>
              </w:tabs>
              <w:rPr>
                <w:sz w:val="20"/>
                <w:szCs w:val="20"/>
                <w:lang w:val="fr-CA"/>
              </w:rPr>
            </w:pPr>
            <w:r w:rsidRPr="007F7936">
              <w:rPr>
                <w:sz w:val="20"/>
                <w:szCs w:val="20"/>
                <w:lang w:val="fr-CA"/>
              </w:rPr>
              <w:tab/>
            </w:r>
            <w:r>
              <w:rPr>
                <w:sz w:val="20"/>
                <w:szCs w:val="20"/>
                <w:lang w:val="fr-CA"/>
              </w:rPr>
              <w:t>Paulette Raymond</w:t>
            </w:r>
          </w:p>
          <w:p w:rsidR="007F7936" w:rsidRPr="007F7936" w:rsidRDefault="007F7936" w:rsidP="007F7936">
            <w:pPr>
              <w:tabs>
                <w:tab w:val="left" w:pos="-1440"/>
                <w:tab w:val="left" w:pos="-720"/>
              </w:tabs>
              <w:rPr>
                <w:sz w:val="20"/>
                <w:szCs w:val="20"/>
                <w:lang w:val="fr-CA"/>
              </w:rPr>
            </w:pPr>
          </w:p>
          <w:p w:rsidR="007F7936" w:rsidRPr="00A935AA" w:rsidRDefault="007F7936" w:rsidP="007F7936">
            <w:pPr>
              <w:rPr>
                <w:sz w:val="20"/>
                <w:szCs w:val="20"/>
              </w:rPr>
            </w:pPr>
            <w:r w:rsidRPr="00A935AA">
              <w:rPr>
                <w:sz w:val="20"/>
                <w:szCs w:val="20"/>
              </w:rPr>
              <w:t>FILING DATE: 27.</w:t>
            </w:r>
            <w:r>
              <w:rPr>
                <w:sz w:val="20"/>
                <w:szCs w:val="20"/>
              </w:rPr>
              <w:t>11</w:t>
            </w:r>
            <w:r w:rsidRPr="00A935AA">
              <w:rPr>
                <w:sz w:val="20"/>
                <w:szCs w:val="20"/>
              </w:rPr>
              <w:t>.201</w:t>
            </w:r>
            <w:r>
              <w:rPr>
                <w:sz w:val="20"/>
                <w:szCs w:val="20"/>
              </w:rPr>
              <w:t>2</w:t>
            </w:r>
          </w:p>
          <w:p w:rsidR="007F7936" w:rsidRPr="00A935AA" w:rsidRDefault="00CD48BC" w:rsidP="007F7936">
            <w:pPr>
              <w:rPr>
                <w:sz w:val="20"/>
                <w:szCs w:val="20"/>
              </w:rPr>
            </w:pPr>
            <w:r w:rsidRPr="00CD48BC">
              <w:rPr>
                <w:sz w:val="20"/>
                <w:szCs w:val="20"/>
                <w:lang w:val="fr-CA"/>
              </w:rPr>
              <w:pict>
                <v:rect id="_x0000_i1025" style="width:108pt;height:1pt" o:hrpct="0" o:hralign="center" o:hrstd="t" o:hrnoshade="t" o:hr="t" fillcolor="black [3213]" stroked="f"/>
              </w:pict>
            </w:r>
          </w:p>
        </w:tc>
        <w:tc>
          <w:tcPr>
            <w:tcW w:w="1181" w:type="dxa"/>
            <w:shd w:val="clear" w:color="auto" w:fill="auto"/>
          </w:tcPr>
          <w:p w:rsidR="007F7936" w:rsidRPr="00A935AA" w:rsidRDefault="007F7936" w:rsidP="00242AEE">
            <w:pPr>
              <w:jc w:val="center"/>
              <w:rPr>
                <w:sz w:val="20"/>
                <w:szCs w:val="20"/>
              </w:rPr>
            </w:pPr>
          </w:p>
          <w:p w:rsidR="007F7936" w:rsidRPr="00A935AA" w:rsidRDefault="007F7936" w:rsidP="00242AEE">
            <w:pPr>
              <w:jc w:val="center"/>
              <w:rPr>
                <w:sz w:val="20"/>
                <w:szCs w:val="20"/>
              </w:rPr>
            </w:pPr>
          </w:p>
          <w:p w:rsidR="007F7936" w:rsidRPr="00A935AA" w:rsidRDefault="007F7936" w:rsidP="00242AEE">
            <w:pPr>
              <w:jc w:val="center"/>
              <w:rPr>
                <w:sz w:val="20"/>
                <w:szCs w:val="20"/>
              </w:rPr>
            </w:pPr>
          </w:p>
          <w:p w:rsidR="007F7936" w:rsidRPr="00A935AA" w:rsidRDefault="007F7936" w:rsidP="00242AEE">
            <w:pPr>
              <w:jc w:val="center"/>
              <w:rPr>
                <w:sz w:val="20"/>
                <w:szCs w:val="20"/>
              </w:rPr>
            </w:pPr>
          </w:p>
          <w:p w:rsidR="007F7936" w:rsidRPr="00A935AA" w:rsidRDefault="007F7936" w:rsidP="00242AEE">
            <w:pPr>
              <w:jc w:val="center"/>
              <w:rPr>
                <w:sz w:val="20"/>
                <w:szCs w:val="20"/>
              </w:rPr>
            </w:pPr>
          </w:p>
          <w:p w:rsidR="007F7936" w:rsidRPr="00A935AA" w:rsidRDefault="007F7936" w:rsidP="00242AEE">
            <w:pPr>
              <w:jc w:val="center"/>
              <w:rPr>
                <w:sz w:val="20"/>
                <w:szCs w:val="20"/>
              </w:rPr>
            </w:pPr>
          </w:p>
          <w:p w:rsidR="007F7936" w:rsidRPr="00A935AA" w:rsidRDefault="007F7936" w:rsidP="00242AEE">
            <w:pPr>
              <w:jc w:val="center"/>
              <w:rPr>
                <w:sz w:val="20"/>
                <w:szCs w:val="20"/>
              </w:rPr>
            </w:pPr>
          </w:p>
          <w:p w:rsidR="007F7936" w:rsidRPr="00A935AA" w:rsidRDefault="007F7936" w:rsidP="00242AEE">
            <w:pPr>
              <w:jc w:val="center"/>
              <w:rPr>
                <w:sz w:val="20"/>
                <w:szCs w:val="20"/>
              </w:rPr>
            </w:pPr>
          </w:p>
          <w:p w:rsidR="007F7936" w:rsidRPr="00A935AA" w:rsidRDefault="007F7936" w:rsidP="00242AEE">
            <w:pPr>
              <w:jc w:val="center"/>
              <w:rPr>
                <w:sz w:val="20"/>
                <w:szCs w:val="20"/>
              </w:rPr>
            </w:pPr>
          </w:p>
          <w:p w:rsidR="007F7936" w:rsidRPr="00A935AA" w:rsidRDefault="007F7936" w:rsidP="00242AEE">
            <w:pPr>
              <w:jc w:val="center"/>
              <w:rPr>
                <w:sz w:val="20"/>
                <w:szCs w:val="20"/>
              </w:rPr>
            </w:pPr>
          </w:p>
          <w:p w:rsidR="007F7936" w:rsidRPr="00A935AA" w:rsidRDefault="007F7936" w:rsidP="00242AEE">
            <w:pPr>
              <w:jc w:val="center"/>
              <w:rPr>
                <w:sz w:val="20"/>
                <w:szCs w:val="20"/>
              </w:rPr>
            </w:pPr>
          </w:p>
        </w:tc>
        <w:tc>
          <w:tcPr>
            <w:tcW w:w="4320" w:type="dxa"/>
            <w:shd w:val="clear" w:color="auto" w:fill="auto"/>
          </w:tcPr>
          <w:p w:rsidR="007F7936" w:rsidRPr="00A935AA" w:rsidRDefault="007F7936" w:rsidP="007F7936">
            <w:pPr>
              <w:keepNext/>
              <w:keepLines/>
              <w:tabs>
                <w:tab w:val="left" w:pos="-1440"/>
                <w:tab w:val="left" w:pos="-720"/>
              </w:tabs>
              <w:rPr>
                <w:b/>
                <w:sz w:val="20"/>
                <w:szCs w:val="20"/>
              </w:rPr>
            </w:pPr>
            <w:r>
              <w:rPr>
                <w:b/>
                <w:sz w:val="20"/>
                <w:szCs w:val="20"/>
              </w:rPr>
              <w:t>David Reid Dawson</w:t>
            </w:r>
          </w:p>
          <w:p w:rsidR="007F7936" w:rsidRPr="00A935AA" w:rsidRDefault="007F7936" w:rsidP="007F7936">
            <w:pPr>
              <w:keepNext/>
              <w:keepLines/>
              <w:tabs>
                <w:tab w:val="left" w:pos="-1440"/>
                <w:tab w:val="left" w:pos="-720"/>
              </w:tabs>
              <w:rPr>
                <w:sz w:val="20"/>
                <w:szCs w:val="20"/>
              </w:rPr>
            </w:pPr>
            <w:r w:rsidRPr="00A935AA">
              <w:rPr>
                <w:sz w:val="20"/>
                <w:szCs w:val="20"/>
              </w:rPr>
              <w:tab/>
            </w:r>
            <w:r>
              <w:rPr>
                <w:sz w:val="20"/>
                <w:szCs w:val="20"/>
              </w:rPr>
              <w:t>David Reid Dawson</w:t>
            </w:r>
          </w:p>
          <w:p w:rsidR="007F7936" w:rsidRPr="00A935AA" w:rsidRDefault="007F7936" w:rsidP="007F7936">
            <w:pPr>
              <w:keepNext/>
              <w:keepLines/>
              <w:tabs>
                <w:tab w:val="left" w:pos="-1440"/>
                <w:tab w:val="left" w:pos="-720"/>
              </w:tabs>
              <w:rPr>
                <w:sz w:val="20"/>
                <w:szCs w:val="20"/>
              </w:rPr>
            </w:pPr>
          </w:p>
          <w:p w:rsidR="007F7936" w:rsidRPr="003C1FA2" w:rsidRDefault="007F7936" w:rsidP="007F7936">
            <w:pPr>
              <w:keepNext/>
              <w:keepLines/>
              <w:tabs>
                <w:tab w:val="left" w:pos="-1440"/>
                <w:tab w:val="left" w:pos="-720"/>
              </w:tabs>
              <w:rPr>
                <w:sz w:val="20"/>
                <w:szCs w:val="20"/>
              </w:rPr>
            </w:pPr>
            <w:r w:rsidRPr="00A935AA">
              <w:rPr>
                <w:sz w:val="20"/>
                <w:szCs w:val="20"/>
              </w:rPr>
              <w:tab/>
            </w:r>
            <w:r w:rsidRPr="003C1FA2">
              <w:rPr>
                <w:sz w:val="20"/>
                <w:szCs w:val="20"/>
              </w:rPr>
              <w:t>v. (35</w:t>
            </w:r>
            <w:r>
              <w:rPr>
                <w:sz w:val="20"/>
                <w:szCs w:val="20"/>
              </w:rPr>
              <w:t>157</w:t>
            </w:r>
            <w:r w:rsidRPr="003C1FA2">
              <w:rPr>
                <w:sz w:val="20"/>
                <w:szCs w:val="20"/>
              </w:rPr>
              <w:t>)</w:t>
            </w:r>
          </w:p>
          <w:p w:rsidR="007F7936" w:rsidRPr="003C1FA2" w:rsidRDefault="007F7936" w:rsidP="007F7936">
            <w:pPr>
              <w:keepNext/>
              <w:keepLines/>
              <w:tabs>
                <w:tab w:val="left" w:pos="-1440"/>
                <w:tab w:val="left" w:pos="-720"/>
              </w:tabs>
              <w:rPr>
                <w:sz w:val="20"/>
                <w:szCs w:val="20"/>
              </w:rPr>
            </w:pPr>
          </w:p>
          <w:p w:rsidR="007F7936" w:rsidRPr="003C1FA2" w:rsidRDefault="007F7936" w:rsidP="007F7936">
            <w:pPr>
              <w:keepNext/>
              <w:keepLines/>
              <w:tabs>
                <w:tab w:val="left" w:pos="-1440"/>
                <w:tab w:val="left" w:pos="-720"/>
              </w:tabs>
              <w:rPr>
                <w:b/>
                <w:sz w:val="20"/>
                <w:szCs w:val="20"/>
              </w:rPr>
            </w:pPr>
            <w:r>
              <w:rPr>
                <w:b/>
                <w:sz w:val="20"/>
                <w:szCs w:val="20"/>
              </w:rPr>
              <w:t xml:space="preserve">Judith Gwenda Dawson </w:t>
            </w:r>
            <w:r w:rsidRPr="003C1FA2">
              <w:rPr>
                <w:b/>
                <w:sz w:val="20"/>
                <w:szCs w:val="20"/>
              </w:rPr>
              <w:t>(</w:t>
            </w:r>
            <w:r>
              <w:rPr>
                <w:b/>
                <w:sz w:val="20"/>
                <w:szCs w:val="20"/>
              </w:rPr>
              <w:t>B.C</w:t>
            </w:r>
            <w:r w:rsidRPr="003C1FA2">
              <w:rPr>
                <w:b/>
                <w:sz w:val="20"/>
                <w:szCs w:val="20"/>
              </w:rPr>
              <w:t>.)</w:t>
            </w:r>
          </w:p>
          <w:p w:rsidR="007F7936" w:rsidRPr="003C1FA2" w:rsidRDefault="007F7936" w:rsidP="007F7936">
            <w:pPr>
              <w:keepNext/>
              <w:keepLines/>
              <w:tabs>
                <w:tab w:val="left" w:pos="-1440"/>
                <w:tab w:val="left" w:pos="-720"/>
              </w:tabs>
              <w:rPr>
                <w:sz w:val="20"/>
                <w:szCs w:val="20"/>
              </w:rPr>
            </w:pPr>
            <w:r w:rsidRPr="003C1FA2">
              <w:rPr>
                <w:sz w:val="20"/>
                <w:szCs w:val="20"/>
              </w:rPr>
              <w:tab/>
            </w:r>
            <w:r>
              <w:rPr>
                <w:sz w:val="20"/>
                <w:szCs w:val="20"/>
              </w:rPr>
              <w:t>Danica Djordjevich</w:t>
            </w:r>
          </w:p>
          <w:p w:rsidR="007F7936" w:rsidRPr="00A935AA" w:rsidRDefault="007F7936" w:rsidP="007F7936">
            <w:pPr>
              <w:keepNext/>
              <w:keepLines/>
              <w:tabs>
                <w:tab w:val="left" w:pos="-1440"/>
                <w:tab w:val="left" w:pos="-720"/>
              </w:tabs>
              <w:rPr>
                <w:sz w:val="20"/>
                <w:szCs w:val="20"/>
                <w:lang w:val="fr-CA"/>
              </w:rPr>
            </w:pPr>
          </w:p>
          <w:p w:rsidR="007F7936" w:rsidRDefault="007F7936" w:rsidP="007F7936">
            <w:pPr>
              <w:rPr>
                <w:sz w:val="20"/>
                <w:szCs w:val="20"/>
              </w:rPr>
            </w:pPr>
            <w:r w:rsidRPr="00A935AA">
              <w:rPr>
                <w:sz w:val="20"/>
                <w:szCs w:val="20"/>
              </w:rPr>
              <w:t xml:space="preserve">FILING DATE: </w:t>
            </w:r>
            <w:r>
              <w:rPr>
                <w:sz w:val="20"/>
                <w:szCs w:val="20"/>
              </w:rPr>
              <w:t>17</w:t>
            </w:r>
            <w:r w:rsidRPr="00A935AA">
              <w:rPr>
                <w:sz w:val="20"/>
                <w:szCs w:val="20"/>
              </w:rPr>
              <w:t>.</w:t>
            </w:r>
            <w:r>
              <w:rPr>
                <w:sz w:val="20"/>
                <w:szCs w:val="20"/>
              </w:rPr>
              <w:t>12</w:t>
            </w:r>
            <w:r w:rsidRPr="00A935AA">
              <w:rPr>
                <w:sz w:val="20"/>
                <w:szCs w:val="20"/>
              </w:rPr>
              <w:t>.201</w:t>
            </w:r>
            <w:r>
              <w:rPr>
                <w:sz w:val="20"/>
                <w:szCs w:val="20"/>
              </w:rPr>
              <w:t>2</w:t>
            </w:r>
          </w:p>
          <w:p w:rsidR="007F7936" w:rsidRPr="00A935AA" w:rsidRDefault="00CD48BC" w:rsidP="007F7936">
            <w:pPr>
              <w:rPr>
                <w:sz w:val="20"/>
                <w:szCs w:val="20"/>
              </w:rPr>
            </w:pPr>
            <w:r w:rsidRPr="00CD48BC">
              <w:rPr>
                <w:sz w:val="20"/>
                <w:szCs w:val="20"/>
                <w:lang w:val="fr-CA"/>
              </w:rPr>
              <w:pict>
                <v:rect id="_x0000_i1026" style="width:108pt;height:1pt" o:hrpct="0" o:hralign="center" o:hrstd="t" o:hrnoshade="t" o:hr="t" fillcolor="black [3213]" stroked="f"/>
              </w:pict>
            </w:r>
          </w:p>
        </w:tc>
      </w:tr>
      <w:tr w:rsidR="007F7936" w:rsidRPr="00A935AA" w:rsidTr="0079565C">
        <w:trPr>
          <w:cantSplit/>
        </w:trPr>
        <w:tc>
          <w:tcPr>
            <w:tcW w:w="4320" w:type="dxa"/>
            <w:shd w:val="clear" w:color="auto" w:fill="auto"/>
          </w:tcPr>
          <w:p w:rsidR="007F7936" w:rsidRPr="00A935AA" w:rsidRDefault="007F7936" w:rsidP="007F7936">
            <w:pPr>
              <w:rPr>
                <w:b/>
                <w:sz w:val="20"/>
                <w:szCs w:val="20"/>
              </w:rPr>
            </w:pPr>
            <w:r>
              <w:rPr>
                <w:b/>
                <w:sz w:val="20"/>
                <w:szCs w:val="20"/>
              </w:rPr>
              <w:t>Hanna Sochnyeva</w:t>
            </w:r>
          </w:p>
          <w:p w:rsidR="007F7936" w:rsidRPr="00A935AA" w:rsidRDefault="007F7936" w:rsidP="007F7936">
            <w:pPr>
              <w:tabs>
                <w:tab w:val="left" w:pos="-1440"/>
                <w:tab w:val="left" w:pos="-720"/>
              </w:tabs>
              <w:rPr>
                <w:sz w:val="20"/>
                <w:szCs w:val="20"/>
              </w:rPr>
            </w:pPr>
            <w:r w:rsidRPr="00A935AA">
              <w:rPr>
                <w:sz w:val="20"/>
                <w:szCs w:val="20"/>
              </w:rPr>
              <w:tab/>
            </w:r>
            <w:r>
              <w:rPr>
                <w:sz w:val="20"/>
                <w:szCs w:val="20"/>
              </w:rPr>
              <w:t>Hanna Sochnyeva</w:t>
            </w:r>
          </w:p>
          <w:p w:rsidR="007F7936" w:rsidRPr="00A935AA" w:rsidRDefault="007F7936" w:rsidP="007F7936">
            <w:pPr>
              <w:tabs>
                <w:tab w:val="left" w:pos="-1440"/>
                <w:tab w:val="left" w:pos="-720"/>
              </w:tabs>
              <w:rPr>
                <w:sz w:val="20"/>
                <w:szCs w:val="20"/>
              </w:rPr>
            </w:pPr>
          </w:p>
          <w:p w:rsidR="007F7936" w:rsidRPr="00A935AA" w:rsidRDefault="007F7936" w:rsidP="007F7936">
            <w:pPr>
              <w:tabs>
                <w:tab w:val="left" w:pos="-1440"/>
                <w:tab w:val="left" w:pos="-720"/>
              </w:tabs>
              <w:rPr>
                <w:sz w:val="20"/>
                <w:szCs w:val="20"/>
              </w:rPr>
            </w:pPr>
            <w:r w:rsidRPr="00A935AA">
              <w:rPr>
                <w:sz w:val="20"/>
                <w:szCs w:val="20"/>
              </w:rPr>
              <w:tab/>
              <w:t>v. (3</w:t>
            </w:r>
            <w:r>
              <w:rPr>
                <w:sz w:val="20"/>
                <w:szCs w:val="20"/>
              </w:rPr>
              <w:t>5138</w:t>
            </w:r>
            <w:r w:rsidRPr="00A935AA">
              <w:rPr>
                <w:sz w:val="20"/>
                <w:szCs w:val="20"/>
              </w:rPr>
              <w:t>)</w:t>
            </w:r>
          </w:p>
          <w:p w:rsidR="007F7936" w:rsidRPr="00A935AA" w:rsidRDefault="007F7936" w:rsidP="007F7936">
            <w:pPr>
              <w:tabs>
                <w:tab w:val="left" w:pos="-1440"/>
                <w:tab w:val="left" w:pos="-720"/>
              </w:tabs>
              <w:rPr>
                <w:sz w:val="20"/>
                <w:szCs w:val="20"/>
              </w:rPr>
            </w:pPr>
          </w:p>
          <w:p w:rsidR="007F7936" w:rsidRPr="00A935AA" w:rsidRDefault="007F7936" w:rsidP="007F7936">
            <w:pPr>
              <w:tabs>
                <w:tab w:val="left" w:pos="-1440"/>
                <w:tab w:val="left" w:pos="-720"/>
              </w:tabs>
              <w:rPr>
                <w:b/>
                <w:sz w:val="20"/>
                <w:szCs w:val="20"/>
              </w:rPr>
            </w:pPr>
            <w:r>
              <w:rPr>
                <w:b/>
                <w:sz w:val="20"/>
                <w:szCs w:val="20"/>
              </w:rPr>
              <w:t xml:space="preserve">Her Majesty the Queen in Right of Ontario et al. </w:t>
            </w:r>
            <w:r w:rsidRPr="00A935AA">
              <w:rPr>
                <w:b/>
                <w:sz w:val="20"/>
                <w:szCs w:val="20"/>
              </w:rPr>
              <w:t>(</w:t>
            </w:r>
            <w:r>
              <w:rPr>
                <w:b/>
                <w:sz w:val="20"/>
                <w:szCs w:val="20"/>
              </w:rPr>
              <w:t>Ont</w:t>
            </w:r>
            <w:r w:rsidRPr="00A935AA">
              <w:rPr>
                <w:b/>
                <w:sz w:val="20"/>
                <w:szCs w:val="20"/>
              </w:rPr>
              <w:t>.)</w:t>
            </w:r>
          </w:p>
          <w:p w:rsidR="007F7936" w:rsidRPr="00A935AA" w:rsidRDefault="007F7936" w:rsidP="007F7936">
            <w:pPr>
              <w:tabs>
                <w:tab w:val="left" w:pos="-1440"/>
                <w:tab w:val="left" w:pos="-720"/>
              </w:tabs>
              <w:rPr>
                <w:sz w:val="20"/>
                <w:szCs w:val="20"/>
              </w:rPr>
            </w:pPr>
            <w:r w:rsidRPr="00A935AA">
              <w:rPr>
                <w:sz w:val="20"/>
                <w:szCs w:val="20"/>
              </w:rPr>
              <w:tab/>
            </w:r>
            <w:r>
              <w:rPr>
                <w:sz w:val="20"/>
                <w:szCs w:val="20"/>
              </w:rPr>
              <w:t>James Kendik</w:t>
            </w:r>
          </w:p>
          <w:p w:rsidR="007F7936" w:rsidRPr="00A935AA" w:rsidRDefault="007F7936" w:rsidP="007F7936">
            <w:pPr>
              <w:tabs>
                <w:tab w:val="left" w:pos="-1440"/>
                <w:tab w:val="left" w:pos="-720"/>
              </w:tabs>
              <w:rPr>
                <w:sz w:val="20"/>
                <w:szCs w:val="20"/>
              </w:rPr>
            </w:pPr>
            <w:r w:rsidRPr="00A935AA">
              <w:rPr>
                <w:sz w:val="20"/>
                <w:szCs w:val="20"/>
              </w:rPr>
              <w:tab/>
            </w:r>
            <w:r>
              <w:rPr>
                <w:sz w:val="20"/>
                <w:szCs w:val="20"/>
              </w:rPr>
              <w:t>A.G. of Ontario</w:t>
            </w:r>
          </w:p>
          <w:p w:rsidR="007F7936" w:rsidRPr="00A935AA" w:rsidRDefault="007F7936" w:rsidP="007F7936">
            <w:pPr>
              <w:tabs>
                <w:tab w:val="left" w:pos="-1440"/>
                <w:tab w:val="left" w:pos="-720"/>
              </w:tabs>
              <w:rPr>
                <w:sz w:val="20"/>
                <w:szCs w:val="20"/>
              </w:rPr>
            </w:pPr>
          </w:p>
          <w:p w:rsidR="007F7936" w:rsidRPr="00A935AA" w:rsidRDefault="007F7936" w:rsidP="007F7936">
            <w:pPr>
              <w:rPr>
                <w:sz w:val="20"/>
                <w:szCs w:val="20"/>
              </w:rPr>
            </w:pPr>
            <w:r w:rsidRPr="00A935AA">
              <w:rPr>
                <w:sz w:val="20"/>
                <w:szCs w:val="20"/>
              </w:rPr>
              <w:t xml:space="preserve">FILING DATE: </w:t>
            </w:r>
            <w:r>
              <w:rPr>
                <w:sz w:val="20"/>
                <w:szCs w:val="20"/>
              </w:rPr>
              <w:t>1</w:t>
            </w:r>
            <w:r w:rsidRPr="00A935AA">
              <w:rPr>
                <w:sz w:val="20"/>
                <w:szCs w:val="20"/>
              </w:rPr>
              <w:t>7.</w:t>
            </w:r>
            <w:r>
              <w:rPr>
                <w:sz w:val="20"/>
                <w:szCs w:val="20"/>
              </w:rPr>
              <w:t>12</w:t>
            </w:r>
            <w:r w:rsidRPr="00A935AA">
              <w:rPr>
                <w:sz w:val="20"/>
                <w:szCs w:val="20"/>
              </w:rPr>
              <w:t>.201</w:t>
            </w:r>
            <w:r>
              <w:rPr>
                <w:sz w:val="20"/>
                <w:szCs w:val="20"/>
              </w:rPr>
              <w:t>2</w:t>
            </w:r>
          </w:p>
          <w:p w:rsidR="007F7936" w:rsidRPr="00A935AA" w:rsidRDefault="00CD48BC" w:rsidP="007F7936">
            <w:pPr>
              <w:rPr>
                <w:sz w:val="20"/>
                <w:szCs w:val="20"/>
              </w:rPr>
            </w:pPr>
            <w:r w:rsidRPr="00CD48BC">
              <w:rPr>
                <w:sz w:val="20"/>
                <w:szCs w:val="20"/>
                <w:lang w:val="fr-CA"/>
              </w:rPr>
              <w:pict>
                <v:rect id="_x0000_i1027" style="width:108pt;height:1pt" o:hrpct="0" o:hralign="center" o:hrstd="t" o:hrnoshade="t" o:hr="t" fillcolor="black [3213]" stroked="f"/>
              </w:pict>
            </w:r>
          </w:p>
        </w:tc>
        <w:tc>
          <w:tcPr>
            <w:tcW w:w="1181" w:type="dxa"/>
            <w:shd w:val="clear" w:color="auto" w:fill="auto"/>
          </w:tcPr>
          <w:p w:rsidR="007F7936" w:rsidRDefault="007F7936" w:rsidP="00242AEE">
            <w:pPr>
              <w:jc w:val="center"/>
              <w:rPr>
                <w:sz w:val="20"/>
                <w:szCs w:val="20"/>
              </w:rPr>
            </w:pPr>
          </w:p>
          <w:p w:rsidR="007F7936" w:rsidRDefault="007F7936" w:rsidP="00242AEE">
            <w:pPr>
              <w:jc w:val="center"/>
              <w:rPr>
                <w:sz w:val="20"/>
                <w:szCs w:val="20"/>
              </w:rPr>
            </w:pPr>
          </w:p>
          <w:p w:rsidR="007F7936" w:rsidRDefault="007F7936" w:rsidP="00242AEE">
            <w:pPr>
              <w:jc w:val="center"/>
              <w:rPr>
                <w:sz w:val="20"/>
                <w:szCs w:val="20"/>
              </w:rPr>
            </w:pPr>
          </w:p>
          <w:p w:rsidR="007F7936" w:rsidRDefault="007F7936" w:rsidP="00242AEE">
            <w:pPr>
              <w:jc w:val="center"/>
              <w:rPr>
                <w:sz w:val="20"/>
                <w:szCs w:val="20"/>
              </w:rPr>
            </w:pPr>
          </w:p>
          <w:p w:rsidR="007F7936" w:rsidRDefault="007F7936" w:rsidP="00242AEE">
            <w:pPr>
              <w:jc w:val="center"/>
              <w:rPr>
                <w:sz w:val="20"/>
                <w:szCs w:val="20"/>
              </w:rPr>
            </w:pPr>
          </w:p>
          <w:p w:rsidR="007F7936" w:rsidRDefault="007F7936" w:rsidP="00242AEE">
            <w:pPr>
              <w:jc w:val="center"/>
              <w:rPr>
                <w:sz w:val="20"/>
                <w:szCs w:val="20"/>
              </w:rPr>
            </w:pPr>
          </w:p>
          <w:p w:rsidR="007F7936" w:rsidRDefault="007F7936" w:rsidP="00242AEE">
            <w:pPr>
              <w:jc w:val="center"/>
              <w:rPr>
                <w:sz w:val="20"/>
                <w:szCs w:val="20"/>
              </w:rPr>
            </w:pPr>
          </w:p>
          <w:p w:rsidR="007F7936" w:rsidRDefault="007F7936" w:rsidP="00242AEE">
            <w:pPr>
              <w:jc w:val="center"/>
              <w:rPr>
                <w:sz w:val="20"/>
                <w:szCs w:val="20"/>
              </w:rPr>
            </w:pPr>
          </w:p>
          <w:p w:rsidR="007F7936" w:rsidRDefault="007F7936" w:rsidP="00242AEE">
            <w:pPr>
              <w:jc w:val="center"/>
              <w:rPr>
                <w:sz w:val="20"/>
                <w:szCs w:val="20"/>
              </w:rPr>
            </w:pPr>
          </w:p>
          <w:p w:rsidR="007F7936" w:rsidRDefault="007F7936" w:rsidP="00242AEE">
            <w:pPr>
              <w:jc w:val="center"/>
              <w:rPr>
                <w:sz w:val="20"/>
                <w:szCs w:val="20"/>
              </w:rPr>
            </w:pPr>
          </w:p>
          <w:p w:rsidR="007F7936" w:rsidRDefault="007F7936" w:rsidP="00242AEE">
            <w:pPr>
              <w:jc w:val="center"/>
              <w:rPr>
                <w:sz w:val="20"/>
                <w:szCs w:val="20"/>
              </w:rPr>
            </w:pPr>
          </w:p>
          <w:p w:rsidR="007F7936" w:rsidRPr="00A935AA" w:rsidRDefault="007F7936" w:rsidP="00242AEE">
            <w:pPr>
              <w:jc w:val="center"/>
              <w:rPr>
                <w:sz w:val="20"/>
                <w:szCs w:val="20"/>
              </w:rPr>
            </w:pPr>
          </w:p>
        </w:tc>
        <w:tc>
          <w:tcPr>
            <w:tcW w:w="4320" w:type="dxa"/>
            <w:shd w:val="clear" w:color="auto" w:fill="auto"/>
          </w:tcPr>
          <w:p w:rsidR="007F7936" w:rsidRPr="00A935AA" w:rsidRDefault="007F7936" w:rsidP="007F7936">
            <w:pPr>
              <w:keepNext/>
              <w:keepLines/>
              <w:tabs>
                <w:tab w:val="left" w:pos="-1440"/>
                <w:tab w:val="left" w:pos="-720"/>
              </w:tabs>
              <w:rPr>
                <w:b/>
                <w:sz w:val="20"/>
                <w:szCs w:val="20"/>
              </w:rPr>
            </w:pPr>
            <w:r>
              <w:rPr>
                <w:b/>
                <w:sz w:val="20"/>
                <w:szCs w:val="20"/>
              </w:rPr>
              <w:t>Allen Tehrankari</w:t>
            </w:r>
          </w:p>
          <w:p w:rsidR="007F7936" w:rsidRPr="00A935AA" w:rsidRDefault="007F7936" w:rsidP="007F7936">
            <w:pPr>
              <w:keepNext/>
              <w:keepLines/>
              <w:tabs>
                <w:tab w:val="left" w:pos="-1440"/>
                <w:tab w:val="left" w:pos="-720"/>
              </w:tabs>
              <w:rPr>
                <w:sz w:val="20"/>
                <w:szCs w:val="20"/>
              </w:rPr>
            </w:pPr>
            <w:r w:rsidRPr="00A935AA">
              <w:rPr>
                <w:sz w:val="20"/>
                <w:szCs w:val="20"/>
              </w:rPr>
              <w:tab/>
            </w:r>
            <w:r>
              <w:rPr>
                <w:sz w:val="20"/>
                <w:szCs w:val="20"/>
              </w:rPr>
              <w:t>Allen Tehrankari</w:t>
            </w:r>
          </w:p>
          <w:p w:rsidR="007F7936" w:rsidRPr="00A935AA" w:rsidRDefault="007F7936" w:rsidP="007F7936">
            <w:pPr>
              <w:keepNext/>
              <w:keepLines/>
              <w:tabs>
                <w:tab w:val="left" w:pos="-1440"/>
                <w:tab w:val="left" w:pos="-720"/>
              </w:tabs>
              <w:rPr>
                <w:sz w:val="20"/>
                <w:szCs w:val="20"/>
              </w:rPr>
            </w:pPr>
          </w:p>
          <w:p w:rsidR="007F7936" w:rsidRPr="003C1FA2" w:rsidRDefault="007F7936" w:rsidP="007F7936">
            <w:pPr>
              <w:keepNext/>
              <w:keepLines/>
              <w:tabs>
                <w:tab w:val="left" w:pos="-1440"/>
                <w:tab w:val="left" w:pos="-720"/>
              </w:tabs>
              <w:rPr>
                <w:sz w:val="20"/>
                <w:szCs w:val="20"/>
              </w:rPr>
            </w:pPr>
            <w:r w:rsidRPr="00A935AA">
              <w:rPr>
                <w:sz w:val="20"/>
                <w:szCs w:val="20"/>
              </w:rPr>
              <w:tab/>
            </w:r>
            <w:r w:rsidRPr="003C1FA2">
              <w:rPr>
                <w:sz w:val="20"/>
                <w:szCs w:val="20"/>
              </w:rPr>
              <w:t>v. (35144)</w:t>
            </w:r>
          </w:p>
          <w:p w:rsidR="007F7936" w:rsidRPr="003C1FA2" w:rsidRDefault="007F7936" w:rsidP="007F7936">
            <w:pPr>
              <w:keepNext/>
              <w:keepLines/>
              <w:tabs>
                <w:tab w:val="left" w:pos="-1440"/>
                <w:tab w:val="left" w:pos="-720"/>
              </w:tabs>
              <w:rPr>
                <w:sz w:val="20"/>
                <w:szCs w:val="20"/>
              </w:rPr>
            </w:pPr>
          </w:p>
          <w:p w:rsidR="007F7936" w:rsidRPr="003C1FA2" w:rsidRDefault="007F7936" w:rsidP="007F7936">
            <w:pPr>
              <w:keepNext/>
              <w:keepLines/>
              <w:tabs>
                <w:tab w:val="left" w:pos="-1440"/>
                <w:tab w:val="left" w:pos="-720"/>
              </w:tabs>
              <w:rPr>
                <w:b/>
                <w:sz w:val="20"/>
                <w:szCs w:val="20"/>
              </w:rPr>
            </w:pPr>
            <w:r w:rsidRPr="003C1FA2">
              <w:rPr>
                <w:b/>
                <w:sz w:val="20"/>
                <w:szCs w:val="20"/>
              </w:rPr>
              <w:t>Her Majesty the Queen (Ont.)</w:t>
            </w:r>
          </w:p>
          <w:p w:rsidR="007F7936" w:rsidRPr="003C1FA2" w:rsidRDefault="007F7936" w:rsidP="007F7936">
            <w:pPr>
              <w:keepNext/>
              <w:keepLines/>
              <w:tabs>
                <w:tab w:val="left" w:pos="-1440"/>
                <w:tab w:val="left" w:pos="-720"/>
              </w:tabs>
              <w:rPr>
                <w:sz w:val="20"/>
                <w:szCs w:val="20"/>
              </w:rPr>
            </w:pPr>
            <w:r w:rsidRPr="003C1FA2">
              <w:rPr>
                <w:sz w:val="20"/>
                <w:szCs w:val="20"/>
              </w:rPr>
              <w:tab/>
            </w:r>
            <w:r>
              <w:rPr>
                <w:sz w:val="20"/>
                <w:szCs w:val="20"/>
              </w:rPr>
              <w:t>Greg Skerkowski</w:t>
            </w:r>
          </w:p>
          <w:p w:rsidR="007F7936" w:rsidRPr="003C1FA2" w:rsidRDefault="007F7936" w:rsidP="007F7936">
            <w:pPr>
              <w:keepNext/>
              <w:keepLines/>
              <w:tabs>
                <w:tab w:val="left" w:pos="-1440"/>
                <w:tab w:val="left" w:pos="-720"/>
              </w:tabs>
              <w:rPr>
                <w:sz w:val="20"/>
                <w:szCs w:val="20"/>
              </w:rPr>
            </w:pPr>
            <w:r w:rsidRPr="003C1FA2">
              <w:rPr>
                <w:sz w:val="20"/>
                <w:szCs w:val="20"/>
              </w:rPr>
              <w:tab/>
            </w:r>
            <w:r>
              <w:rPr>
                <w:sz w:val="20"/>
                <w:szCs w:val="20"/>
              </w:rPr>
              <w:t>A.G. of Ontario</w:t>
            </w:r>
          </w:p>
          <w:p w:rsidR="007F7936" w:rsidRPr="003C1FA2" w:rsidRDefault="007F7936" w:rsidP="007F7936">
            <w:pPr>
              <w:keepNext/>
              <w:keepLines/>
              <w:tabs>
                <w:tab w:val="left" w:pos="-1440"/>
                <w:tab w:val="left" w:pos="-720"/>
              </w:tabs>
              <w:rPr>
                <w:sz w:val="20"/>
                <w:szCs w:val="20"/>
              </w:rPr>
            </w:pPr>
          </w:p>
          <w:p w:rsidR="007F7936" w:rsidRDefault="007F7936" w:rsidP="007F7936">
            <w:pPr>
              <w:rPr>
                <w:sz w:val="20"/>
                <w:szCs w:val="20"/>
              </w:rPr>
            </w:pPr>
            <w:r w:rsidRPr="00A935AA">
              <w:rPr>
                <w:sz w:val="20"/>
                <w:szCs w:val="20"/>
              </w:rPr>
              <w:t>FILING DATE: 2</w:t>
            </w:r>
            <w:r>
              <w:rPr>
                <w:sz w:val="20"/>
                <w:szCs w:val="20"/>
              </w:rPr>
              <w:t>1</w:t>
            </w:r>
            <w:r w:rsidRPr="00A935AA">
              <w:rPr>
                <w:sz w:val="20"/>
                <w:szCs w:val="20"/>
              </w:rPr>
              <w:t>.</w:t>
            </w:r>
            <w:r>
              <w:rPr>
                <w:sz w:val="20"/>
                <w:szCs w:val="20"/>
              </w:rPr>
              <w:t>12</w:t>
            </w:r>
            <w:r w:rsidRPr="00A935AA">
              <w:rPr>
                <w:sz w:val="20"/>
                <w:szCs w:val="20"/>
              </w:rPr>
              <w:t>.201</w:t>
            </w:r>
            <w:r>
              <w:rPr>
                <w:sz w:val="20"/>
                <w:szCs w:val="20"/>
              </w:rPr>
              <w:t>2</w:t>
            </w:r>
          </w:p>
          <w:p w:rsidR="007F7936" w:rsidRPr="00A935AA" w:rsidRDefault="00CD48BC" w:rsidP="007F7936">
            <w:pPr>
              <w:rPr>
                <w:sz w:val="20"/>
                <w:szCs w:val="20"/>
              </w:rPr>
            </w:pPr>
            <w:r w:rsidRPr="00CD48BC">
              <w:rPr>
                <w:sz w:val="20"/>
                <w:szCs w:val="20"/>
                <w:lang w:val="fr-CA"/>
              </w:rPr>
              <w:pict>
                <v:rect id="_x0000_i1028" style="width:108pt;height:1pt" o:hrpct="0" o:hralign="center" o:hrstd="t" o:hrnoshade="t" o:hr="t" fillcolor="black [3213]" stroked="f"/>
              </w:pict>
            </w:r>
          </w:p>
        </w:tc>
      </w:tr>
      <w:tr w:rsidR="0079565C" w:rsidRPr="00A935AA" w:rsidTr="0079565C">
        <w:trPr>
          <w:cantSplit/>
        </w:trPr>
        <w:tc>
          <w:tcPr>
            <w:tcW w:w="4320" w:type="dxa"/>
            <w:shd w:val="clear" w:color="auto" w:fill="auto"/>
          </w:tcPr>
          <w:p w:rsidR="0079565C" w:rsidRDefault="0079565C" w:rsidP="003B3977">
            <w:pPr>
              <w:rPr>
                <w:sz w:val="20"/>
                <w:szCs w:val="20"/>
              </w:rPr>
            </w:pPr>
          </w:p>
          <w:p w:rsidR="0079565C" w:rsidRDefault="0079565C" w:rsidP="003B3977">
            <w:pPr>
              <w:rPr>
                <w:sz w:val="20"/>
                <w:szCs w:val="20"/>
              </w:rPr>
            </w:pPr>
            <w:r>
              <w:rPr>
                <w:b/>
                <w:sz w:val="20"/>
                <w:szCs w:val="20"/>
              </w:rPr>
              <w:t>Guo Yi Liu</w:t>
            </w:r>
          </w:p>
          <w:p w:rsidR="0079565C" w:rsidRPr="00A935AA" w:rsidRDefault="0079565C" w:rsidP="007F7936">
            <w:pPr>
              <w:keepNext/>
              <w:keepLines/>
              <w:tabs>
                <w:tab w:val="left" w:pos="-1440"/>
                <w:tab w:val="left" w:pos="-720"/>
              </w:tabs>
              <w:rPr>
                <w:sz w:val="20"/>
                <w:szCs w:val="20"/>
              </w:rPr>
            </w:pPr>
            <w:r w:rsidRPr="00A935AA">
              <w:rPr>
                <w:sz w:val="20"/>
                <w:szCs w:val="20"/>
              </w:rPr>
              <w:tab/>
            </w:r>
            <w:r>
              <w:rPr>
                <w:sz w:val="20"/>
                <w:szCs w:val="20"/>
              </w:rPr>
              <w:t>Guo Yi Liu</w:t>
            </w:r>
          </w:p>
          <w:p w:rsidR="0079565C" w:rsidRPr="00A935AA" w:rsidRDefault="0079565C" w:rsidP="007F7936">
            <w:pPr>
              <w:keepNext/>
              <w:keepLines/>
              <w:tabs>
                <w:tab w:val="left" w:pos="-1440"/>
                <w:tab w:val="left" w:pos="-720"/>
              </w:tabs>
              <w:rPr>
                <w:sz w:val="20"/>
                <w:szCs w:val="20"/>
              </w:rPr>
            </w:pPr>
          </w:p>
          <w:p w:rsidR="0079565C" w:rsidRPr="003C1FA2" w:rsidRDefault="0079565C" w:rsidP="007F7936">
            <w:pPr>
              <w:keepNext/>
              <w:keepLines/>
              <w:tabs>
                <w:tab w:val="left" w:pos="-1440"/>
                <w:tab w:val="left" w:pos="-720"/>
              </w:tabs>
              <w:rPr>
                <w:sz w:val="20"/>
                <w:szCs w:val="20"/>
              </w:rPr>
            </w:pPr>
            <w:r w:rsidRPr="00A935AA">
              <w:rPr>
                <w:sz w:val="20"/>
                <w:szCs w:val="20"/>
              </w:rPr>
              <w:tab/>
            </w:r>
            <w:r w:rsidRPr="003C1FA2">
              <w:rPr>
                <w:sz w:val="20"/>
                <w:szCs w:val="20"/>
              </w:rPr>
              <w:t>v. (35</w:t>
            </w:r>
            <w:r>
              <w:rPr>
                <w:sz w:val="20"/>
                <w:szCs w:val="20"/>
              </w:rPr>
              <w:t>152</w:t>
            </w:r>
            <w:r w:rsidRPr="003C1FA2">
              <w:rPr>
                <w:sz w:val="20"/>
                <w:szCs w:val="20"/>
              </w:rPr>
              <w:t>)</w:t>
            </w:r>
          </w:p>
          <w:p w:rsidR="0079565C" w:rsidRPr="003C1FA2" w:rsidRDefault="0079565C" w:rsidP="007F7936">
            <w:pPr>
              <w:keepNext/>
              <w:keepLines/>
              <w:tabs>
                <w:tab w:val="left" w:pos="-1440"/>
                <w:tab w:val="left" w:pos="-720"/>
              </w:tabs>
              <w:rPr>
                <w:sz w:val="20"/>
                <w:szCs w:val="20"/>
              </w:rPr>
            </w:pPr>
          </w:p>
          <w:p w:rsidR="0079565C" w:rsidRPr="003C1FA2" w:rsidRDefault="0079565C" w:rsidP="007F7936">
            <w:pPr>
              <w:keepNext/>
              <w:keepLines/>
              <w:tabs>
                <w:tab w:val="left" w:pos="-1440"/>
                <w:tab w:val="left" w:pos="-720"/>
              </w:tabs>
              <w:rPr>
                <w:b/>
                <w:sz w:val="20"/>
                <w:szCs w:val="20"/>
              </w:rPr>
            </w:pPr>
            <w:r w:rsidRPr="003C1FA2">
              <w:rPr>
                <w:b/>
                <w:sz w:val="20"/>
                <w:szCs w:val="20"/>
              </w:rPr>
              <w:t>Composites Atlantic Limited et al. (N.S.)</w:t>
            </w:r>
          </w:p>
          <w:p w:rsidR="0079565C" w:rsidRPr="003C1FA2" w:rsidRDefault="0079565C" w:rsidP="007F7936">
            <w:pPr>
              <w:keepNext/>
              <w:keepLines/>
              <w:tabs>
                <w:tab w:val="left" w:pos="-1440"/>
                <w:tab w:val="left" w:pos="-720"/>
              </w:tabs>
              <w:rPr>
                <w:sz w:val="20"/>
                <w:szCs w:val="20"/>
              </w:rPr>
            </w:pPr>
            <w:r w:rsidRPr="003C1FA2">
              <w:rPr>
                <w:sz w:val="20"/>
                <w:szCs w:val="20"/>
              </w:rPr>
              <w:tab/>
            </w:r>
            <w:r>
              <w:rPr>
                <w:sz w:val="20"/>
                <w:szCs w:val="20"/>
              </w:rPr>
              <w:t>Katie Roebothan</w:t>
            </w:r>
          </w:p>
          <w:p w:rsidR="0079565C" w:rsidRPr="003C1FA2" w:rsidRDefault="0079565C" w:rsidP="007F7936">
            <w:pPr>
              <w:keepNext/>
              <w:keepLines/>
              <w:tabs>
                <w:tab w:val="left" w:pos="-1440"/>
                <w:tab w:val="left" w:pos="-720"/>
              </w:tabs>
              <w:rPr>
                <w:sz w:val="20"/>
                <w:szCs w:val="20"/>
              </w:rPr>
            </w:pPr>
          </w:p>
          <w:p w:rsidR="0079565C" w:rsidRPr="00A935AA" w:rsidRDefault="0079565C" w:rsidP="007F7936">
            <w:pPr>
              <w:rPr>
                <w:sz w:val="20"/>
                <w:szCs w:val="20"/>
              </w:rPr>
            </w:pPr>
            <w:r w:rsidRPr="00A935AA">
              <w:rPr>
                <w:sz w:val="20"/>
                <w:szCs w:val="20"/>
              </w:rPr>
              <w:t xml:space="preserve">FILING DATE: </w:t>
            </w:r>
            <w:r>
              <w:rPr>
                <w:sz w:val="20"/>
                <w:szCs w:val="20"/>
              </w:rPr>
              <w:t>2</w:t>
            </w:r>
            <w:r w:rsidRPr="00A935AA">
              <w:rPr>
                <w:sz w:val="20"/>
                <w:szCs w:val="20"/>
              </w:rPr>
              <w:t>7.</w:t>
            </w:r>
            <w:r>
              <w:rPr>
                <w:sz w:val="20"/>
                <w:szCs w:val="20"/>
              </w:rPr>
              <w:t>12</w:t>
            </w:r>
            <w:r w:rsidRPr="00A935AA">
              <w:rPr>
                <w:sz w:val="20"/>
                <w:szCs w:val="20"/>
              </w:rPr>
              <w:t>.201</w:t>
            </w:r>
            <w:r>
              <w:rPr>
                <w:sz w:val="20"/>
                <w:szCs w:val="20"/>
              </w:rPr>
              <w:t>2</w:t>
            </w:r>
          </w:p>
          <w:p w:rsidR="0079565C" w:rsidRPr="007F7936" w:rsidRDefault="00CD48BC" w:rsidP="007F7936">
            <w:pPr>
              <w:rPr>
                <w:sz w:val="20"/>
                <w:szCs w:val="20"/>
              </w:rPr>
            </w:pPr>
            <w:r w:rsidRPr="00CD48BC">
              <w:rPr>
                <w:sz w:val="20"/>
                <w:szCs w:val="20"/>
                <w:lang w:val="fr-CA"/>
              </w:rPr>
              <w:pict>
                <v:rect id="_x0000_i1029" style="width:108pt;height:1pt" o:hrpct="0" o:hralign="center" o:hrstd="t" o:hrnoshade="t" o:hr="t" fillcolor="black [3213]" stroked="f"/>
              </w:pict>
            </w:r>
          </w:p>
        </w:tc>
        <w:tc>
          <w:tcPr>
            <w:tcW w:w="1181" w:type="dxa"/>
            <w:shd w:val="clear" w:color="auto" w:fill="auto"/>
          </w:tcPr>
          <w:p w:rsidR="0079565C" w:rsidRDefault="0079565C" w:rsidP="00242AEE">
            <w:pPr>
              <w:jc w:val="center"/>
              <w:rPr>
                <w:sz w:val="20"/>
                <w:szCs w:val="20"/>
              </w:rPr>
            </w:pPr>
          </w:p>
          <w:p w:rsidR="0079565C" w:rsidRDefault="0079565C" w:rsidP="00242AEE">
            <w:pPr>
              <w:jc w:val="center"/>
              <w:rPr>
                <w:sz w:val="20"/>
                <w:szCs w:val="20"/>
              </w:rPr>
            </w:pPr>
          </w:p>
          <w:p w:rsidR="0079565C" w:rsidRDefault="0079565C" w:rsidP="00242AEE">
            <w:pPr>
              <w:jc w:val="center"/>
              <w:rPr>
                <w:sz w:val="20"/>
                <w:szCs w:val="20"/>
              </w:rPr>
            </w:pPr>
          </w:p>
          <w:p w:rsidR="0079565C" w:rsidRDefault="0079565C" w:rsidP="00242AEE">
            <w:pPr>
              <w:jc w:val="center"/>
              <w:rPr>
                <w:sz w:val="20"/>
                <w:szCs w:val="20"/>
              </w:rPr>
            </w:pPr>
          </w:p>
          <w:p w:rsidR="0079565C" w:rsidRDefault="0079565C" w:rsidP="00242AEE">
            <w:pPr>
              <w:jc w:val="center"/>
              <w:rPr>
                <w:sz w:val="20"/>
                <w:szCs w:val="20"/>
              </w:rPr>
            </w:pPr>
          </w:p>
          <w:p w:rsidR="0079565C" w:rsidRDefault="0079565C" w:rsidP="00242AEE">
            <w:pPr>
              <w:jc w:val="center"/>
              <w:rPr>
                <w:sz w:val="20"/>
                <w:szCs w:val="20"/>
              </w:rPr>
            </w:pPr>
          </w:p>
          <w:p w:rsidR="0079565C" w:rsidRDefault="0079565C" w:rsidP="00242AEE">
            <w:pPr>
              <w:jc w:val="center"/>
              <w:rPr>
                <w:sz w:val="20"/>
                <w:szCs w:val="20"/>
              </w:rPr>
            </w:pPr>
          </w:p>
          <w:p w:rsidR="0079565C" w:rsidRDefault="0079565C" w:rsidP="00242AEE">
            <w:pPr>
              <w:jc w:val="center"/>
              <w:rPr>
                <w:sz w:val="20"/>
                <w:szCs w:val="20"/>
              </w:rPr>
            </w:pPr>
          </w:p>
          <w:p w:rsidR="0079565C" w:rsidRDefault="0079565C" w:rsidP="00242AEE">
            <w:pPr>
              <w:jc w:val="center"/>
              <w:rPr>
                <w:sz w:val="20"/>
                <w:szCs w:val="20"/>
              </w:rPr>
            </w:pPr>
          </w:p>
          <w:p w:rsidR="0079565C" w:rsidRDefault="0079565C" w:rsidP="00242AEE">
            <w:pPr>
              <w:jc w:val="center"/>
              <w:rPr>
                <w:sz w:val="20"/>
                <w:szCs w:val="20"/>
              </w:rPr>
            </w:pPr>
          </w:p>
          <w:p w:rsidR="0079565C" w:rsidRDefault="0079565C" w:rsidP="00242AEE">
            <w:pPr>
              <w:jc w:val="center"/>
              <w:rPr>
                <w:sz w:val="20"/>
                <w:szCs w:val="20"/>
              </w:rPr>
            </w:pPr>
          </w:p>
          <w:p w:rsidR="0079565C" w:rsidRPr="00A935AA" w:rsidRDefault="0079565C" w:rsidP="00242AEE">
            <w:pPr>
              <w:jc w:val="center"/>
              <w:rPr>
                <w:sz w:val="20"/>
                <w:szCs w:val="20"/>
              </w:rPr>
            </w:pPr>
          </w:p>
        </w:tc>
        <w:tc>
          <w:tcPr>
            <w:tcW w:w="4320" w:type="dxa"/>
            <w:shd w:val="clear" w:color="auto" w:fill="auto"/>
          </w:tcPr>
          <w:p w:rsidR="0079565C" w:rsidRPr="00A935AA" w:rsidRDefault="0079565C" w:rsidP="009208D4">
            <w:pPr>
              <w:keepNext/>
              <w:keepLines/>
              <w:tabs>
                <w:tab w:val="left" w:pos="-1440"/>
                <w:tab w:val="left" w:pos="-720"/>
              </w:tabs>
              <w:rPr>
                <w:b/>
                <w:sz w:val="20"/>
                <w:szCs w:val="20"/>
              </w:rPr>
            </w:pPr>
            <w:r>
              <w:rPr>
                <w:b/>
                <w:sz w:val="20"/>
                <w:szCs w:val="20"/>
              </w:rPr>
              <w:t>Marvin Sazant</w:t>
            </w:r>
          </w:p>
          <w:p w:rsidR="0079565C" w:rsidRPr="00A935AA" w:rsidRDefault="0079565C" w:rsidP="009208D4">
            <w:pPr>
              <w:tabs>
                <w:tab w:val="left" w:pos="-1440"/>
                <w:tab w:val="left" w:pos="-720"/>
              </w:tabs>
              <w:rPr>
                <w:sz w:val="20"/>
                <w:szCs w:val="20"/>
              </w:rPr>
            </w:pPr>
            <w:r w:rsidRPr="00A935AA">
              <w:rPr>
                <w:sz w:val="20"/>
                <w:szCs w:val="20"/>
              </w:rPr>
              <w:tab/>
            </w:r>
            <w:r>
              <w:rPr>
                <w:sz w:val="20"/>
                <w:szCs w:val="20"/>
              </w:rPr>
              <w:t>Margaret Bojanowska</w:t>
            </w:r>
          </w:p>
          <w:p w:rsidR="0079565C" w:rsidRPr="00A935AA" w:rsidRDefault="0079565C" w:rsidP="009208D4">
            <w:pPr>
              <w:tabs>
                <w:tab w:val="left" w:pos="-1440"/>
                <w:tab w:val="left" w:pos="-720"/>
              </w:tabs>
              <w:rPr>
                <w:sz w:val="20"/>
                <w:szCs w:val="20"/>
              </w:rPr>
            </w:pPr>
          </w:p>
          <w:p w:rsidR="0079565C" w:rsidRPr="00A935AA" w:rsidRDefault="0079565C" w:rsidP="009208D4">
            <w:pPr>
              <w:tabs>
                <w:tab w:val="left" w:pos="-1440"/>
                <w:tab w:val="left" w:pos="-720"/>
              </w:tabs>
              <w:rPr>
                <w:sz w:val="20"/>
                <w:szCs w:val="20"/>
              </w:rPr>
            </w:pPr>
            <w:r w:rsidRPr="00A935AA">
              <w:rPr>
                <w:sz w:val="20"/>
                <w:szCs w:val="20"/>
              </w:rPr>
              <w:tab/>
              <w:t>v. (3</w:t>
            </w:r>
            <w:r>
              <w:rPr>
                <w:sz w:val="20"/>
                <w:szCs w:val="20"/>
              </w:rPr>
              <w:t>5150</w:t>
            </w:r>
            <w:r w:rsidRPr="00A935AA">
              <w:rPr>
                <w:sz w:val="20"/>
                <w:szCs w:val="20"/>
              </w:rPr>
              <w:t>)</w:t>
            </w:r>
          </w:p>
          <w:p w:rsidR="0079565C" w:rsidRPr="00A935AA" w:rsidRDefault="0079565C" w:rsidP="009208D4">
            <w:pPr>
              <w:tabs>
                <w:tab w:val="left" w:pos="-1440"/>
                <w:tab w:val="left" w:pos="-720"/>
              </w:tabs>
              <w:rPr>
                <w:sz w:val="20"/>
                <w:szCs w:val="20"/>
              </w:rPr>
            </w:pPr>
          </w:p>
          <w:p w:rsidR="0079565C" w:rsidRPr="00A935AA" w:rsidRDefault="0079565C" w:rsidP="009208D4">
            <w:pPr>
              <w:tabs>
                <w:tab w:val="left" w:pos="-1440"/>
                <w:tab w:val="left" w:pos="-720"/>
              </w:tabs>
              <w:rPr>
                <w:b/>
                <w:sz w:val="20"/>
                <w:szCs w:val="20"/>
              </w:rPr>
            </w:pPr>
            <w:r>
              <w:rPr>
                <w:b/>
                <w:sz w:val="20"/>
                <w:szCs w:val="20"/>
              </w:rPr>
              <w:t xml:space="preserve">College of Physicians and Surgeons of Ontario </w:t>
            </w:r>
            <w:r w:rsidRPr="00A935AA">
              <w:rPr>
                <w:b/>
                <w:sz w:val="20"/>
                <w:szCs w:val="20"/>
              </w:rPr>
              <w:t>(</w:t>
            </w:r>
            <w:r>
              <w:rPr>
                <w:b/>
                <w:sz w:val="20"/>
                <w:szCs w:val="20"/>
              </w:rPr>
              <w:t>Ont</w:t>
            </w:r>
            <w:r w:rsidRPr="00A935AA">
              <w:rPr>
                <w:b/>
                <w:sz w:val="20"/>
                <w:szCs w:val="20"/>
              </w:rPr>
              <w:t>.)</w:t>
            </w:r>
          </w:p>
          <w:p w:rsidR="0079565C" w:rsidRPr="00A935AA" w:rsidRDefault="0079565C" w:rsidP="009208D4">
            <w:pPr>
              <w:tabs>
                <w:tab w:val="left" w:pos="-1440"/>
                <w:tab w:val="left" w:pos="-720"/>
              </w:tabs>
              <w:rPr>
                <w:sz w:val="20"/>
                <w:szCs w:val="20"/>
              </w:rPr>
            </w:pPr>
            <w:r w:rsidRPr="00A935AA">
              <w:rPr>
                <w:sz w:val="20"/>
                <w:szCs w:val="20"/>
              </w:rPr>
              <w:tab/>
            </w:r>
            <w:r>
              <w:rPr>
                <w:sz w:val="20"/>
                <w:szCs w:val="20"/>
              </w:rPr>
              <w:t>Scott C. Hutchison</w:t>
            </w:r>
          </w:p>
          <w:p w:rsidR="0079565C" w:rsidRPr="00A935AA" w:rsidRDefault="0079565C" w:rsidP="009208D4">
            <w:pPr>
              <w:tabs>
                <w:tab w:val="left" w:pos="-1440"/>
                <w:tab w:val="left" w:pos="-720"/>
              </w:tabs>
              <w:rPr>
                <w:sz w:val="20"/>
                <w:szCs w:val="20"/>
              </w:rPr>
            </w:pPr>
            <w:r w:rsidRPr="00A935AA">
              <w:rPr>
                <w:sz w:val="20"/>
                <w:szCs w:val="20"/>
              </w:rPr>
              <w:tab/>
            </w:r>
            <w:r>
              <w:rPr>
                <w:sz w:val="20"/>
                <w:szCs w:val="20"/>
              </w:rPr>
              <w:t>Stockwoods LLP</w:t>
            </w:r>
          </w:p>
          <w:p w:rsidR="0079565C" w:rsidRPr="007F7936" w:rsidRDefault="0079565C" w:rsidP="009208D4">
            <w:pPr>
              <w:keepNext/>
              <w:keepLines/>
              <w:tabs>
                <w:tab w:val="left" w:pos="-1440"/>
                <w:tab w:val="left" w:pos="-720"/>
              </w:tabs>
              <w:rPr>
                <w:sz w:val="20"/>
                <w:szCs w:val="20"/>
              </w:rPr>
            </w:pPr>
          </w:p>
          <w:p w:rsidR="0079565C" w:rsidRDefault="0079565C" w:rsidP="009208D4">
            <w:pPr>
              <w:rPr>
                <w:sz w:val="20"/>
                <w:szCs w:val="20"/>
              </w:rPr>
            </w:pPr>
            <w:r w:rsidRPr="00A935AA">
              <w:rPr>
                <w:sz w:val="20"/>
                <w:szCs w:val="20"/>
              </w:rPr>
              <w:t xml:space="preserve">FILING DATE: </w:t>
            </w:r>
            <w:r>
              <w:rPr>
                <w:sz w:val="20"/>
                <w:szCs w:val="20"/>
              </w:rPr>
              <w:t>31</w:t>
            </w:r>
            <w:r w:rsidRPr="00A935AA">
              <w:rPr>
                <w:sz w:val="20"/>
                <w:szCs w:val="20"/>
              </w:rPr>
              <w:t>.</w:t>
            </w:r>
            <w:r>
              <w:rPr>
                <w:sz w:val="20"/>
                <w:szCs w:val="20"/>
              </w:rPr>
              <w:t>12</w:t>
            </w:r>
            <w:r w:rsidRPr="00A935AA">
              <w:rPr>
                <w:sz w:val="20"/>
                <w:szCs w:val="20"/>
              </w:rPr>
              <w:t>.201</w:t>
            </w:r>
            <w:r>
              <w:rPr>
                <w:sz w:val="20"/>
                <w:szCs w:val="20"/>
              </w:rPr>
              <w:t>2</w:t>
            </w:r>
          </w:p>
          <w:p w:rsidR="0079565C" w:rsidRPr="00A935AA" w:rsidRDefault="00CD48BC" w:rsidP="009208D4">
            <w:pPr>
              <w:rPr>
                <w:sz w:val="20"/>
                <w:szCs w:val="20"/>
              </w:rPr>
            </w:pPr>
            <w:r w:rsidRPr="00CD48BC">
              <w:rPr>
                <w:sz w:val="20"/>
                <w:szCs w:val="20"/>
                <w:lang w:val="fr-CA"/>
              </w:rPr>
              <w:pict>
                <v:rect id="_x0000_i1030" style="width:108pt;height:1pt" o:hrpct="0" o:hralign="center" o:hrstd="t" o:hrnoshade="t" o:hr="t" fillcolor="black [3213]" stroked="f"/>
              </w:pict>
            </w:r>
          </w:p>
        </w:tc>
      </w:tr>
      <w:tr w:rsidR="0079565C" w:rsidRPr="00A935AA" w:rsidTr="0079565C">
        <w:trPr>
          <w:cantSplit/>
        </w:trPr>
        <w:tc>
          <w:tcPr>
            <w:tcW w:w="4320" w:type="dxa"/>
            <w:shd w:val="clear" w:color="auto" w:fill="auto"/>
          </w:tcPr>
          <w:p w:rsidR="0079565C" w:rsidRPr="00FD2176" w:rsidRDefault="0079565C" w:rsidP="00ED09CD">
            <w:pPr>
              <w:rPr>
                <w:sz w:val="20"/>
                <w:szCs w:val="20"/>
                <w:lang w:val="fr-CA"/>
              </w:rPr>
            </w:pPr>
            <w:r w:rsidRPr="00FD2176">
              <w:rPr>
                <w:b/>
                <w:sz w:val="20"/>
                <w:szCs w:val="20"/>
                <w:lang w:val="fr-CA"/>
              </w:rPr>
              <w:t>Dale Barteau et al.</w:t>
            </w:r>
          </w:p>
          <w:p w:rsidR="0079565C" w:rsidRPr="00FD2176" w:rsidRDefault="0079565C" w:rsidP="0079565C">
            <w:pPr>
              <w:keepNext/>
              <w:keepLines/>
              <w:tabs>
                <w:tab w:val="left" w:pos="-1440"/>
                <w:tab w:val="left" w:pos="-720"/>
              </w:tabs>
              <w:rPr>
                <w:sz w:val="20"/>
                <w:szCs w:val="20"/>
                <w:lang w:val="fr-CA"/>
              </w:rPr>
            </w:pPr>
            <w:r w:rsidRPr="00FD2176">
              <w:rPr>
                <w:sz w:val="20"/>
                <w:szCs w:val="20"/>
                <w:lang w:val="fr-CA"/>
              </w:rPr>
              <w:tab/>
              <w:t>Jamieson Halfnight</w:t>
            </w:r>
          </w:p>
          <w:p w:rsidR="0079565C" w:rsidRPr="007F7936" w:rsidRDefault="0079565C" w:rsidP="0079565C">
            <w:pPr>
              <w:keepNext/>
              <w:keepLines/>
              <w:tabs>
                <w:tab w:val="left" w:pos="-1440"/>
                <w:tab w:val="left" w:pos="-720"/>
              </w:tabs>
              <w:rPr>
                <w:sz w:val="20"/>
                <w:szCs w:val="20"/>
              </w:rPr>
            </w:pPr>
            <w:r w:rsidRPr="00FD2176">
              <w:rPr>
                <w:sz w:val="20"/>
                <w:szCs w:val="20"/>
                <w:lang w:val="fr-CA"/>
              </w:rPr>
              <w:tab/>
            </w:r>
            <w:r>
              <w:rPr>
                <w:sz w:val="20"/>
                <w:szCs w:val="20"/>
              </w:rPr>
              <w:t>Halfnight &amp; McKinlay Professi</w:t>
            </w:r>
            <w:r w:rsidRPr="007F7936">
              <w:rPr>
                <w:sz w:val="20"/>
                <w:szCs w:val="20"/>
              </w:rPr>
              <w:t xml:space="preserve">onal </w:t>
            </w:r>
            <w:r w:rsidRPr="007F7936">
              <w:rPr>
                <w:sz w:val="20"/>
                <w:szCs w:val="20"/>
              </w:rPr>
              <w:tab/>
              <w:t>Corporation</w:t>
            </w:r>
          </w:p>
          <w:p w:rsidR="0079565C" w:rsidRPr="007F7936" w:rsidRDefault="0079565C" w:rsidP="0079565C">
            <w:pPr>
              <w:keepNext/>
              <w:keepLines/>
              <w:tabs>
                <w:tab w:val="left" w:pos="-1440"/>
                <w:tab w:val="left" w:pos="-720"/>
              </w:tabs>
              <w:rPr>
                <w:sz w:val="20"/>
                <w:szCs w:val="20"/>
              </w:rPr>
            </w:pPr>
          </w:p>
          <w:p w:rsidR="0079565C" w:rsidRPr="007F7936" w:rsidRDefault="0079565C" w:rsidP="0079565C">
            <w:pPr>
              <w:keepNext/>
              <w:keepLines/>
              <w:tabs>
                <w:tab w:val="left" w:pos="-1440"/>
                <w:tab w:val="left" w:pos="-720"/>
              </w:tabs>
              <w:rPr>
                <w:sz w:val="20"/>
                <w:szCs w:val="20"/>
              </w:rPr>
            </w:pPr>
            <w:r w:rsidRPr="007F7936">
              <w:rPr>
                <w:sz w:val="20"/>
                <w:szCs w:val="20"/>
              </w:rPr>
              <w:tab/>
              <w:t>v. (35</w:t>
            </w:r>
            <w:r>
              <w:rPr>
                <w:sz w:val="20"/>
                <w:szCs w:val="20"/>
              </w:rPr>
              <w:t>146</w:t>
            </w:r>
            <w:r w:rsidRPr="007F7936">
              <w:rPr>
                <w:sz w:val="20"/>
                <w:szCs w:val="20"/>
              </w:rPr>
              <w:t>)</w:t>
            </w:r>
          </w:p>
          <w:p w:rsidR="0079565C" w:rsidRPr="007F7936" w:rsidRDefault="0079565C" w:rsidP="0079565C">
            <w:pPr>
              <w:keepNext/>
              <w:keepLines/>
              <w:tabs>
                <w:tab w:val="left" w:pos="-1440"/>
                <w:tab w:val="left" w:pos="-720"/>
              </w:tabs>
              <w:rPr>
                <w:sz w:val="20"/>
                <w:szCs w:val="20"/>
              </w:rPr>
            </w:pPr>
          </w:p>
          <w:p w:rsidR="0079565C" w:rsidRPr="007F7936" w:rsidRDefault="0079565C" w:rsidP="0079565C">
            <w:pPr>
              <w:keepNext/>
              <w:keepLines/>
              <w:tabs>
                <w:tab w:val="left" w:pos="-1440"/>
                <w:tab w:val="left" w:pos="-720"/>
              </w:tabs>
              <w:rPr>
                <w:b/>
                <w:sz w:val="20"/>
                <w:szCs w:val="20"/>
              </w:rPr>
            </w:pPr>
            <w:r>
              <w:rPr>
                <w:b/>
                <w:sz w:val="20"/>
                <w:szCs w:val="20"/>
              </w:rPr>
              <w:t xml:space="preserve">Simson, Cumming, Webber, a partnership et al. </w:t>
            </w:r>
            <w:r w:rsidRPr="007F7936">
              <w:rPr>
                <w:b/>
                <w:sz w:val="20"/>
                <w:szCs w:val="20"/>
              </w:rPr>
              <w:t>(</w:t>
            </w:r>
            <w:r>
              <w:rPr>
                <w:b/>
                <w:sz w:val="20"/>
                <w:szCs w:val="20"/>
              </w:rPr>
              <w:t>N</w:t>
            </w:r>
            <w:r w:rsidRPr="007F7936">
              <w:rPr>
                <w:b/>
                <w:sz w:val="20"/>
                <w:szCs w:val="20"/>
              </w:rPr>
              <w:t>.</w:t>
            </w:r>
            <w:r>
              <w:rPr>
                <w:b/>
                <w:sz w:val="20"/>
                <w:szCs w:val="20"/>
              </w:rPr>
              <w:t>B.</w:t>
            </w:r>
            <w:r w:rsidRPr="007F7936">
              <w:rPr>
                <w:b/>
                <w:sz w:val="20"/>
                <w:szCs w:val="20"/>
              </w:rPr>
              <w:t>)</w:t>
            </w:r>
          </w:p>
          <w:p w:rsidR="0079565C" w:rsidRPr="007F7936" w:rsidRDefault="0079565C" w:rsidP="0079565C">
            <w:pPr>
              <w:keepNext/>
              <w:keepLines/>
              <w:tabs>
                <w:tab w:val="left" w:pos="-1440"/>
                <w:tab w:val="left" w:pos="-720"/>
              </w:tabs>
              <w:rPr>
                <w:sz w:val="20"/>
                <w:szCs w:val="20"/>
              </w:rPr>
            </w:pPr>
            <w:r w:rsidRPr="007F7936">
              <w:rPr>
                <w:sz w:val="20"/>
                <w:szCs w:val="20"/>
              </w:rPr>
              <w:tab/>
            </w:r>
            <w:r>
              <w:rPr>
                <w:sz w:val="20"/>
                <w:szCs w:val="20"/>
              </w:rPr>
              <w:t>Sandra E. Dawe</w:t>
            </w:r>
          </w:p>
          <w:p w:rsidR="0079565C" w:rsidRPr="007F7936" w:rsidRDefault="0079565C" w:rsidP="0079565C">
            <w:pPr>
              <w:keepNext/>
              <w:keepLines/>
              <w:tabs>
                <w:tab w:val="left" w:pos="-1440"/>
                <w:tab w:val="left" w:pos="-720"/>
              </w:tabs>
              <w:rPr>
                <w:sz w:val="20"/>
                <w:szCs w:val="20"/>
              </w:rPr>
            </w:pPr>
            <w:r w:rsidRPr="007F7936">
              <w:rPr>
                <w:sz w:val="20"/>
                <w:szCs w:val="20"/>
              </w:rPr>
              <w:tab/>
            </w:r>
            <w:r>
              <w:rPr>
                <w:sz w:val="20"/>
                <w:szCs w:val="20"/>
              </w:rPr>
              <w:t>Shibley Righton LLP</w:t>
            </w:r>
          </w:p>
          <w:p w:rsidR="0079565C" w:rsidRPr="007F7936" w:rsidRDefault="0079565C" w:rsidP="0079565C">
            <w:pPr>
              <w:keepNext/>
              <w:keepLines/>
              <w:tabs>
                <w:tab w:val="left" w:pos="-1440"/>
                <w:tab w:val="left" w:pos="-720"/>
              </w:tabs>
              <w:rPr>
                <w:sz w:val="20"/>
                <w:szCs w:val="20"/>
              </w:rPr>
            </w:pPr>
          </w:p>
          <w:p w:rsidR="0079565C" w:rsidRDefault="0079565C" w:rsidP="0079565C">
            <w:pPr>
              <w:rPr>
                <w:sz w:val="20"/>
                <w:szCs w:val="20"/>
              </w:rPr>
            </w:pPr>
            <w:r w:rsidRPr="00A935AA">
              <w:rPr>
                <w:sz w:val="20"/>
                <w:szCs w:val="20"/>
              </w:rPr>
              <w:t>FILING DATE: 28.</w:t>
            </w:r>
            <w:r>
              <w:rPr>
                <w:sz w:val="20"/>
                <w:szCs w:val="20"/>
              </w:rPr>
              <w:t>12</w:t>
            </w:r>
            <w:r w:rsidRPr="00A935AA">
              <w:rPr>
                <w:sz w:val="20"/>
                <w:szCs w:val="20"/>
              </w:rPr>
              <w:t>.201</w:t>
            </w:r>
            <w:r>
              <w:rPr>
                <w:sz w:val="20"/>
                <w:szCs w:val="20"/>
              </w:rPr>
              <w:t>2</w:t>
            </w:r>
          </w:p>
          <w:p w:rsidR="0079565C" w:rsidRPr="0079565C" w:rsidRDefault="00CD48BC" w:rsidP="00ED09CD">
            <w:pPr>
              <w:rPr>
                <w:sz w:val="20"/>
                <w:szCs w:val="20"/>
              </w:rPr>
            </w:pPr>
            <w:r w:rsidRPr="00CD48BC">
              <w:rPr>
                <w:sz w:val="20"/>
                <w:szCs w:val="20"/>
                <w:lang w:val="fr-CA"/>
              </w:rPr>
              <w:pict>
                <v:rect id="_x0000_i1031" style="width:108pt;height:1pt" o:hrpct="0" o:hralign="center" o:hrstd="t" o:hrnoshade="t" o:hr="t" fillcolor="black [3213]" stroked="f"/>
              </w:pict>
            </w:r>
          </w:p>
        </w:tc>
        <w:tc>
          <w:tcPr>
            <w:tcW w:w="1181" w:type="dxa"/>
            <w:shd w:val="clear" w:color="auto" w:fill="auto"/>
          </w:tcPr>
          <w:p w:rsidR="0079565C" w:rsidRPr="00A935AA" w:rsidRDefault="0079565C" w:rsidP="00242AEE">
            <w:pPr>
              <w:jc w:val="center"/>
              <w:rPr>
                <w:sz w:val="20"/>
                <w:szCs w:val="20"/>
              </w:rPr>
            </w:pPr>
          </w:p>
          <w:p w:rsidR="0079565C" w:rsidRPr="00A935AA" w:rsidRDefault="0079565C" w:rsidP="00242AEE">
            <w:pPr>
              <w:jc w:val="center"/>
              <w:rPr>
                <w:sz w:val="20"/>
                <w:szCs w:val="20"/>
              </w:rPr>
            </w:pPr>
          </w:p>
          <w:p w:rsidR="0079565C" w:rsidRPr="00A935AA" w:rsidRDefault="0079565C" w:rsidP="00242AEE">
            <w:pPr>
              <w:jc w:val="center"/>
              <w:rPr>
                <w:sz w:val="20"/>
                <w:szCs w:val="20"/>
              </w:rPr>
            </w:pPr>
          </w:p>
          <w:p w:rsidR="0079565C" w:rsidRPr="00A935AA" w:rsidRDefault="0079565C" w:rsidP="00242AEE">
            <w:pPr>
              <w:jc w:val="center"/>
              <w:rPr>
                <w:sz w:val="20"/>
                <w:szCs w:val="20"/>
              </w:rPr>
            </w:pPr>
          </w:p>
          <w:p w:rsidR="0079565C" w:rsidRPr="00A935AA" w:rsidRDefault="0079565C" w:rsidP="00242AEE">
            <w:pPr>
              <w:jc w:val="center"/>
              <w:rPr>
                <w:sz w:val="20"/>
                <w:szCs w:val="20"/>
              </w:rPr>
            </w:pPr>
          </w:p>
          <w:p w:rsidR="0079565C" w:rsidRPr="00A935AA" w:rsidRDefault="0079565C" w:rsidP="00242AEE">
            <w:pPr>
              <w:jc w:val="center"/>
              <w:rPr>
                <w:sz w:val="20"/>
                <w:szCs w:val="20"/>
              </w:rPr>
            </w:pPr>
          </w:p>
          <w:p w:rsidR="0079565C" w:rsidRPr="00A935AA" w:rsidRDefault="0079565C" w:rsidP="00242AEE">
            <w:pPr>
              <w:jc w:val="center"/>
              <w:rPr>
                <w:sz w:val="20"/>
                <w:szCs w:val="20"/>
              </w:rPr>
            </w:pPr>
          </w:p>
          <w:p w:rsidR="0079565C" w:rsidRPr="00A935AA" w:rsidRDefault="0079565C" w:rsidP="00242AEE">
            <w:pPr>
              <w:jc w:val="center"/>
              <w:rPr>
                <w:sz w:val="20"/>
                <w:szCs w:val="20"/>
              </w:rPr>
            </w:pPr>
          </w:p>
          <w:p w:rsidR="0079565C" w:rsidRPr="00A935AA" w:rsidRDefault="0079565C" w:rsidP="00242AEE">
            <w:pPr>
              <w:jc w:val="center"/>
              <w:rPr>
                <w:sz w:val="20"/>
                <w:szCs w:val="20"/>
              </w:rPr>
            </w:pPr>
          </w:p>
          <w:p w:rsidR="0079565C" w:rsidRPr="00A935AA" w:rsidRDefault="0079565C" w:rsidP="00242AEE">
            <w:pPr>
              <w:jc w:val="center"/>
              <w:rPr>
                <w:sz w:val="20"/>
                <w:szCs w:val="20"/>
              </w:rPr>
            </w:pPr>
          </w:p>
          <w:p w:rsidR="0079565C" w:rsidRPr="00A935AA" w:rsidRDefault="0079565C" w:rsidP="00242AEE">
            <w:pPr>
              <w:jc w:val="center"/>
              <w:rPr>
                <w:sz w:val="20"/>
                <w:szCs w:val="20"/>
              </w:rPr>
            </w:pPr>
          </w:p>
          <w:p w:rsidR="0079565C" w:rsidRDefault="0079565C" w:rsidP="00242AEE">
            <w:pPr>
              <w:jc w:val="center"/>
              <w:rPr>
                <w:sz w:val="20"/>
                <w:szCs w:val="20"/>
              </w:rPr>
            </w:pPr>
          </w:p>
          <w:p w:rsidR="0079565C" w:rsidRDefault="0079565C" w:rsidP="00242AEE">
            <w:pPr>
              <w:jc w:val="center"/>
              <w:rPr>
                <w:sz w:val="20"/>
                <w:szCs w:val="20"/>
              </w:rPr>
            </w:pPr>
          </w:p>
          <w:p w:rsidR="0079565C" w:rsidRPr="00A935AA" w:rsidRDefault="0079565C" w:rsidP="00242AEE">
            <w:pPr>
              <w:jc w:val="center"/>
              <w:rPr>
                <w:sz w:val="20"/>
                <w:szCs w:val="20"/>
              </w:rPr>
            </w:pPr>
          </w:p>
          <w:p w:rsidR="0079565C" w:rsidRPr="00A935AA" w:rsidRDefault="0079565C" w:rsidP="00242AEE">
            <w:pPr>
              <w:jc w:val="center"/>
              <w:rPr>
                <w:sz w:val="20"/>
                <w:szCs w:val="20"/>
              </w:rPr>
            </w:pPr>
          </w:p>
        </w:tc>
        <w:tc>
          <w:tcPr>
            <w:tcW w:w="4320" w:type="dxa"/>
            <w:shd w:val="clear" w:color="auto" w:fill="auto"/>
          </w:tcPr>
          <w:p w:rsidR="0079565C" w:rsidRDefault="0079565C" w:rsidP="009208D4">
            <w:pPr>
              <w:keepNext/>
              <w:keepLines/>
              <w:tabs>
                <w:tab w:val="left" w:pos="-1440"/>
                <w:tab w:val="left" w:pos="-720"/>
              </w:tabs>
              <w:rPr>
                <w:b/>
                <w:sz w:val="20"/>
                <w:szCs w:val="20"/>
              </w:rPr>
            </w:pPr>
          </w:p>
          <w:p w:rsidR="0079565C" w:rsidRPr="00A935AA" w:rsidRDefault="0079565C" w:rsidP="009208D4">
            <w:pPr>
              <w:keepNext/>
              <w:keepLines/>
              <w:tabs>
                <w:tab w:val="left" w:pos="-1440"/>
                <w:tab w:val="left" w:pos="-720"/>
              </w:tabs>
              <w:rPr>
                <w:b/>
                <w:sz w:val="20"/>
                <w:szCs w:val="20"/>
              </w:rPr>
            </w:pPr>
            <w:r>
              <w:rPr>
                <w:b/>
                <w:sz w:val="20"/>
                <w:szCs w:val="20"/>
              </w:rPr>
              <w:t>Prabhjot Kaur Johal</w:t>
            </w:r>
          </w:p>
          <w:p w:rsidR="0079565C" w:rsidRPr="00A935AA" w:rsidRDefault="0079565C" w:rsidP="009208D4">
            <w:pPr>
              <w:keepNext/>
              <w:keepLines/>
              <w:tabs>
                <w:tab w:val="left" w:pos="-1440"/>
                <w:tab w:val="left" w:pos="-720"/>
              </w:tabs>
              <w:rPr>
                <w:sz w:val="20"/>
                <w:szCs w:val="20"/>
              </w:rPr>
            </w:pPr>
            <w:r w:rsidRPr="00A935AA">
              <w:rPr>
                <w:sz w:val="20"/>
                <w:szCs w:val="20"/>
              </w:rPr>
              <w:tab/>
            </w:r>
            <w:r>
              <w:rPr>
                <w:sz w:val="20"/>
                <w:szCs w:val="20"/>
              </w:rPr>
              <w:t>Leo Klug</w:t>
            </w:r>
          </w:p>
          <w:p w:rsidR="0079565C" w:rsidRPr="00A935AA" w:rsidRDefault="0079565C" w:rsidP="009208D4">
            <w:pPr>
              <w:keepNext/>
              <w:keepLines/>
              <w:tabs>
                <w:tab w:val="left" w:pos="-1440"/>
                <w:tab w:val="left" w:pos="-720"/>
              </w:tabs>
              <w:rPr>
                <w:sz w:val="20"/>
                <w:szCs w:val="20"/>
              </w:rPr>
            </w:pPr>
          </w:p>
          <w:p w:rsidR="0079565C" w:rsidRPr="0079565C" w:rsidRDefault="0079565C" w:rsidP="009208D4">
            <w:pPr>
              <w:keepNext/>
              <w:keepLines/>
              <w:tabs>
                <w:tab w:val="left" w:pos="-1440"/>
                <w:tab w:val="left" w:pos="-720"/>
              </w:tabs>
              <w:rPr>
                <w:sz w:val="20"/>
                <w:szCs w:val="20"/>
              </w:rPr>
            </w:pPr>
            <w:r w:rsidRPr="00A935AA">
              <w:rPr>
                <w:sz w:val="20"/>
                <w:szCs w:val="20"/>
              </w:rPr>
              <w:tab/>
            </w:r>
            <w:r w:rsidRPr="0079565C">
              <w:rPr>
                <w:sz w:val="20"/>
                <w:szCs w:val="20"/>
              </w:rPr>
              <w:t>v. (35164)</w:t>
            </w:r>
          </w:p>
          <w:p w:rsidR="0079565C" w:rsidRPr="0079565C" w:rsidRDefault="0079565C" w:rsidP="009208D4">
            <w:pPr>
              <w:keepNext/>
              <w:keepLines/>
              <w:tabs>
                <w:tab w:val="left" w:pos="-1440"/>
                <w:tab w:val="left" w:pos="-720"/>
              </w:tabs>
              <w:rPr>
                <w:sz w:val="20"/>
                <w:szCs w:val="20"/>
              </w:rPr>
            </w:pPr>
          </w:p>
          <w:p w:rsidR="0079565C" w:rsidRPr="0079565C" w:rsidRDefault="0079565C" w:rsidP="009208D4">
            <w:pPr>
              <w:keepNext/>
              <w:keepLines/>
              <w:tabs>
                <w:tab w:val="left" w:pos="-1440"/>
                <w:tab w:val="left" w:pos="-720"/>
              </w:tabs>
              <w:rPr>
                <w:b/>
                <w:sz w:val="20"/>
                <w:szCs w:val="20"/>
              </w:rPr>
            </w:pPr>
            <w:r w:rsidRPr="0079565C">
              <w:rPr>
                <w:b/>
                <w:sz w:val="20"/>
                <w:szCs w:val="20"/>
              </w:rPr>
              <w:t>Board of Funeral Services (Ont.)</w:t>
            </w:r>
          </w:p>
          <w:p w:rsidR="0079565C" w:rsidRPr="0079565C" w:rsidRDefault="0079565C" w:rsidP="009208D4">
            <w:pPr>
              <w:keepNext/>
              <w:keepLines/>
              <w:tabs>
                <w:tab w:val="left" w:pos="-1440"/>
                <w:tab w:val="left" w:pos="-720"/>
              </w:tabs>
              <w:rPr>
                <w:sz w:val="20"/>
                <w:szCs w:val="20"/>
                <w:lang w:val="fr-CA"/>
              </w:rPr>
            </w:pPr>
            <w:r w:rsidRPr="0079565C">
              <w:rPr>
                <w:sz w:val="20"/>
                <w:szCs w:val="20"/>
              </w:rPr>
              <w:tab/>
            </w:r>
            <w:r w:rsidRPr="0079565C">
              <w:rPr>
                <w:sz w:val="20"/>
                <w:szCs w:val="20"/>
                <w:lang w:val="fr-CA"/>
              </w:rPr>
              <w:t>Julie A. Maciura</w:t>
            </w:r>
          </w:p>
          <w:p w:rsidR="0079565C" w:rsidRPr="0079565C" w:rsidRDefault="0079565C" w:rsidP="009208D4">
            <w:pPr>
              <w:keepNext/>
              <w:keepLines/>
              <w:tabs>
                <w:tab w:val="left" w:pos="-1440"/>
                <w:tab w:val="left" w:pos="-720"/>
              </w:tabs>
              <w:rPr>
                <w:sz w:val="20"/>
                <w:szCs w:val="20"/>
                <w:lang w:val="fr-CA"/>
              </w:rPr>
            </w:pPr>
            <w:r w:rsidRPr="0079565C">
              <w:rPr>
                <w:sz w:val="20"/>
                <w:szCs w:val="20"/>
                <w:lang w:val="fr-CA"/>
              </w:rPr>
              <w:tab/>
              <w:t>Steinecke Maciura LeBlanc</w:t>
            </w:r>
          </w:p>
          <w:p w:rsidR="0079565C" w:rsidRPr="0079565C" w:rsidRDefault="0079565C" w:rsidP="009208D4">
            <w:pPr>
              <w:keepNext/>
              <w:keepLines/>
              <w:tabs>
                <w:tab w:val="left" w:pos="-1440"/>
                <w:tab w:val="left" w:pos="-720"/>
              </w:tabs>
              <w:rPr>
                <w:sz w:val="20"/>
                <w:szCs w:val="20"/>
                <w:lang w:val="fr-CA"/>
              </w:rPr>
            </w:pPr>
          </w:p>
          <w:p w:rsidR="0079565C" w:rsidRDefault="0079565C" w:rsidP="009208D4">
            <w:pPr>
              <w:rPr>
                <w:sz w:val="20"/>
                <w:szCs w:val="20"/>
              </w:rPr>
            </w:pPr>
            <w:r w:rsidRPr="00A935AA">
              <w:rPr>
                <w:sz w:val="20"/>
                <w:szCs w:val="20"/>
              </w:rPr>
              <w:t xml:space="preserve">FILING DATE: </w:t>
            </w:r>
            <w:r>
              <w:rPr>
                <w:sz w:val="20"/>
                <w:szCs w:val="20"/>
              </w:rPr>
              <w:t>11</w:t>
            </w:r>
            <w:r w:rsidRPr="00A935AA">
              <w:rPr>
                <w:sz w:val="20"/>
                <w:szCs w:val="20"/>
              </w:rPr>
              <w:t>.</w:t>
            </w:r>
            <w:r w:rsidR="00013468">
              <w:rPr>
                <w:sz w:val="20"/>
                <w:szCs w:val="20"/>
              </w:rPr>
              <w:t>0</w:t>
            </w:r>
            <w:r>
              <w:rPr>
                <w:sz w:val="20"/>
                <w:szCs w:val="20"/>
              </w:rPr>
              <w:t>1</w:t>
            </w:r>
            <w:r w:rsidRPr="00A935AA">
              <w:rPr>
                <w:sz w:val="20"/>
                <w:szCs w:val="20"/>
              </w:rPr>
              <w:t>.201</w:t>
            </w:r>
            <w:r>
              <w:rPr>
                <w:sz w:val="20"/>
                <w:szCs w:val="20"/>
              </w:rPr>
              <w:t>3</w:t>
            </w:r>
          </w:p>
          <w:p w:rsidR="0079565C" w:rsidRPr="00A935AA" w:rsidRDefault="00CD48BC" w:rsidP="009208D4">
            <w:pPr>
              <w:rPr>
                <w:sz w:val="20"/>
                <w:szCs w:val="20"/>
              </w:rPr>
            </w:pPr>
            <w:r w:rsidRPr="00CD48BC">
              <w:rPr>
                <w:sz w:val="20"/>
                <w:szCs w:val="20"/>
                <w:lang w:val="fr-CA"/>
              </w:rPr>
              <w:pict>
                <v:rect id="_x0000_i1032"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A56AB1">
          <w:headerReference w:type="default" r:id="rId16"/>
          <w:footerReference w:type="default" r:id="rId17"/>
          <w:headerReference w:type="first" r:id="rId18"/>
          <w:footerReference w:type="first" r:id="rId19"/>
          <w:pgSz w:w="12240" w:h="15840"/>
          <w:pgMar w:top="720" w:right="965" w:bottom="1080" w:left="1656" w:header="706" w:footer="706" w:gutter="0"/>
          <w:pgNumType w:start="54"/>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334802"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F761A3" w:rsidP="004B7F60">
      <w:pPr>
        <w:widowControl w:val="0"/>
        <w:rPr>
          <w:b/>
          <w:sz w:val="20"/>
          <w:szCs w:val="20"/>
        </w:rPr>
      </w:pPr>
      <w:r>
        <w:rPr>
          <w:b/>
          <w:sz w:val="20"/>
          <w:szCs w:val="20"/>
        </w:rPr>
        <w:t xml:space="preserve">JANUARY </w:t>
      </w:r>
      <w:r w:rsidR="00E7325D">
        <w:rPr>
          <w:b/>
          <w:sz w:val="20"/>
          <w:szCs w:val="20"/>
        </w:rPr>
        <w:t>14</w:t>
      </w:r>
      <w:r w:rsidR="004B7F60" w:rsidRPr="00C50A5C">
        <w:rPr>
          <w:b/>
          <w:sz w:val="20"/>
          <w:szCs w:val="20"/>
        </w:rPr>
        <w:t>, 201</w:t>
      </w:r>
      <w:r>
        <w:rPr>
          <w:b/>
          <w:sz w:val="20"/>
          <w:szCs w:val="20"/>
        </w:rPr>
        <w:t>3</w:t>
      </w:r>
      <w:r w:rsidR="004B7F60" w:rsidRPr="00C50A5C">
        <w:rPr>
          <w:b/>
          <w:sz w:val="20"/>
          <w:szCs w:val="20"/>
        </w:rPr>
        <w:t xml:space="preserve"> / LE </w:t>
      </w:r>
      <w:r w:rsidR="00E7325D">
        <w:rPr>
          <w:b/>
          <w:sz w:val="20"/>
          <w:szCs w:val="20"/>
        </w:rPr>
        <w:t>14</w:t>
      </w:r>
      <w:r w:rsidR="004B7F60">
        <w:rPr>
          <w:b/>
          <w:sz w:val="20"/>
          <w:szCs w:val="20"/>
        </w:rPr>
        <w:t xml:space="preserve"> </w:t>
      </w:r>
      <w:r>
        <w:rPr>
          <w:b/>
          <w:sz w:val="20"/>
          <w:szCs w:val="20"/>
        </w:rPr>
        <w:t>JANVIE</w:t>
      </w:r>
      <w:r w:rsidR="004B7F60">
        <w:rPr>
          <w:b/>
          <w:sz w:val="20"/>
          <w:szCs w:val="20"/>
        </w:rPr>
        <w:t>R</w:t>
      </w:r>
      <w:r w:rsidR="004B7F60" w:rsidRPr="00C50A5C">
        <w:rPr>
          <w:b/>
          <w:sz w:val="20"/>
          <w:szCs w:val="20"/>
        </w:rPr>
        <w:t xml:space="preserve"> 201</w:t>
      </w:r>
      <w:r>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62714A">
        <w:rPr>
          <w:b/>
          <w:sz w:val="20"/>
          <w:szCs w:val="20"/>
        </w:rPr>
        <w:t>Abella</w:t>
      </w:r>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C50A5C" w:rsidRDefault="00EA08C6" w:rsidP="004B7F60">
      <w:pPr>
        <w:pStyle w:val="ListParagraph"/>
        <w:widowControl w:val="0"/>
        <w:numPr>
          <w:ilvl w:val="0"/>
          <w:numId w:val="1"/>
        </w:numPr>
        <w:ind w:hanging="720"/>
        <w:jc w:val="both"/>
        <w:rPr>
          <w:sz w:val="20"/>
          <w:szCs w:val="20"/>
        </w:rPr>
      </w:pPr>
      <w:r w:rsidRPr="00EA08C6">
        <w:rPr>
          <w:i/>
          <w:sz w:val="20"/>
          <w:szCs w:val="20"/>
        </w:rPr>
        <w:t>Hafiz Ali Sunderji v. Her Majesty the Queen</w:t>
      </w:r>
      <w:r w:rsidRPr="00EA08C6">
        <w:rPr>
          <w:sz w:val="20"/>
          <w:szCs w:val="20"/>
        </w:rPr>
        <w:t xml:space="preserve"> (Alta.) (Crim.) (By Leave)</w:t>
      </w:r>
      <w:r w:rsidRPr="00C50A5C">
        <w:rPr>
          <w:sz w:val="20"/>
          <w:szCs w:val="20"/>
        </w:rPr>
        <w:t xml:space="preserve"> </w:t>
      </w:r>
      <w:r w:rsidR="004B7F60" w:rsidRPr="00C50A5C">
        <w:rPr>
          <w:sz w:val="20"/>
          <w:szCs w:val="20"/>
        </w:rPr>
        <w:t>(3</w:t>
      </w:r>
      <w:r w:rsidR="00E7325D">
        <w:rPr>
          <w:sz w:val="20"/>
          <w:szCs w:val="20"/>
        </w:rPr>
        <w:t>5</w:t>
      </w:r>
      <w:r>
        <w:rPr>
          <w:sz w:val="20"/>
          <w:szCs w:val="20"/>
        </w:rPr>
        <w:t>082</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EA08C6" w:rsidP="004B7F60">
      <w:pPr>
        <w:pStyle w:val="ListParagraph"/>
        <w:widowControl w:val="0"/>
        <w:numPr>
          <w:ilvl w:val="0"/>
          <w:numId w:val="1"/>
        </w:numPr>
        <w:ind w:hanging="720"/>
        <w:jc w:val="both"/>
        <w:rPr>
          <w:sz w:val="20"/>
          <w:szCs w:val="20"/>
        </w:rPr>
      </w:pPr>
      <w:r w:rsidRPr="00EA08C6">
        <w:rPr>
          <w:i/>
          <w:sz w:val="20"/>
          <w:szCs w:val="20"/>
          <w:lang w:val="fr-CA"/>
        </w:rPr>
        <w:t>Uri Landman Husid v. Hélène Marie Thérèse Daviau</w:t>
      </w:r>
      <w:r w:rsidRPr="00EA08C6">
        <w:rPr>
          <w:sz w:val="20"/>
          <w:szCs w:val="20"/>
          <w:lang w:val="fr-CA"/>
        </w:rPr>
        <w:t xml:space="preserve"> (Ont.) </w:t>
      </w:r>
      <w:r w:rsidRPr="00EA08C6">
        <w:rPr>
          <w:sz w:val="20"/>
          <w:szCs w:val="20"/>
        </w:rPr>
        <w:t xml:space="preserve">(Civil) (By Leave) </w:t>
      </w:r>
      <w:r w:rsidR="004B7F60" w:rsidRPr="00C612D0">
        <w:rPr>
          <w:sz w:val="20"/>
          <w:szCs w:val="20"/>
        </w:rPr>
        <w:t>(3</w:t>
      </w:r>
      <w:r w:rsidR="00E7325D">
        <w:rPr>
          <w:sz w:val="20"/>
          <w:szCs w:val="20"/>
        </w:rPr>
        <w:t>5</w:t>
      </w:r>
      <w:r>
        <w:rPr>
          <w:sz w:val="20"/>
          <w:szCs w:val="20"/>
        </w:rPr>
        <w:t>080</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EA08C6" w:rsidP="004B7F60">
      <w:pPr>
        <w:pStyle w:val="ListParagraph"/>
        <w:widowControl w:val="0"/>
        <w:numPr>
          <w:ilvl w:val="0"/>
          <w:numId w:val="1"/>
        </w:numPr>
        <w:ind w:hanging="720"/>
        <w:jc w:val="both"/>
        <w:rPr>
          <w:sz w:val="20"/>
          <w:szCs w:val="20"/>
        </w:rPr>
      </w:pPr>
      <w:r w:rsidRPr="00EA08C6">
        <w:rPr>
          <w:i/>
          <w:sz w:val="20"/>
          <w:szCs w:val="20"/>
          <w:lang w:val="fr-CA"/>
        </w:rPr>
        <w:t>Jagdish Nanda v. Société de l'assurance automobile du Québec</w:t>
      </w:r>
      <w:r w:rsidRPr="00EA08C6">
        <w:rPr>
          <w:sz w:val="20"/>
          <w:szCs w:val="20"/>
          <w:lang w:val="fr-CA"/>
        </w:rPr>
        <w:t xml:space="preserve"> (Que.) </w:t>
      </w:r>
      <w:r w:rsidRPr="00EA08C6">
        <w:rPr>
          <w:sz w:val="20"/>
          <w:szCs w:val="20"/>
        </w:rPr>
        <w:t>(Civil) (By Leave)</w:t>
      </w:r>
      <w:r w:rsidRPr="00940CAD">
        <w:rPr>
          <w:sz w:val="20"/>
          <w:szCs w:val="20"/>
        </w:rPr>
        <w:t xml:space="preserve"> </w:t>
      </w:r>
      <w:r w:rsidR="004B7F60" w:rsidRPr="00940CAD">
        <w:rPr>
          <w:sz w:val="20"/>
          <w:szCs w:val="20"/>
        </w:rPr>
        <w:t>(3</w:t>
      </w:r>
      <w:r w:rsidR="00E7325D">
        <w:rPr>
          <w:sz w:val="20"/>
          <w:szCs w:val="20"/>
        </w:rPr>
        <w:t>5</w:t>
      </w:r>
      <w:r>
        <w:rPr>
          <w:sz w:val="20"/>
          <w:szCs w:val="20"/>
        </w:rPr>
        <w:t>005</w:t>
      </w:r>
      <w:r w:rsidR="004B7F60" w:rsidRPr="00940CAD">
        <w:rPr>
          <w:sz w:val="20"/>
          <w:szCs w:val="20"/>
        </w:rPr>
        <w:t>)</w:t>
      </w:r>
    </w:p>
    <w:p w:rsidR="004B7F60" w:rsidRPr="00C50A5C" w:rsidRDefault="004B7F60" w:rsidP="004B7F60">
      <w:pPr>
        <w:widowControl w:val="0"/>
        <w:rPr>
          <w:sz w:val="20"/>
          <w:szCs w:val="20"/>
        </w:rPr>
      </w:pPr>
    </w:p>
    <w:p w:rsidR="004B7F60" w:rsidRPr="00C50A5C" w:rsidRDefault="00EA08C6" w:rsidP="004B7F60">
      <w:pPr>
        <w:pStyle w:val="ListParagraph"/>
        <w:widowControl w:val="0"/>
        <w:numPr>
          <w:ilvl w:val="0"/>
          <w:numId w:val="1"/>
        </w:numPr>
        <w:ind w:hanging="720"/>
        <w:jc w:val="both"/>
        <w:rPr>
          <w:sz w:val="20"/>
          <w:szCs w:val="20"/>
        </w:rPr>
      </w:pPr>
      <w:r w:rsidRPr="00EA08C6">
        <w:rPr>
          <w:i/>
          <w:sz w:val="20"/>
          <w:szCs w:val="20"/>
        </w:rPr>
        <w:t>Michael McCormick v. Fasken Martineau Dumoulin LLP</w:t>
      </w:r>
      <w:r w:rsidRPr="00EA08C6">
        <w:rPr>
          <w:sz w:val="20"/>
          <w:szCs w:val="20"/>
        </w:rPr>
        <w:t xml:space="preserve"> (B.C.) (Civil) (By Leave)</w:t>
      </w:r>
      <w:r w:rsidRPr="00C50A5C">
        <w:rPr>
          <w:sz w:val="20"/>
          <w:szCs w:val="20"/>
        </w:rPr>
        <w:t xml:space="preserve"> </w:t>
      </w:r>
      <w:r w:rsidR="004B7F60" w:rsidRPr="00C50A5C">
        <w:rPr>
          <w:sz w:val="20"/>
          <w:szCs w:val="20"/>
        </w:rPr>
        <w:t>(3</w:t>
      </w:r>
      <w:r>
        <w:rPr>
          <w:sz w:val="20"/>
          <w:szCs w:val="20"/>
        </w:rPr>
        <w:t>4997</w:t>
      </w:r>
      <w:r w:rsidR="004B7F60" w:rsidRPr="00C50A5C">
        <w:rPr>
          <w:sz w:val="20"/>
          <w:szCs w:val="20"/>
        </w:rPr>
        <w:t>)</w:t>
      </w:r>
    </w:p>
    <w:p w:rsidR="004B7F60" w:rsidRPr="00EA08C6" w:rsidRDefault="004B7F60" w:rsidP="004B7F60">
      <w:pPr>
        <w:widowControl w:val="0"/>
        <w:jc w:val="both"/>
        <w:rPr>
          <w:sz w:val="20"/>
          <w:szCs w:val="20"/>
        </w:rPr>
      </w:pPr>
    </w:p>
    <w:p w:rsidR="004B7F60" w:rsidRPr="00C612D0" w:rsidRDefault="00EA08C6" w:rsidP="004B7F60">
      <w:pPr>
        <w:pStyle w:val="ListParagraph"/>
        <w:widowControl w:val="0"/>
        <w:numPr>
          <w:ilvl w:val="0"/>
          <w:numId w:val="1"/>
        </w:numPr>
        <w:ind w:hanging="720"/>
        <w:jc w:val="both"/>
        <w:rPr>
          <w:sz w:val="20"/>
          <w:szCs w:val="20"/>
          <w:lang w:val="fr-CA"/>
        </w:rPr>
      </w:pPr>
      <w:r w:rsidRPr="00EA08C6">
        <w:rPr>
          <w:i/>
          <w:sz w:val="20"/>
          <w:szCs w:val="20"/>
        </w:rPr>
        <w:t>United Association of Journeymen and Apprentices of the Plumbing and Pipefitting Industry of the United States and Canada, Local 552 v. Greater Essex County District School Board et al.</w:t>
      </w:r>
      <w:r w:rsidRPr="00EA08C6">
        <w:rPr>
          <w:sz w:val="20"/>
          <w:szCs w:val="20"/>
        </w:rPr>
        <w:t xml:space="preserve"> (Ont.) (Civil) (By Leave)</w:t>
      </w:r>
      <w:r w:rsidRPr="00C612D0">
        <w:rPr>
          <w:sz w:val="20"/>
          <w:szCs w:val="20"/>
          <w:lang w:val="fr-CA"/>
        </w:rPr>
        <w:t xml:space="preserve"> </w:t>
      </w:r>
      <w:r w:rsidR="004B7F60" w:rsidRPr="00C612D0">
        <w:rPr>
          <w:sz w:val="20"/>
          <w:szCs w:val="20"/>
          <w:lang w:val="fr-CA"/>
        </w:rPr>
        <w:t>(3</w:t>
      </w:r>
      <w:r>
        <w:rPr>
          <w:sz w:val="20"/>
          <w:szCs w:val="20"/>
          <w:lang w:val="fr-CA"/>
        </w:rPr>
        <w:t>4992</w:t>
      </w:r>
      <w:r w:rsidR="004B7F60" w:rsidRPr="00C612D0">
        <w:rPr>
          <w:sz w:val="20"/>
          <w:szCs w:val="20"/>
          <w:lang w:val="fr-CA"/>
        </w:rPr>
        <w:t>)</w:t>
      </w:r>
    </w:p>
    <w:p w:rsidR="004B7F60" w:rsidRDefault="004B7F60" w:rsidP="004B7F60">
      <w:pPr>
        <w:widowControl w:val="0"/>
        <w:rPr>
          <w:sz w:val="20"/>
          <w:szCs w:val="20"/>
          <w:lang w:val="fr-CA"/>
        </w:rPr>
      </w:pPr>
    </w:p>
    <w:p w:rsidR="00EA08C6" w:rsidRDefault="00EA08C6" w:rsidP="004B7F60">
      <w:pPr>
        <w:widowControl w:val="0"/>
        <w:rPr>
          <w:sz w:val="20"/>
          <w:szCs w:val="20"/>
          <w:lang w:val="fr-CA"/>
        </w:rPr>
      </w:pPr>
    </w:p>
    <w:p w:rsidR="00EA08C6" w:rsidRPr="00C50A5C" w:rsidRDefault="00EA08C6" w:rsidP="00EA08C6">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EA08C6" w:rsidRPr="00C50A5C" w:rsidRDefault="00EA08C6" w:rsidP="00EA08C6">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EA08C6" w:rsidRPr="00C612D0" w:rsidRDefault="00EA08C6" w:rsidP="004B7F60">
      <w:pPr>
        <w:widowControl w:val="0"/>
        <w:rPr>
          <w:sz w:val="20"/>
          <w:szCs w:val="20"/>
          <w:lang w:val="fr-CA"/>
        </w:rPr>
      </w:pPr>
    </w:p>
    <w:p w:rsidR="004B7F60" w:rsidRPr="00115C9E" w:rsidRDefault="00EA08C6" w:rsidP="004B7F60">
      <w:pPr>
        <w:pStyle w:val="ListParagraph"/>
        <w:widowControl w:val="0"/>
        <w:numPr>
          <w:ilvl w:val="0"/>
          <w:numId w:val="1"/>
        </w:numPr>
        <w:ind w:hanging="720"/>
        <w:jc w:val="both"/>
        <w:rPr>
          <w:sz w:val="20"/>
          <w:szCs w:val="20"/>
          <w:lang w:val="fr-CA"/>
        </w:rPr>
      </w:pPr>
      <w:r w:rsidRPr="00EA08C6">
        <w:rPr>
          <w:i/>
          <w:sz w:val="20"/>
          <w:szCs w:val="20"/>
        </w:rPr>
        <w:t>Michel Joseph Blais v. Attorney General of Canada</w:t>
      </w:r>
      <w:r w:rsidRPr="00EA08C6">
        <w:rPr>
          <w:sz w:val="20"/>
          <w:szCs w:val="20"/>
        </w:rPr>
        <w:t xml:space="preserve"> (N.S.) (Crim.) (By Leave)</w:t>
      </w:r>
      <w:r w:rsidRPr="00115C9E">
        <w:rPr>
          <w:sz w:val="20"/>
          <w:szCs w:val="20"/>
          <w:lang w:val="fr-CA"/>
        </w:rPr>
        <w:t xml:space="preserve"> </w:t>
      </w:r>
      <w:r w:rsidR="004B7F60" w:rsidRPr="00115C9E">
        <w:rPr>
          <w:sz w:val="20"/>
          <w:szCs w:val="20"/>
          <w:lang w:val="fr-CA"/>
        </w:rPr>
        <w:t>(35</w:t>
      </w:r>
      <w:r>
        <w:rPr>
          <w:sz w:val="20"/>
          <w:szCs w:val="20"/>
          <w:lang w:val="fr-CA"/>
        </w:rPr>
        <w:t>092</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EA08C6" w:rsidRDefault="00EA08C6" w:rsidP="004B7F60">
      <w:pPr>
        <w:pStyle w:val="ListParagraph"/>
        <w:widowControl w:val="0"/>
        <w:numPr>
          <w:ilvl w:val="0"/>
          <w:numId w:val="1"/>
        </w:numPr>
        <w:ind w:hanging="720"/>
        <w:jc w:val="both"/>
        <w:rPr>
          <w:sz w:val="20"/>
          <w:szCs w:val="20"/>
        </w:rPr>
      </w:pPr>
      <w:r w:rsidRPr="00EA08C6">
        <w:rPr>
          <w:i/>
          <w:sz w:val="20"/>
          <w:szCs w:val="20"/>
        </w:rPr>
        <w:t>Kerry Wong v. Her Majesty the Queen</w:t>
      </w:r>
      <w:r w:rsidRPr="00EA08C6">
        <w:rPr>
          <w:sz w:val="20"/>
          <w:szCs w:val="20"/>
        </w:rPr>
        <w:t xml:space="preserve"> (Ont.) (Crim.) (By Leave) </w:t>
      </w:r>
      <w:r w:rsidR="004B7F60" w:rsidRPr="00EA08C6">
        <w:rPr>
          <w:sz w:val="20"/>
          <w:szCs w:val="20"/>
        </w:rPr>
        <w:t>(3</w:t>
      </w:r>
      <w:r w:rsidRPr="00EA08C6">
        <w:rPr>
          <w:sz w:val="20"/>
          <w:szCs w:val="20"/>
        </w:rPr>
        <w:t>4966</w:t>
      </w:r>
      <w:r w:rsidR="004B7F60" w:rsidRPr="00EA08C6">
        <w:rPr>
          <w:sz w:val="20"/>
          <w:szCs w:val="20"/>
        </w:rPr>
        <w:t>)</w:t>
      </w:r>
    </w:p>
    <w:p w:rsidR="004B7F60" w:rsidRPr="00EA08C6" w:rsidRDefault="004B7F60" w:rsidP="004B7F60">
      <w:pPr>
        <w:widowControl w:val="0"/>
        <w:jc w:val="both"/>
        <w:rPr>
          <w:sz w:val="20"/>
          <w:szCs w:val="20"/>
        </w:rPr>
      </w:pPr>
    </w:p>
    <w:p w:rsidR="004B7F60" w:rsidRPr="00C50A5C" w:rsidRDefault="00EA08C6" w:rsidP="004B7F60">
      <w:pPr>
        <w:pStyle w:val="ListParagraph"/>
        <w:widowControl w:val="0"/>
        <w:numPr>
          <w:ilvl w:val="0"/>
          <w:numId w:val="1"/>
        </w:numPr>
        <w:ind w:hanging="720"/>
        <w:jc w:val="both"/>
        <w:rPr>
          <w:sz w:val="20"/>
          <w:szCs w:val="20"/>
          <w:lang w:val="fr-CA"/>
        </w:rPr>
      </w:pPr>
      <w:r w:rsidRPr="00EA08C6">
        <w:rPr>
          <w:i/>
          <w:sz w:val="20"/>
          <w:szCs w:val="20"/>
        </w:rPr>
        <w:t>Her Majesty the Queen v. Nelson Lloyd Hart</w:t>
      </w:r>
      <w:r w:rsidRPr="00EA08C6">
        <w:rPr>
          <w:sz w:val="20"/>
          <w:szCs w:val="20"/>
        </w:rPr>
        <w:t xml:space="preserve"> (N.L.) </w:t>
      </w:r>
      <w:r w:rsidRPr="00EA08C6">
        <w:rPr>
          <w:sz w:val="20"/>
          <w:szCs w:val="20"/>
          <w:lang w:val="fr-CA"/>
        </w:rPr>
        <w:t xml:space="preserve">(Crim.) </w:t>
      </w:r>
      <w:r w:rsidRPr="00EA08C6">
        <w:rPr>
          <w:sz w:val="20"/>
          <w:szCs w:val="20"/>
        </w:rPr>
        <w:t>(By Leave)</w:t>
      </w:r>
      <w:r w:rsidRPr="00C50A5C">
        <w:rPr>
          <w:sz w:val="20"/>
          <w:szCs w:val="20"/>
          <w:lang w:val="fr-CA"/>
        </w:rPr>
        <w:t xml:space="preserve"> </w:t>
      </w:r>
      <w:r w:rsidR="004B7F60" w:rsidRPr="00C50A5C">
        <w:rPr>
          <w:sz w:val="20"/>
          <w:szCs w:val="20"/>
          <w:lang w:val="fr-CA"/>
        </w:rPr>
        <w:t>(3</w:t>
      </w:r>
      <w:r w:rsidR="00E7325D">
        <w:rPr>
          <w:sz w:val="20"/>
          <w:szCs w:val="20"/>
          <w:lang w:val="fr-CA"/>
        </w:rPr>
        <w:t>5</w:t>
      </w:r>
      <w:r>
        <w:rPr>
          <w:sz w:val="20"/>
          <w:szCs w:val="20"/>
          <w:lang w:val="fr-CA"/>
        </w:rPr>
        <w:t>049</w:t>
      </w:r>
      <w:r w:rsidR="004B7F60" w:rsidRPr="00C50A5C">
        <w:rPr>
          <w:sz w:val="20"/>
          <w:szCs w:val="20"/>
          <w:lang w:val="fr-CA"/>
        </w:rPr>
        <w:t>)</w:t>
      </w:r>
    </w:p>
    <w:p w:rsidR="004B7F60" w:rsidRPr="00C50A5C" w:rsidRDefault="004B7F60" w:rsidP="004B7F60">
      <w:pPr>
        <w:widowControl w:val="0"/>
        <w:rPr>
          <w:sz w:val="20"/>
          <w:szCs w:val="20"/>
          <w:lang w:val="fr-CA"/>
        </w:rPr>
      </w:pPr>
    </w:p>
    <w:p w:rsidR="004B7F60" w:rsidRPr="00C50A5C" w:rsidRDefault="00EA08C6" w:rsidP="004B7F60">
      <w:pPr>
        <w:pStyle w:val="ListParagraph"/>
        <w:widowControl w:val="0"/>
        <w:numPr>
          <w:ilvl w:val="0"/>
          <w:numId w:val="1"/>
        </w:numPr>
        <w:ind w:hanging="720"/>
        <w:jc w:val="both"/>
        <w:rPr>
          <w:sz w:val="20"/>
          <w:szCs w:val="20"/>
          <w:lang w:val="fr-CA"/>
        </w:rPr>
      </w:pPr>
      <w:r w:rsidRPr="00EA08C6">
        <w:rPr>
          <w:i/>
          <w:sz w:val="20"/>
          <w:szCs w:val="20"/>
          <w:lang w:val="fr-CA"/>
        </w:rPr>
        <w:t>Jacques Nadeau c. Autorité des marchés financiers (AMF)</w:t>
      </w:r>
      <w:r w:rsidRPr="00EA08C6">
        <w:rPr>
          <w:sz w:val="20"/>
          <w:szCs w:val="20"/>
          <w:lang w:val="fr-CA"/>
        </w:rPr>
        <w:t xml:space="preserve"> (Qc) (Civile) (Autorisation)</w:t>
      </w:r>
      <w:r w:rsidRPr="00C50A5C">
        <w:rPr>
          <w:sz w:val="20"/>
          <w:szCs w:val="20"/>
          <w:lang w:val="fr-CA"/>
        </w:rPr>
        <w:t xml:space="preserve"> </w:t>
      </w:r>
      <w:r w:rsidR="004B7F60" w:rsidRPr="00C50A5C">
        <w:rPr>
          <w:sz w:val="20"/>
          <w:szCs w:val="20"/>
          <w:lang w:val="fr-CA"/>
        </w:rPr>
        <w:t>(3</w:t>
      </w:r>
      <w:r w:rsidR="00E7325D">
        <w:rPr>
          <w:sz w:val="20"/>
          <w:szCs w:val="20"/>
          <w:lang w:val="fr-CA"/>
        </w:rPr>
        <w:t>5</w:t>
      </w:r>
      <w:r>
        <w:rPr>
          <w:sz w:val="20"/>
          <w:szCs w:val="20"/>
          <w:lang w:val="fr-CA"/>
        </w:rPr>
        <w:t>061</w:t>
      </w:r>
      <w:r w:rsidR="004B7F60" w:rsidRPr="00C50A5C">
        <w:rPr>
          <w:sz w:val="20"/>
          <w:szCs w:val="20"/>
          <w:lang w:val="fr-CA"/>
        </w:rPr>
        <w:t>)</w:t>
      </w:r>
    </w:p>
    <w:p w:rsidR="004B7F60" w:rsidRDefault="004B7F60" w:rsidP="004B7F60">
      <w:pPr>
        <w:widowControl w:val="0"/>
        <w:jc w:val="both"/>
        <w:rPr>
          <w:sz w:val="20"/>
          <w:szCs w:val="20"/>
          <w:lang w:val="fr-CA"/>
        </w:rPr>
      </w:pPr>
    </w:p>
    <w:p w:rsidR="004B7F60" w:rsidRPr="00EA08C6" w:rsidRDefault="00EA08C6" w:rsidP="004B7F60">
      <w:pPr>
        <w:pStyle w:val="ListParagraph"/>
        <w:widowControl w:val="0"/>
        <w:numPr>
          <w:ilvl w:val="0"/>
          <w:numId w:val="1"/>
        </w:numPr>
        <w:ind w:hanging="720"/>
        <w:jc w:val="both"/>
        <w:rPr>
          <w:sz w:val="20"/>
          <w:szCs w:val="20"/>
          <w:lang w:val="fr-CA"/>
        </w:rPr>
      </w:pPr>
      <w:r w:rsidRPr="00EA08C6">
        <w:rPr>
          <w:i/>
          <w:sz w:val="20"/>
          <w:szCs w:val="20"/>
          <w:lang w:val="fr-CA"/>
        </w:rPr>
        <w:t>Ville de Dorval et autre c. Les centres de la jeunesse et de la famille Batshaw</w:t>
      </w:r>
      <w:r w:rsidRPr="00EA08C6">
        <w:rPr>
          <w:sz w:val="20"/>
          <w:szCs w:val="20"/>
          <w:lang w:val="fr-CA"/>
        </w:rPr>
        <w:t xml:space="preserve"> (Qc) (Civile) (Autorisation) </w:t>
      </w:r>
      <w:r w:rsidR="004B7F60" w:rsidRPr="00EA08C6">
        <w:rPr>
          <w:sz w:val="20"/>
          <w:szCs w:val="20"/>
          <w:lang w:val="fr-CA"/>
        </w:rPr>
        <w:t>(3</w:t>
      </w:r>
      <w:r w:rsidR="00E7325D" w:rsidRPr="00EA08C6">
        <w:rPr>
          <w:sz w:val="20"/>
          <w:szCs w:val="20"/>
          <w:lang w:val="fr-CA"/>
        </w:rPr>
        <w:t>5</w:t>
      </w:r>
      <w:r w:rsidRPr="00EA08C6">
        <w:rPr>
          <w:sz w:val="20"/>
          <w:szCs w:val="20"/>
          <w:lang w:val="fr-CA"/>
        </w:rPr>
        <w:t>044</w:t>
      </w:r>
      <w:r w:rsidR="004B7F60" w:rsidRPr="00EA08C6">
        <w:rPr>
          <w:sz w:val="20"/>
          <w:szCs w:val="20"/>
          <w:lang w:val="fr-CA"/>
        </w:rPr>
        <w:t>)</w:t>
      </w:r>
    </w:p>
    <w:p w:rsidR="004B7F60" w:rsidRPr="00EA08C6" w:rsidRDefault="004B7F60" w:rsidP="004B7F60">
      <w:pPr>
        <w:widowControl w:val="0"/>
        <w:jc w:val="both"/>
        <w:rPr>
          <w:sz w:val="20"/>
          <w:szCs w:val="20"/>
          <w:lang w:val="fr-CA"/>
        </w:rPr>
      </w:pPr>
    </w:p>
    <w:p w:rsidR="00EA08C6" w:rsidRPr="00EA08C6" w:rsidRDefault="00EA08C6" w:rsidP="004B7F60">
      <w:pPr>
        <w:widowControl w:val="0"/>
        <w:jc w:val="both"/>
        <w:rPr>
          <w:sz w:val="20"/>
          <w:szCs w:val="20"/>
          <w:lang w:val="fr-CA"/>
        </w:rPr>
      </w:pPr>
    </w:p>
    <w:p w:rsidR="00EA08C6" w:rsidRPr="00C50A5C" w:rsidRDefault="00EA08C6" w:rsidP="00EA08C6">
      <w:pPr>
        <w:widowControl w:val="0"/>
        <w:jc w:val="center"/>
        <w:rPr>
          <w:b/>
          <w:sz w:val="20"/>
          <w:szCs w:val="20"/>
        </w:rPr>
      </w:pPr>
      <w:r w:rsidRPr="00C50A5C">
        <w:rPr>
          <w:b/>
          <w:sz w:val="20"/>
          <w:szCs w:val="20"/>
        </w:rPr>
        <w:t xml:space="preserve">CORAM: </w:t>
      </w:r>
      <w:r>
        <w:rPr>
          <w:b/>
          <w:sz w:val="20"/>
          <w:szCs w:val="20"/>
        </w:rPr>
        <w:t>Fish,</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EA08C6" w:rsidRPr="00C50A5C" w:rsidRDefault="00EA08C6" w:rsidP="00EA08C6">
      <w:pPr>
        <w:widowControl w:val="0"/>
        <w:jc w:val="center"/>
        <w:rPr>
          <w:b/>
          <w:sz w:val="20"/>
          <w:szCs w:val="20"/>
          <w:lang w:val="fr-CA"/>
        </w:rPr>
      </w:pPr>
      <w:r w:rsidRPr="00C50A5C">
        <w:rPr>
          <w:b/>
          <w:sz w:val="20"/>
          <w:szCs w:val="20"/>
          <w:lang w:val="fr-CA"/>
        </w:rPr>
        <w:t xml:space="preserve">Les juges </w:t>
      </w:r>
      <w:r>
        <w:rPr>
          <w:b/>
          <w:sz w:val="20"/>
          <w:szCs w:val="20"/>
          <w:lang w:val="fr-CA"/>
        </w:rPr>
        <w:t>Fish</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EA08C6" w:rsidRPr="00EA08C6" w:rsidRDefault="00EA08C6" w:rsidP="004B7F60">
      <w:pPr>
        <w:widowControl w:val="0"/>
        <w:jc w:val="both"/>
        <w:rPr>
          <w:sz w:val="20"/>
          <w:szCs w:val="20"/>
          <w:lang w:val="fr-CA"/>
        </w:rPr>
      </w:pPr>
    </w:p>
    <w:p w:rsidR="004B7F60" w:rsidRPr="00115C9E" w:rsidRDefault="00EA08C6" w:rsidP="004B7F60">
      <w:pPr>
        <w:pStyle w:val="ListParagraph"/>
        <w:widowControl w:val="0"/>
        <w:numPr>
          <w:ilvl w:val="0"/>
          <w:numId w:val="1"/>
        </w:numPr>
        <w:ind w:hanging="720"/>
        <w:jc w:val="both"/>
        <w:rPr>
          <w:sz w:val="20"/>
          <w:szCs w:val="20"/>
        </w:rPr>
      </w:pPr>
      <w:r w:rsidRPr="00EA08C6">
        <w:rPr>
          <w:i/>
          <w:sz w:val="20"/>
          <w:szCs w:val="20"/>
        </w:rPr>
        <w:t>Wanda Cummings v. Her Majesty the Queen et al.</w:t>
      </w:r>
      <w:r w:rsidRPr="00EA08C6">
        <w:rPr>
          <w:sz w:val="20"/>
          <w:szCs w:val="20"/>
        </w:rPr>
        <w:t xml:space="preserve"> (N.S.) (Crim.) (By Leave)</w:t>
      </w:r>
      <w:r>
        <w:rPr>
          <w:sz w:val="20"/>
          <w:szCs w:val="20"/>
        </w:rPr>
        <w:t xml:space="preserve"> </w:t>
      </w:r>
      <w:r w:rsidR="004B7F60" w:rsidRPr="00115C9E">
        <w:rPr>
          <w:sz w:val="20"/>
          <w:szCs w:val="20"/>
        </w:rPr>
        <w:t>(3</w:t>
      </w:r>
      <w:r>
        <w:rPr>
          <w:sz w:val="20"/>
          <w:szCs w:val="20"/>
        </w:rPr>
        <w:t>4962</w:t>
      </w:r>
      <w:r w:rsidR="004B7F60" w:rsidRPr="00115C9E">
        <w:rPr>
          <w:sz w:val="20"/>
          <w:szCs w:val="20"/>
        </w:rPr>
        <w:t>)</w:t>
      </w:r>
    </w:p>
    <w:p w:rsidR="004B7F60" w:rsidRPr="00115C9E" w:rsidRDefault="004B7F60" w:rsidP="004B7F60">
      <w:pPr>
        <w:widowControl w:val="0"/>
        <w:jc w:val="both"/>
        <w:rPr>
          <w:sz w:val="20"/>
          <w:szCs w:val="20"/>
        </w:rPr>
      </w:pPr>
    </w:p>
    <w:p w:rsidR="004B7F60" w:rsidRDefault="00EA08C6" w:rsidP="004B7F60">
      <w:pPr>
        <w:pStyle w:val="ListParagraph"/>
        <w:widowControl w:val="0"/>
        <w:numPr>
          <w:ilvl w:val="0"/>
          <w:numId w:val="1"/>
        </w:numPr>
        <w:ind w:hanging="720"/>
        <w:jc w:val="both"/>
        <w:rPr>
          <w:sz w:val="20"/>
          <w:szCs w:val="20"/>
        </w:rPr>
      </w:pPr>
      <w:r w:rsidRPr="00EA08C6">
        <w:rPr>
          <w:i/>
          <w:sz w:val="20"/>
          <w:szCs w:val="20"/>
        </w:rPr>
        <w:t>Ural Direk v. Her Majesty the Queen</w:t>
      </w:r>
      <w:r w:rsidRPr="00EA08C6">
        <w:rPr>
          <w:sz w:val="20"/>
          <w:szCs w:val="20"/>
        </w:rPr>
        <w:t xml:space="preserve"> (Ont.) (Crim.) (By Leave)</w:t>
      </w:r>
      <w:r w:rsidRPr="00C50A5C">
        <w:rPr>
          <w:sz w:val="20"/>
          <w:szCs w:val="20"/>
        </w:rPr>
        <w:t xml:space="preserve"> </w:t>
      </w:r>
      <w:r w:rsidR="004B7F60" w:rsidRPr="00C50A5C">
        <w:rPr>
          <w:sz w:val="20"/>
          <w:szCs w:val="20"/>
        </w:rPr>
        <w:t>(3</w:t>
      </w:r>
      <w:r w:rsidR="00E7325D">
        <w:rPr>
          <w:sz w:val="20"/>
          <w:szCs w:val="20"/>
        </w:rPr>
        <w:t>5</w:t>
      </w:r>
      <w:r>
        <w:rPr>
          <w:sz w:val="20"/>
          <w:szCs w:val="20"/>
        </w:rPr>
        <w:t>051</w:t>
      </w:r>
      <w:r w:rsidR="004B7F60" w:rsidRPr="00C50A5C">
        <w:rPr>
          <w:sz w:val="20"/>
          <w:szCs w:val="20"/>
        </w:rPr>
        <w:t>)</w:t>
      </w:r>
    </w:p>
    <w:p w:rsidR="004B7F60" w:rsidRDefault="004B7F60" w:rsidP="004B7F60">
      <w:pPr>
        <w:widowControl w:val="0"/>
        <w:rPr>
          <w:sz w:val="20"/>
          <w:szCs w:val="20"/>
        </w:rPr>
      </w:pPr>
    </w:p>
    <w:p w:rsidR="002E2327" w:rsidRPr="00EA08C6" w:rsidRDefault="00EA08C6" w:rsidP="00C50A5C">
      <w:pPr>
        <w:pStyle w:val="ListParagraph"/>
        <w:widowControl w:val="0"/>
        <w:numPr>
          <w:ilvl w:val="0"/>
          <w:numId w:val="1"/>
        </w:numPr>
        <w:ind w:hanging="720"/>
        <w:jc w:val="both"/>
        <w:rPr>
          <w:sz w:val="20"/>
          <w:szCs w:val="20"/>
        </w:rPr>
      </w:pPr>
      <w:r w:rsidRPr="00EA08C6">
        <w:rPr>
          <w:i/>
          <w:sz w:val="20"/>
          <w:szCs w:val="20"/>
        </w:rPr>
        <w:t>N.A et al. v. Children's Aid Society of Toronto et al.</w:t>
      </w:r>
      <w:r w:rsidRPr="00EA08C6">
        <w:rPr>
          <w:sz w:val="20"/>
          <w:szCs w:val="20"/>
        </w:rPr>
        <w:t xml:space="preserve"> (Ont.) (Civil) (By Leave) </w:t>
      </w:r>
      <w:r w:rsidR="002E2327" w:rsidRPr="00EA08C6">
        <w:rPr>
          <w:sz w:val="20"/>
          <w:szCs w:val="20"/>
        </w:rPr>
        <w:t>(3</w:t>
      </w:r>
      <w:r w:rsidRPr="00EA08C6">
        <w:rPr>
          <w:sz w:val="20"/>
          <w:szCs w:val="20"/>
        </w:rPr>
        <w:t>4797</w:t>
      </w:r>
      <w:r w:rsidR="002E2327" w:rsidRPr="00EA08C6">
        <w:rPr>
          <w:sz w:val="20"/>
          <w:szCs w:val="20"/>
        </w:rPr>
        <w:t>)</w:t>
      </w:r>
    </w:p>
    <w:p w:rsidR="002E2327" w:rsidRPr="00EA08C6" w:rsidRDefault="002E2327" w:rsidP="00C50A5C">
      <w:pPr>
        <w:widowControl w:val="0"/>
        <w:jc w:val="both"/>
        <w:rPr>
          <w:sz w:val="20"/>
          <w:szCs w:val="20"/>
        </w:rPr>
      </w:pPr>
    </w:p>
    <w:p w:rsidR="002E2327" w:rsidRPr="00EA08C6" w:rsidRDefault="00EA08C6" w:rsidP="00C50A5C">
      <w:pPr>
        <w:pStyle w:val="ListParagraph"/>
        <w:widowControl w:val="0"/>
        <w:numPr>
          <w:ilvl w:val="0"/>
          <w:numId w:val="1"/>
        </w:numPr>
        <w:ind w:hanging="720"/>
        <w:jc w:val="both"/>
        <w:rPr>
          <w:sz w:val="20"/>
          <w:szCs w:val="20"/>
        </w:rPr>
      </w:pPr>
      <w:r w:rsidRPr="00EA08C6">
        <w:rPr>
          <w:i/>
          <w:sz w:val="20"/>
          <w:szCs w:val="20"/>
        </w:rPr>
        <w:t>Earl Takefman v. Dawna  Bier et al.</w:t>
      </w:r>
      <w:r w:rsidRPr="00EA08C6">
        <w:rPr>
          <w:sz w:val="20"/>
          <w:szCs w:val="20"/>
        </w:rPr>
        <w:t xml:space="preserve"> (Que.) (Civil) (By Leave) </w:t>
      </w:r>
      <w:r w:rsidR="00E7325D" w:rsidRPr="00EA08C6">
        <w:rPr>
          <w:sz w:val="20"/>
          <w:szCs w:val="20"/>
        </w:rPr>
        <w:t>(35</w:t>
      </w:r>
      <w:r w:rsidRPr="00EA08C6">
        <w:rPr>
          <w:sz w:val="20"/>
          <w:szCs w:val="20"/>
        </w:rPr>
        <w:t>037</w:t>
      </w:r>
      <w:r w:rsidR="002E2327" w:rsidRPr="00EA08C6">
        <w:rPr>
          <w:sz w:val="20"/>
          <w:szCs w:val="20"/>
        </w:rPr>
        <w:t>)</w:t>
      </w:r>
    </w:p>
    <w:p w:rsidR="002E2327" w:rsidRPr="00EA08C6" w:rsidRDefault="002E2327" w:rsidP="00C50A5C">
      <w:pPr>
        <w:widowControl w:val="0"/>
        <w:jc w:val="both"/>
        <w:rPr>
          <w:sz w:val="20"/>
          <w:szCs w:val="20"/>
        </w:rPr>
      </w:pPr>
    </w:p>
    <w:p w:rsidR="002E2327" w:rsidRPr="00EA08C6" w:rsidRDefault="00EA08C6" w:rsidP="00C50A5C">
      <w:pPr>
        <w:pStyle w:val="ListParagraph"/>
        <w:widowControl w:val="0"/>
        <w:numPr>
          <w:ilvl w:val="0"/>
          <w:numId w:val="1"/>
        </w:numPr>
        <w:ind w:hanging="720"/>
        <w:jc w:val="both"/>
        <w:rPr>
          <w:sz w:val="20"/>
          <w:szCs w:val="20"/>
        </w:rPr>
      </w:pPr>
      <w:r w:rsidRPr="00EA08C6">
        <w:rPr>
          <w:i/>
          <w:sz w:val="20"/>
          <w:szCs w:val="20"/>
        </w:rPr>
        <w:t>Sattva Capital Corporation (formerly Sattva Capital Inc.) v. Creston Moly Corporation (formerly Georgia Ventures Inc.)</w:t>
      </w:r>
      <w:r w:rsidRPr="00EA08C6">
        <w:rPr>
          <w:sz w:val="20"/>
          <w:szCs w:val="20"/>
        </w:rPr>
        <w:t xml:space="preserve"> (B.C.) (Civil) (By Leave) </w:t>
      </w:r>
      <w:r w:rsidR="002E2327" w:rsidRPr="00EA08C6">
        <w:rPr>
          <w:sz w:val="20"/>
          <w:szCs w:val="20"/>
        </w:rPr>
        <w:t>(3</w:t>
      </w:r>
      <w:r w:rsidR="00E7325D" w:rsidRPr="00EA08C6">
        <w:rPr>
          <w:sz w:val="20"/>
          <w:szCs w:val="20"/>
        </w:rPr>
        <w:t>5</w:t>
      </w:r>
      <w:r w:rsidRPr="00EA08C6">
        <w:rPr>
          <w:sz w:val="20"/>
          <w:szCs w:val="20"/>
        </w:rPr>
        <w:t>026</w:t>
      </w:r>
      <w:r w:rsidR="002E2327" w:rsidRPr="00EA08C6">
        <w:rPr>
          <w:sz w:val="20"/>
          <w:szCs w:val="20"/>
        </w:rPr>
        <w:t>)</w:t>
      </w:r>
    </w:p>
    <w:p w:rsidR="002E2327" w:rsidRPr="00EA08C6" w:rsidRDefault="002E2327" w:rsidP="002E2327">
      <w:pPr>
        <w:widowControl w:val="0"/>
        <w:rPr>
          <w:sz w:val="20"/>
          <w:szCs w:val="20"/>
        </w:rPr>
      </w:pPr>
    </w:p>
    <w:p w:rsidR="002E2327" w:rsidRDefault="00CD48BC" w:rsidP="002E2327">
      <w:pPr>
        <w:widowControl w:val="0"/>
        <w:rPr>
          <w:sz w:val="20"/>
          <w:szCs w:val="20"/>
        </w:rPr>
      </w:pPr>
      <w:r w:rsidRPr="00CD48BC">
        <w:rPr>
          <w:sz w:val="20"/>
          <w:szCs w:val="20"/>
        </w:rPr>
        <w:pict>
          <v:rect id="_x0000_i1035" style="width:2in;height:1pt" o:hrpct="0" o:hralign="center" o:hrstd="t" o:hrnoshade="t" o:hr="t" fillcolor="black [3213]" stroked="f"/>
        </w:pict>
      </w:r>
    </w:p>
    <w:p w:rsidR="00EA08C6" w:rsidRDefault="00EA08C6" w:rsidP="002E2327">
      <w:pPr>
        <w:widowControl w:val="0"/>
        <w:rPr>
          <w:sz w:val="20"/>
          <w:szCs w:val="20"/>
        </w:rPr>
      </w:pPr>
    </w:p>
    <w:p w:rsidR="00EA08C6" w:rsidRPr="00C50A5C" w:rsidRDefault="00EA08C6"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334802"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E66638" w:rsidP="008D292F">
      <w:pPr>
        <w:rPr>
          <w:b/>
          <w:sz w:val="20"/>
          <w:szCs w:val="20"/>
        </w:rPr>
      </w:pPr>
      <w:r>
        <w:rPr>
          <w:b/>
          <w:sz w:val="20"/>
          <w:szCs w:val="20"/>
        </w:rPr>
        <w:t>J</w:t>
      </w:r>
      <w:r w:rsidR="008D292F" w:rsidRPr="00C50A5C">
        <w:rPr>
          <w:b/>
          <w:sz w:val="20"/>
          <w:szCs w:val="20"/>
        </w:rPr>
        <w:t>A</w:t>
      </w:r>
      <w:r>
        <w:rPr>
          <w:b/>
          <w:sz w:val="20"/>
          <w:szCs w:val="20"/>
        </w:rPr>
        <w:t>NUARY</w:t>
      </w:r>
      <w:r w:rsidR="008D292F" w:rsidRPr="00C50A5C">
        <w:rPr>
          <w:b/>
          <w:sz w:val="20"/>
          <w:szCs w:val="20"/>
        </w:rPr>
        <w:t xml:space="preserve"> </w:t>
      </w:r>
      <w:r>
        <w:rPr>
          <w:b/>
          <w:sz w:val="20"/>
          <w:szCs w:val="20"/>
        </w:rPr>
        <w:t>17</w:t>
      </w:r>
      <w:r w:rsidR="008D292F" w:rsidRPr="00C50A5C">
        <w:rPr>
          <w:b/>
          <w:sz w:val="20"/>
          <w:szCs w:val="20"/>
        </w:rPr>
        <w:t>, 201</w:t>
      </w:r>
      <w:r>
        <w:rPr>
          <w:b/>
          <w:sz w:val="20"/>
          <w:szCs w:val="20"/>
        </w:rPr>
        <w:t>3</w:t>
      </w:r>
      <w:r w:rsidR="008D292F" w:rsidRPr="00C50A5C">
        <w:rPr>
          <w:b/>
          <w:sz w:val="20"/>
          <w:szCs w:val="20"/>
        </w:rPr>
        <w:t xml:space="preserve"> / LE </w:t>
      </w:r>
      <w:r>
        <w:rPr>
          <w:b/>
          <w:sz w:val="20"/>
          <w:szCs w:val="20"/>
        </w:rPr>
        <w:t>17</w:t>
      </w:r>
      <w:r w:rsidR="008D292F" w:rsidRPr="00C50A5C">
        <w:rPr>
          <w:b/>
          <w:sz w:val="20"/>
          <w:szCs w:val="20"/>
        </w:rPr>
        <w:t xml:space="preserve"> </w:t>
      </w:r>
      <w:r>
        <w:rPr>
          <w:b/>
          <w:sz w:val="20"/>
          <w:szCs w:val="20"/>
        </w:rPr>
        <w:t>J</w:t>
      </w:r>
      <w:r w:rsidR="008D292F" w:rsidRPr="00C50A5C">
        <w:rPr>
          <w:b/>
          <w:sz w:val="20"/>
          <w:szCs w:val="20"/>
        </w:rPr>
        <w:t>A</w:t>
      </w:r>
      <w:r>
        <w:rPr>
          <w:b/>
          <w:sz w:val="20"/>
          <w:szCs w:val="20"/>
        </w:rPr>
        <w:t>N</w:t>
      </w:r>
      <w:r w:rsidR="008D292F" w:rsidRPr="00C50A5C">
        <w:rPr>
          <w:b/>
          <w:sz w:val="20"/>
          <w:szCs w:val="20"/>
        </w:rPr>
        <w:t>VI</w:t>
      </w:r>
      <w:r>
        <w:rPr>
          <w:b/>
          <w:sz w:val="20"/>
          <w:szCs w:val="20"/>
        </w:rPr>
        <w:t>ER</w:t>
      </w:r>
      <w:r w:rsidR="008D292F" w:rsidRPr="00C50A5C">
        <w:rPr>
          <w:b/>
          <w:sz w:val="20"/>
          <w:szCs w:val="20"/>
        </w:rPr>
        <w:t xml:space="preserve"> 201</w:t>
      </w:r>
      <w:r>
        <w:rPr>
          <w:b/>
          <w:sz w:val="20"/>
          <w:szCs w:val="20"/>
        </w:rPr>
        <w:t>3</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953C9" w:rsidRPr="00DE03BF" w:rsidTr="003B435E">
        <w:trPr>
          <w:cantSplit/>
        </w:trPr>
        <w:tc>
          <w:tcPr>
            <w:tcW w:w="1458" w:type="dxa"/>
          </w:tcPr>
          <w:p w:rsidR="00D953C9" w:rsidRPr="00DE03BF" w:rsidRDefault="00D953C9" w:rsidP="003B435E">
            <w:pPr>
              <w:rPr>
                <w:sz w:val="20"/>
                <w:szCs w:val="20"/>
              </w:rPr>
            </w:pPr>
            <w:r w:rsidRPr="00DE03BF">
              <w:rPr>
                <w:rStyle w:val="SCCFileNumberChar"/>
                <w:sz w:val="20"/>
                <w:szCs w:val="20"/>
              </w:rPr>
              <w:t>34936</w:t>
            </w:r>
          </w:p>
          <w:p w:rsidR="00D953C9" w:rsidRPr="00DE03BF" w:rsidRDefault="00D953C9" w:rsidP="003B435E">
            <w:pPr>
              <w:rPr>
                <w:b/>
                <w:sz w:val="20"/>
                <w:szCs w:val="20"/>
                <w:lang w:val="fr-CA"/>
              </w:rPr>
            </w:pPr>
          </w:p>
        </w:tc>
        <w:tc>
          <w:tcPr>
            <w:tcW w:w="8118" w:type="dxa"/>
          </w:tcPr>
          <w:p w:rsidR="00D953C9" w:rsidRPr="00DE03BF" w:rsidRDefault="00D953C9" w:rsidP="003B435E">
            <w:pPr>
              <w:rPr>
                <w:sz w:val="20"/>
                <w:szCs w:val="20"/>
              </w:rPr>
            </w:pPr>
            <w:r w:rsidRPr="00D953C9">
              <w:rPr>
                <w:rStyle w:val="SCCLsocChar"/>
                <w:sz w:val="20"/>
                <w:szCs w:val="20"/>
                <w:lang w:val="en-CA"/>
              </w:rPr>
              <w:t>Todd Terrance Leclair v. Her Majesty the Queen</w:t>
            </w:r>
            <w:r w:rsidRPr="00DE03BF">
              <w:rPr>
                <w:sz w:val="20"/>
                <w:szCs w:val="20"/>
              </w:rPr>
              <w:t xml:space="preserve"> (N.B.) (Criminal) (By Leave)</w:t>
            </w:r>
          </w:p>
          <w:p w:rsidR="00D953C9" w:rsidRPr="00DE03BF" w:rsidRDefault="00D953C9" w:rsidP="003B435E">
            <w:pPr>
              <w:rPr>
                <w:sz w:val="20"/>
                <w:szCs w:val="20"/>
              </w:rPr>
            </w:pPr>
          </w:p>
        </w:tc>
      </w:tr>
      <w:tr w:rsidR="00D953C9" w:rsidRPr="00DE03BF" w:rsidTr="003B435E">
        <w:trPr>
          <w:cantSplit/>
        </w:trPr>
        <w:tc>
          <w:tcPr>
            <w:tcW w:w="1458" w:type="dxa"/>
          </w:tcPr>
          <w:p w:rsidR="00D953C9" w:rsidRPr="00DE03BF" w:rsidRDefault="00D953C9" w:rsidP="003B435E">
            <w:pPr>
              <w:rPr>
                <w:sz w:val="20"/>
                <w:szCs w:val="20"/>
              </w:rPr>
            </w:pPr>
            <w:r w:rsidRPr="00DE03BF">
              <w:rPr>
                <w:sz w:val="20"/>
                <w:szCs w:val="20"/>
              </w:rPr>
              <w:t>Coram :</w:t>
            </w:r>
          </w:p>
        </w:tc>
        <w:tc>
          <w:tcPr>
            <w:tcW w:w="8118" w:type="dxa"/>
          </w:tcPr>
          <w:p w:rsidR="00D953C9" w:rsidRPr="00DE03BF" w:rsidRDefault="00D953C9" w:rsidP="003B435E">
            <w:pPr>
              <w:rPr>
                <w:sz w:val="20"/>
                <w:szCs w:val="20"/>
              </w:rPr>
            </w:pPr>
            <w:r w:rsidRPr="00D953C9">
              <w:rPr>
                <w:rStyle w:val="SCCCoramChar"/>
                <w:sz w:val="20"/>
                <w:szCs w:val="20"/>
                <w:lang w:val="en-CA"/>
              </w:rPr>
              <w:t>McLachlin C.J. and Abella and Cromwell JJ.</w:t>
            </w:r>
          </w:p>
          <w:p w:rsidR="00D953C9" w:rsidRPr="00DE03BF" w:rsidRDefault="00D953C9" w:rsidP="003B435E">
            <w:pPr>
              <w:rPr>
                <w:sz w:val="20"/>
                <w:szCs w:val="20"/>
                <w:u w:val="single"/>
              </w:rPr>
            </w:pPr>
          </w:p>
        </w:tc>
      </w:tr>
      <w:tr w:rsidR="00D953C9" w:rsidRPr="00334802" w:rsidTr="003B435E">
        <w:trPr>
          <w:cantSplit/>
        </w:trPr>
        <w:tc>
          <w:tcPr>
            <w:tcW w:w="9576" w:type="dxa"/>
            <w:gridSpan w:val="2"/>
          </w:tcPr>
          <w:p w:rsidR="00D953C9" w:rsidRPr="00DE03BF" w:rsidRDefault="00D953C9" w:rsidP="003B435E">
            <w:pPr>
              <w:pStyle w:val="SCCShortJudgment"/>
              <w:rPr>
                <w:szCs w:val="20"/>
              </w:rPr>
            </w:pPr>
            <w:r w:rsidRPr="00DE03BF">
              <w:rPr>
                <w:szCs w:val="20"/>
              </w:rPr>
              <w:t>The application for leave to appeal from the judgment of the Court of Appeal of New Brunswick, Number 184-11-CA, 2012 NBCA 51, dated May 22, 2012, is dismissed without costs.</w:t>
            </w:r>
          </w:p>
          <w:p w:rsidR="00D953C9" w:rsidRPr="00DE03BF" w:rsidRDefault="00D953C9" w:rsidP="003B435E">
            <w:pPr>
              <w:pStyle w:val="SCCShortJudgment"/>
              <w:ind w:firstLine="0"/>
              <w:rPr>
                <w:szCs w:val="20"/>
              </w:rPr>
            </w:pPr>
          </w:p>
          <w:p w:rsidR="00D953C9" w:rsidRPr="00DE03BF" w:rsidRDefault="00D953C9" w:rsidP="003B435E">
            <w:pPr>
              <w:pStyle w:val="SCCShortJudgment"/>
              <w:rPr>
                <w:szCs w:val="20"/>
                <w:lang w:val="fr-CA"/>
              </w:rPr>
            </w:pPr>
            <w:r w:rsidRPr="00DE03BF">
              <w:rPr>
                <w:szCs w:val="20"/>
                <w:lang w:val="fr-CA"/>
              </w:rPr>
              <w:t>La demande d’autorisation d’appel de l’arrêt de la Cour d’appel du Nouveau-Brunswick, numéro 184-11-CA, 2012 NBCA 51, daté du 22 mai 2012, est rejetée sans dépens.</w:t>
            </w:r>
          </w:p>
        </w:tc>
      </w:tr>
    </w:tbl>
    <w:p w:rsidR="00E66638" w:rsidRPr="00D953C9" w:rsidRDefault="00E66638" w:rsidP="008D292F">
      <w:pPr>
        <w:rPr>
          <w:sz w:val="20"/>
          <w:szCs w:val="20"/>
          <w:lang w:val="fr-CA"/>
        </w:rPr>
      </w:pPr>
    </w:p>
    <w:p w:rsidR="00E66638" w:rsidRPr="001B157C" w:rsidRDefault="00E66638" w:rsidP="00E66638">
      <w:pPr>
        <w:rPr>
          <w:sz w:val="20"/>
          <w:szCs w:val="20"/>
          <w:u w:val="single"/>
        </w:rPr>
      </w:pPr>
      <w:r w:rsidRPr="001B157C">
        <w:rPr>
          <w:sz w:val="20"/>
          <w:szCs w:val="20"/>
          <w:u w:val="single"/>
        </w:rPr>
        <w:t>CASE SUMMARY</w:t>
      </w:r>
    </w:p>
    <w:p w:rsidR="00E66638" w:rsidRDefault="00E66638"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D2176" w:rsidRPr="00C56FE1" w:rsidTr="009208D4">
        <w:tc>
          <w:tcPr>
            <w:tcW w:w="5000" w:type="pct"/>
            <w:gridSpan w:val="3"/>
          </w:tcPr>
          <w:p w:rsidR="00FD2176" w:rsidRPr="00C56FE1" w:rsidRDefault="00FD2176" w:rsidP="009208D4">
            <w:pPr>
              <w:jc w:val="both"/>
              <w:rPr>
                <w:rFonts w:eastAsia="Calibri"/>
                <w:smallCaps/>
                <w:sz w:val="20"/>
                <w:szCs w:val="20"/>
              </w:rPr>
            </w:pPr>
            <w:r w:rsidRPr="00C56FE1">
              <w:rPr>
                <w:rFonts w:eastAsia="Calibri"/>
                <w:smallCaps/>
                <w:sz w:val="20"/>
                <w:szCs w:val="20"/>
              </w:rPr>
              <w:t xml:space="preserve">(Sealing </w:t>
            </w:r>
            <w:r>
              <w:rPr>
                <w:rFonts w:eastAsia="Calibri"/>
                <w:smallCaps/>
                <w:sz w:val="20"/>
              </w:rPr>
              <w:t>O</w:t>
            </w:r>
            <w:r w:rsidRPr="00C56FE1">
              <w:rPr>
                <w:rFonts w:eastAsia="Calibri"/>
                <w:smallCaps/>
                <w:sz w:val="20"/>
                <w:szCs w:val="20"/>
              </w:rPr>
              <w:t>rder)</w:t>
            </w:r>
          </w:p>
          <w:p w:rsidR="00FD2176" w:rsidRPr="00C56FE1" w:rsidRDefault="00FD2176" w:rsidP="009208D4">
            <w:pPr>
              <w:jc w:val="both"/>
              <w:rPr>
                <w:rFonts w:eastAsia="Calibri"/>
                <w:sz w:val="20"/>
                <w:szCs w:val="20"/>
              </w:rPr>
            </w:pPr>
          </w:p>
          <w:p w:rsidR="00FD2176" w:rsidRPr="00C56FE1" w:rsidRDefault="00FD2176" w:rsidP="009208D4">
            <w:pPr>
              <w:jc w:val="both"/>
              <w:rPr>
                <w:rFonts w:eastAsia="Calibri"/>
                <w:sz w:val="20"/>
                <w:szCs w:val="20"/>
              </w:rPr>
            </w:pPr>
            <w:r w:rsidRPr="00C56FE1">
              <w:rPr>
                <w:rFonts w:eastAsia="Calibri"/>
                <w:i/>
                <w:sz w:val="20"/>
                <w:szCs w:val="20"/>
              </w:rPr>
              <w:t xml:space="preserve">Charter of Rights </w:t>
            </w:r>
            <w:r w:rsidRPr="00C56FE1">
              <w:rPr>
                <w:rFonts w:eastAsia="Calibri"/>
                <w:sz w:val="20"/>
                <w:szCs w:val="20"/>
              </w:rPr>
              <w:t xml:space="preserve">– Constitutional law - Right to life, liberty and security of the person – Section 7 of the </w:t>
            </w:r>
            <w:r w:rsidRPr="00C56FE1">
              <w:rPr>
                <w:rFonts w:eastAsia="Calibri"/>
                <w:i/>
                <w:sz w:val="20"/>
                <w:szCs w:val="20"/>
              </w:rPr>
              <w:t>Charter</w:t>
            </w:r>
            <w:r w:rsidRPr="00C56FE1">
              <w:rPr>
                <w:rFonts w:eastAsia="Calibri"/>
                <w:sz w:val="20"/>
                <w:szCs w:val="20"/>
              </w:rPr>
              <w:t xml:space="preserve"> – Criminal law – Appeals – Applicant convicted of possession of cannabis marihuana contrary to s. 4(1) of the </w:t>
            </w:r>
            <w:r w:rsidRPr="00C56FE1">
              <w:rPr>
                <w:rFonts w:eastAsia="Calibri"/>
                <w:i/>
                <w:sz w:val="20"/>
                <w:szCs w:val="20"/>
              </w:rPr>
              <w:t>Controlled Drugs and Substances Act</w:t>
            </w:r>
            <w:r w:rsidRPr="00C56FE1">
              <w:rPr>
                <w:rFonts w:eastAsia="Calibri"/>
                <w:sz w:val="20"/>
                <w:szCs w:val="20"/>
              </w:rPr>
              <w:t xml:space="preserve">, S.C., 1996, Chapter 19 - Whether the charge ought to have been stayed – Whether s. 4(1) of the </w:t>
            </w:r>
            <w:r w:rsidRPr="00C56FE1">
              <w:rPr>
                <w:rFonts w:eastAsia="Calibri"/>
                <w:i/>
                <w:sz w:val="20"/>
                <w:szCs w:val="20"/>
              </w:rPr>
              <w:t>Controlled Drugs and Substances Act</w:t>
            </w:r>
            <w:r w:rsidRPr="00C56FE1">
              <w:rPr>
                <w:rFonts w:eastAsia="Calibri"/>
                <w:sz w:val="20"/>
                <w:szCs w:val="20"/>
              </w:rPr>
              <w:t xml:space="preserve"> is constitutional - Whether the </w:t>
            </w:r>
            <w:r w:rsidRPr="00C56FE1">
              <w:rPr>
                <w:rFonts w:eastAsia="Calibri"/>
                <w:i/>
                <w:sz w:val="20"/>
                <w:szCs w:val="20"/>
              </w:rPr>
              <w:t>Marihuana Medical Access Regulations</w:t>
            </w:r>
            <w:r w:rsidRPr="00C56FE1">
              <w:rPr>
                <w:rFonts w:eastAsia="Calibri"/>
                <w:sz w:val="20"/>
                <w:szCs w:val="20"/>
              </w:rPr>
              <w:t xml:space="preserve"> are constitutional - Whether there are issues of public importance - </w:t>
            </w:r>
            <w:r w:rsidRPr="00C56FE1">
              <w:rPr>
                <w:rFonts w:eastAsia="Calibri"/>
                <w:i/>
                <w:sz w:val="20"/>
                <w:szCs w:val="20"/>
              </w:rPr>
              <w:t>Canadian Charter of Rights and Freedoms</w:t>
            </w:r>
            <w:r w:rsidRPr="00C56FE1">
              <w:rPr>
                <w:rFonts w:eastAsia="Calibri"/>
                <w:sz w:val="20"/>
                <w:szCs w:val="20"/>
              </w:rPr>
              <w:t>, s. 7.</w:t>
            </w:r>
          </w:p>
        </w:tc>
      </w:tr>
      <w:tr w:rsidR="00FD2176" w:rsidRPr="00C56FE1" w:rsidTr="009208D4">
        <w:tc>
          <w:tcPr>
            <w:tcW w:w="5000" w:type="pct"/>
            <w:gridSpan w:val="3"/>
          </w:tcPr>
          <w:p w:rsidR="00FD2176" w:rsidRPr="00C56FE1" w:rsidRDefault="00FD2176" w:rsidP="009208D4">
            <w:pPr>
              <w:jc w:val="both"/>
              <w:rPr>
                <w:rFonts w:eastAsia="Calibri"/>
                <w:sz w:val="20"/>
                <w:szCs w:val="20"/>
              </w:rPr>
            </w:pPr>
          </w:p>
        </w:tc>
      </w:tr>
      <w:tr w:rsidR="00FD2176" w:rsidRPr="00C56FE1" w:rsidTr="009208D4">
        <w:tc>
          <w:tcPr>
            <w:tcW w:w="5000" w:type="pct"/>
            <w:gridSpan w:val="3"/>
          </w:tcPr>
          <w:p w:rsidR="00FD2176" w:rsidRPr="00C56FE1" w:rsidRDefault="00FD2176" w:rsidP="009208D4">
            <w:pPr>
              <w:jc w:val="both"/>
              <w:rPr>
                <w:rFonts w:eastAsia="Calibri"/>
                <w:sz w:val="20"/>
                <w:szCs w:val="20"/>
              </w:rPr>
            </w:pPr>
            <w:r w:rsidRPr="00C56FE1">
              <w:rPr>
                <w:rFonts w:eastAsia="Calibri"/>
                <w:sz w:val="20"/>
                <w:szCs w:val="20"/>
              </w:rPr>
              <w:t xml:space="preserve">Prior to the commencement of his trial, the applicant’s application to have the Information quashed on the basis that the offence was unconstitutional was dismissed.  At trial, the judge held that the delays in processing the applicant’s application for an authorization to possess were not manifestly unfair, were not unconstitutional, and did not violate the applicant’s s. 7 </w:t>
            </w:r>
            <w:r w:rsidRPr="00C56FE1">
              <w:rPr>
                <w:rFonts w:eastAsia="Calibri"/>
                <w:i/>
                <w:sz w:val="20"/>
                <w:szCs w:val="20"/>
              </w:rPr>
              <w:t>Charter</w:t>
            </w:r>
            <w:r w:rsidRPr="00C56FE1">
              <w:rPr>
                <w:rFonts w:eastAsia="Calibri"/>
                <w:sz w:val="20"/>
                <w:szCs w:val="20"/>
              </w:rPr>
              <w:t xml:space="preserve"> rights.  The trial judge held that the </w:t>
            </w:r>
            <w:r w:rsidRPr="00C56FE1">
              <w:rPr>
                <w:rFonts w:eastAsia="Calibri"/>
                <w:i/>
                <w:sz w:val="20"/>
                <w:szCs w:val="20"/>
              </w:rPr>
              <w:t>Marihuana Medical Access Regulations</w:t>
            </w:r>
            <w:r w:rsidRPr="00C56FE1">
              <w:rPr>
                <w:rFonts w:eastAsia="Calibri"/>
                <w:sz w:val="20"/>
                <w:szCs w:val="20"/>
              </w:rPr>
              <w:t xml:space="preserve"> (MMRA) are not unconstitutional because of delays in the processing of either new, renewal or amendment (authorisation to possess) applications.  The trial judge held that s. 4(1) of the </w:t>
            </w:r>
            <w:r w:rsidRPr="00C56FE1">
              <w:rPr>
                <w:rFonts w:eastAsia="Calibri"/>
                <w:i/>
                <w:sz w:val="20"/>
                <w:szCs w:val="20"/>
              </w:rPr>
              <w:t>Controlled Drugs and Substances Act</w:t>
            </w:r>
            <w:r w:rsidRPr="00C56FE1">
              <w:rPr>
                <w:rFonts w:eastAsia="Calibri"/>
                <w:sz w:val="20"/>
                <w:szCs w:val="20"/>
              </w:rPr>
              <w:t xml:space="preserve"> (</w:t>
            </w:r>
            <w:r w:rsidRPr="00C56FE1">
              <w:rPr>
                <w:rFonts w:eastAsia="Calibri"/>
                <w:i/>
                <w:sz w:val="20"/>
                <w:szCs w:val="20"/>
              </w:rPr>
              <w:t>CDSA</w:t>
            </w:r>
            <w:r w:rsidRPr="00C56FE1">
              <w:rPr>
                <w:rFonts w:eastAsia="Calibri"/>
                <w:sz w:val="20"/>
                <w:szCs w:val="20"/>
              </w:rPr>
              <w:t xml:space="preserve">) is valid legislation and has never been repealed.  He declined to rule on the constitutionality of ss. 32(d) or 32(e) of the </w:t>
            </w:r>
            <w:r w:rsidRPr="00C56FE1">
              <w:rPr>
                <w:rFonts w:eastAsia="Calibri"/>
                <w:i/>
                <w:sz w:val="20"/>
                <w:szCs w:val="20"/>
              </w:rPr>
              <w:t>MMAR</w:t>
            </w:r>
            <w:r w:rsidRPr="00C56FE1">
              <w:rPr>
                <w:rFonts w:eastAsia="Calibri"/>
                <w:sz w:val="20"/>
                <w:szCs w:val="20"/>
              </w:rPr>
              <w:t xml:space="preserve">.  The applicant was convicted of possession of cannabis marihuana contrary to s. 4(1) of the </w:t>
            </w:r>
            <w:r w:rsidRPr="00C56FE1">
              <w:rPr>
                <w:rFonts w:eastAsia="Calibri"/>
                <w:i/>
                <w:sz w:val="20"/>
                <w:szCs w:val="20"/>
              </w:rPr>
              <w:t>CDSA.</w:t>
            </w:r>
            <w:r w:rsidRPr="00C56FE1">
              <w:rPr>
                <w:rFonts w:eastAsia="Calibri"/>
                <w:sz w:val="20"/>
                <w:szCs w:val="20"/>
              </w:rPr>
              <w:t xml:space="preserve">  The Queen’s Bench judge upheld the decision of the trial judge.  The applicant unsuccessfully sought leave to appeal to the Court of Appeal. </w:t>
            </w:r>
          </w:p>
          <w:p w:rsidR="00FD2176" w:rsidRPr="00C56FE1" w:rsidRDefault="00FD2176" w:rsidP="009208D4">
            <w:pPr>
              <w:jc w:val="both"/>
              <w:rPr>
                <w:rFonts w:eastAsia="Calibri"/>
                <w:sz w:val="20"/>
                <w:szCs w:val="20"/>
              </w:rPr>
            </w:pPr>
          </w:p>
        </w:tc>
      </w:tr>
      <w:tr w:rsidR="00FD2176" w:rsidRPr="00C56FE1" w:rsidTr="009208D4">
        <w:tc>
          <w:tcPr>
            <w:tcW w:w="2427" w:type="pct"/>
          </w:tcPr>
          <w:p w:rsidR="00FD2176" w:rsidRPr="00C56FE1" w:rsidRDefault="00FD2176" w:rsidP="009208D4">
            <w:pPr>
              <w:jc w:val="both"/>
              <w:rPr>
                <w:rFonts w:eastAsia="Calibri"/>
                <w:sz w:val="20"/>
                <w:szCs w:val="20"/>
              </w:rPr>
            </w:pPr>
            <w:r w:rsidRPr="00C56FE1">
              <w:rPr>
                <w:rFonts w:eastAsia="Calibri"/>
                <w:sz w:val="20"/>
                <w:szCs w:val="20"/>
              </w:rPr>
              <w:t>July 9, 2010</w:t>
            </w:r>
          </w:p>
          <w:p w:rsidR="00FD2176" w:rsidRPr="00C56FE1" w:rsidRDefault="00FD2176" w:rsidP="009208D4">
            <w:pPr>
              <w:jc w:val="both"/>
              <w:rPr>
                <w:rFonts w:eastAsia="Calibri"/>
                <w:sz w:val="20"/>
                <w:szCs w:val="20"/>
              </w:rPr>
            </w:pPr>
            <w:r w:rsidRPr="00C56FE1">
              <w:rPr>
                <w:rFonts w:eastAsia="Calibri"/>
                <w:sz w:val="20"/>
                <w:szCs w:val="20"/>
              </w:rPr>
              <w:t>Court of Queen’s Bench of New Brunswick</w:t>
            </w:r>
          </w:p>
          <w:p w:rsidR="00FD2176" w:rsidRPr="00C56FE1" w:rsidRDefault="00FD2176" w:rsidP="009208D4">
            <w:pPr>
              <w:jc w:val="both"/>
              <w:rPr>
                <w:rFonts w:eastAsia="Calibri"/>
                <w:sz w:val="20"/>
                <w:szCs w:val="20"/>
              </w:rPr>
            </w:pPr>
            <w:r w:rsidRPr="00C56FE1">
              <w:rPr>
                <w:rFonts w:eastAsia="Calibri"/>
                <w:sz w:val="20"/>
                <w:szCs w:val="20"/>
              </w:rPr>
              <w:t>(Morrison J.)</w:t>
            </w:r>
          </w:p>
          <w:p w:rsidR="00FD2176" w:rsidRPr="00C56FE1" w:rsidRDefault="00FD2176" w:rsidP="009208D4">
            <w:pPr>
              <w:jc w:val="both"/>
              <w:rPr>
                <w:rFonts w:eastAsia="Calibri"/>
                <w:sz w:val="20"/>
                <w:szCs w:val="20"/>
              </w:rPr>
            </w:pPr>
          </w:p>
        </w:tc>
        <w:tc>
          <w:tcPr>
            <w:tcW w:w="243" w:type="pct"/>
          </w:tcPr>
          <w:p w:rsidR="00FD2176" w:rsidRPr="00C56FE1" w:rsidRDefault="00FD2176" w:rsidP="009208D4">
            <w:pPr>
              <w:jc w:val="both"/>
              <w:rPr>
                <w:rFonts w:eastAsia="Calibri"/>
                <w:sz w:val="20"/>
                <w:szCs w:val="20"/>
              </w:rPr>
            </w:pPr>
          </w:p>
        </w:tc>
        <w:tc>
          <w:tcPr>
            <w:tcW w:w="2330" w:type="pct"/>
          </w:tcPr>
          <w:p w:rsidR="00FD2176" w:rsidRPr="00C56FE1" w:rsidRDefault="00FD2176" w:rsidP="009208D4">
            <w:pPr>
              <w:jc w:val="both"/>
              <w:rPr>
                <w:rFonts w:eastAsia="Calibri"/>
                <w:sz w:val="20"/>
                <w:szCs w:val="20"/>
              </w:rPr>
            </w:pPr>
            <w:r w:rsidRPr="00C56FE1">
              <w:rPr>
                <w:rFonts w:eastAsia="Calibri"/>
                <w:sz w:val="20"/>
                <w:szCs w:val="20"/>
              </w:rPr>
              <w:t xml:space="preserve">Applicant’s application pursuant to s. 601 of the </w:t>
            </w:r>
            <w:r w:rsidRPr="00C56FE1">
              <w:rPr>
                <w:rFonts w:eastAsia="Calibri"/>
                <w:i/>
                <w:sz w:val="20"/>
                <w:szCs w:val="20"/>
              </w:rPr>
              <w:t>Criminal Code</w:t>
            </w:r>
            <w:r w:rsidRPr="00C56FE1">
              <w:rPr>
                <w:rFonts w:eastAsia="Calibri"/>
                <w:sz w:val="20"/>
                <w:szCs w:val="20"/>
              </w:rPr>
              <w:t xml:space="preserve"> for an order quashing the Information on the grounds that s. 4(1) of the </w:t>
            </w:r>
            <w:r w:rsidRPr="00C56FE1">
              <w:rPr>
                <w:rFonts w:eastAsia="Calibri"/>
                <w:i/>
                <w:sz w:val="20"/>
                <w:szCs w:val="20"/>
              </w:rPr>
              <w:t>Controlled Drugs and Substances Act</w:t>
            </w:r>
            <w:r w:rsidRPr="00C56FE1">
              <w:rPr>
                <w:rFonts w:eastAsia="Calibri"/>
                <w:sz w:val="20"/>
                <w:szCs w:val="20"/>
              </w:rPr>
              <w:t xml:space="preserve"> is of no force and effect dismissed</w:t>
            </w:r>
          </w:p>
          <w:p w:rsidR="00FD2176" w:rsidRPr="00C56FE1" w:rsidRDefault="00FD2176" w:rsidP="009208D4">
            <w:pPr>
              <w:jc w:val="both"/>
              <w:rPr>
                <w:rFonts w:eastAsia="Calibri"/>
                <w:sz w:val="20"/>
                <w:szCs w:val="20"/>
              </w:rPr>
            </w:pPr>
          </w:p>
        </w:tc>
      </w:tr>
      <w:tr w:rsidR="00FD2176" w:rsidRPr="00C56FE1" w:rsidTr="009208D4">
        <w:tc>
          <w:tcPr>
            <w:tcW w:w="2427" w:type="pct"/>
          </w:tcPr>
          <w:p w:rsidR="00FD2176" w:rsidRPr="00C56FE1" w:rsidRDefault="00FD2176" w:rsidP="009208D4">
            <w:pPr>
              <w:jc w:val="both"/>
              <w:rPr>
                <w:rFonts w:eastAsia="Calibri"/>
                <w:sz w:val="20"/>
                <w:szCs w:val="20"/>
              </w:rPr>
            </w:pPr>
            <w:r w:rsidRPr="00C56FE1">
              <w:rPr>
                <w:rFonts w:eastAsia="Calibri"/>
                <w:sz w:val="20"/>
                <w:szCs w:val="20"/>
              </w:rPr>
              <w:t>December 3, 2010</w:t>
            </w:r>
          </w:p>
          <w:p w:rsidR="00FD2176" w:rsidRPr="00C56FE1" w:rsidRDefault="00FD2176" w:rsidP="009208D4">
            <w:pPr>
              <w:jc w:val="both"/>
              <w:rPr>
                <w:rFonts w:eastAsia="Calibri"/>
                <w:sz w:val="20"/>
                <w:szCs w:val="20"/>
              </w:rPr>
            </w:pPr>
            <w:r w:rsidRPr="00C56FE1">
              <w:rPr>
                <w:rFonts w:eastAsia="Calibri"/>
                <w:sz w:val="20"/>
                <w:szCs w:val="20"/>
              </w:rPr>
              <w:t>Provincial Court of New Brunswick</w:t>
            </w:r>
          </w:p>
          <w:p w:rsidR="00FD2176" w:rsidRPr="00C56FE1" w:rsidRDefault="00FD2176" w:rsidP="009208D4">
            <w:pPr>
              <w:jc w:val="both"/>
              <w:rPr>
                <w:rFonts w:eastAsia="Calibri"/>
                <w:sz w:val="20"/>
                <w:szCs w:val="20"/>
              </w:rPr>
            </w:pPr>
            <w:r w:rsidRPr="00C56FE1">
              <w:rPr>
                <w:rFonts w:eastAsia="Calibri"/>
                <w:sz w:val="20"/>
                <w:szCs w:val="20"/>
              </w:rPr>
              <w:t>(Jackson C.P.C.J.)</w:t>
            </w:r>
          </w:p>
          <w:p w:rsidR="00FD2176" w:rsidRPr="00C56FE1" w:rsidRDefault="00FD2176" w:rsidP="009208D4">
            <w:pPr>
              <w:jc w:val="both"/>
              <w:rPr>
                <w:rFonts w:eastAsia="Calibri"/>
                <w:sz w:val="20"/>
                <w:szCs w:val="20"/>
              </w:rPr>
            </w:pPr>
            <w:r w:rsidRPr="00C56FE1">
              <w:rPr>
                <w:rFonts w:eastAsia="Calibri"/>
                <w:sz w:val="20"/>
                <w:szCs w:val="20"/>
              </w:rPr>
              <w:t>Neutral citation: 2010 NBPC 37</w:t>
            </w:r>
          </w:p>
        </w:tc>
        <w:tc>
          <w:tcPr>
            <w:tcW w:w="243" w:type="pct"/>
          </w:tcPr>
          <w:p w:rsidR="00FD2176" w:rsidRPr="00C56FE1" w:rsidRDefault="00FD2176" w:rsidP="009208D4">
            <w:pPr>
              <w:jc w:val="both"/>
              <w:rPr>
                <w:rFonts w:eastAsia="Calibri"/>
                <w:sz w:val="20"/>
                <w:szCs w:val="20"/>
              </w:rPr>
            </w:pPr>
          </w:p>
        </w:tc>
        <w:tc>
          <w:tcPr>
            <w:tcW w:w="2330" w:type="pct"/>
          </w:tcPr>
          <w:p w:rsidR="00FD2176" w:rsidRPr="00C56FE1" w:rsidRDefault="00FD2176" w:rsidP="009208D4">
            <w:pPr>
              <w:jc w:val="both"/>
              <w:rPr>
                <w:rFonts w:eastAsia="Calibri"/>
                <w:sz w:val="20"/>
                <w:szCs w:val="20"/>
              </w:rPr>
            </w:pPr>
            <w:r w:rsidRPr="00C56FE1">
              <w:rPr>
                <w:rFonts w:eastAsia="Calibri"/>
                <w:sz w:val="20"/>
                <w:szCs w:val="20"/>
              </w:rPr>
              <w:t xml:space="preserve">Applicant convicted of possession of cannabis marihuana contrary to s. 4(1) of the </w:t>
            </w:r>
            <w:r w:rsidRPr="00C56FE1">
              <w:rPr>
                <w:rFonts w:eastAsia="Calibri"/>
                <w:i/>
                <w:sz w:val="20"/>
                <w:szCs w:val="20"/>
              </w:rPr>
              <w:t>Controlled Drugs and Substances Act</w:t>
            </w:r>
            <w:r w:rsidRPr="00C56FE1">
              <w:rPr>
                <w:rFonts w:eastAsia="Calibri"/>
                <w:sz w:val="20"/>
                <w:szCs w:val="20"/>
              </w:rPr>
              <w:t>; fine of $500 plus $75 victim surcharge imposed</w:t>
            </w:r>
          </w:p>
          <w:p w:rsidR="00FD2176" w:rsidRPr="00C56FE1" w:rsidRDefault="00FD2176" w:rsidP="009208D4">
            <w:pPr>
              <w:jc w:val="both"/>
              <w:rPr>
                <w:rFonts w:eastAsia="Calibri"/>
                <w:sz w:val="20"/>
                <w:szCs w:val="20"/>
              </w:rPr>
            </w:pPr>
          </w:p>
        </w:tc>
      </w:tr>
      <w:tr w:rsidR="00FD2176" w:rsidRPr="00C56FE1" w:rsidTr="009208D4">
        <w:tc>
          <w:tcPr>
            <w:tcW w:w="2427" w:type="pct"/>
          </w:tcPr>
          <w:p w:rsidR="00FD2176" w:rsidRPr="00C56FE1" w:rsidRDefault="00FD2176" w:rsidP="009208D4">
            <w:pPr>
              <w:jc w:val="both"/>
              <w:rPr>
                <w:rFonts w:eastAsia="Calibri"/>
                <w:sz w:val="20"/>
                <w:szCs w:val="20"/>
              </w:rPr>
            </w:pPr>
            <w:r w:rsidRPr="00C56FE1">
              <w:rPr>
                <w:rFonts w:eastAsia="Calibri"/>
                <w:sz w:val="20"/>
                <w:szCs w:val="20"/>
              </w:rPr>
              <w:t>November 28, 2011</w:t>
            </w:r>
          </w:p>
          <w:p w:rsidR="00FD2176" w:rsidRPr="00C56FE1" w:rsidRDefault="00FD2176" w:rsidP="009208D4">
            <w:pPr>
              <w:jc w:val="both"/>
              <w:rPr>
                <w:rFonts w:eastAsia="Calibri"/>
                <w:sz w:val="20"/>
                <w:szCs w:val="20"/>
              </w:rPr>
            </w:pPr>
            <w:r w:rsidRPr="00C56FE1">
              <w:rPr>
                <w:rFonts w:eastAsia="Calibri"/>
                <w:sz w:val="20"/>
                <w:szCs w:val="20"/>
              </w:rPr>
              <w:t>Court of Queen’s Bench of New Brunswick</w:t>
            </w:r>
          </w:p>
          <w:p w:rsidR="00FD2176" w:rsidRPr="00C56FE1" w:rsidRDefault="00FD2176" w:rsidP="009208D4">
            <w:pPr>
              <w:jc w:val="both"/>
              <w:rPr>
                <w:rFonts w:eastAsia="Calibri"/>
                <w:sz w:val="20"/>
                <w:szCs w:val="20"/>
              </w:rPr>
            </w:pPr>
            <w:r w:rsidRPr="00C56FE1">
              <w:rPr>
                <w:rFonts w:eastAsia="Calibri"/>
                <w:sz w:val="20"/>
                <w:szCs w:val="20"/>
              </w:rPr>
              <w:t>(Garnett J.)</w:t>
            </w:r>
          </w:p>
          <w:p w:rsidR="00FD2176" w:rsidRPr="00C56FE1" w:rsidRDefault="00FD2176" w:rsidP="009208D4">
            <w:pPr>
              <w:jc w:val="both"/>
              <w:rPr>
                <w:rFonts w:eastAsia="Calibri"/>
                <w:sz w:val="20"/>
                <w:szCs w:val="20"/>
              </w:rPr>
            </w:pPr>
            <w:r w:rsidRPr="00C56FE1">
              <w:rPr>
                <w:rFonts w:eastAsia="Calibri"/>
                <w:sz w:val="20"/>
                <w:szCs w:val="20"/>
              </w:rPr>
              <w:t>Neutral citation: 2011 NBQB 330</w:t>
            </w:r>
          </w:p>
          <w:p w:rsidR="00FD2176" w:rsidRPr="00C56FE1" w:rsidRDefault="00FD2176" w:rsidP="009208D4">
            <w:pPr>
              <w:jc w:val="both"/>
              <w:rPr>
                <w:rFonts w:eastAsia="Calibri"/>
                <w:sz w:val="20"/>
                <w:szCs w:val="20"/>
              </w:rPr>
            </w:pPr>
          </w:p>
        </w:tc>
        <w:tc>
          <w:tcPr>
            <w:tcW w:w="243" w:type="pct"/>
          </w:tcPr>
          <w:p w:rsidR="00FD2176" w:rsidRPr="00C56FE1" w:rsidRDefault="00FD2176" w:rsidP="009208D4">
            <w:pPr>
              <w:jc w:val="both"/>
              <w:rPr>
                <w:rFonts w:eastAsia="Calibri"/>
                <w:sz w:val="20"/>
                <w:szCs w:val="20"/>
              </w:rPr>
            </w:pPr>
          </w:p>
        </w:tc>
        <w:tc>
          <w:tcPr>
            <w:tcW w:w="2330" w:type="pct"/>
          </w:tcPr>
          <w:p w:rsidR="00FD2176" w:rsidRPr="00C56FE1" w:rsidRDefault="00FD2176" w:rsidP="009208D4">
            <w:pPr>
              <w:jc w:val="both"/>
              <w:rPr>
                <w:rFonts w:eastAsia="Calibri"/>
                <w:sz w:val="20"/>
                <w:szCs w:val="20"/>
              </w:rPr>
            </w:pPr>
            <w:r w:rsidRPr="00C56FE1">
              <w:rPr>
                <w:rFonts w:eastAsia="Calibri"/>
                <w:sz w:val="20"/>
                <w:szCs w:val="20"/>
              </w:rPr>
              <w:t>Appeal from conviction and sentence dismissed</w:t>
            </w:r>
          </w:p>
          <w:p w:rsidR="00FD2176" w:rsidRPr="00C56FE1" w:rsidRDefault="00FD2176" w:rsidP="009208D4">
            <w:pPr>
              <w:jc w:val="both"/>
              <w:rPr>
                <w:rFonts w:eastAsia="Calibri"/>
                <w:sz w:val="20"/>
                <w:szCs w:val="20"/>
              </w:rPr>
            </w:pPr>
          </w:p>
        </w:tc>
      </w:tr>
      <w:tr w:rsidR="00FD2176" w:rsidRPr="00C56FE1" w:rsidTr="009208D4">
        <w:tc>
          <w:tcPr>
            <w:tcW w:w="2427" w:type="pct"/>
          </w:tcPr>
          <w:p w:rsidR="00FD2176" w:rsidRPr="00C56FE1" w:rsidRDefault="00FD2176" w:rsidP="009208D4">
            <w:pPr>
              <w:jc w:val="both"/>
              <w:rPr>
                <w:rFonts w:eastAsia="Calibri"/>
                <w:sz w:val="20"/>
                <w:szCs w:val="20"/>
              </w:rPr>
            </w:pPr>
            <w:r w:rsidRPr="00C56FE1">
              <w:rPr>
                <w:rFonts w:eastAsia="Calibri"/>
                <w:sz w:val="20"/>
                <w:szCs w:val="20"/>
              </w:rPr>
              <w:lastRenderedPageBreak/>
              <w:t>May 22, 2012</w:t>
            </w:r>
          </w:p>
          <w:p w:rsidR="00FD2176" w:rsidRPr="00C56FE1" w:rsidRDefault="00FD2176" w:rsidP="009208D4">
            <w:pPr>
              <w:jc w:val="both"/>
              <w:rPr>
                <w:rFonts w:eastAsia="Calibri"/>
                <w:sz w:val="20"/>
                <w:szCs w:val="20"/>
              </w:rPr>
            </w:pPr>
            <w:r w:rsidRPr="00C56FE1">
              <w:rPr>
                <w:rFonts w:eastAsia="Calibri"/>
                <w:sz w:val="20"/>
                <w:szCs w:val="20"/>
              </w:rPr>
              <w:t>Court of Appeal of New Brunswick</w:t>
            </w:r>
          </w:p>
          <w:p w:rsidR="00FD2176" w:rsidRPr="00C56FE1" w:rsidRDefault="00FD2176" w:rsidP="009208D4">
            <w:pPr>
              <w:jc w:val="both"/>
              <w:rPr>
                <w:rFonts w:eastAsia="Calibri"/>
                <w:sz w:val="20"/>
                <w:szCs w:val="20"/>
              </w:rPr>
            </w:pPr>
            <w:r w:rsidRPr="00C56FE1">
              <w:rPr>
                <w:rFonts w:eastAsia="Calibri"/>
                <w:sz w:val="20"/>
                <w:szCs w:val="20"/>
              </w:rPr>
              <w:t>(Richard, Bell and Green JJ.A.)</w:t>
            </w:r>
          </w:p>
          <w:p w:rsidR="00FD2176" w:rsidRPr="00C56FE1" w:rsidRDefault="00FD2176" w:rsidP="009208D4">
            <w:pPr>
              <w:jc w:val="both"/>
              <w:rPr>
                <w:rFonts w:eastAsia="Calibri"/>
                <w:sz w:val="20"/>
                <w:szCs w:val="20"/>
              </w:rPr>
            </w:pPr>
            <w:r w:rsidRPr="00C56FE1">
              <w:rPr>
                <w:rFonts w:eastAsia="Calibri"/>
                <w:sz w:val="20"/>
                <w:szCs w:val="20"/>
              </w:rPr>
              <w:t>Neutral citation: 2012 NBCA 51</w:t>
            </w:r>
          </w:p>
          <w:p w:rsidR="00FD2176" w:rsidRPr="00C56FE1" w:rsidRDefault="00FD2176" w:rsidP="009208D4">
            <w:pPr>
              <w:jc w:val="both"/>
              <w:rPr>
                <w:rFonts w:eastAsia="Calibri"/>
                <w:sz w:val="20"/>
                <w:szCs w:val="20"/>
              </w:rPr>
            </w:pPr>
          </w:p>
        </w:tc>
        <w:tc>
          <w:tcPr>
            <w:tcW w:w="243" w:type="pct"/>
          </w:tcPr>
          <w:p w:rsidR="00FD2176" w:rsidRPr="00C56FE1" w:rsidRDefault="00FD2176" w:rsidP="009208D4">
            <w:pPr>
              <w:jc w:val="both"/>
              <w:rPr>
                <w:rFonts w:eastAsia="Calibri"/>
                <w:sz w:val="20"/>
                <w:szCs w:val="20"/>
              </w:rPr>
            </w:pPr>
          </w:p>
        </w:tc>
        <w:tc>
          <w:tcPr>
            <w:tcW w:w="2330" w:type="pct"/>
          </w:tcPr>
          <w:p w:rsidR="00FD2176" w:rsidRPr="00C56FE1" w:rsidRDefault="00FD2176" w:rsidP="009208D4">
            <w:pPr>
              <w:jc w:val="both"/>
              <w:rPr>
                <w:rFonts w:eastAsia="Calibri"/>
                <w:sz w:val="20"/>
                <w:szCs w:val="20"/>
              </w:rPr>
            </w:pPr>
            <w:r w:rsidRPr="00C56FE1">
              <w:rPr>
                <w:rFonts w:eastAsia="Calibri"/>
                <w:sz w:val="20"/>
                <w:szCs w:val="20"/>
              </w:rPr>
              <w:t>Application for leave to appeal both conviction and sentence dismissed</w:t>
            </w:r>
          </w:p>
          <w:p w:rsidR="00FD2176" w:rsidRPr="00C56FE1" w:rsidRDefault="00FD2176" w:rsidP="009208D4">
            <w:pPr>
              <w:jc w:val="both"/>
              <w:rPr>
                <w:rFonts w:eastAsia="Calibri"/>
                <w:sz w:val="20"/>
                <w:szCs w:val="20"/>
              </w:rPr>
            </w:pPr>
          </w:p>
        </w:tc>
      </w:tr>
      <w:tr w:rsidR="00FD2176" w:rsidRPr="00C56FE1" w:rsidTr="009208D4">
        <w:tc>
          <w:tcPr>
            <w:tcW w:w="2427" w:type="pct"/>
          </w:tcPr>
          <w:p w:rsidR="00FD2176" w:rsidRPr="00C56FE1" w:rsidRDefault="00FD2176" w:rsidP="009208D4">
            <w:pPr>
              <w:jc w:val="both"/>
              <w:rPr>
                <w:rFonts w:eastAsia="Calibri"/>
                <w:sz w:val="20"/>
                <w:szCs w:val="20"/>
              </w:rPr>
            </w:pPr>
            <w:r w:rsidRPr="00C56FE1">
              <w:rPr>
                <w:rFonts w:eastAsia="Calibri"/>
                <w:sz w:val="20"/>
                <w:szCs w:val="20"/>
              </w:rPr>
              <w:t>August 13, 2012</w:t>
            </w:r>
          </w:p>
          <w:p w:rsidR="00FD2176" w:rsidRPr="00C56FE1" w:rsidRDefault="00FD2176" w:rsidP="009208D4">
            <w:pPr>
              <w:jc w:val="both"/>
              <w:rPr>
                <w:rFonts w:eastAsia="Calibri"/>
                <w:sz w:val="20"/>
                <w:szCs w:val="20"/>
              </w:rPr>
            </w:pPr>
            <w:r w:rsidRPr="00C56FE1">
              <w:rPr>
                <w:rFonts w:eastAsia="Calibri"/>
                <w:sz w:val="20"/>
                <w:szCs w:val="20"/>
              </w:rPr>
              <w:t>Supreme Court of Canada</w:t>
            </w:r>
          </w:p>
        </w:tc>
        <w:tc>
          <w:tcPr>
            <w:tcW w:w="243" w:type="pct"/>
          </w:tcPr>
          <w:p w:rsidR="00FD2176" w:rsidRPr="00C56FE1" w:rsidRDefault="00FD2176" w:rsidP="009208D4">
            <w:pPr>
              <w:jc w:val="both"/>
              <w:rPr>
                <w:rFonts w:eastAsia="Calibri"/>
                <w:sz w:val="20"/>
                <w:szCs w:val="20"/>
              </w:rPr>
            </w:pPr>
          </w:p>
        </w:tc>
        <w:tc>
          <w:tcPr>
            <w:tcW w:w="2330" w:type="pct"/>
          </w:tcPr>
          <w:p w:rsidR="00FD2176" w:rsidRPr="00C56FE1" w:rsidRDefault="00FD2176" w:rsidP="009208D4">
            <w:pPr>
              <w:jc w:val="both"/>
              <w:rPr>
                <w:rFonts w:eastAsia="Calibri"/>
                <w:sz w:val="20"/>
                <w:szCs w:val="20"/>
              </w:rPr>
            </w:pPr>
            <w:r w:rsidRPr="00C56FE1">
              <w:rPr>
                <w:rFonts w:eastAsia="Calibri"/>
                <w:sz w:val="20"/>
                <w:szCs w:val="20"/>
              </w:rPr>
              <w:t>Application for leave to appeal filed</w:t>
            </w:r>
          </w:p>
        </w:tc>
      </w:tr>
    </w:tbl>
    <w:p w:rsidR="00E66638" w:rsidRDefault="00E66638" w:rsidP="008D292F">
      <w:pPr>
        <w:rPr>
          <w:sz w:val="20"/>
          <w:szCs w:val="20"/>
        </w:rPr>
      </w:pPr>
    </w:p>
    <w:p w:rsidR="00E66638" w:rsidRPr="00C50A5C" w:rsidRDefault="00CD48BC" w:rsidP="00E66638">
      <w:pPr>
        <w:rPr>
          <w:sz w:val="20"/>
          <w:szCs w:val="20"/>
        </w:rPr>
      </w:pPr>
      <w:r w:rsidRPr="00CD48BC">
        <w:rPr>
          <w:sz w:val="20"/>
          <w:szCs w:val="20"/>
          <w:lang w:val="fr-CA"/>
        </w:rPr>
        <w:pict>
          <v:rect id="_x0000_i1038" style="width:2in;height:1pt" o:hrpct="0" o:hralign="center" o:hrstd="t" o:hrnoshade="t" o:hr="t" fillcolor="black [3213]" stroked="f"/>
        </w:pict>
      </w:r>
    </w:p>
    <w:p w:rsidR="00E66638" w:rsidRDefault="00E66638" w:rsidP="00E66638">
      <w:pPr>
        <w:rPr>
          <w:sz w:val="20"/>
          <w:szCs w:val="20"/>
        </w:rPr>
      </w:pPr>
    </w:p>
    <w:p w:rsidR="00E66638" w:rsidRPr="001B157C" w:rsidRDefault="00E66638" w:rsidP="00E66638">
      <w:pPr>
        <w:rPr>
          <w:sz w:val="20"/>
          <w:szCs w:val="20"/>
          <w:u w:val="single"/>
          <w:lang w:val="fr-CA"/>
        </w:rPr>
      </w:pPr>
      <w:r w:rsidRPr="001B157C">
        <w:rPr>
          <w:sz w:val="20"/>
          <w:szCs w:val="20"/>
          <w:u w:val="single"/>
          <w:lang w:val="fr-CA"/>
        </w:rPr>
        <w:t>RÉSUMÉ DE L’AFFAIRE</w:t>
      </w:r>
    </w:p>
    <w:p w:rsidR="00E66638" w:rsidRDefault="00E66638" w:rsidP="008D292F">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FD2176" w:rsidRPr="00334802" w:rsidTr="009208D4">
        <w:tc>
          <w:tcPr>
            <w:tcW w:w="5000" w:type="pct"/>
            <w:gridSpan w:val="3"/>
          </w:tcPr>
          <w:p w:rsidR="00FD2176" w:rsidRPr="00C56FE1" w:rsidRDefault="00FD2176" w:rsidP="009208D4">
            <w:pPr>
              <w:jc w:val="both"/>
              <w:rPr>
                <w:rFonts w:eastAsia="Calibri"/>
                <w:smallCaps/>
                <w:sz w:val="20"/>
                <w:szCs w:val="20"/>
                <w:lang w:val="fr-CA"/>
              </w:rPr>
            </w:pPr>
            <w:r w:rsidRPr="00C56FE1">
              <w:rPr>
                <w:rFonts w:eastAsia="Calibri"/>
                <w:smallCaps/>
                <w:sz w:val="20"/>
                <w:szCs w:val="20"/>
                <w:lang w:val="fr-CA"/>
              </w:rPr>
              <w:t>(Ordonnance de mise sous scellés)</w:t>
            </w:r>
          </w:p>
          <w:p w:rsidR="00FD2176" w:rsidRPr="00C56FE1" w:rsidRDefault="00FD2176" w:rsidP="009208D4">
            <w:pPr>
              <w:jc w:val="both"/>
              <w:rPr>
                <w:rFonts w:eastAsia="Calibri"/>
                <w:sz w:val="20"/>
                <w:szCs w:val="20"/>
                <w:lang w:val="fr-CA"/>
              </w:rPr>
            </w:pPr>
          </w:p>
          <w:p w:rsidR="00FD2176" w:rsidRPr="00C56FE1" w:rsidRDefault="00FD2176" w:rsidP="009208D4">
            <w:pPr>
              <w:jc w:val="both"/>
              <w:rPr>
                <w:rFonts w:eastAsia="Calibri"/>
                <w:sz w:val="20"/>
                <w:szCs w:val="20"/>
                <w:lang w:val="fr-CA"/>
              </w:rPr>
            </w:pPr>
            <w:r w:rsidRPr="00C56FE1">
              <w:rPr>
                <w:rFonts w:eastAsia="Calibri"/>
                <w:i/>
                <w:sz w:val="20"/>
                <w:szCs w:val="20"/>
                <w:lang w:val="fr-CA"/>
              </w:rPr>
              <w:t xml:space="preserve">Charte des droits </w:t>
            </w:r>
            <w:r w:rsidRPr="00C56FE1">
              <w:rPr>
                <w:rFonts w:eastAsia="Calibri"/>
                <w:sz w:val="20"/>
                <w:szCs w:val="20"/>
                <w:lang w:val="fr-CA"/>
              </w:rPr>
              <w:t xml:space="preserve">— Droit constitutionnel — Droit à la vie, à la liberté et à la sécurité de la personne — Article 7 de la </w:t>
            </w:r>
            <w:r w:rsidRPr="00C56FE1">
              <w:rPr>
                <w:rFonts w:eastAsia="Calibri"/>
                <w:i/>
                <w:sz w:val="20"/>
                <w:szCs w:val="20"/>
                <w:lang w:val="fr-CA"/>
              </w:rPr>
              <w:t>Charte</w:t>
            </w:r>
            <w:r w:rsidRPr="00C56FE1">
              <w:rPr>
                <w:rFonts w:eastAsia="Calibri"/>
                <w:sz w:val="20"/>
                <w:szCs w:val="20"/>
                <w:lang w:val="fr-CA"/>
              </w:rPr>
              <w:t xml:space="preserve"> — Droit criminel — Appels — Demandeur déclaré coupable de possession de cannabis (marihuana), une infraction prévue au par. 4(1) de la </w:t>
            </w:r>
            <w:r w:rsidRPr="00C56FE1">
              <w:rPr>
                <w:rFonts w:eastAsia="Calibri"/>
                <w:i/>
                <w:sz w:val="20"/>
                <w:szCs w:val="20"/>
                <w:lang w:val="fr-CA"/>
              </w:rPr>
              <w:t>Loi réglementant certaines drogues et autres substances</w:t>
            </w:r>
            <w:r w:rsidRPr="00C56FE1">
              <w:rPr>
                <w:rFonts w:eastAsia="Calibri"/>
                <w:sz w:val="20"/>
                <w:szCs w:val="20"/>
                <w:lang w:val="fr-CA"/>
              </w:rPr>
              <w:t xml:space="preserve">, L.C., 1996, Chapitre 19 — L’accusation aurait-elle dû être suspendue? — Le par. 4(1) de la </w:t>
            </w:r>
            <w:r w:rsidRPr="00C56FE1">
              <w:rPr>
                <w:rFonts w:eastAsia="Calibri"/>
                <w:i/>
                <w:sz w:val="20"/>
                <w:szCs w:val="20"/>
                <w:lang w:val="fr-CA"/>
              </w:rPr>
              <w:t>Loi réglementant certaines drogues et autres substances</w:t>
            </w:r>
            <w:r w:rsidRPr="00C56FE1">
              <w:rPr>
                <w:rFonts w:eastAsia="Calibri"/>
                <w:sz w:val="20"/>
                <w:szCs w:val="20"/>
                <w:lang w:val="fr-CA"/>
              </w:rPr>
              <w:t xml:space="preserve"> est-elle constitutionnelle? — Le </w:t>
            </w:r>
            <w:r w:rsidRPr="00C56FE1">
              <w:rPr>
                <w:rFonts w:eastAsia="Calibri"/>
                <w:i/>
                <w:sz w:val="20"/>
                <w:szCs w:val="20"/>
                <w:lang w:val="fr-CA"/>
              </w:rPr>
              <w:t xml:space="preserve">Règlement sur l’accès à la marihuana à des fins médicales </w:t>
            </w:r>
            <w:r w:rsidRPr="00C56FE1">
              <w:rPr>
                <w:rFonts w:eastAsia="Calibri"/>
                <w:sz w:val="20"/>
                <w:szCs w:val="20"/>
                <w:lang w:val="fr-CA"/>
              </w:rPr>
              <w:t xml:space="preserve">est-il constitutionnel? — L’affaire soulève-t-elle des questions d’importance pour le public? — </w:t>
            </w:r>
            <w:r w:rsidRPr="00C56FE1">
              <w:rPr>
                <w:rFonts w:eastAsia="Calibri"/>
                <w:i/>
                <w:sz w:val="20"/>
                <w:szCs w:val="20"/>
                <w:lang w:val="fr-CA"/>
              </w:rPr>
              <w:t>Charte canadienne des droits et libertés</w:t>
            </w:r>
            <w:r w:rsidRPr="00C56FE1">
              <w:rPr>
                <w:rFonts w:eastAsia="Calibri"/>
                <w:sz w:val="20"/>
                <w:szCs w:val="20"/>
                <w:lang w:val="fr-CA"/>
              </w:rPr>
              <w:t>, art. 7.</w:t>
            </w:r>
          </w:p>
        </w:tc>
      </w:tr>
      <w:tr w:rsidR="00FD2176" w:rsidRPr="00334802" w:rsidTr="009208D4">
        <w:tc>
          <w:tcPr>
            <w:tcW w:w="5000" w:type="pct"/>
            <w:gridSpan w:val="3"/>
          </w:tcPr>
          <w:p w:rsidR="00FD2176" w:rsidRPr="00C56FE1" w:rsidRDefault="00FD2176" w:rsidP="009208D4">
            <w:pPr>
              <w:jc w:val="both"/>
              <w:rPr>
                <w:rFonts w:eastAsia="Calibri"/>
                <w:sz w:val="20"/>
                <w:szCs w:val="20"/>
                <w:lang w:val="fr-CA"/>
              </w:rPr>
            </w:pPr>
          </w:p>
        </w:tc>
      </w:tr>
      <w:tr w:rsidR="00FD2176" w:rsidRPr="00334802" w:rsidTr="009208D4">
        <w:tc>
          <w:tcPr>
            <w:tcW w:w="5000" w:type="pct"/>
            <w:gridSpan w:val="3"/>
          </w:tcPr>
          <w:p w:rsidR="00FD2176" w:rsidRPr="00C56FE1" w:rsidRDefault="00FD2176" w:rsidP="009208D4">
            <w:pPr>
              <w:jc w:val="both"/>
              <w:rPr>
                <w:rFonts w:eastAsia="Calibri"/>
                <w:sz w:val="20"/>
                <w:szCs w:val="20"/>
                <w:lang w:val="fr-CA"/>
              </w:rPr>
            </w:pPr>
            <w:r w:rsidRPr="00C56FE1">
              <w:rPr>
                <w:rFonts w:eastAsia="Calibri"/>
                <w:sz w:val="20"/>
                <w:szCs w:val="20"/>
                <w:lang w:val="fr-CA"/>
              </w:rPr>
              <w:t xml:space="preserve">Avant le commencement de son procès, la requête du demandeur en annulation de la dénonciation au motif que l’infraction était inconstitutionnelle a été rejetée.  Au procès, le juge a statué que les retards dans le traitement de la demande d’autorisation de possession présentée par le demandeur n’étaient pas manifestement injustes, n’étaient pas inconstitutionnels et ne violaient pas les droits du demandeur garantis par l’art. 7 de la </w:t>
            </w:r>
            <w:r w:rsidRPr="00C56FE1">
              <w:rPr>
                <w:rFonts w:eastAsia="Calibri"/>
                <w:i/>
                <w:sz w:val="20"/>
                <w:szCs w:val="20"/>
                <w:lang w:val="fr-CA"/>
              </w:rPr>
              <w:t>Charte</w:t>
            </w:r>
            <w:r w:rsidRPr="00C56FE1">
              <w:rPr>
                <w:rFonts w:eastAsia="Calibri"/>
                <w:sz w:val="20"/>
                <w:szCs w:val="20"/>
                <w:lang w:val="fr-CA"/>
              </w:rPr>
              <w:t xml:space="preserve">.  Le juge du procès a statué que le </w:t>
            </w:r>
            <w:r w:rsidRPr="00C56FE1">
              <w:rPr>
                <w:rFonts w:eastAsia="Calibri"/>
                <w:i/>
                <w:sz w:val="20"/>
                <w:szCs w:val="20"/>
                <w:lang w:val="fr-CA"/>
              </w:rPr>
              <w:t>Règlement sur l’accès à la marihuana à des fins médicales</w:t>
            </w:r>
            <w:r w:rsidRPr="00C56FE1">
              <w:rPr>
                <w:rFonts w:eastAsia="Calibri"/>
                <w:sz w:val="20"/>
                <w:szCs w:val="20"/>
                <w:lang w:val="fr-CA"/>
              </w:rPr>
              <w:t xml:space="preserve"> (le </w:t>
            </w:r>
            <w:r w:rsidRPr="00C56FE1">
              <w:rPr>
                <w:rFonts w:eastAsia="Calibri"/>
                <w:i/>
                <w:sz w:val="20"/>
                <w:szCs w:val="20"/>
                <w:lang w:val="fr-CA"/>
              </w:rPr>
              <w:t>Règlement</w:t>
            </w:r>
            <w:r w:rsidRPr="00C56FE1">
              <w:rPr>
                <w:rFonts w:eastAsia="Calibri"/>
                <w:sz w:val="20"/>
                <w:szCs w:val="20"/>
                <w:lang w:val="fr-CA"/>
              </w:rPr>
              <w:t xml:space="preserve">) n’était pas inconstitutionnel en raison des retards dans le traitement des demandes d’autorisation de possession, qu’elles soient nouvelles, de renouvellement ou de modification.  La juge du procès a statué que le par. 4(1) de la </w:t>
            </w:r>
            <w:r w:rsidRPr="00C56FE1">
              <w:rPr>
                <w:rFonts w:eastAsia="Calibri"/>
                <w:i/>
                <w:sz w:val="20"/>
                <w:szCs w:val="20"/>
                <w:lang w:val="fr-CA"/>
              </w:rPr>
              <w:t>Loi réglementant certaines drogues et autres substances</w:t>
            </w:r>
            <w:r w:rsidRPr="00C56FE1">
              <w:rPr>
                <w:rFonts w:eastAsia="Calibri"/>
                <w:sz w:val="20"/>
                <w:szCs w:val="20"/>
                <w:lang w:val="fr-CA"/>
              </w:rPr>
              <w:t xml:space="preserve"> (la </w:t>
            </w:r>
            <w:r w:rsidRPr="00C56FE1">
              <w:rPr>
                <w:rFonts w:eastAsia="Calibri"/>
                <w:i/>
                <w:sz w:val="20"/>
                <w:szCs w:val="20"/>
                <w:lang w:val="fr-CA"/>
              </w:rPr>
              <w:t>Loi</w:t>
            </w:r>
            <w:r w:rsidRPr="00C56FE1">
              <w:rPr>
                <w:rFonts w:eastAsia="Calibri"/>
                <w:sz w:val="20"/>
                <w:szCs w:val="20"/>
                <w:lang w:val="fr-CA"/>
              </w:rPr>
              <w:t>) était valide et n’avait jamais été abrogé.  Il a refusé de statuer sur la constitutionnalité des al. 32</w:t>
            </w:r>
            <w:r w:rsidRPr="00C56FE1">
              <w:rPr>
                <w:rFonts w:eastAsia="Calibri"/>
                <w:i/>
                <w:sz w:val="20"/>
                <w:szCs w:val="20"/>
                <w:lang w:val="fr-CA"/>
              </w:rPr>
              <w:t>d)</w:t>
            </w:r>
            <w:r w:rsidRPr="00C56FE1">
              <w:rPr>
                <w:rFonts w:eastAsia="Calibri"/>
                <w:sz w:val="20"/>
                <w:szCs w:val="20"/>
                <w:lang w:val="fr-CA"/>
              </w:rPr>
              <w:t xml:space="preserve"> ou 32</w:t>
            </w:r>
            <w:r w:rsidRPr="00C56FE1">
              <w:rPr>
                <w:rFonts w:eastAsia="Calibri"/>
                <w:i/>
                <w:sz w:val="20"/>
                <w:szCs w:val="20"/>
                <w:lang w:val="fr-CA"/>
              </w:rPr>
              <w:t>e)</w:t>
            </w:r>
            <w:r w:rsidRPr="00C56FE1">
              <w:rPr>
                <w:rFonts w:eastAsia="Calibri"/>
                <w:sz w:val="20"/>
                <w:szCs w:val="20"/>
                <w:lang w:val="fr-CA"/>
              </w:rPr>
              <w:t xml:space="preserve"> du </w:t>
            </w:r>
            <w:r w:rsidRPr="00C56FE1">
              <w:rPr>
                <w:rFonts w:eastAsia="Calibri"/>
                <w:i/>
                <w:sz w:val="20"/>
                <w:szCs w:val="20"/>
                <w:lang w:val="fr-CA"/>
              </w:rPr>
              <w:t>Règlement</w:t>
            </w:r>
            <w:r w:rsidRPr="00C56FE1">
              <w:rPr>
                <w:rFonts w:eastAsia="Calibri"/>
                <w:sz w:val="20"/>
                <w:szCs w:val="20"/>
                <w:lang w:val="fr-CA"/>
              </w:rPr>
              <w:t xml:space="preserve">.  Le demandeur a été déclaré coupable de possession de cannabis (marihuana), une infraction prévue au par. 4(1) de la </w:t>
            </w:r>
            <w:r w:rsidRPr="00C56FE1">
              <w:rPr>
                <w:rFonts w:eastAsia="Calibri"/>
                <w:i/>
                <w:sz w:val="20"/>
                <w:szCs w:val="20"/>
                <w:lang w:val="fr-CA"/>
              </w:rPr>
              <w:t>Loi.</w:t>
            </w:r>
            <w:r w:rsidRPr="00C56FE1">
              <w:rPr>
                <w:rFonts w:eastAsia="Calibri"/>
                <w:sz w:val="20"/>
                <w:szCs w:val="20"/>
                <w:lang w:val="fr-CA"/>
              </w:rPr>
              <w:t xml:space="preserve">  La Cour du Banc de la Reine a confirmé la décision du juge du procès.  Le demandeur a demandé sans succès l’autorisation d’appel à la Cour d’appel. </w:t>
            </w:r>
          </w:p>
          <w:p w:rsidR="00FD2176" w:rsidRPr="00C56FE1" w:rsidRDefault="00FD2176" w:rsidP="009208D4">
            <w:pPr>
              <w:jc w:val="both"/>
              <w:rPr>
                <w:rFonts w:eastAsia="Calibri"/>
                <w:sz w:val="20"/>
                <w:szCs w:val="20"/>
                <w:lang w:val="fr-CA"/>
              </w:rPr>
            </w:pPr>
          </w:p>
        </w:tc>
      </w:tr>
      <w:tr w:rsidR="00FD2176" w:rsidRPr="00334802" w:rsidTr="009208D4">
        <w:tc>
          <w:tcPr>
            <w:tcW w:w="2427" w:type="pct"/>
          </w:tcPr>
          <w:p w:rsidR="00FD2176" w:rsidRPr="00C56FE1" w:rsidRDefault="00FD2176" w:rsidP="009208D4">
            <w:pPr>
              <w:jc w:val="both"/>
              <w:rPr>
                <w:rFonts w:eastAsia="Calibri"/>
                <w:sz w:val="20"/>
                <w:szCs w:val="20"/>
                <w:lang w:val="fr-CA"/>
              </w:rPr>
            </w:pPr>
            <w:r w:rsidRPr="00C56FE1">
              <w:rPr>
                <w:rFonts w:eastAsia="Calibri"/>
                <w:sz w:val="20"/>
                <w:szCs w:val="20"/>
                <w:lang w:val="fr-CA"/>
              </w:rPr>
              <w:t>9 juillet 2010</w:t>
            </w:r>
          </w:p>
          <w:p w:rsidR="00FD2176" w:rsidRPr="00C56FE1" w:rsidRDefault="00FD2176" w:rsidP="009208D4">
            <w:pPr>
              <w:jc w:val="both"/>
              <w:rPr>
                <w:rFonts w:eastAsia="Calibri"/>
                <w:sz w:val="20"/>
                <w:szCs w:val="20"/>
                <w:lang w:val="fr-CA"/>
              </w:rPr>
            </w:pPr>
            <w:r w:rsidRPr="00C56FE1">
              <w:rPr>
                <w:rFonts w:eastAsia="Calibri"/>
                <w:sz w:val="20"/>
                <w:szCs w:val="20"/>
                <w:lang w:val="fr-CA"/>
              </w:rPr>
              <w:t>Cour du Banc de la Reine du Nouveau-Brunswick</w:t>
            </w:r>
          </w:p>
          <w:p w:rsidR="00FD2176" w:rsidRPr="00C56FE1" w:rsidRDefault="00FD2176" w:rsidP="009208D4">
            <w:pPr>
              <w:jc w:val="both"/>
              <w:rPr>
                <w:rFonts w:eastAsia="Calibri"/>
                <w:sz w:val="20"/>
                <w:szCs w:val="20"/>
                <w:lang w:val="fr-CA"/>
              </w:rPr>
            </w:pPr>
            <w:r w:rsidRPr="00C56FE1">
              <w:rPr>
                <w:rFonts w:eastAsia="Calibri"/>
                <w:sz w:val="20"/>
                <w:szCs w:val="20"/>
                <w:lang w:val="fr-CA"/>
              </w:rPr>
              <w:t>(Juge Morrison)</w:t>
            </w:r>
          </w:p>
          <w:p w:rsidR="00FD2176" w:rsidRPr="00C56FE1" w:rsidRDefault="00FD2176" w:rsidP="009208D4">
            <w:pPr>
              <w:jc w:val="both"/>
              <w:rPr>
                <w:rFonts w:eastAsia="Calibri"/>
                <w:sz w:val="20"/>
                <w:szCs w:val="20"/>
                <w:lang w:val="fr-CA"/>
              </w:rPr>
            </w:pPr>
          </w:p>
        </w:tc>
        <w:tc>
          <w:tcPr>
            <w:tcW w:w="243" w:type="pct"/>
          </w:tcPr>
          <w:p w:rsidR="00FD2176" w:rsidRPr="00C56FE1" w:rsidRDefault="00FD2176" w:rsidP="009208D4">
            <w:pPr>
              <w:jc w:val="both"/>
              <w:rPr>
                <w:rFonts w:eastAsia="Calibri"/>
                <w:sz w:val="20"/>
                <w:szCs w:val="20"/>
                <w:lang w:val="fr-CA"/>
              </w:rPr>
            </w:pPr>
          </w:p>
        </w:tc>
        <w:tc>
          <w:tcPr>
            <w:tcW w:w="2330" w:type="pct"/>
          </w:tcPr>
          <w:p w:rsidR="00FD2176" w:rsidRPr="00C56FE1" w:rsidRDefault="00FD2176" w:rsidP="009208D4">
            <w:pPr>
              <w:jc w:val="both"/>
              <w:rPr>
                <w:rFonts w:eastAsia="Calibri"/>
                <w:sz w:val="20"/>
                <w:szCs w:val="20"/>
                <w:lang w:val="fr-CA"/>
              </w:rPr>
            </w:pPr>
            <w:r w:rsidRPr="00C56FE1">
              <w:rPr>
                <w:rFonts w:eastAsia="Calibri"/>
                <w:sz w:val="20"/>
                <w:szCs w:val="20"/>
                <w:lang w:val="fr-CA"/>
              </w:rPr>
              <w:t xml:space="preserve">Requête du demandeur fondée sur l’art. 601 du </w:t>
            </w:r>
            <w:r w:rsidRPr="00C56FE1">
              <w:rPr>
                <w:rFonts w:eastAsia="Calibri"/>
                <w:i/>
                <w:sz w:val="20"/>
                <w:szCs w:val="20"/>
                <w:lang w:val="fr-CA"/>
              </w:rPr>
              <w:t>Code criminel</w:t>
            </w:r>
            <w:r w:rsidRPr="00C56FE1">
              <w:rPr>
                <w:rFonts w:eastAsia="Calibri"/>
                <w:sz w:val="20"/>
                <w:szCs w:val="20"/>
                <w:lang w:val="fr-CA"/>
              </w:rPr>
              <w:t xml:space="preserve"> sollicitant une ordonnance annulant la dénonciation au motif que le par. 4(1) de la </w:t>
            </w:r>
            <w:r w:rsidRPr="00C56FE1">
              <w:rPr>
                <w:rFonts w:eastAsia="Calibri"/>
                <w:i/>
                <w:sz w:val="20"/>
                <w:szCs w:val="20"/>
                <w:lang w:val="fr-CA"/>
              </w:rPr>
              <w:t xml:space="preserve">Loi réglementant certaines drogues et autres substances </w:t>
            </w:r>
            <w:r w:rsidRPr="00C56FE1">
              <w:rPr>
                <w:rFonts w:eastAsia="Calibri"/>
                <w:sz w:val="20"/>
                <w:szCs w:val="20"/>
                <w:lang w:val="fr-CA"/>
              </w:rPr>
              <w:t>est inopérant, rejetée</w:t>
            </w:r>
          </w:p>
          <w:p w:rsidR="00FD2176" w:rsidRPr="00C56FE1" w:rsidRDefault="00FD2176" w:rsidP="009208D4">
            <w:pPr>
              <w:jc w:val="both"/>
              <w:rPr>
                <w:rFonts w:eastAsia="Calibri"/>
                <w:sz w:val="20"/>
                <w:szCs w:val="20"/>
                <w:lang w:val="fr-CA"/>
              </w:rPr>
            </w:pPr>
          </w:p>
        </w:tc>
      </w:tr>
      <w:tr w:rsidR="00FD2176" w:rsidRPr="00334802" w:rsidTr="009208D4">
        <w:tc>
          <w:tcPr>
            <w:tcW w:w="2427" w:type="pct"/>
          </w:tcPr>
          <w:p w:rsidR="00FD2176" w:rsidRPr="00C56FE1" w:rsidRDefault="00FD2176" w:rsidP="009208D4">
            <w:pPr>
              <w:jc w:val="both"/>
              <w:rPr>
                <w:rFonts w:eastAsia="Calibri"/>
                <w:sz w:val="20"/>
                <w:szCs w:val="20"/>
                <w:lang w:val="fr-CA"/>
              </w:rPr>
            </w:pPr>
            <w:r w:rsidRPr="00C56FE1">
              <w:rPr>
                <w:rFonts w:eastAsia="Calibri"/>
                <w:sz w:val="20"/>
                <w:szCs w:val="20"/>
                <w:lang w:val="fr-CA"/>
              </w:rPr>
              <w:t>3 décembre 2010</w:t>
            </w:r>
          </w:p>
          <w:p w:rsidR="00FD2176" w:rsidRPr="00C56FE1" w:rsidRDefault="00FD2176" w:rsidP="009208D4">
            <w:pPr>
              <w:jc w:val="both"/>
              <w:rPr>
                <w:rFonts w:eastAsia="Calibri"/>
                <w:sz w:val="20"/>
                <w:szCs w:val="20"/>
                <w:lang w:val="fr-CA"/>
              </w:rPr>
            </w:pPr>
            <w:r w:rsidRPr="00C56FE1">
              <w:rPr>
                <w:rFonts w:eastAsia="Calibri"/>
                <w:sz w:val="20"/>
                <w:szCs w:val="20"/>
                <w:lang w:val="fr-CA"/>
              </w:rPr>
              <w:t>Cour provinciale du Nouveau-Brunswick</w:t>
            </w:r>
          </w:p>
          <w:p w:rsidR="00FD2176" w:rsidRPr="00C56FE1" w:rsidRDefault="00FD2176" w:rsidP="009208D4">
            <w:pPr>
              <w:jc w:val="both"/>
              <w:rPr>
                <w:rFonts w:eastAsia="Calibri"/>
                <w:sz w:val="20"/>
                <w:szCs w:val="20"/>
                <w:lang w:val="fr-CA"/>
              </w:rPr>
            </w:pPr>
            <w:r w:rsidRPr="00C56FE1">
              <w:rPr>
                <w:rFonts w:eastAsia="Calibri"/>
                <w:sz w:val="20"/>
                <w:szCs w:val="20"/>
                <w:lang w:val="fr-CA"/>
              </w:rPr>
              <w:t>(Juge en chef Jackson)</w:t>
            </w:r>
          </w:p>
          <w:p w:rsidR="00FD2176" w:rsidRPr="00C56FE1" w:rsidRDefault="00FD2176" w:rsidP="009208D4">
            <w:pPr>
              <w:jc w:val="both"/>
              <w:rPr>
                <w:rFonts w:eastAsia="Calibri"/>
                <w:sz w:val="20"/>
                <w:szCs w:val="20"/>
                <w:lang w:val="fr-CA"/>
              </w:rPr>
            </w:pPr>
            <w:r w:rsidRPr="00C56FE1">
              <w:rPr>
                <w:rFonts w:eastAsia="Calibri"/>
                <w:sz w:val="20"/>
                <w:szCs w:val="20"/>
                <w:lang w:val="fr-CA"/>
              </w:rPr>
              <w:t>Référence neutre : 2010 NBPC 37</w:t>
            </w:r>
          </w:p>
        </w:tc>
        <w:tc>
          <w:tcPr>
            <w:tcW w:w="243" w:type="pct"/>
          </w:tcPr>
          <w:p w:rsidR="00FD2176" w:rsidRPr="00C56FE1" w:rsidRDefault="00FD2176" w:rsidP="009208D4">
            <w:pPr>
              <w:jc w:val="both"/>
              <w:rPr>
                <w:rFonts w:eastAsia="Calibri"/>
                <w:sz w:val="20"/>
                <w:szCs w:val="20"/>
                <w:lang w:val="fr-CA"/>
              </w:rPr>
            </w:pPr>
          </w:p>
        </w:tc>
        <w:tc>
          <w:tcPr>
            <w:tcW w:w="2330" w:type="pct"/>
          </w:tcPr>
          <w:p w:rsidR="00FD2176" w:rsidRPr="00C56FE1" w:rsidRDefault="00FD2176" w:rsidP="009208D4">
            <w:pPr>
              <w:jc w:val="both"/>
              <w:rPr>
                <w:rFonts w:eastAsia="Calibri"/>
                <w:sz w:val="20"/>
                <w:szCs w:val="20"/>
                <w:lang w:val="fr-CA"/>
              </w:rPr>
            </w:pPr>
            <w:r w:rsidRPr="00C56FE1">
              <w:rPr>
                <w:rFonts w:eastAsia="Calibri"/>
                <w:sz w:val="20"/>
                <w:szCs w:val="20"/>
                <w:lang w:val="fr-CA"/>
              </w:rPr>
              <w:t xml:space="preserve">Demandeur déclaré coupable de possession de cannabis (marihuana), une infraction prévue au par. 4(1) de la </w:t>
            </w:r>
            <w:r w:rsidRPr="00C56FE1">
              <w:rPr>
                <w:rFonts w:eastAsia="Calibri"/>
                <w:i/>
                <w:sz w:val="20"/>
                <w:szCs w:val="20"/>
                <w:lang w:val="fr-CA"/>
              </w:rPr>
              <w:t>Loi réglementant certaines drogues et autres substances</w:t>
            </w:r>
            <w:r w:rsidRPr="00C56FE1">
              <w:rPr>
                <w:rFonts w:eastAsia="Calibri"/>
                <w:sz w:val="20"/>
                <w:szCs w:val="20"/>
                <w:lang w:val="fr-CA"/>
              </w:rPr>
              <w:t>; amende de 500 $ et suramende compensatoire de 75 $ imposées</w:t>
            </w:r>
          </w:p>
          <w:p w:rsidR="00FD2176" w:rsidRPr="00C56FE1" w:rsidRDefault="00FD2176" w:rsidP="009208D4">
            <w:pPr>
              <w:jc w:val="both"/>
              <w:rPr>
                <w:rFonts w:eastAsia="Calibri"/>
                <w:sz w:val="20"/>
                <w:szCs w:val="20"/>
                <w:lang w:val="fr-CA"/>
              </w:rPr>
            </w:pPr>
          </w:p>
        </w:tc>
      </w:tr>
      <w:tr w:rsidR="00FD2176" w:rsidRPr="00334802" w:rsidTr="009208D4">
        <w:tc>
          <w:tcPr>
            <w:tcW w:w="2427" w:type="pct"/>
          </w:tcPr>
          <w:p w:rsidR="00FD2176" w:rsidRPr="00C56FE1" w:rsidRDefault="00FD2176" w:rsidP="009208D4">
            <w:pPr>
              <w:jc w:val="both"/>
              <w:rPr>
                <w:rFonts w:eastAsia="Calibri"/>
                <w:sz w:val="20"/>
                <w:szCs w:val="20"/>
                <w:lang w:val="fr-CA"/>
              </w:rPr>
            </w:pPr>
            <w:r w:rsidRPr="00C56FE1">
              <w:rPr>
                <w:rFonts w:eastAsia="Calibri"/>
                <w:sz w:val="20"/>
                <w:szCs w:val="20"/>
                <w:lang w:val="fr-CA"/>
              </w:rPr>
              <w:t>28 novembre 2011</w:t>
            </w:r>
          </w:p>
          <w:p w:rsidR="00FD2176" w:rsidRPr="00C56FE1" w:rsidRDefault="00FD2176" w:rsidP="009208D4">
            <w:pPr>
              <w:jc w:val="both"/>
              <w:rPr>
                <w:rFonts w:eastAsia="Calibri"/>
                <w:sz w:val="20"/>
                <w:szCs w:val="20"/>
                <w:lang w:val="fr-CA"/>
              </w:rPr>
            </w:pPr>
            <w:r w:rsidRPr="00C56FE1">
              <w:rPr>
                <w:rFonts w:eastAsia="Calibri"/>
                <w:sz w:val="20"/>
                <w:szCs w:val="20"/>
                <w:lang w:val="fr-CA"/>
              </w:rPr>
              <w:t>Cour du Banc de la Reine du Nouveau-Brunswick</w:t>
            </w:r>
          </w:p>
          <w:p w:rsidR="00FD2176" w:rsidRPr="00C56FE1" w:rsidRDefault="00FD2176" w:rsidP="009208D4">
            <w:pPr>
              <w:jc w:val="both"/>
              <w:rPr>
                <w:rFonts w:eastAsia="Calibri"/>
                <w:sz w:val="20"/>
                <w:szCs w:val="20"/>
                <w:lang w:val="fr-CA"/>
              </w:rPr>
            </w:pPr>
            <w:r w:rsidRPr="00C56FE1">
              <w:rPr>
                <w:rFonts w:eastAsia="Calibri"/>
                <w:sz w:val="20"/>
                <w:szCs w:val="20"/>
                <w:lang w:val="fr-CA"/>
              </w:rPr>
              <w:t>(Juge Garnett)</w:t>
            </w:r>
          </w:p>
          <w:p w:rsidR="00FD2176" w:rsidRPr="00C56FE1" w:rsidRDefault="00FD2176" w:rsidP="009208D4">
            <w:pPr>
              <w:jc w:val="both"/>
              <w:rPr>
                <w:rFonts w:eastAsia="Calibri"/>
                <w:sz w:val="20"/>
                <w:szCs w:val="20"/>
                <w:lang w:val="fr-CA"/>
              </w:rPr>
            </w:pPr>
            <w:r w:rsidRPr="00C56FE1">
              <w:rPr>
                <w:rFonts w:eastAsia="Calibri"/>
                <w:sz w:val="20"/>
                <w:szCs w:val="20"/>
                <w:lang w:val="fr-CA"/>
              </w:rPr>
              <w:t>Référence neutre : 2011 NBQB 330</w:t>
            </w:r>
          </w:p>
          <w:p w:rsidR="00FD2176" w:rsidRPr="00C56FE1" w:rsidRDefault="00FD2176" w:rsidP="009208D4">
            <w:pPr>
              <w:jc w:val="both"/>
              <w:rPr>
                <w:rFonts w:eastAsia="Calibri"/>
                <w:sz w:val="20"/>
                <w:szCs w:val="20"/>
                <w:lang w:val="fr-CA"/>
              </w:rPr>
            </w:pPr>
          </w:p>
        </w:tc>
        <w:tc>
          <w:tcPr>
            <w:tcW w:w="243" w:type="pct"/>
          </w:tcPr>
          <w:p w:rsidR="00FD2176" w:rsidRPr="00C56FE1" w:rsidRDefault="00FD2176" w:rsidP="009208D4">
            <w:pPr>
              <w:jc w:val="both"/>
              <w:rPr>
                <w:rFonts w:eastAsia="Calibri"/>
                <w:sz w:val="20"/>
                <w:szCs w:val="20"/>
                <w:lang w:val="fr-CA"/>
              </w:rPr>
            </w:pPr>
          </w:p>
        </w:tc>
        <w:tc>
          <w:tcPr>
            <w:tcW w:w="2330" w:type="pct"/>
          </w:tcPr>
          <w:p w:rsidR="00FD2176" w:rsidRPr="00C56FE1" w:rsidRDefault="00FD2176" w:rsidP="009208D4">
            <w:pPr>
              <w:jc w:val="both"/>
              <w:rPr>
                <w:rFonts w:eastAsia="Calibri"/>
                <w:sz w:val="20"/>
                <w:szCs w:val="20"/>
                <w:lang w:val="fr-CA"/>
              </w:rPr>
            </w:pPr>
            <w:r w:rsidRPr="00C56FE1">
              <w:rPr>
                <w:rFonts w:eastAsia="Calibri"/>
                <w:sz w:val="20"/>
                <w:szCs w:val="20"/>
                <w:lang w:val="fr-CA"/>
              </w:rPr>
              <w:t>Appel de la déclaration de culpabilité et de la peine, rejeté</w:t>
            </w:r>
          </w:p>
          <w:p w:rsidR="00FD2176" w:rsidRPr="00C56FE1" w:rsidRDefault="00FD2176" w:rsidP="009208D4">
            <w:pPr>
              <w:jc w:val="both"/>
              <w:rPr>
                <w:rFonts w:eastAsia="Calibri"/>
                <w:sz w:val="20"/>
                <w:szCs w:val="20"/>
                <w:lang w:val="fr-CA"/>
              </w:rPr>
            </w:pPr>
          </w:p>
        </w:tc>
      </w:tr>
      <w:tr w:rsidR="00FD2176" w:rsidRPr="00334802" w:rsidTr="009208D4">
        <w:tc>
          <w:tcPr>
            <w:tcW w:w="2427" w:type="pct"/>
          </w:tcPr>
          <w:p w:rsidR="00FD2176" w:rsidRPr="00C56FE1" w:rsidRDefault="00FD2176" w:rsidP="009208D4">
            <w:pPr>
              <w:jc w:val="both"/>
              <w:rPr>
                <w:rFonts w:eastAsia="Calibri"/>
                <w:sz w:val="20"/>
                <w:szCs w:val="20"/>
                <w:lang w:val="fr-CA"/>
              </w:rPr>
            </w:pPr>
            <w:r w:rsidRPr="00C56FE1">
              <w:rPr>
                <w:rFonts w:eastAsia="Calibri"/>
                <w:sz w:val="20"/>
                <w:szCs w:val="20"/>
                <w:lang w:val="fr-CA"/>
              </w:rPr>
              <w:lastRenderedPageBreak/>
              <w:t>22 mai 2012</w:t>
            </w:r>
          </w:p>
          <w:p w:rsidR="00FD2176" w:rsidRPr="00C56FE1" w:rsidRDefault="00FD2176" w:rsidP="009208D4">
            <w:pPr>
              <w:jc w:val="both"/>
              <w:rPr>
                <w:rFonts w:eastAsia="Calibri"/>
                <w:sz w:val="20"/>
                <w:szCs w:val="20"/>
                <w:lang w:val="fr-CA"/>
              </w:rPr>
            </w:pPr>
            <w:r w:rsidRPr="00C56FE1">
              <w:rPr>
                <w:rFonts w:eastAsia="Calibri"/>
                <w:sz w:val="20"/>
                <w:szCs w:val="20"/>
                <w:lang w:val="fr-CA"/>
              </w:rPr>
              <w:t>Cour d’appel du Nouveau-Brunswick</w:t>
            </w:r>
          </w:p>
          <w:p w:rsidR="00FD2176" w:rsidRPr="00C56FE1" w:rsidRDefault="00FD2176" w:rsidP="009208D4">
            <w:pPr>
              <w:jc w:val="both"/>
              <w:rPr>
                <w:rFonts w:eastAsia="Calibri"/>
                <w:sz w:val="20"/>
                <w:szCs w:val="20"/>
                <w:lang w:val="fr-CA"/>
              </w:rPr>
            </w:pPr>
            <w:r w:rsidRPr="00C56FE1">
              <w:rPr>
                <w:rFonts w:eastAsia="Calibri"/>
                <w:sz w:val="20"/>
                <w:szCs w:val="20"/>
                <w:lang w:val="fr-CA"/>
              </w:rPr>
              <w:t>(Juges Richard, Bell et Green)</w:t>
            </w:r>
          </w:p>
          <w:p w:rsidR="00FD2176" w:rsidRPr="00C56FE1" w:rsidRDefault="00FD2176" w:rsidP="009208D4">
            <w:pPr>
              <w:jc w:val="both"/>
              <w:rPr>
                <w:rFonts w:eastAsia="Calibri"/>
                <w:sz w:val="20"/>
                <w:szCs w:val="20"/>
                <w:lang w:val="fr-CA"/>
              </w:rPr>
            </w:pPr>
            <w:r w:rsidRPr="00C56FE1">
              <w:rPr>
                <w:rFonts w:eastAsia="Calibri"/>
                <w:sz w:val="20"/>
                <w:szCs w:val="20"/>
                <w:lang w:val="fr-CA"/>
              </w:rPr>
              <w:t>Référence neutre : 2012 NBCA 51</w:t>
            </w:r>
          </w:p>
          <w:p w:rsidR="00FD2176" w:rsidRPr="00C56FE1" w:rsidRDefault="00FD2176" w:rsidP="009208D4">
            <w:pPr>
              <w:jc w:val="both"/>
              <w:rPr>
                <w:rFonts w:eastAsia="Calibri"/>
                <w:sz w:val="20"/>
                <w:szCs w:val="20"/>
                <w:lang w:val="fr-CA"/>
              </w:rPr>
            </w:pPr>
          </w:p>
        </w:tc>
        <w:tc>
          <w:tcPr>
            <w:tcW w:w="243" w:type="pct"/>
          </w:tcPr>
          <w:p w:rsidR="00FD2176" w:rsidRPr="00C56FE1" w:rsidRDefault="00FD2176" w:rsidP="009208D4">
            <w:pPr>
              <w:jc w:val="both"/>
              <w:rPr>
                <w:rFonts w:eastAsia="Calibri"/>
                <w:sz w:val="20"/>
                <w:szCs w:val="20"/>
                <w:lang w:val="fr-CA"/>
              </w:rPr>
            </w:pPr>
          </w:p>
        </w:tc>
        <w:tc>
          <w:tcPr>
            <w:tcW w:w="2330" w:type="pct"/>
          </w:tcPr>
          <w:p w:rsidR="00FD2176" w:rsidRPr="00C56FE1" w:rsidRDefault="00FD2176" w:rsidP="009208D4">
            <w:pPr>
              <w:jc w:val="both"/>
              <w:rPr>
                <w:rFonts w:eastAsia="Calibri"/>
                <w:sz w:val="20"/>
                <w:szCs w:val="20"/>
                <w:lang w:val="fr-CA"/>
              </w:rPr>
            </w:pPr>
            <w:r w:rsidRPr="00C56FE1">
              <w:rPr>
                <w:rFonts w:eastAsia="Calibri"/>
                <w:sz w:val="20"/>
                <w:szCs w:val="20"/>
                <w:lang w:val="fr-CA"/>
              </w:rPr>
              <w:t>Demande d’autorisation d’appel de la déclaration de culpabilité et de la peine, rejetée</w:t>
            </w:r>
          </w:p>
          <w:p w:rsidR="00FD2176" w:rsidRPr="00C56FE1" w:rsidRDefault="00FD2176" w:rsidP="009208D4">
            <w:pPr>
              <w:jc w:val="both"/>
              <w:rPr>
                <w:rFonts w:eastAsia="Calibri"/>
                <w:sz w:val="20"/>
                <w:szCs w:val="20"/>
                <w:lang w:val="fr-CA"/>
              </w:rPr>
            </w:pPr>
          </w:p>
        </w:tc>
      </w:tr>
      <w:tr w:rsidR="00FD2176" w:rsidRPr="00C56FE1" w:rsidTr="009208D4">
        <w:tc>
          <w:tcPr>
            <w:tcW w:w="2427" w:type="pct"/>
          </w:tcPr>
          <w:p w:rsidR="00FD2176" w:rsidRPr="00C56FE1" w:rsidRDefault="00FD2176" w:rsidP="009208D4">
            <w:pPr>
              <w:jc w:val="both"/>
              <w:rPr>
                <w:rFonts w:eastAsia="Calibri"/>
                <w:sz w:val="20"/>
                <w:szCs w:val="20"/>
                <w:lang w:val="fr-CA"/>
              </w:rPr>
            </w:pPr>
            <w:r w:rsidRPr="00C56FE1">
              <w:rPr>
                <w:rFonts w:eastAsia="Calibri"/>
                <w:sz w:val="20"/>
                <w:szCs w:val="20"/>
                <w:lang w:val="fr-CA"/>
              </w:rPr>
              <w:t>13 août 2012</w:t>
            </w:r>
          </w:p>
          <w:p w:rsidR="00FD2176" w:rsidRPr="00C56FE1" w:rsidRDefault="00FD2176" w:rsidP="009208D4">
            <w:pPr>
              <w:jc w:val="both"/>
              <w:rPr>
                <w:rFonts w:eastAsia="Calibri"/>
                <w:sz w:val="20"/>
                <w:szCs w:val="20"/>
                <w:lang w:val="fr-CA"/>
              </w:rPr>
            </w:pPr>
            <w:r w:rsidRPr="00C56FE1">
              <w:rPr>
                <w:rFonts w:eastAsia="Calibri"/>
                <w:sz w:val="20"/>
                <w:szCs w:val="20"/>
                <w:lang w:val="fr-CA"/>
              </w:rPr>
              <w:t>Cour suprême du Canada</w:t>
            </w:r>
          </w:p>
        </w:tc>
        <w:tc>
          <w:tcPr>
            <w:tcW w:w="243" w:type="pct"/>
          </w:tcPr>
          <w:p w:rsidR="00FD2176" w:rsidRPr="00C56FE1" w:rsidRDefault="00FD2176" w:rsidP="009208D4">
            <w:pPr>
              <w:jc w:val="both"/>
              <w:rPr>
                <w:rFonts w:eastAsia="Calibri"/>
                <w:sz w:val="20"/>
                <w:szCs w:val="20"/>
                <w:lang w:val="fr-CA"/>
              </w:rPr>
            </w:pPr>
          </w:p>
        </w:tc>
        <w:tc>
          <w:tcPr>
            <w:tcW w:w="2330" w:type="pct"/>
          </w:tcPr>
          <w:p w:rsidR="00FD2176" w:rsidRPr="00C56FE1" w:rsidRDefault="00FD2176" w:rsidP="009208D4">
            <w:pPr>
              <w:jc w:val="both"/>
              <w:rPr>
                <w:rFonts w:eastAsia="Calibri"/>
                <w:sz w:val="20"/>
                <w:szCs w:val="20"/>
                <w:lang w:val="fr-CA"/>
              </w:rPr>
            </w:pPr>
            <w:r w:rsidRPr="00C56FE1">
              <w:rPr>
                <w:rFonts w:eastAsia="Calibri"/>
                <w:sz w:val="20"/>
                <w:szCs w:val="20"/>
                <w:lang w:val="fr-CA"/>
              </w:rPr>
              <w:t>Demande d’autorisation d’appel, déposée</w:t>
            </w:r>
          </w:p>
        </w:tc>
      </w:tr>
    </w:tbl>
    <w:p w:rsidR="00E66638" w:rsidRDefault="00E66638" w:rsidP="008D292F">
      <w:pPr>
        <w:rPr>
          <w:sz w:val="20"/>
          <w:szCs w:val="20"/>
        </w:rPr>
      </w:pPr>
    </w:p>
    <w:p w:rsidR="00E66638" w:rsidRDefault="00CD48BC" w:rsidP="008D292F">
      <w:pPr>
        <w:rPr>
          <w:sz w:val="20"/>
          <w:szCs w:val="20"/>
          <w:lang w:val="fr-CA"/>
        </w:rPr>
      </w:pPr>
      <w:r w:rsidRPr="00CD48BC">
        <w:rPr>
          <w:sz w:val="20"/>
          <w:szCs w:val="20"/>
          <w:lang w:val="fr-CA"/>
        </w:rPr>
        <w:pict>
          <v:rect id="_x0000_i1039" style="width:2in;height:1pt" o:hrpct="0" o:hralign="center" o:hrstd="t" o:hrnoshade="t" o:hr="t" fillcolor="black [3213]" stroked="f"/>
        </w:pict>
      </w:r>
    </w:p>
    <w:p w:rsidR="00E66638" w:rsidRDefault="00E66638"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953C9" w:rsidRPr="00DE03BF" w:rsidTr="003B435E">
        <w:trPr>
          <w:cantSplit/>
        </w:trPr>
        <w:tc>
          <w:tcPr>
            <w:tcW w:w="1458" w:type="dxa"/>
          </w:tcPr>
          <w:p w:rsidR="00D953C9" w:rsidRPr="00DE03BF" w:rsidRDefault="00D953C9" w:rsidP="003B435E">
            <w:pPr>
              <w:rPr>
                <w:sz w:val="20"/>
                <w:szCs w:val="20"/>
              </w:rPr>
            </w:pPr>
            <w:r w:rsidRPr="00DE03BF">
              <w:rPr>
                <w:rStyle w:val="SCCFileNumberChar"/>
                <w:sz w:val="20"/>
                <w:szCs w:val="20"/>
              </w:rPr>
              <w:t>34937</w:t>
            </w:r>
          </w:p>
          <w:p w:rsidR="00D953C9" w:rsidRPr="00DE03BF" w:rsidRDefault="00D953C9" w:rsidP="003B435E">
            <w:pPr>
              <w:rPr>
                <w:b/>
                <w:sz w:val="20"/>
                <w:szCs w:val="20"/>
                <w:lang w:val="fr-CA"/>
              </w:rPr>
            </w:pPr>
          </w:p>
        </w:tc>
        <w:tc>
          <w:tcPr>
            <w:tcW w:w="8118" w:type="dxa"/>
          </w:tcPr>
          <w:p w:rsidR="00D953C9" w:rsidRPr="00DE03BF" w:rsidRDefault="00D953C9" w:rsidP="003B435E">
            <w:pPr>
              <w:rPr>
                <w:sz w:val="20"/>
                <w:szCs w:val="20"/>
              </w:rPr>
            </w:pPr>
            <w:r w:rsidRPr="00D953C9">
              <w:rPr>
                <w:rStyle w:val="SCCLsocChar"/>
                <w:sz w:val="20"/>
                <w:szCs w:val="20"/>
                <w:lang w:val="en-CA"/>
              </w:rPr>
              <w:t>Bradley O'Neil v. Her Majesty the Queen</w:t>
            </w:r>
            <w:r w:rsidRPr="00DE03BF">
              <w:rPr>
                <w:sz w:val="20"/>
                <w:szCs w:val="20"/>
              </w:rPr>
              <w:t xml:space="preserve"> (Alta.) (Criminal) (By Leave)</w:t>
            </w:r>
          </w:p>
          <w:p w:rsidR="00D953C9" w:rsidRPr="00DE03BF" w:rsidRDefault="00D953C9" w:rsidP="003B435E">
            <w:pPr>
              <w:rPr>
                <w:sz w:val="20"/>
                <w:szCs w:val="20"/>
              </w:rPr>
            </w:pPr>
          </w:p>
        </w:tc>
      </w:tr>
      <w:tr w:rsidR="00D953C9" w:rsidRPr="00DE03BF" w:rsidTr="003B435E">
        <w:trPr>
          <w:cantSplit/>
        </w:trPr>
        <w:tc>
          <w:tcPr>
            <w:tcW w:w="1458" w:type="dxa"/>
          </w:tcPr>
          <w:p w:rsidR="00D953C9" w:rsidRPr="00DE03BF" w:rsidRDefault="00D953C9" w:rsidP="003B435E">
            <w:pPr>
              <w:rPr>
                <w:sz w:val="20"/>
                <w:szCs w:val="20"/>
              </w:rPr>
            </w:pPr>
            <w:r w:rsidRPr="00DE03BF">
              <w:rPr>
                <w:sz w:val="20"/>
                <w:szCs w:val="20"/>
              </w:rPr>
              <w:t>Coram :</w:t>
            </w:r>
          </w:p>
        </w:tc>
        <w:tc>
          <w:tcPr>
            <w:tcW w:w="8118" w:type="dxa"/>
          </w:tcPr>
          <w:p w:rsidR="00D953C9" w:rsidRPr="00DE03BF" w:rsidRDefault="00D953C9" w:rsidP="003B435E">
            <w:pPr>
              <w:rPr>
                <w:sz w:val="20"/>
                <w:szCs w:val="20"/>
              </w:rPr>
            </w:pPr>
            <w:r w:rsidRPr="00D953C9">
              <w:rPr>
                <w:rStyle w:val="SCCCoramChar"/>
                <w:sz w:val="20"/>
                <w:szCs w:val="20"/>
                <w:lang w:val="en-CA"/>
              </w:rPr>
              <w:t>McLachlin C.J. and Abella and Cromwell JJ.</w:t>
            </w:r>
          </w:p>
          <w:p w:rsidR="00D953C9" w:rsidRPr="00DE03BF" w:rsidRDefault="00D953C9" w:rsidP="003B435E">
            <w:pPr>
              <w:rPr>
                <w:sz w:val="20"/>
                <w:szCs w:val="20"/>
                <w:u w:val="single"/>
              </w:rPr>
            </w:pPr>
          </w:p>
        </w:tc>
      </w:tr>
      <w:tr w:rsidR="00D953C9" w:rsidRPr="00334802" w:rsidTr="003B435E">
        <w:trPr>
          <w:cantSplit/>
        </w:trPr>
        <w:tc>
          <w:tcPr>
            <w:tcW w:w="9576" w:type="dxa"/>
            <w:gridSpan w:val="2"/>
          </w:tcPr>
          <w:p w:rsidR="00D953C9" w:rsidRPr="00DE03BF" w:rsidRDefault="00D953C9" w:rsidP="003B435E">
            <w:pPr>
              <w:pStyle w:val="SCCShortJudgment"/>
              <w:rPr>
                <w:szCs w:val="20"/>
              </w:rPr>
            </w:pPr>
            <w:r w:rsidRPr="00DE03BF">
              <w:rPr>
                <w:szCs w:val="20"/>
              </w:rPr>
              <w:t>The application for leave to appeal from the judgment of the Court of Appeal of Alberta (Calgary), Number 1001-0245-A, 2012 ABCA 162, dated May 25, 2012, is dismissed without costs.</w:t>
            </w:r>
          </w:p>
          <w:p w:rsidR="00D953C9" w:rsidRPr="00DE03BF" w:rsidRDefault="00D953C9" w:rsidP="003B435E">
            <w:pPr>
              <w:pStyle w:val="SCCShortJudgment"/>
              <w:ind w:firstLine="0"/>
              <w:rPr>
                <w:szCs w:val="20"/>
              </w:rPr>
            </w:pPr>
          </w:p>
          <w:p w:rsidR="00D953C9" w:rsidRPr="00DE03BF" w:rsidRDefault="00D953C9" w:rsidP="003B435E">
            <w:pPr>
              <w:pStyle w:val="SCCShortJudgment"/>
              <w:rPr>
                <w:szCs w:val="20"/>
                <w:lang w:val="fr-CA"/>
              </w:rPr>
            </w:pPr>
            <w:r w:rsidRPr="00DE03BF">
              <w:rPr>
                <w:szCs w:val="20"/>
                <w:lang w:val="fr-CA"/>
              </w:rPr>
              <w:t>La demande d’autorisation d’appel de l’arrêt de la Cour d'appel de l’Alberta (Calgary), numéro 1001-0245-A, 2012 ABCA 162, daté du 25 mai 2012, est rejetée sans dépens.</w:t>
            </w:r>
          </w:p>
        </w:tc>
      </w:tr>
    </w:tbl>
    <w:p w:rsidR="00121FCA" w:rsidRPr="00D953C9" w:rsidRDefault="00121FCA" w:rsidP="00121FCA">
      <w:pPr>
        <w:rPr>
          <w:sz w:val="20"/>
          <w:szCs w:val="20"/>
          <w:lang w:val="fr-CA"/>
        </w:rPr>
      </w:pPr>
    </w:p>
    <w:p w:rsidR="00121FCA" w:rsidRPr="001B157C" w:rsidRDefault="00121FCA" w:rsidP="00121FCA">
      <w:pPr>
        <w:rPr>
          <w:sz w:val="20"/>
          <w:szCs w:val="20"/>
          <w:u w:val="single"/>
        </w:rPr>
      </w:pPr>
      <w:r w:rsidRPr="001B157C">
        <w:rPr>
          <w:sz w:val="20"/>
          <w:szCs w:val="20"/>
          <w:u w:val="single"/>
        </w:rPr>
        <w:t>CASE SUMMARY</w:t>
      </w:r>
    </w:p>
    <w:p w:rsidR="00121FCA" w:rsidRDefault="00121FCA" w:rsidP="00121F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D2176" w:rsidRPr="00C56FE1" w:rsidTr="009208D4">
        <w:tc>
          <w:tcPr>
            <w:tcW w:w="5000" w:type="pct"/>
            <w:gridSpan w:val="3"/>
          </w:tcPr>
          <w:p w:rsidR="00FD2176" w:rsidRPr="00C56FE1" w:rsidRDefault="00FD2176" w:rsidP="009208D4">
            <w:pPr>
              <w:jc w:val="both"/>
              <w:rPr>
                <w:sz w:val="20"/>
                <w:szCs w:val="20"/>
              </w:rPr>
            </w:pPr>
            <w:r w:rsidRPr="00C56FE1">
              <w:rPr>
                <w:sz w:val="20"/>
                <w:szCs w:val="20"/>
              </w:rPr>
              <w:t xml:space="preserve">Criminal law – Offences – Fraud – Theft - Evidence - Admissibility – Common law business records exception - Whether the trial judge erred in finding that the Applicant’s conduct amounted to fraud and theft - Whether the trial judge erred in relying on Exhibit 36 for the truth of its contents without considering both reliability and necessity – Whether there are any issues of public importance. </w:t>
            </w:r>
          </w:p>
        </w:tc>
      </w:tr>
      <w:tr w:rsidR="00FD2176" w:rsidRPr="00C56FE1" w:rsidTr="009208D4">
        <w:tc>
          <w:tcPr>
            <w:tcW w:w="5000" w:type="pct"/>
            <w:gridSpan w:val="3"/>
          </w:tcPr>
          <w:p w:rsidR="00FD2176" w:rsidRPr="00C56FE1" w:rsidRDefault="00FD2176" w:rsidP="009208D4">
            <w:pPr>
              <w:jc w:val="both"/>
              <w:rPr>
                <w:sz w:val="20"/>
                <w:szCs w:val="20"/>
              </w:rPr>
            </w:pPr>
          </w:p>
        </w:tc>
      </w:tr>
      <w:tr w:rsidR="00FD2176" w:rsidRPr="00C56FE1" w:rsidTr="009208D4">
        <w:tc>
          <w:tcPr>
            <w:tcW w:w="5000" w:type="pct"/>
            <w:gridSpan w:val="3"/>
          </w:tcPr>
          <w:p w:rsidR="00FD2176" w:rsidRPr="00C56FE1" w:rsidRDefault="00FD2176" w:rsidP="009208D4">
            <w:pPr>
              <w:jc w:val="both"/>
              <w:rPr>
                <w:sz w:val="20"/>
                <w:szCs w:val="20"/>
              </w:rPr>
            </w:pPr>
            <w:r w:rsidRPr="00C56FE1">
              <w:rPr>
                <w:sz w:val="20"/>
                <w:szCs w:val="20"/>
              </w:rPr>
              <w:t xml:space="preserve">Foreign tourists can claim a refund from the Federal Government of GST payments they had made when purchasing certain products and services in certain qualifying circumstances.  Third party service providers do the work on behalf of the tourist claimant and submit the claim on their behalf to the Canadian Revenue Agency (CRA).  International Tax Refund Services Inc. (ITRS) was established by the applicant and others and was a third party service provider.  The trial judge found that, for all intents and purposes, the applicant and ITRS were one and the same.  A CRA audit was conducted and it was determined that over the years 1991 to 2002 the percentage of funds received by ITRS from the CRA which were being refunded by ITRS to the tourists had declined.  Exhibit 36 was a copy of the ITRS database of tourist claimants.  The trial judge found that as of July 20, 2003, there were over 49,084 tourists for whom ITRS had received refund cheques from CRA, but who had not received the refund balance owed to them. He further found that the total amount of the refunds not forwarded to tourists amounted to $3,618,952.90.  The applicant was convicted of fraud and theft contrary to the </w:t>
            </w:r>
            <w:r w:rsidRPr="00C56FE1">
              <w:rPr>
                <w:i/>
                <w:sz w:val="20"/>
                <w:szCs w:val="20"/>
              </w:rPr>
              <w:t>Criminal Code</w:t>
            </w:r>
            <w:r w:rsidRPr="00C56FE1">
              <w:rPr>
                <w:sz w:val="20"/>
                <w:szCs w:val="20"/>
              </w:rPr>
              <w:t xml:space="preserve"> and also of making false or misleading representations to the public contrary to s. 52 of the </w:t>
            </w:r>
            <w:r w:rsidRPr="00C56FE1">
              <w:rPr>
                <w:i/>
                <w:sz w:val="20"/>
                <w:szCs w:val="20"/>
              </w:rPr>
              <w:t>Competition Act</w:t>
            </w:r>
            <w:r w:rsidRPr="00C56FE1">
              <w:rPr>
                <w:sz w:val="20"/>
                <w:szCs w:val="20"/>
              </w:rPr>
              <w:t>.  His appeal was dismissed.</w:t>
            </w:r>
          </w:p>
          <w:p w:rsidR="00FD2176" w:rsidRPr="00C56FE1" w:rsidRDefault="00FD2176" w:rsidP="009208D4">
            <w:pPr>
              <w:jc w:val="both"/>
              <w:rPr>
                <w:sz w:val="20"/>
                <w:szCs w:val="20"/>
              </w:rPr>
            </w:pPr>
          </w:p>
        </w:tc>
      </w:tr>
      <w:tr w:rsidR="00FD2176" w:rsidRPr="00C56FE1" w:rsidTr="009208D4">
        <w:tc>
          <w:tcPr>
            <w:tcW w:w="2427" w:type="pct"/>
          </w:tcPr>
          <w:p w:rsidR="00FD2176" w:rsidRPr="00C56FE1" w:rsidRDefault="00FD2176" w:rsidP="009208D4">
            <w:pPr>
              <w:jc w:val="both"/>
              <w:rPr>
                <w:sz w:val="20"/>
                <w:szCs w:val="20"/>
              </w:rPr>
            </w:pPr>
            <w:r w:rsidRPr="00C56FE1">
              <w:rPr>
                <w:sz w:val="20"/>
                <w:szCs w:val="20"/>
              </w:rPr>
              <w:t>July 8, 2010</w:t>
            </w:r>
          </w:p>
          <w:p w:rsidR="00FD2176" w:rsidRPr="00C56FE1" w:rsidRDefault="00FD2176" w:rsidP="009208D4">
            <w:pPr>
              <w:jc w:val="both"/>
              <w:rPr>
                <w:sz w:val="20"/>
                <w:szCs w:val="20"/>
              </w:rPr>
            </w:pPr>
            <w:r w:rsidRPr="00C56FE1">
              <w:rPr>
                <w:sz w:val="20"/>
                <w:szCs w:val="20"/>
              </w:rPr>
              <w:t>Court of Queen’s Bench of Alberta</w:t>
            </w:r>
          </w:p>
          <w:p w:rsidR="00FD2176" w:rsidRPr="00C56FE1" w:rsidRDefault="00FD2176" w:rsidP="009208D4">
            <w:pPr>
              <w:jc w:val="both"/>
              <w:rPr>
                <w:sz w:val="20"/>
                <w:szCs w:val="20"/>
              </w:rPr>
            </w:pPr>
            <w:r w:rsidRPr="00C56FE1">
              <w:rPr>
                <w:sz w:val="20"/>
                <w:szCs w:val="20"/>
              </w:rPr>
              <w:t>(Wilson J.)</w:t>
            </w:r>
          </w:p>
          <w:p w:rsidR="00FD2176" w:rsidRPr="00C56FE1" w:rsidRDefault="00FD2176" w:rsidP="009208D4">
            <w:pPr>
              <w:jc w:val="both"/>
              <w:rPr>
                <w:sz w:val="20"/>
                <w:szCs w:val="20"/>
              </w:rPr>
            </w:pPr>
            <w:r w:rsidRPr="00C56FE1">
              <w:rPr>
                <w:sz w:val="20"/>
                <w:szCs w:val="20"/>
              </w:rPr>
              <w:t>Neutral citation: 2010 ABQB 460</w:t>
            </w:r>
          </w:p>
          <w:p w:rsidR="00FD2176" w:rsidRPr="00C56FE1" w:rsidRDefault="00FD2176" w:rsidP="009208D4">
            <w:pPr>
              <w:jc w:val="both"/>
              <w:rPr>
                <w:sz w:val="20"/>
                <w:szCs w:val="20"/>
              </w:rPr>
            </w:pPr>
          </w:p>
        </w:tc>
        <w:tc>
          <w:tcPr>
            <w:tcW w:w="243" w:type="pct"/>
          </w:tcPr>
          <w:p w:rsidR="00FD2176" w:rsidRPr="00C56FE1" w:rsidRDefault="00FD2176" w:rsidP="009208D4">
            <w:pPr>
              <w:jc w:val="both"/>
              <w:rPr>
                <w:sz w:val="20"/>
                <w:szCs w:val="20"/>
              </w:rPr>
            </w:pPr>
          </w:p>
        </w:tc>
        <w:tc>
          <w:tcPr>
            <w:tcW w:w="2330" w:type="pct"/>
          </w:tcPr>
          <w:p w:rsidR="00FD2176" w:rsidRPr="00C56FE1" w:rsidRDefault="00FD2176" w:rsidP="009208D4">
            <w:pPr>
              <w:jc w:val="both"/>
              <w:rPr>
                <w:sz w:val="20"/>
                <w:szCs w:val="20"/>
              </w:rPr>
            </w:pPr>
            <w:r w:rsidRPr="00C56FE1">
              <w:rPr>
                <w:sz w:val="20"/>
                <w:szCs w:val="20"/>
              </w:rPr>
              <w:t xml:space="preserve">Applicant convicted of: fraud, theft, and also of making false or misleading representations to the public contrary to      s. 52 of the </w:t>
            </w:r>
            <w:r w:rsidRPr="00C56FE1">
              <w:rPr>
                <w:i/>
                <w:sz w:val="20"/>
                <w:szCs w:val="20"/>
              </w:rPr>
              <w:t>Competition Act</w:t>
            </w:r>
          </w:p>
          <w:p w:rsidR="00FD2176" w:rsidRPr="00C56FE1" w:rsidRDefault="00FD2176" w:rsidP="009208D4">
            <w:pPr>
              <w:jc w:val="both"/>
              <w:rPr>
                <w:sz w:val="20"/>
                <w:szCs w:val="20"/>
              </w:rPr>
            </w:pPr>
          </w:p>
        </w:tc>
      </w:tr>
      <w:tr w:rsidR="00FD2176" w:rsidRPr="00C56FE1" w:rsidTr="009208D4">
        <w:tc>
          <w:tcPr>
            <w:tcW w:w="2427" w:type="pct"/>
          </w:tcPr>
          <w:p w:rsidR="00FD2176" w:rsidRPr="00C56FE1" w:rsidRDefault="00FD2176" w:rsidP="009208D4">
            <w:pPr>
              <w:jc w:val="both"/>
              <w:rPr>
                <w:sz w:val="20"/>
                <w:szCs w:val="20"/>
              </w:rPr>
            </w:pPr>
            <w:r w:rsidRPr="00C56FE1">
              <w:rPr>
                <w:sz w:val="20"/>
                <w:szCs w:val="20"/>
              </w:rPr>
              <w:t>May 25, 2012</w:t>
            </w:r>
          </w:p>
          <w:p w:rsidR="00FD2176" w:rsidRPr="00C56FE1" w:rsidRDefault="00FD2176" w:rsidP="009208D4">
            <w:pPr>
              <w:jc w:val="both"/>
              <w:rPr>
                <w:sz w:val="20"/>
                <w:szCs w:val="20"/>
              </w:rPr>
            </w:pPr>
            <w:r w:rsidRPr="00C56FE1">
              <w:rPr>
                <w:sz w:val="20"/>
                <w:szCs w:val="20"/>
              </w:rPr>
              <w:t>Court of Appeal of Alberta (Calgary)</w:t>
            </w:r>
          </w:p>
          <w:p w:rsidR="00FD2176" w:rsidRPr="00C56FE1" w:rsidRDefault="00FD2176" w:rsidP="009208D4">
            <w:pPr>
              <w:jc w:val="both"/>
              <w:rPr>
                <w:sz w:val="20"/>
                <w:szCs w:val="20"/>
              </w:rPr>
            </w:pPr>
            <w:r w:rsidRPr="00C56FE1">
              <w:rPr>
                <w:sz w:val="20"/>
                <w:szCs w:val="20"/>
              </w:rPr>
              <w:t>(O’Brien, McDonald, O'Ferrall JJ.A.)</w:t>
            </w:r>
          </w:p>
          <w:p w:rsidR="00FD2176" w:rsidRPr="00C56FE1" w:rsidRDefault="00FD2176" w:rsidP="009208D4">
            <w:pPr>
              <w:jc w:val="both"/>
              <w:rPr>
                <w:sz w:val="20"/>
                <w:szCs w:val="20"/>
              </w:rPr>
            </w:pPr>
            <w:r w:rsidRPr="00C56FE1">
              <w:rPr>
                <w:sz w:val="20"/>
                <w:szCs w:val="20"/>
              </w:rPr>
              <w:t>Neutral citation: 2012 ABCA 162</w:t>
            </w:r>
          </w:p>
          <w:p w:rsidR="00FD2176" w:rsidRPr="00C56FE1" w:rsidRDefault="00FD2176" w:rsidP="009208D4">
            <w:pPr>
              <w:jc w:val="both"/>
              <w:rPr>
                <w:sz w:val="20"/>
                <w:szCs w:val="20"/>
              </w:rPr>
            </w:pPr>
          </w:p>
        </w:tc>
        <w:tc>
          <w:tcPr>
            <w:tcW w:w="243" w:type="pct"/>
          </w:tcPr>
          <w:p w:rsidR="00FD2176" w:rsidRPr="00C56FE1" w:rsidRDefault="00FD2176" w:rsidP="009208D4">
            <w:pPr>
              <w:jc w:val="both"/>
              <w:rPr>
                <w:sz w:val="20"/>
                <w:szCs w:val="20"/>
              </w:rPr>
            </w:pPr>
          </w:p>
        </w:tc>
        <w:tc>
          <w:tcPr>
            <w:tcW w:w="2330" w:type="pct"/>
          </w:tcPr>
          <w:p w:rsidR="00FD2176" w:rsidRPr="00C56FE1" w:rsidRDefault="00FD2176" w:rsidP="009208D4">
            <w:pPr>
              <w:jc w:val="both"/>
              <w:rPr>
                <w:sz w:val="20"/>
                <w:szCs w:val="20"/>
              </w:rPr>
            </w:pPr>
            <w:r w:rsidRPr="00C56FE1">
              <w:rPr>
                <w:sz w:val="20"/>
                <w:szCs w:val="20"/>
              </w:rPr>
              <w:t>Appeal dismissed</w:t>
            </w:r>
          </w:p>
          <w:p w:rsidR="00FD2176" w:rsidRPr="00C56FE1" w:rsidRDefault="00FD2176" w:rsidP="009208D4">
            <w:pPr>
              <w:jc w:val="both"/>
              <w:rPr>
                <w:sz w:val="20"/>
                <w:szCs w:val="20"/>
              </w:rPr>
            </w:pPr>
          </w:p>
          <w:p w:rsidR="00FD2176" w:rsidRPr="00C56FE1" w:rsidRDefault="00FD2176" w:rsidP="009208D4">
            <w:pPr>
              <w:jc w:val="both"/>
              <w:rPr>
                <w:sz w:val="20"/>
                <w:szCs w:val="20"/>
              </w:rPr>
            </w:pPr>
          </w:p>
        </w:tc>
      </w:tr>
      <w:tr w:rsidR="00FD2176" w:rsidRPr="00C56FE1" w:rsidTr="009208D4">
        <w:tc>
          <w:tcPr>
            <w:tcW w:w="2427" w:type="pct"/>
          </w:tcPr>
          <w:p w:rsidR="00FD2176" w:rsidRPr="00C56FE1" w:rsidRDefault="00FD2176" w:rsidP="009208D4">
            <w:pPr>
              <w:jc w:val="both"/>
              <w:rPr>
                <w:sz w:val="20"/>
                <w:szCs w:val="20"/>
              </w:rPr>
            </w:pPr>
            <w:r w:rsidRPr="00C56FE1">
              <w:rPr>
                <w:sz w:val="20"/>
                <w:szCs w:val="20"/>
              </w:rPr>
              <w:lastRenderedPageBreak/>
              <w:t>August 24, 2012</w:t>
            </w:r>
          </w:p>
          <w:p w:rsidR="00FD2176" w:rsidRPr="00C56FE1" w:rsidRDefault="00FD2176" w:rsidP="009208D4">
            <w:pPr>
              <w:jc w:val="both"/>
              <w:rPr>
                <w:sz w:val="20"/>
                <w:szCs w:val="20"/>
              </w:rPr>
            </w:pPr>
            <w:r w:rsidRPr="00C56FE1">
              <w:rPr>
                <w:sz w:val="20"/>
                <w:szCs w:val="20"/>
              </w:rPr>
              <w:t>Supreme Court of Canada</w:t>
            </w:r>
          </w:p>
        </w:tc>
        <w:tc>
          <w:tcPr>
            <w:tcW w:w="243" w:type="pct"/>
          </w:tcPr>
          <w:p w:rsidR="00FD2176" w:rsidRPr="00C56FE1" w:rsidRDefault="00FD2176" w:rsidP="009208D4">
            <w:pPr>
              <w:jc w:val="both"/>
              <w:rPr>
                <w:sz w:val="20"/>
                <w:szCs w:val="20"/>
              </w:rPr>
            </w:pPr>
          </w:p>
        </w:tc>
        <w:tc>
          <w:tcPr>
            <w:tcW w:w="2330" w:type="pct"/>
          </w:tcPr>
          <w:p w:rsidR="00FD2176" w:rsidRPr="00C56FE1" w:rsidRDefault="00FD2176" w:rsidP="009208D4">
            <w:pPr>
              <w:jc w:val="both"/>
              <w:rPr>
                <w:sz w:val="20"/>
                <w:szCs w:val="20"/>
              </w:rPr>
            </w:pPr>
            <w:r w:rsidRPr="00C56FE1">
              <w:rPr>
                <w:sz w:val="20"/>
                <w:szCs w:val="20"/>
              </w:rPr>
              <w:t>Application for leave to appeal filed</w:t>
            </w:r>
          </w:p>
        </w:tc>
      </w:tr>
    </w:tbl>
    <w:p w:rsidR="00121FCA" w:rsidRDefault="00121FCA" w:rsidP="00121FCA">
      <w:pPr>
        <w:rPr>
          <w:sz w:val="20"/>
          <w:szCs w:val="20"/>
        </w:rPr>
      </w:pPr>
    </w:p>
    <w:p w:rsidR="00121FCA" w:rsidRPr="00C50A5C" w:rsidRDefault="00CD48BC" w:rsidP="00121FCA">
      <w:pPr>
        <w:rPr>
          <w:sz w:val="20"/>
          <w:szCs w:val="20"/>
        </w:rPr>
      </w:pPr>
      <w:r w:rsidRPr="00CD48BC">
        <w:rPr>
          <w:sz w:val="20"/>
          <w:szCs w:val="20"/>
          <w:lang w:val="fr-CA"/>
        </w:rPr>
        <w:pict>
          <v:rect id="_x0000_i1040" style="width:2in;height:1pt" o:hrpct="0" o:hralign="center" o:hrstd="t" o:hrnoshade="t" o:hr="t" fillcolor="black [3213]" stroked="f"/>
        </w:pict>
      </w:r>
    </w:p>
    <w:p w:rsidR="00121FCA" w:rsidRDefault="00121FCA" w:rsidP="00121FCA">
      <w:pPr>
        <w:rPr>
          <w:sz w:val="20"/>
          <w:szCs w:val="20"/>
        </w:rPr>
      </w:pPr>
    </w:p>
    <w:p w:rsidR="00121FCA" w:rsidRPr="001B157C" w:rsidRDefault="00121FCA" w:rsidP="00121FCA">
      <w:pPr>
        <w:rPr>
          <w:sz w:val="20"/>
          <w:szCs w:val="20"/>
          <w:u w:val="single"/>
          <w:lang w:val="fr-CA"/>
        </w:rPr>
      </w:pPr>
      <w:r w:rsidRPr="001B157C">
        <w:rPr>
          <w:sz w:val="20"/>
          <w:szCs w:val="20"/>
          <w:u w:val="single"/>
          <w:lang w:val="fr-CA"/>
        </w:rPr>
        <w:t>RÉSUMÉ DE L’AFFAIRE</w:t>
      </w:r>
    </w:p>
    <w:p w:rsidR="00121FCA" w:rsidRDefault="00121FCA" w:rsidP="00121FC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FD2176" w:rsidRPr="00334802" w:rsidTr="009208D4">
        <w:tc>
          <w:tcPr>
            <w:tcW w:w="5000" w:type="pct"/>
            <w:gridSpan w:val="3"/>
          </w:tcPr>
          <w:p w:rsidR="00FD2176" w:rsidRPr="00C56FE1" w:rsidRDefault="00FD2176" w:rsidP="009208D4">
            <w:pPr>
              <w:jc w:val="both"/>
              <w:rPr>
                <w:rFonts w:eastAsia="Calibri"/>
                <w:sz w:val="20"/>
                <w:szCs w:val="20"/>
                <w:lang w:val="fr-CA"/>
              </w:rPr>
            </w:pPr>
            <w:r w:rsidRPr="00C56FE1">
              <w:rPr>
                <w:rFonts w:eastAsia="Calibri"/>
                <w:sz w:val="20"/>
                <w:szCs w:val="20"/>
                <w:lang w:val="fr-CA"/>
              </w:rPr>
              <w:t xml:space="preserve">Droit criminel — Infractions — Fraude — Vol — Preuve — Admissibilité — Exception de common law relative aux dossiers d’entreprise — Le juge du procès a-t-il eu tort de conclure que le comportement du demandeur équivalait à une fraude et un vol? — Le juge du procès a-t-il eu tort de s’appuyer sur la pièce 36 comme preuve de la véracité de son contenu sans considérer la fiabilité et la nécessité? — L’affaire soulève-t-elle des questions d’importance pour le public? </w:t>
            </w:r>
          </w:p>
        </w:tc>
      </w:tr>
      <w:tr w:rsidR="00FD2176" w:rsidRPr="00334802" w:rsidTr="009208D4">
        <w:tc>
          <w:tcPr>
            <w:tcW w:w="5000" w:type="pct"/>
            <w:gridSpan w:val="3"/>
          </w:tcPr>
          <w:p w:rsidR="00FD2176" w:rsidRPr="00C56FE1" w:rsidRDefault="00FD2176" w:rsidP="009208D4">
            <w:pPr>
              <w:jc w:val="both"/>
              <w:rPr>
                <w:rFonts w:eastAsia="Calibri"/>
                <w:sz w:val="20"/>
                <w:szCs w:val="20"/>
                <w:lang w:val="fr-CA"/>
              </w:rPr>
            </w:pPr>
          </w:p>
        </w:tc>
      </w:tr>
      <w:tr w:rsidR="00FD2176" w:rsidRPr="00C56FE1" w:rsidTr="009208D4">
        <w:tc>
          <w:tcPr>
            <w:tcW w:w="5000" w:type="pct"/>
            <w:gridSpan w:val="3"/>
          </w:tcPr>
          <w:p w:rsidR="00FD2176" w:rsidRPr="00C56FE1" w:rsidRDefault="00FD2176" w:rsidP="009208D4">
            <w:pPr>
              <w:jc w:val="both"/>
              <w:rPr>
                <w:rFonts w:eastAsia="Calibri"/>
                <w:sz w:val="20"/>
                <w:szCs w:val="20"/>
                <w:lang w:val="fr-CA"/>
              </w:rPr>
            </w:pPr>
            <w:r w:rsidRPr="00C56FE1">
              <w:rPr>
                <w:rFonts w:eastAsia="Calibri"/>
                <w:sz w:val="20"/>
                <w:szCs w:val="20"/>
                <w:lang w:val="fr-CA"/>
              </w:rPr>
              <w:t xml:space="preserve">Les touristes étrangers peuvent-ils demander un remboursement du gouvernement fédéral des montants de TPS qu’ils ont payés en achetant certains produits et services dans certaines situations particulières?  Des tiers fournisseurs de services font les démarches au nom du touriste demandeur et présentent la demande en leur nom à l’Agence du revenu du Canada (ARC). International Tax Refund Services Inc. (ITRS) a été établie par le demandeur et d’autres et agissait comme tiers fournisseur de services.  Le juge du procès a conclu qu’à toutes fins pratiques, le demandeur et ITRS étaient une seule et même personne.  L’ARC a effectué une vérification et a conclu que de 1991 à 2002, le pourcentage de fonds reçus par ITRS de l’ARC et remboursés par ITRS aux touristes avait décliné.  La pièce 36 était une copie de la base de données d’ITRS sur les touristes qui faisaient une demande.  Le juge du procès a conclu qu’au 20 juillet 2003, il y avait plus de 49 084 touristes pour qui ITRS avait reçu des chèques de remboursement de l’ARC, mais qui n’avaient pas reçu le solde du remboursement qui leur était dû.  Il a conclu en outre que le montant total des remboursements qui n’avaient pas été remis aux touristes s’élevait à 3 618 952,90 $.  Le demandeur a été déclaré coupable de fraude et de vol contraires au </w:t>
            </w:r>
            <w:r w:rsidRPr="00C56FE1">
              <w:rPr>
                <w:rFonts w:eastAsia="Calibri"/>
                <w:i/>
                <w:sz w:val="20"/>
                <w:szCs w:val="20"/>
                <w:lang w:val="fr-CA"/>
              </w:rPr>
              <w:t>Code criminel</w:t>
            </w:r>
            <w:r w:rsidRPr="00C56FE1">
              <w:rPr>
                <w:rFonts w:eastAsia="Calibri"/>
                <w:sz w:val="20"/>
                <w:szCs w:val="20"/>
                <w:lang w:val="fr-CA"/>
              </w:rPr>
              <w:t xml:space="preserve"> et d’avoir donné au public des indications fausses ou trompeuses contrairement à l’art. 52 de la </w:t>
            </w:r>
            <w:r w:rsidRPr="00C56FE1">
              <w:rPr>
                <w:rFonts w:eastAsia="Calibri"/>
                <w:i/>
                <w:sz w:val="20"/>
                <w:szCs w:val="20"/>
                <w:lang w:val="fr-CA"/>
              </w:rPr>
              <w:t>Loi sur la concurrence</w:t>
            </w:r>
            <w:r w:rsidRPr="00C56FE1">
              <w:rPr>
                <w:rFonts w:eastAsia="Calibri"/>
                <w:sz w:val="20"/>
                <w:szCs w:val="20"/>
                <w:lang w:val="fr-CA"/>
              </w:rPr>
              <w:t>.  Son appel a été rejeté.</w:t>
            </w:r>
          </w:p>
          <w:p w:rsidR="00FD2176" w:rsidRPr="00C56FE1" w:rsidRDefault="00FD2176" w:rsidP="009208D4">
            <w:pPr>
              <w:jc w:val="both"/>
              <w:rPr>
                <w:rFonts w:eastAsia="Calibri"/>
                <w:sz w:val="20"/>
                <w:szCs w:val="20"/>
                <w:lang w:val="fr-CA"/>
              </w:rPr>
            </w:pPr>
          </w:p>
        </w:tc>
      </w:tr>
      <w:tr w:rsidR="00FD2176" w:rsidRPr="001A42F3" w:rsidTr="009208D4">
        <w:tc>
          <w:tcPr>
            <w:tcW w:w="2427" w:type="pct"/>
          </w:tcPr>
          <w:p w:rsidR="00FD2176" w:rsidRPr="00C56FE1" w:rsidRDefault="00FD2176" w:rsidP="009208D4">
            <w:pPr>
              <w:jc w:val="both"/>
              <w:rPr>
                <w:rFonts w:eastAsia="Calibri"/>
                <w:sz w:val="20"/>
                <w:szCs w:val="20"/>
                <w:lang w:val="fr-CA"/>
              </w:rPr>
            </w:pPr>
            <w:r w:rsidRPr="00C56FE1">
              <w:rPr>
                <w:rFonts w:eastAsia="Calibri"/>
                <w:sz w:val="20"/>
                <w:szCs w:val="20"/>
                <w:lang w:val="fr-CA"/>
              </w:rPr>
              <w:t>8 juillet 2010</w:t>
            </w:r>
          </w:p>
          <w:p w:rsidR="00FD2176" w:rsidRPr="00C56FE1" w:rsidRDefault="00FD2176" w:rsidP="009208D4">
            <w:pPr>
              <w:jc w:val="both"/>
              <w:rPr>
                <w:rFonts w:eastAsia="Calibri"/>
                <w:sz w:val="20"/>
                <w:szCs w:val="20"/>
                <w:lang w:val="fr-CA"/>
              </w:rPr>
            </w:pPr>
            <w:r w:rsidRPr="00C56FE1">
              <w:rPr>
                <w:rFonts w:eastAsia="Calibri"/>
                <w:sz w:val="20"/>
                <w:szCs w:val="20"/>
                <w:lang w:val="fr-CA"/>
              </w:rPr>
              <w:t>Cour du Banc de la Reine de l’Alberta</w:t>
            </w:r>
          </w:p>
          <w:p w:rsidR="00FD2176" w:rsidRPr="00C56FE1" w:rsidRDefault="00FD2176" w:rsidP="009208D4">
            <w:pPr>
              <w:jc w:val="both"/>
              <w:rPr>
                <w:rFonts w:eastAsia="Calibri"/>
                <w:sz w:val="20"/>
                <w:szCs w:val="20"/>
                <w:lang w:val="fr-CA"/>
              </w:rPr>
            </w:pPr>
            <w:r w:rsidRPr="00C56FE1">
              <w:rPr>
                <w:rFonts w:eastAsia="Calibri"/>
                <w:sz w:val="20"/>
                <w:szCs w:val="20"/>
                <w:lang w:val="fr-CA"/>
              </w:rPr>
              <w:t>(Juge Wilson)</w:t>
            </w:r>
          </w:p>
          <w:p w:rsidR="00FD2176" w:rsidRPr="00C56FE1" w:rsidRDefault="00FD2176" w:rsidP="009208D4">
            <w:pPr>
              <w:jc w:val="both"/>
              <w:rPr>
                <w:rFonts w:eastAsia="Calibri"/>
                <w:sz w:val="20"/>
                <w:szCs w:val="20"/>
                <w:lang w:val="fr-CA"/>
              </w:rPr>
            </w:pPr>
            <w:r w:rsidRPr="00C56FE1">
              <w:rPr>
                <w:rFonts w:eastAsia="Calibri"/>
                <w:sz w:val="20"/>
                <w:szCs w:val="20"/>
                <w:lang w:val="fr-CA"/>
              </w:rPr>
              <w:t>Référence neutre : 2010 ABQB 460</w:t>
            </w:r>
          </w:p>
        </w:tc>
        <w:tc>
          <w:tcPr>
            <w:tcW w:w="243" w:type="pct"/>
          </w:tcPr>
          <w:p w:rsidR="00FD2176" w:rsidRPr="00C56FE1" w:rsidRDefault="00FD2176" w:rsidP="009208D4">
            <w:pPr>
              <w:jc w:val="both"/>
              <w:rPr>
                <w:rFonts w:eastAsia="Calibri"/>
                <w:sz w:val="20"/>
                <w:szCs w:val="20"/>
                <w:lang w:val="fr-CA"/>
              </w:rPr>
            </w:pPr>
          </w:p>
        </w:tc>
        <w:tc>
          <w:tcPr>
            <w:tcW w:w="2330" w:type="pct"/>
          </w:tcPr>
          <w:p w:rsidR="00FD2176" w:rsidRPr="00C56FE1" w:rsidRDefault="00FD2176" w:rsidP="009208D4">
            <w:pPr>
              <w:jc w:val="both"/>
              <w:rPr>
                <w:rFonts w:eastAsia="Calibri"/>
                <w:sz w:val="20"/>
                <w:szCs w:val="20"/>
                <w:lang w:val="fr-CA"/>
              </w:rPr>
            </w:pPr>
            <w:r w:rsidRPr="00C56FE1">
              <w:rPr>
                <w:rFonts w:eastAsia="Calibri"/>
                <w:sz w:val="20"/>
                <w:szCs w:val="20"/>
                <w:lang w:val="fr-CA"/>
              </w:rPr>
              <w:t xml:space="preserve">Demandeur déclaré coupable de fraude et de vol et d’avoir donné au public des indications fausses ou trompeuses contrairement à l’art. 52 de la </w:t>
            </w:r>
            <w:r w:rsidRPr="00C56FE1">
              <w:rPr>
                <w:rFonts w:eastAsia="Calibri"/>
                <w:i/>
                <w:sz w:val="20"/>
                <w:szCs w:val="20"/>
                <w:lang w:val="fr-CA"/>
              </w:rPr>
              <w:t>Loi sur la concurrence</w:t>
            </w:r>
          </w:p>
          <w:p w:rsidR="00FD2176" w:rsidRPr="00C56FE1" w:rsidRDefault="00FD2176" w:rsidP="009208D4">
            <w:pPr>
              <w:jc w:val="both"/>
              <w:rPr>
                <w:rFonts w:eastAsia="Calibri"/>
                <w:sz w:val="20"/>
                <w:szCs w:val="20"/>
                <w:lang w:val="fr-CA"/>
              </w:rPr>
            </w:pPr>
          </w:p>
        </w:tc>
      </w:tr>
      <w:tr w:rsidR="00FD2176" w:rsidRPr="00C56FE1" w:rsidTr="009208D4">
        <w:tc>
          <w:tcPr>
            <w:tcW w:w="2427" w:type="pct"/>
          </w:tcPr>
          <w:p w:rsidR="00FD2176" w:rsidRPr="00C56FE1" w:rsidRDefault="00FD2176" w:rsidP="009208D4">
            <w:pPr>
              <w:jc w:val="both"/>
              <w:rPr>
                <w:rFonts w:eastAsia="Calibri"/>
                <w:sz w:val="20"/>
                <w:szCs w:val="20"/>
                <w:lang w:val="fr-CA"/>
              </w:rPr>
            </w:pPr>
            <w:r w:rsidRPr="00C56FE1">
              <w:rPr>
                <w:rFonts w:eastAsia="Calibri"/>
                <w:sz w:val="20"/>
                <w:szCs w:val="20"/>
                <w:lang w:val="fr-CA"/>
              </w:rPr>
              <w:t>25 mai 2012</w:t>
            </w:r>
          </w:p>
          <w:p w:rsidR="00FD2176" w:rsidRPr="00C56FE1" w:rsidRDefault="00FD2176" w:rsidP="009208D4">
            <w:pPr>
              <w:jc w:val="both"/>
              <w:rPr>
                <w:rFonts w:eastAsia="Calibri"/>
                <w:sz w:val="20"/>
                <w:szCs w:val="20"/>
                <w:lang w:val="fr-CA"/>
              </w:rPr>
            </w:pPr>
            <w:r w:rsidRPr="00C56FE1">
              <w:rPr>
                <w:rFonts w:eastAsia="Calibri"/>
                <w:sz w:val="20"/>
                <w:szCs w:val="20"/>
                <w:lang w:val="fr-CA"/>
              </w:rPr>
              <w:t>Cour d’appel de l’Alberta (Calgary)</w:t>
            </w:r>
          </w:p>
          <w:p w:rsidR="00FD2176" w:rsidRPr="00C56FE1" w:rsidRDefault="00FD2176" w:rsidP="009208D4">
            <w:pPr>
              <w:jc w:val="both"/>
              <w:rPr>
                <w:rFonts w:eastAsia="Calibri"/>
                <w:sz w:val="20"/>
                <w:szCs w:val="20"/>
                <w:lang w:val="fr-CA"/>
              </w:rPr>
            </w:pPr>
            <w:r w:rsidRPr="00C56FE1">
              <w:rPr>
                <w:rFonts w:eastAsia="Calibri"/>
                <w:sz w:val="20"/>
                <w:szCs w:val="20"/>
                <w:lang w:val="fr-CA"/>
              </w:rPr>
              <w:t>(Juges O’Brien, McDonald et O'Ferrall)</w:t>
            </w:r>
          </w:p>
          <w:p w:rsidR="00FD2176" w:rsidRPr="00C56FE1" w:rsidRDefault="00FD2176" w:rsidP="009208D4">
            <w:pPr>
              <w:jc w:val="both"/>
              <w:rPr>
                <w:rFonts w:eastAsia="Calibri"/>
                <w:sz w:val="20"/>
                <w:szCs w:val="20"/>
                <w:lang w:val="fr-CA"/>
              </w:rPr>
            </w:pPr>
            <w:r w:rsidRPr="00C56FE1">
              <w:rPr>
                <w:rFonts w:eastAsia="Calibri"/>
                <w:sz w:val="20"/>
                <w:szCs w:val="20"/>
                <w:lang w:val="fr-CA"/>
              </w:rPr>
              <w:t>Référence neutre : 2012 ABCA 162</w:t>
            </w:r>
          </w:p>
          <w:p w:rsidR="00FD2176" w:rsidRPr="00C56FE1" w:rsidRDefault="00FD2176" w:rsidP="009208D4">
            <w:pPr>
              <w:jc w:val="both"/>
              <w:rPr>
                <w:rFonts w:eastAsia="Calibri"/>
                <w:sz w:val="20"/>
                <w:szCs w:val="20"/>
                <w:lang w:val="fr-CA"/>
              </w:rPr>
            </w:pPr>
          </w:p>
        </w:tc>
        <w:tc>
          <w:tcPr>
            <w:tcW w:w="243" w:type="pct"/>
          </w:tcPr>
          <w:p w:rsidR="00FD2176" w:rsidRPr="00C56FE1" w:rsidRDefault="00FD2176" w:rsidP="009208D4">
            <w:pPr>
              <w:jc w:val="both"/>
              <w:rPr>
                <w:rFonts w:eastAsia="Calibri"/>
                <w:sz w:val="20"/>
                <w:szCs w:val="20"/>
                <w:lang w:val="fr-CA"/>
              </w:rPr>
            </w:pPr>
          </w:p>
        </w:tc>
        <w:tc>
          <w:tcPr>
            <w:tcW w:w="2330" w:type="pct"/>
          </w:tcPr>
          <w:p w:rsidR="00FD2176" w:rsidRPr="00C56FE1" w:rsidRDefault="00FD2176" w:rsidP="009208D4">
            <w:pPr>
              <w:jc w:val="both"/>
              <w:rPr>
                <w:rFonts w:eastAsia="Calibri"/>
                <w:sz w:val="20"/>
                <w:szCs w:val="20"/>
                <w:lang w:val="fr-CA"/>
              </w:rPr>
            </w:pPr>
            <w:r w:rsidRPr="00C56FE1">
              <w:rPr>
                <w:rFonts w:eastAsia="Calibri"/>
                <w:sz w:val="20"/>
                <w:szCs w:val="20"/>
                <w:lang w:val="fr-CA"/>
              </w:rPr>
              <w:t>Appel rejeté</w:t>
            </w:r>
          </w:p>
          <w:p w:rsidR="00FD2176" w:rsidRPr="00C56FE1" w:rsidRDefault="00FD2176" w:rsidP="009208D4">
            <w:pPr>
              <w:jc w:val="both"/>
              <w:rPr>
                <w:rFonts w:eastAsia="Calibri"/>
                <w:sz w:val="20"/>
                <w:szCs w:val="20"/>
                <w:lang w:val="fr-CA"/>
              </w:rPr>
            </w:pPr>
          </w:p>
          <w:p w:rsidR="00FD2176" w:rsidRPr="00C56FE1" w:rsidRDefault="00FD2176" w:rsidP="009208D4">
            <w:pPr>
              <w:jc w:val="both"/>
              <w:rPr>
                <w:rFonts w:eastAsia="Calibri"/>
                <w:sz w:val="20"/>
                <w:szCs w:val="20"/>
                <w:lang w:val="fr-CA"/>
              </w:rPr>
            </w:pPr>
          </w:p>
        </w:tc>
      </w:tr>
      <w:tr w:rsidR="00FD2176" w:rsidRPr="00C56FE1" w:rsidTr="009208D4">
        <w:tc>
          <w:tcPr>
            <w:tcW w:w="2427" w:type="pct"/>
          </w:tcPr>
          <w:p w:rsidR="00FD2176" w:rsidRPr="00C56FE1" w:rsidRDefault="00FD2176" w:rsidP="009208D4">
            <w:pPr>
              <w:jc w:val="both"/>
              <w:rPr>
                <w:rFonts w:eastAsia="Calibri"/>
                <w:sz w:val="20"/>
                <w:szCs w:val="20"/>
                <w:lang w:val="fr-CA"/>
              </w:rPr>
            </w:pPr>
            <w:r w:rsidRPr="00C56FE1">
              <w:rPr>
                <w:rFonts w:eastAsia="Calibri"/>
                <w:sz w:val="20"/>
                <w:szCs w:val="20"/>
                <w:lang w:val="fr-CA"/>
              </w:rPr>
              <w:t>24 août 2012</w:t>
            </w:r>
          </w:p>
          <w:p w:rsidR="00FD2176" w:rsidRPr="00C56FE1" w:rsidRDefault="00FD2176" w:rsidP="009208D4">
            <w:pPr>
              <w:jc w:val="both"/>
              <w:rPr>
                <w:rFonts w:eastAsia="Calibri"/>
                <w:sz w:val="20"/>
                <w:szCs w:val="20"/>
                <w:lang w:val="fr-CA"/>
              </w:rPr>
            </w:pPr>
            <w:r w:rsidRPr="00C56FE1">
              <w:rPr>
                <w:rFonts w:eastAsia="Calibri"/>
                <w:sz w:val="20"/>
                <w:szCs w:val="20"/>
                <w:lang w:val="fr-CA"/>
              </w:rPr>
              <w:t>Cour suprême du Canada</w:t>
            </w:r>
          </w:p>
        </w:tc>
        <w:tc>
          <w:tcPr>
            <w:tcW w:w="243" w:type="pct"/>
          </w:tcPr>
          <w:p w:rsidR="00FD2176" w:rsidRPr="00C56FE1" w:rsidRDefault="00FD2176" w:rsidP="009208D4">
            <w:pPr>
              <w:jc w:val="both"/>
              <w:rPr>
                <w:rFonts w:eastAsia="Calibri"/>
                <w:sz w:val="20"/>
                <w:szCs w:val="20"/>
                <w:lang w:val="fr-CA"/>
              </w:rPr>
            </w:pPr>
          </w:p>
        </w:tc>
        <w:tc>
          <w:tcPr>
            <w:tcW w:w="2330" w:type="pct"/>
          </w:tcPr>
          <w:p w:rsidR="00FD2176" w:rsidRPr="00C56FE1" w:rsidRDefault="00FD2176" w:rsidP="009208D4">
            <w:pPr>
              <w:jc w:val="both"/>
              <w:rPr>
                <w:rFonts w:eastAsia="Calibri"/>
                <w:sz w:val="20"/>
                <w:szCs w:val="20"/>
                <w:lang w:val="fr-CA"/>
              </w:rPr>
            </w:pPr>
            <w:r w:rsidRPr="00C56FE1">
              <w:rPr>
                <w:rFonts w:eastAsia="Calibri"/>
                <w:sz w:val="20"/>
                <w:szCs w:val="20"/>
                <w:lang w:val="fr-CA"/>
              </w:rPr>
              <w:t>Demande d’autorisation d’appel, déposée</w:t>
            </w:r>
          </w:p>
        </w:tc>
      </w:tr>
    </w:tbl>
    <w:p w:rsidR="00121FCA" w:rsidRDefault="00121FCA" w:rsidP="00121FCA">
      <w:pPr>
        <w:rPr>
          <w:sz w:val="20"/>
          <w:szCs w:val="20"/>
        </w:rPr>
      </w:pPr>
    </w:p>
    <w:p w:rsidR="00121FCA" w:rsidRDefault="00CD48BC" w:rsidP="00121FCA">
      <w:pPr>
        <w:rPr>
          <w:sz w:val="20"/>
          <w:szCs w:val="20"/>
          <w:lang w:val="fr-CA"/>
        </w:rPr>
      </w:pPr>
      <w:r w:rsidRPr="00CD48BC">
        <w:rPr>
          <w:sz w:val="20"/>
          <w:szCs w:val="20"/>
          <w:lang w:val="fr-CA"/>
        </w:rPr>
        <w:pict>
          <v:rect id="_x0000_i1041" style="width:2in;height:1pt" o:hrpct="0" o:hralign="center" o:hrstd="t" o:hrnoshade="t" o:hr="t" fillcolor="black [3213]" stroked="f"/>
        </w:pict>
      </w:r>
    </w:p>
    <w:p w:rsidR="00121FCA" w:rsidRDefault="00121FCA" w:rsidP="00121FC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953C9" w:rsidRPr="00DE03BF" w:rsidTr="003B435E">
        <w:trPr>
          <w:cantSplit/>
        </w:trPr>
        <w:tc>
          <w:tcPr>
            <w:tcW w:w="1458" w:type="dxa"/>
          </w:tcPr>
          <w:p w:rsidR="00D953C9" w:rsidRPr="00DE03BF" w:rsidRDefault="00D953C9" w:rsidP="003B435E">
            <w:pPr>
              <w:rPr>
                <w:sz w:val="20"/>
                <w:szCs w:val="20"/>
              </w:rPr>
            </w:pPr>
            <w:r w:rsidRPr="00DE03BF">
              <w:rPr>
                <w:rStyle w:val="SCCFileNumberChar"/>
                <w:sz w:val="20"/>
                <w:szCs w:val="20"/>
              </w:rPr>
              <w:t>34964</w:t>
            </w:r>
          </w:p>
          <w:p w:rsidR="00D953C9" w:rsidRPr="00DE03BF" w:rsidRDefault="00D953C9" w:rsidP="003B435E">
            <w:pPr>
              <w:rPr>
                <w:b/>
                <w:sz w:val="20"/>
                <w:szCs w:val="20"/>
                <w:lang w:val="fr-CA"/>
              </w:rPr>
            </w:pPr>
          </w:p>
        </w:tc>
        <w:tc>
          <w:tcPr>
            <w:tcW w:w="8118" w:type="dxa"/>
          </w:tcPr>
          <w:p w:rsidR="00D953C9" w:rsidRPr="00DE03BF" w:rsidRDefault="00D953C9" w:rsidP="003B435E">
            <w:pPr>
              <w:jc w:val="both"/>
              <w:rPr>
                <w:sz w:val="20"/>
                <w:szCs w:val="20"/>
              </w:rPr>
            </w:pPr>
            <w:r w:rsidRPr="00D953C9">
              <w:rPr>
                <w:rStyle w:val="SCCLsocChar"/>
                <w:sz w:val="20"/>
                <w:szCs w:val="20"/>
                <w:lang w:val="en-CA"/>
              </w:rPr>
              <w:t>De Beers Canada Inc., DB Investments, Inc., De Beers S.A., De Beers Consolidated Mines, Ltd., Diamond Trading Company Limited, CSO Valuations A.G. and De Beers Centenary A.G. v. Michelle Fairhurst</w:t>
            </w:r>
            <w:r w:rsidRPr="00DE03BF">
              <w:rPr>
                <w:sz w:val="20"/>
                <w:szCs w:val="20"/>
              </w:rPr>
              <w:t xml:space="preserve"> (B.C.) (Civil) (By Leave)</w:t>
            </w:r>
          </w:p>
          <w:p w:rsidR="00D953C9" w:rsidRPr="00DE03BF" w:rsidRDefault="00D953C9" w:rsidP="003B435E">
            <w:pPr>
              <w:jc w:val="both"/>
              <w:rPr>
                <w:sz w:val="20"/>
                <w:szCs w:val="20"/>
              </w:rPr>
            </w:pPr>
          </w:p>
        </w:tc>
      </w:tr>
      <w:tr w:rsidR="00D953C9" w:rsidRPr="00DE03BF" w:rsidTr="003B435E">
        <w:trPr>
          <w:cantSplit/>
        </w:trPr>
        <w:tc>
          <w:tcPr>
            <w:tcW w:w="1458" w:type="dxa"/>
          </w:tcPr>
          <w:p w:rsidR="00D953C9" w:rsidRPr="00DE03BF" w:rsidRDefault="00D953C9" w:rsidP="003B435E">
            <w:pPr>
              <w:rPr>
                <w:sz w:val="20"/>
                <w:szCs w:val="20"/>
              </w:rPr>
            </w:pPr>
            <w:r w:rsidRPr="00DE03BF">
              <w:rPr>
                <w:sz w:val="20"/>
                <w:szCs w:val="20"/>
              </w:rPr>
              <w:t>Coram :</w:t>
            </w:r>
          </w:p>
        </w:tc>
        <w:tc>
          <w:tcPr>
            <w:tcW w:w="8118" w:type="dxa"/>
          </w:tcPr>
          <w:p w:rsidR="00D953C9" w:rsidRPr="00DE03BF" w:rsidRDefault="00D953C9" w:rsidP="003B435E">
            <w:pPr>
              <w:rPr>
                <w:sz w:val="20"/>
                <w:szCs w:val="20"/>
              </w:rPr>
            </w:pPr>
            <w:r w:rsidRPr="00D953C9">
              <w:rPr>
                <w:rStyle w:val="SCCCoramChar"/>
                <w:sz w:val="20"/>
                <w:szCs w:val="20"/>
                <w:lang w:val="en-CA"/>
              </w:rPr>
              <w:t>McLachlin C.J. and Abella and Cromwell JJ.</w:t>
            </w:r>
          </w:p>
          <w:p w:rsidR="00D953C9" w:rsidRPr="00DE03BF" w:rsidRDefault="00D953C9" w:rsidP="003B435E">
            <w:pPr>
              <w:rPr>
                <w:sz w:val="20"/>
                <w:szCs w:val="20"/>
                <w:u w:val="single"/>
              </w:rPr>
            </w:pPr>
          </w:p>
        </w:tc>
      </w:tr>
      <w:tr w:rsidR="00D953C9" w:rsidRPr="00334802" w:rsidTr="003B435E">
        <w:trPr>
          <w:cantSplit/>
        </w:trPr>
        <w:tc>
          <w:tcPr>
            <w:tcW w:w="9576" w:type="dxa"/>
            <w:gridSpan w:val="2"/>
          </w:tcPr>
          <w:p w:rsidR="00D953C9" w:rsidRPr="00DE03BF" w:rsidRDefault="00D953C9" w:rsidP="003B435E">
            <w:pPr>
              <w:pStyle w:val="SCCShortJudgment"/>
              <w:rPr>
                <w:szCs w:val="20"/>
              </w:rPr>
            </w:pPr>
            <w:r w:rsidRPr="00DE03BF">
              <w:rPr>
                <w:szCs w:val="20"/>
              </w:rPr>
              <w:lastRenderedPageBreak/>
              <w:t>The application for leave to appeal from the judgment of the Court of Appeal for British Columbia (Vancouver), Number CA039153, 2012 BCCA 257, dated June 14, 2012, is dismissed with costs.</w:t>
            </w:r>
          </w:p>
          <w:p w:rsidR="00D953C9" w:rsidRPr="00DE03BF" w:rsidRDefault="00D953C9" w:rsidP="003B435E">
            <w:pPr>
              <w:pStyle w:val="SCCShortJudgment"/>
              <w:ind w:firstLine="0"/>
              <w:rPr>
                <w:szCs w:val="20"/>
              </w:rPr>
            </w:pPr>
          </w:p>
          <w:p w:rsidR="00D953C9" w:rsidRPr="00DE03BF" w:rsidRDefault="00D953C9" w:rsidP="003B435E">
            <w:pPr>
              <w:pStyle w:val="SCCShortJudgment"/>
              <w:rPr>
                <w:szCs w:val="20"/>
                <w:lang w:val="fr-CA"/>
              </w:rPr>
            </w:pPr>
            <w:r w:rsidRPr="00DE03BF">
              <w:rPr>
                <w:szCs w:val="20"/>
                <w:lang w:val="fr-CA"/>
              </w:rPr>
              <w:t>La demande d’autorisation d’appel de l’arrêt de la Cour d’appel de la Colombie-Britannique (Vancouver), numéro CA039153, 2012 BCCA 257, daté du 14 juin 2012, est rejetée avec dépens.</w:t>
            </w:r>
          </w:p>
        </w:tc>
      </w:tr>
    </w:tbl>
    <w:p w:rsidR="00121FCA" w:rsidRPr="00D953C9" w:rsidRDefault="00121FCA" w:rsidP="00121FCA">
      <w:pPr>
        <w:rPr>
          <w:sz w:val="20"/>
          <w:szCs w:val="20"/>
          <w:lang w:val="fr-CA"/>
        </w:rPr>
      </w:pPr>
    </w:p>
    <w:p w:rsidR="00121FCA" w:rsidRPr="001B157C" w:rsidRDefault="00121FCA" w:rsidP="00121FCA">
      <w:pPr>
        <w:rPr>
          <w:sz w:val="20"/>
          <w:szCs w:val="20"/>
          <w:u w:val="single"/>
        </w:rPr>
      </w:pPr>
      <w:r w:rsidRPr="001B157C">
        <w:rPr>
          <w:sz w:val="20"/>
          <w:szCs w:val="20"/>
          <w:u w:val="single"/>
        </w:rPr>
        <w:t>CASE SUMMARY</w:t>
      </w:r>
    </w:p>
    <w:p w:rsidR="00121FCA" w:rsidRDefault="00121FCA" w:rsidP="00121F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D1275" w:rsidRPr="00C56FE1" w:rsidTr="009208D4">
        <w:tc>
          <w:tcPr>
            <w:tcW w:w="5000" w:type="pct"/>
            <w:gridSpan w:val="3"/>
          </w:tcPr>
          <w:p w:rsidR="003D1275" w:rsidRPr="00C56FE1" w:rsidRDefault="003D1275" w:rsidP="009208D4">
            <w:pPr>
              <w:jc w:val="both"/>
              <w:rPr>
                <w:rFonts w:eastAsia="Calibri"/>
                <w:sz w:val="20"/>
                <w:szCs w:val="20"/>
              </w:rPr>
            </w:pPr>
            <w:r w:rsidRPr="00C56FE1">
              <w:rPr>
                <w:rFonts w:eastAsia="Calibri"/>
                <w:sz w:val="20"/>
                <w:szCs w:val="20"/>
              </w:rPr>
              <w:t xml:space="preserve">Courts – Jurisdiction – Class actions </w:t>
            </w:r>
            <w:r w:rsidRPr="00C56FE1">
              <w:rPr>
                <w:rFonts w:eastAsia="Calibri"/>
                <w:sz w:val="20"/>
                <w:szCs w:val="20"/>
              </w:rPr>
              <w:noBreakHyphen/>
              <w:t xml:space="preserve"> Respondent bringing action in British Columbia against foreign defendants </w:t>
            </w:r>
            <w:r w:rsidRPr="00C56FE1">
              <w:rPr>
                <w:rFonts w:eastAsia="Calibri"/>
                <w:sz w:val="20"/>
                <w:szCs w:val="20"/>
              </w:rPr>
              <w:noBreakHyphen/>
              <w:t xml:space="preserve"> Where is </w:t>
            </w:r>
            <w:r w:rsidRPr="00C56FE1">
              <w:rPr>
                <w:rFonts w:eastAsia="Calibri"/>
                <w:i/>
                <w:sz w:val="20"/>
                <w:szCs w:val="20"/>
              </w:rPr>
              <w:t>situs</w:t>
            </w:r>
            <w:r w:rsidRPr="00C56FE1">
              <w:rPr>
                <w:rFonts w:eastAsia="Calibri"/>
                <w:sz w:val="20"/>
                <w:szCs w:val="20"/>
              </w:rPr>
              <w:t xml:space="preserve"> of tort of conspiracy for purpose of establishing jurisdiction </w:t>
            </w:r>
            <w:r w:rsidRPr="00C56FE1">
              <w:rPr>
                <w:rFonts w:eastAsia="Calibri"/>
                <w:sz w:val="20"/>
                <w:szCs w:val="20"/>
              </w:rPr>
              <w:noBreakHyphen/>
              <w:t xml:space="preserve"> Is an allegation of damage in the jurisdiction sufficient to give rise to a presumption of jurisdiction in the absence of any other connection factor? </w:t>
            </w:r>
            <w:r w:rsidRPr="00C56FE1">
              <w:rPr>
                <w:rFonts w:eastAsia="Calibri"/>
                <w:sz w:val="20"/>
                <w:szCs w:val="20"/>
              </w:rPr>
              <w:noBreakHyphen/>
              <w:t xml:space="preserve"> Does a real and substantial connection need to be established with respect to each defendant alleged to be a party to a conspiracy?</w:t>
            </w:r>
          </w:p>
        </w:tc>
      </w:tr>
      <w:tr w:rsidR="003D1275" w:rsidRPr="00C56FE1" w:rsidTr="009208D4">
        <w:tc>
          <w:tcPr>
            <w:tcW w:w="5000" w:type="pct"/>
            <w:gridSpan w:val="3"/>
          </w:tcPr>
          <w:p w:rsidR="003D1275" w:rsidRPr="00C56FE1" w:rsidRDefault="003D1275" w:rsidP="009208D4">
            <w:pPr>
              <w:jc w:val="both"/>
              <w:rPr>
                <w:rFonts w:eastAsia="Calibri"/>
                <w:sz w:val="20"/>
                <w:szCs w:val="20"/>
              </w:rPr>
            </w:pPr>
          </w:p>
        </w:tc>
      </w:tr>
      <w:tr w:rsidR="003D1275" w:rsidRPr="00C56FE1" w:rsidTr="009208D4">
        <w:trPr>
          <w:trHeight w:val="20"/>
        </w:trPr>
        <w:tc>
          <w:tcPr>
            <w:tcW w:w="5000" w:type="pct"/>
            <w:gridSpan w:val="3"/>
          </w:tcPr>
          <w:p w:rsidR="003D1275" w:rsidRPr="00C56FE1" w:rsidRDefault="003D1275" w:rsidP="009208D4">
            <w:pPr>
              <w:ind w:hanging="14"/>
              <w:jc w:val="both"/>
              <w:rPr>
                <w:color w:val="000000"/>
                <w:sz w:val="20"/>
                <w:szCs w:val="20"/>
              </w:rPr>
            </w:pPr>
            <w:r w:rsidRPr="00C56FE1">
              <w:rPr>
                <w:color w:val="000000"/>
                <w:sz w:val="20"/>
                <w:szCs w:val="20"/>
              </w:rPr>
              <w:t>Ms. Fairhurst commenced a proposed class proceeding against the applicant companies (“De Beers Group”), claiming that they controlled two</w:t>
            </w:r>
            <w:r w:rsidRPr="00C56FE1">
              <w:rPr>
                <w:color w:val="000000"/>
                <w:sz w:val="20"/>
                <w:szCs w:val="20"/>
              </w:rPr>
              <w:noBreakHyphen/>
              <w:t>thirds of the world's supply of Gem Grade Diamonds.  She alleged that they had engaged in price fixing for more than a century, acting collusively with other firms in the industry.  She proposed a 10</w:t>
            </w:r>
            <w:r w:rsidRPr="00C56FE1">
              <w:rPr>
                <w:color w:val="000000"/>
                <w:sz w:val="20"/>
                <w:szCs w:val="20"/>
              </w:rPr>
              <w:noBreakHyphen/>
              <w:t xml:space="preserve">year claim period ending in 2007 and a class including all direct and indirect purchasers of diamonds distributed by the De Beers Group in British Columbia.  She pleaded that the De Beers Group had conspired to fix prices illegally, contrary to the common law and the </w:t>
            </w:r>
            <w:r w:rsidRPr="00C56FE1">
              <w:rPr>
                <w:i/>
                <w:iCs/>
                <w:color w:val="000000"/>
                <w:sz w:val="20"/>
                <w:szCs w:val="20"/>
              </w:rPr>
              <w:t>Competition Act</w:t>
            </w:r>
            <w:r w:rsidRPr="00C56FE1">
              <w:rPr>
                <w:color w:val="000000"/>
                <w:sz w:val="20"/>
                <w:szCs w:val="20"/>
              </w:rPr>
              <w:t>, R.S.C. 1985, c. C</w:t>
            </w:r>
            <w:r w:rsidRPr="00C56FE1">
              <w:rPr>
                <w:color w:val="000000"/>
                <w:sz w:val="20"/>
                <w:szCs w:val="20"/>
              </w:rPr>
              <w:noBreakHyphen/>
              <w:t xml:space="preserve">34 with the result that class members paid more for diamonds than they would otherwise have, and were thus suffered damages.  She sought damages for inter alia, conspiracy, tortious interference with economic interests, a declaration that the defendants were unjustly enriched by their conduct and held their illegal "overcharges" on constructive trust for the benefit of the plaintiffs and punitive damages.  The De Beers Group applied to dismiss or stay Ms. Fairhurst's action on jurisdictional grounds, arguing that none of them carried on business in British Columbia, was ordinarily resident there, or sold or distributed Gem Grade Diamonds there. </w:t>
            </w:r>
          </w:p>
          <w:p w:rsidR="003D1275" w:rsidRPr="00C56FE1" w:rsidRDefault="003D1275" w:rsidP="009208D4">
            <w:pPr>
              <w:jc w:val="both"/>
              <w:rPr>
                <w:sz w:val="20"/>
                <w:szCs w:val="20"/>
              </w:rPr>
            </w:pPr>
          </w:p>
        </w:tc>
      </w:tr>
      <w:tr w:rsidR="003D1275" w:rsidRPr="00C56FE1" w:rsidTr="009208D4">
        <w:tc>
          <w:tcPr>
            <w:tcW w:w="2427" w:type="pct"/>
          </w:tcPr>
          <w:p w:rsidR="003D1275" w:rsidRPr="00C56FE1" w:rsidRDefault="003D1275" w:rsidP="009208D4">
            <w:pPr>
              <w:jc w:val="both"/>
              <w:rPr>
                <w:rFonts w:eastAsia="Calibri"/>
                <w:sz w:val="20"/>
                <w:szCs w:val="20"/>
              </w:rPr>
            </w:pPr>
            <w:r w:rsidRPr="00C56FE1">
              <w:rPr>
                <w:rFonts w:eastAsia="Calibri"/>
                <w:sz w:val="20"/>
                <w:szCs w:val="20"/>
              </w:rPr>
              <w:t>June 1, 2011</w:t>
            </w:r>
          </w:p>
          <w:p w:rsidR="003D1275" w:rsidRPr="00C56FE1" w:rsidRDefault="003D1275" w:rsidP="009208D4">
            <w:pPr>
              <w:jc w:val="both"/>
              <w:rPr>
                <w:rFonts w:eastAsia="Calibri"/>
                <w:sz w:val="20"/>
                <w:szCs w:val="20"/>
              </w:rPr>
            </w:pPr>
            <w:r w:rsidRPr="00C56FE1">
              <w:rPr>
                <w:rFonts w:eastAsia="Calibri"/>
                <w:sz w:val="20"/>
                <w:szCs w:val="20"/>
              </w:rPr>
              <w:t>Supreme Court of British Columbia</w:t>
            </w:r>
          </w:p>
          <w:p w:rsidR="003D1275" w:rsidRPr="00C56FE1" w:rsidRDefault="003D1275" w:rsidP="009208D4">
            <w:pPr>
              <w:jc w:val="both"/>
              <w:rPr>
                <w:rFonts w:eastAsia="Calibri"/>
                <w:sz w:val="20"/>
                <w:szCs w:val="20"/>
              </w:rPr>
            </w:pPr>
            <w:r w:rsidRPr="00C56FE1">
              <w:rPr>
                <w:rFonts w:eastAsia="Calibri"/>
                <w:sz w:val="20"/>
                <w:szCs w:val="20"/>
              </w:rPr>
              <w:t>(Brown J.)</w:t>
            </w:r>
          </w:p>
          <w:p w:rsidR="003D1275" w:rsidRPr="00C56FE1" w:rsidRDefault="003D1275" w:rsidP="009208D4">
            <w:pPr>
              <w:jc w:val="both"/>
              <w:rPr>
                <w:rFonts w:eastAsia="Calibri"/>
                <w:sz w:val="20"/>
                <w:szCs w:val="20"/>
              </w:rPr>
            </w:pPr>
          </w:p>
        </w:tc>
        <w:tc>
          <w:tcPr>
            <w:tcW w:w="243" w:type="pct"/>
          </w:tcPr>
          <w:p w:rsidR="003D1275" w:rsidRPr="00C56FE1" w:rsidRDefault="003D1275" w:rsidP="009208D4">
            <w:pPr>
              <w:jc w:val="both"/>
              <w:rPr>
                <w:rFonts w:eastAsia="Calibri"/>
                <w:sz w:val="20"/>
                <w:szCs w:val="20"/>
              </w:rPr>
            </w:pPr>
          </w:p>
        </w:tc>
        <w:tc>
          <w:tcPr>
            <w:tcW w:w="2330" w:type="pct"/>
          </w:tcPr>
          <w:p w:rsidR="003D1275" w:rsidRPr="00C56FE1" w:rsidRDefault="003D1275" w:rsidP="009208D4">
            <w:pPr>
              <w:jc w:val="both"/>
              <w:rPr>
                <w:rFonts w:eastAsia="Calibri"/>
                <w:sz w:val="20"/>
                <w:szCs w:val="20"/>
              </w:rPr>
            </w:pPr>
            <w:r w:rsidRPr="00C56FE1">
              <w:rPr>
                <w:rFonts w:eastAsia="Calibri"/>
                <w:sz w:val="20"/>
                <w:szCs w:val="20"/>
              </w:rPr>
              <w:t>Applicants’ motion to have action dismissed or stayed due to court’s lack of jurisdiction over applicants dismissed.</w:t>
            </w:r>
          </w:p>
          <w:p w:rsidR="003D1275" w:rsidRPr="00C56FE1" w:rsidRDefault="003D1275" w:rsidP="009208D4">
            <w:pPr>
              <w:jc w:val="both"/>
              <w:rPr>
                <w:rFonts w:eastAsia="Calibri"/>
                <w:sz w:val="20"/>
                <w:szCs w:val="20"/>
              </w:rPr>
            </w:pPr>
          </w:p>
        </w:tc>
      </w:tr>
      <w:tr w:rsidR="003D1275" w:rsidRPr="00C56FE1" w:rsidTr="009208D4">
        <w:tc>
          <w:tcPr>
            <w:tcW w:w="2427" w:type="pct"/>
          </w:tcPr>
          <w:p w:rsidR="003D1275" w:rsidRPr="00C56FE1" w:rsidRDefault="003D1275" w:rsidP="009208D4">
            <w:pPr>
              <w:jc w:val="both"/>
              <w:rPr>
                <w:rFonts w:eastAsia="Calibri"/>
                <w:sz w:val="20"/>
                <w:szCs w:val="20"/>
              </w:rPr>
            </w:pPr>
            <w:r w:rsidRPr="00C56FE1">
              <w:rPr>
                <w:rFonts w:eastAsia="Calibri"/>
                <w:sz w:val="20"/>
                <w:szCs w:val="20"/>
              </w:rPr>
              <w:t>June 14, 2012</w:t>
            </w:r>
          </w:p>
          <w:p w:rsidR="003D1275" w:rsidRPr="00C56FE1" w:rsidRDefault="003D1275" w:rsidP="009208D4">
            <w:pPr>
              <w:jc w:val="both"/>
              <w:rPr>
                <w:rFonts w:eastAsia="Calibri"/>
                <w:sz w:val="20"/>
                <w:szCs w:val="20"/>
              </w:rPr>
            </w:pPr>
            <w:r w:rsidRPr="00C56FE1">
              <w:rPr>
                <w:rFonts w:eastAsia="Calibri"/>
                <w:sz w:val="20"/>
                <w:szCs w:val="20"/>
              </w:rPr>
              <w:t xml:space="preserve">Court of Appeal for British Columbia </w:t>
            </w:r>
          </w:p>
          <w:p w:rsidR="003D1275" w:rsidRPr="00C56FE1" w:rsidRDefault="003D1275" w:rsidP="009208D4">
            <w:pPr>
              <w:jc w:val="both"/>
              <w:rPr>
                <w:rFonts w:eastAsia="Calibri"/>
                <w:sz w:val="20"/>
                <w:szCs w:val="20"/>
              </w:rPr>
            </w:pPr>
            <w:r w:rsidRPr="00C56FE1">
              <w:rPr>
                <w:rFonts w:eastAsia="Calibri"/>
                <w:sz w:val="20"/>
                <w:szCs w:val="20"/>
              </w:rPr>
              <w:t>(Vancouver)</w:t>
            </w:r>
          </w:p>
          <w:p w:rsidR="003D1275" w:rsidRPr="00C56FE1" w:rsidRDefault="003D1275" w:rsidP="009208D4">
            <w:pPr>
              <w:jc w:val="both"/>
              <w:rPr>
                <w:rFonts w:eastAsia="Calibri"/>
                <w:sz w:val="20"/>
                <w:szCs w:val="20"/>
              </w:rPr>
            </w:pPr>
            <w:r w:rsidRPr="00C56FE1">
              <w:rPr>
                <w:rFonts w:eastAsia="Calibri"/>
                <w:sz w:val="20"/>
                <w:szCs w:val="20"/>
              </w:rPr>
              <w:t>(Newbury, Low and Groberman JJ.A.)</w:t>
            </w:r>
          </w:p>
          <w:p w:rsidR="003D1275" w:rsidRPr="00C56FE1" w:rsidRDefault="003D1275" w:rsidP="009208D4">
            <w:pPr>
              <w:jc w:val="both"/>
              <w:rPr>
                <w:rFonts w:eastAsia="Calibri"/>
                <w:sz w:val="20"/>
                <w:szCs w:val="20"/>
              </w:rPr>
            </w:pPr>
          </w:p>
        </w:tc>
        <w:tc>
          <w:tcPr>
            <w:tcW w:w="243" w:type="pct"/>
          </w:tcPr>
          <w:p w:rsidR="003D1275" w:rsidRPr="00C56FE1" w:rsidRDefault="003D1275" w:rsidP="009208D4">
            <w:pPr>
              <w:jc w:val="both"/>
              <w:rPr>
                <w:rFonts w:eastAsia="Calibri"/>
                <w:sz w:val="20"/>
                <w:szCs w:val="20"/>
              </w:rPr>
            </w:pPr>
          </w:p>
        </w:tc>
        <w:tc>
          <w:tcPr>
            <w:tcW w:w="2330" w:type="pct"/>
          </w:tcPr>
          <w:p w:rsidR="003D1275" w:rsidRPr="00C56FE1" w:rsidRDefault="003D1275" w:rsidP="009208D4">
            <w:pPr>
              <w:jc w:val="both"/>
              <w:rPr>
                <w:rFonts w:eastAsia="Calibri"/>
                <w:sz w:val="20"/>
                <w:szCs w:val="20"/>
              </w:rPr>
            </w:pPr>
            <w:r w:rsidRPr="00C56FE1">
              <w:rPr>
                <w:rFonts w:eastAsia="Calibri"/>
                <w:sz w:val="20"/>
                <w:szCs w:val="20"/>
              </w:rPr>
              <w:t>Appeal dismissed</w:t>
            </w:r>
          </w:p>
          <w:p w:rsidR="003D1275" w:rsidRPr="00C56FE1" w:rsidRDefault="003D1275" w:rsidP="009208D4">
            <w:pPr>
              <w:jc w:val="both"/>
              <w:rPr>
                <w:rFonts w:eastAsia="Calibri"/>
                <w:sz w:val="20"/>
                <w:szCs w:val="20"/>
              </w:rPr>
            </w:pPr>
          </w:p>
        </w:tc>
      </w:tr>
      <w:tr w:rsidR="003D1275" w:rsidRPr="00C56FE1" w:rsidTr="009208D4">
        <w:tc>
          <w:tcPr>
            <w:tcW w:w="2427" w:type="pct"/>
          </w:tcPr>
          <w:p w:rsidR="003D1275" w:rsidRPr="00C56FE1" w:rsidRDefault="003D1275" w:rsidP="009208D4">
            <w:pPr>
              <w:jc w:val="both"/>
              <w:rPr>
                <w:rFonts w:eastAsia="Calibri"/>
                <w:sz w:val="20"/>
                <w:szCs w:val="20"/>
              </w:rPr>
            </w:pPr>
            <w:r w:rsidRPr="00C56FE1">
              <w:rPr>
                <w:rFonts w:eastAsia="Calibri"/>
                <w:sz w:val="20"/>
                <w:szCs w:val="20"/>
              </w:rPr>
              <w:t>September 13, 2012</w:t>
            </w:r>
          </w:p>
          <w:p w:rsidR="003D1275" w:rsidRPr="00C56FE1" w:rsidRDefault="003D1275" w:rsidP="009208D4">
            <w:pPr>
              <w:jc w:val="both"/>
              <w:rPr>
                <w:rFonts w:eastAsia="Calibri"/>
                <w:sz w:val="20"/>
                <w:szCs w:val="20"/>
              </w:rPr>
            </w:pPr>
            <w:r w:rsidRPr="00C56FE1">
              <w:rPr>
                <w:rFonts w:eastAsia="Calibri"/>
                <w:sz w:val="20"/>
                <w:szCs w:val="20"/>
              </w:rPr>
              <w:t>Supreme Court of Canada</w:t>
            </w:r>
          </w:p>
        </w:tc>
        <w:tc>
          <w:tcPr>
            <w:tcW w:w="243" w:type="pct"/>
          </w:tcPr>
          <w:p w:rsidR="003D1275" w:rsidRPr="00C56FE1" w:rsidRDefault="003D1275" w:rsidP="009208D4">
            <w:pPr>
              <w:jc w:val="both"/>
              <w:rPr>
                <w:rFonts w:eastAsia="Calibri"/>
                <w:sz w:val="20"/>
                <w:szCs w:val="20"/>
              </w:rPr>
            </w:pPr>
          </w:p>
        </w:tc>
        <w:tc>
          <w:tcPr>
            <w:tcW w:w="2330" w:type="pct"/>
          </w:tcPr>
          <w:p w:rsidR="003D1275" w:rsidRPr="00C56FE1" w:rsidRDefault="003D1275" w:rsidP="009208D4">
            <w:pPr>
              <w:jc w:val="both"/>
              <w:rPr>
                <w:rFonts w:eastAsia="Calibri"/>
                <w:sz w:val="20"/>
                <w:szCs w:val="20"/>
              </w:rPr>
            </w:pPr>
            <w:r w:rsidRPr="00C56FE1">
              <w:rPr>
                <w:rFonts w:eastAsia="Calibri"/>
                <w:sz w:val="20"/>
                <w:szCs w:val="20"/>
              </w:rPr>
              <w:t>Application for leave to appeal filed</w:t>
            </w:r>
          </w:p>
          <w:p w:rsidR="003D1275" w:rsidRPr="00C56FE1" w:rsidRDefault="003D1275" w:rsidP="009208D4">
            <w:pPr>
              <w:jc w:val="both"/>
              <w:rPr>
                <w:rFonts w:eastAsia="Calibri"/>
                <w:sz w:val="20"/>
                <w:szCs w:val="20"/>
              </w:rPr>
            </w:pPr>
          </w:p>
        </w:tc>
      </w:tr>
    </w:tbl>
    <w:p w:rsidR="00121FCA" w:rsidRDefault="00121FCA" w:rsidP="00121FCA">
      <w:pPr>
        <w:rPr>
          <w:sz w:val="20"/>
          <w:szCs w:val="20"/>
        </w:rPr>
      </w:pPr>
    </w:p>
    <w:p w:rsidR="00121FCA" w:rsidRPr="00C50A5C" w:rsidRDefault="00CD48BC" w:rsidP="00121FCA">
      <w:pPr>
        <w:rPr>
          <w:sz w:val="20"/>
          <w:szCs w:val="20"/>
        </w:rPr>
      </w:pPr>
      <w:r w:rsidRPr="00CD48BC">
        <w:rPr>
          <w:sz w:val="20"/>
          <w:szCs w:val="20"/>
          <w:lang w:val="fr-CA"/>
        </w:rPr>
        <w:pict>
          <v:rect id="_x0000_i1042" style="width:2in;height:1pt" o:hrpct="0" o:hralign="center" o:hrstd="t" o:hrnoshade="t" o:hr="t" fillcolor="black [3213]" stroked="f"/>
        </w:pict>
      </w:r>
    </w:p>
    <w:p w:rsidR="00121FCA" w:rsidRDefault="00121FCA" w:rsidP="00121FCA">
      <w:pPr>
        <w:rPr>
          <w:sz w:val="20"/>
          <w:szCs w:val="20"/>
        </w:rPr>
      </w:pPr>
    </w:p>
    <w:p w:rsidR="00121FCA" w:rsidRPr="001B157C" w:rsidRDefault="00121FCA" w:rsidP="00121FCA">
      <w:pPr>
        <w:rPr>
          <w:sz w:val="20"/>
          <w:szCs w:val="20"/>
          <w:u w:val="single"/>
          <w:lang w:val="fr-CA"/>
        </w:rPr>
      </w:pPr>
      <w:r w:rsidRPr="001B157C">
        <w:rPr>
          <w:sz w:val="20"/>
          <w:szCs w:val="20"/>
          <w:u w:val="single"/>
          <w:lang w:val="fr-CA"/>
        </w:rPr>
        <w:t>RÉSUMÉ DE L’AFFAIRE</w:t>
      </w:r>
    </w:p>
    <w:p w:rsidR="00121FCA" w:rsidRDefault="00121FCA" w:rsidP="00121FC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3D1275" w:rsidRPr="00334802" w:rsidTr="009208D4">
        <w:tc>
          <w:tcPr>
            <w:tcW w:w="5000" w:type="pct"/>
            <w:gridSpan w:val="3"/>
          </w:tcPr>
          <w:p w:rsidR="003D1275" w:rsidRPr="00C56FE1" w:rsidRDefault="003D1275" w:rsidP="009208D4">
            <w:pPr>
              <w:jc w:val="both"/>
              <w:rPr>
                <w:rFonts w:eastAsia="Calibri"/>
                <w:sz w:val="20"/>
                <w:szCs w:val="20"/>
                <w:lang w:val="fr-CA"/>
              </w:rPr>
            </w:pPr>
            <w:r w:rsidRPr="00C56FE1">
              <w:rPr>
                <w:rFonts w:eastAsia="Calibri"/>
                <w:sz w:val="20"/>
                <w:szCs w:val="20"/>
                <w:lang w:val="fr-CA"/>
              </w:rPr>
              <w:t>Tribunaux — Compétence — Recours collectifs — L'intimée a intenté une action en Colombie-Britannique contre des défendeurs étrangers — Quel est le lieu du délit de complot aux fins d'établir la compétence? — Une allégation de préjudice subi dans le ressort suffit-elle à donner naissance à une présomption de compétence en l'absence de tout autre facteur de rattachement? — Un lien réel et substantiel doit-il être établi à l'égard de chaque défendeur que l'on allègue être partie à un complot?</w:t>
            </w:r>
          </w:p>
        </w:tc>
      </w:tr>
      <w:tr w:rsidR="003D1275" w:rsidRPr="00334802" w:rsidTr="009208D4">
        <w:tc>
          <w:tcPr>
            <w:tcW w:w="5000" w:type="pct"/>
            <w:gridSpan w:val="3"/>
          </w:tcPr>
          <w:p w:rsidR="003D1275" w:rsidRPr="00C56FE1" w:rsidRDefault="003D1275" w:rsidP="009208D4">
            <w:pPr>
              <w:jc w:val="both"/>
              <w:rPr>
                <w:rFonts w:eastAsia="Calibri"/>
                <w:sz w:val="20"/>
                <w:szCs w:val="20"/>
                <w:lang w:val="fr-CA"/>
              </w:rPr>
            </w:pPr>
          </w:p>
        </w:tc>
      </w:tr>
      <w:tr w:rsidR="003D1275" w:rsidRPr="00334802" w:rsidTr="009208D4">
        <w:trPr>
          <w:trHeight w:val="20"/>
        </w:trPr>
        <w:tc>
          <w:tcPr>
            <w:tcW w:w="5000" w:type="pct"/>
            <w:gridSpan w:val="3"/>
          </w:tcPr>
          <w:p w:rsidR="003D1275" w:rsidRPr="00C56FE1" w:rsidRDefault="003D1275" w:rsidP="009208D4">
            <w:pPr>
              <w:jc w:val="both"/>
              <w:rPr>
                <w:sz w:val="20"/>
                <w:szCs w:val="20"/>
                <w:lang w:val="fr-CA"/>
              </w:rPr>
            </w:pPr>
            <w:r w:rsidRPr="00C56FE1">
              <w:rPr>
                <w:color w:val="000000"/>
                <w:sz w:val="20"/>
                <w:szCs w:val="20"/>
                <w:lang w:val="fr-CA"/>
              </w:rPr>
              <w:t xml:space="preserve">Madame Fairhurst a intenté un recours collectif projeté contre les compagnies demanderesses (le « Groupe De </w:t>
            </w:r>
            <w:r w:rsidRPr="00C56FE1">
              <w:rPr>
                <w:color w:val="000000"/>
                <w:sz w:val="20"/>
                <w:szCs w:val="20"/>
                <w:lang w:val="fr-CA"/>
              </w:rPr>
              <w:lastRenderedPageBreak/>
              <w:t>Beers »), alléguant qu'elles contrôlaient les deux-tiers de l'offre mondiale de diamants de qualité gemme.  Selon l’intimée, ces compagnies s'étaient livrées à la fixation des prix pendant plus d'un siècle, agissant de collusion avec d'autres entreprises du secteur.  Elle a proposé une période de référence de dix ans prenant fin en 2007 et une catégorie de demandeurs qui comprendrait tous les acheteurs directs et indirects de diamants distribués par le Groupe De Beers en Colombie-Britannique.  Elle a plaidé que le Groupe De Beers avait comploté pour fixer illégalement les prix, contrairement à la common law et à la</w:t>
            </w:r>
            <w:r w:rsidRPr="00C56FE1">
              <w:rPr>
                <w:i/>
                <w:iCs/>
                <w:color w:val="000000"/>
                <w:sz w:val="20"/>
                <w:szCs w:val="20"/>
                <w:lang w:val="fr-CA"/>
              </w:rPr>
              <w:t xml:space="preserve"> Loi sur la concurrence</w:t>
            </w:r>
            <w:r w:rsidRPr="00C56FE1">
              <w:rPr>
                <w:color w:val="000000"/>
                <w:sz w:val="20"/>
                <w:szCs w:val="20"/>
                <w:lang w:val="fr-CA"/>
              </w:rPr>
              <w:t>, L.R.C. 1985, ch. C</w:t>
            </w:r>
            <w:r w:rsidRPr="00C56FE1">
              <w:rPr>
                <w:color w:val="000000"/>
                <w:sz w:val="20"/>
                <w:szCs w:val="20"/>
                <w:lang w:val="fr-CA"/>
              </w:rPr>
              <w:noBreakHyphen/>
              <w:t xml:space="preserve">34, si bien que les membres de la catégorie avaient payé les diamants plus cher que ce qu'ils auraient eu à payer autrement et avaient subi un préjudice en conséquence.  L'intimée a sollicité des dommages-intérêts fondés notamment sur le complot et une ingérence délictuelle dans les intérêts économiques, un jugement déclarant que les défenderesses s'étaient enrichies injustement en raison de leur façon d'agir et qu'elles détenaient le produit des prix excessifs qu'elles demandaient illégalement en vertu d'une fiducie constructoire à l'avantage des demandeurs en première instance ainsi que des dommages-intérêts punitifs.  Le Groupe De Beers Group a demandé le rejet ou la suspension de l'action de Mme Fairhurst pour des motifs liés à la compétence, plaidant qu'aucun membre du groupe ne faisait affaires en Colombie-Britannique, n'y résidait habituellement ou n'y vendait ou distribuait des diamants de qualité gemme. </w:t>
            </w:r>
          </w:p>
          <w:p w:rsidR="003D1275" w:rsidRPr="00C56FE1" w:rsidRDefault="003D1275" w:rsidP="009208D4">
            <w:pPr>
              <w:jc w:val="both"/>
              <w:rPr>
                <w:sz w:val="20"/>
                <w:szCs w:val="20"/>
                <w:lang w:val="fr-CA"/>
              </w:rPr>
            </w:pPr>
          </w:p>
        </w:tc>
      </w:tr>
      <w:tr w:rsidR="003D1275" w:rsidRPr="00334802" w:rsidTr="009208D4">
        <w:tc>
          <w:tcPr>
            <w:tcW w:w="2427" w:type="pct"/>
          </w:tcPr>
          <w:p w:rsidR="003D1275" w:rsidRPr="00C56FE1" w:rsidRDefault="003D1275" w:rsidP="009208D4">
            <w:pPr>
              <w:jc w:val="both"/>
              <w:rPr>
                <w:rFonts w:eastAsia="Calibri"/>
                <w:sz w:val="20"/>
                <w:szCs w:val="20"/>
                <w:lang w:val="fr-CA"/>
              </w:rPr>
            </w:pPr>
            <w:r w:rsidRPr="00C56FE1">
              <w:rPr>
                <w:rFonts w:eastAsia="Calibri"/>
                <w:sz w:val="20"/>
                <w:szCs w:val="20"/>
                <w:lang w:val="fr-CA"/>
              </w:rPr>
              <w:lastRenderedPageBreak/>
              <w:t>1</w:t>
            </w:r>
            <w:r w:rsidRPr="00C56FE1">
              <w:rPr>
                <w:rFonts w:eastAsia="Calibri"/>
                <w:sz w:val="20"/>
                <w:szCs w:val="20"/>
                <w:vertAlign w:val="superscript"/>
                <w:lang w:val="fr-CA"/>
              </w:rPr>
              <w:t>er</w:t>
            </w:r>
            <w:r w:rsidRPr="00C56FE1">
              <w:rPr>
                <w:rFonts w:eastAsia="Calibri"/>
                <w:sz w:val="20"/>
                <w:szCs w:val="20"/>
                <w:lang w:val="fr-CA"/>
              </w:rPr>
              <w:t xml:space="preserve"> juin 2011</w:t>
            </w:r>
          </w:p>
          <w:p w:rsidR="003D1275" w:rsidRPr="00C56FE1" w:rsidRDefault="003D1275" w:rsidP="009208D4">
            <w:pPr>
              <w:jc w:val="both"/>
              <w:rPr>
                <w:rFonts w:eastAsia="Calibri"/>
                <w:sz w:val="20"/>
                <w:szCs w:val="20"/>
                <w:lang w:val="fr-CA"/>
              </w:rPr>
            </w:pPr>
            <w:r w:rsidRPr="00C56FE1">
              <w:rPr>
                <w:rFonts w:eastAsia="Calibri"/>
                <w:sz w:val="20"/>
                <w:szCs w:val="20"/>
                <w:lang w:val="fr-CA"/>
              </w:rPr>
              <w:t xml:space="preserve">Cour suprême de la Colombie-Britannique </w:t>
            </w:r>
          </w:p>
          <w:p w:rsidR="003D1275" w:rsidRPr="00C56FE1" w:rsidRDefault="003D1275" w:rsidP="009208D4">
            <w:pPr>
              <w:jc w:val="both"/>
              <w:rPr>
                <w:rFonts w:eastAsia="Calibri"/>
                <w:sz w:val="20"/>
                <w:szCs w:val="20"/>
                <w:lang w:val="fr-CA"/>
              </w:rPr>
            </w:pPr>
            <w:r w:rsidRPr="00C56FE1">
              <w:rPr>
                <w:rFonts w:eastAsia="Calibri"/>
                <w:sz w:val="20"/>
                <w:szCs w:val="20"/>
                <w:lang w:val="fr-CA"/>
              </w:rPr>
              <w:t>(Juge Brown)</w:t>
            </w:r>
          </w:p>
          <w:p w:rsidR="003D1275" w:rsidRPr="00C56FE1" w:rsidRDefault="003D1275" w:rsidP="009208D4">
            <w:pPr>
              <w:jc w:val="both"/>
              <w:rPr>
                <w:rFonts w:eastAsia="Calibri"/>
                <w:sz w:val="20"/>
                <w:szCs w:val="20"/>
                <w:lang w:val="fr-CA"/>
              </w:rPr>
            </w:pPr>
          </w:p>
        </w:tc>
        <w:tc>
          <w:tcPr>
            <w:tcW w:w="243" w:type="pct"/>
          </w:tcPr>
          <w:p w:rsidR="003D1275" w:rsidRPr="00C56FE1" w:rsidRDefault="003D1275" w:rsidP="009208D4">
            <w:pPr>
              <w:jc w:val="both"/>
              <w:rPr>
                <w:rFonts w:eastAsia="Calibri"/>
                <w:sz w:val="20"/>
                <w:szCs w:val="20"/>
                <w:lang w:val="fr-CA"/>
              </w:rPr>
            </w:pPr>
          </w:p>
        </w:tc>
        <w:tc>
          <w:tcPr>
            <w:tcW w:w="2330" w:type="pct"/>
          </w:tcPr>
          <w:p w:rsidR="003D1275" w:rsidRPr="00C56FE1" w:rsidRDefault="003D1275" w:rsidP="009208D4">
            <w:pPr>
              <w:jc w:val="both"/>
              <w:rPr>
                <w:rFonts w:eastAsia="Calibri"/>
                <w:sz w:val="20"/>
                <w:szCs w:val="20"/>
                <w:lang w:val="fr-CA"/>
              </w:rPr>
            </w:pPr>
            <w:r w:rsidRPr="00C56FE1">
              <w:rPr>
                <w:rFonts w:eastAsia="Calibri"/>
                <w:sz w:val="20"/>
                <w:szCs w:val="20"/>
                <w:lang w:val="fr-CA"/>
              </w:rPr>
              <w:t>Requête des demanderesses en rejet ou en suspension de l'action pour absence de compétence du tribunal à leur égard, rejetée.</w:t>
            </w:r>
          </w:p>
          <w:p w:rsidR="003D1275" w:rsidRPr="00C56FE1" w:rsidRDefault="003D1275" w:rsidP="009208D4">
            <w:pPr>
              <w:jc w:val="both"/>
              <w:rPr>
                <w:rFonts w:eastAsia="Calibri"/>
                <w:sz w:val="20"/>
                <w:szCs w:val="20"/>
                <w:lang w:val="fr-CA"/>
              </w:rPr>
            </w:pPr>
          </w:p>
        </w:tc>
      </w:tr>
      <w:tr w:rsidR="003D1275" w:rsidRPr="00C56FE1" w:rsidTr="009208D4">
        <w:tc>
          <w:tcPr>
            <w:tcW w:w="2427" w:type="pct"/>
          </w:tcPr>
          <w:p w:rsidR="003D1275" w:rsidRPr="00C56FE1" w:rsidRDefault="003D1275" w:rsidP="009208D4">
            <w:pPr>
              <w:jc w:val="both"/>
              <w:rPr>
                <w:rFonts w:eastAsia="Calibri"/>
                <w:sz w:val="20"/>
                <w:szCs w:val="20"/>
                <w:lang w:val="fr-CA"/>
              </w:rPr>
            </w:pPr>
            <w:r w:rsidRPr="00C56FE1">
              <w:rPr>
                <w:rFonts w:eastAsia="Calibri"/>
                <w:sz w:val="20"/>
                <w:szCs w:val="20"/>
                <w:lang w:val="fr-CA"/>
              </w:rPr>
              <w:t>14 juin 2012</w:t>
            </w:r>
          </w:p>
          <w:p w:rsidR="003D1275" w:rsidRPr="00C56FE1" w:rsidRDefault="003D1275" w:rsidP="009208D4">
            <w:pPr>
              <w:jc w:val="both"/>
              <w:rPr>
                <w:rFonts w:eastAsia="Calibri"/>
                <w:sz w:val="20"/>
                <w:szCs w:val="20"/>
                <w:lang w:val="fr-CA"/>
              </w:rPr>
            </w:pPr>
            <w:r w:rsidRPr="00C56FE1">
              <w:rPr>
                <w:rFonts w:eastAsia="Calibri"/>
                <w:sz w:val="20"/>
                <w:szCs w:val="20"/>
                <w:lang w:val="fr-CA"/>
              </w:rPr>
              <w:t xml:space="preserve">Cour d'appel de la Colombie-Britannique </w:t>
            </w:r>
          </w:p>
          <w:p w:rsidR="003D1275" w:rsidRPr="00C56FE1" w:rsidRDefault="003D1275" w:rsidP="009208D4">
            <w:pPr>
              <w:jc w:val="both"/>
              <w:rPr>
                <w:rFonts w:eastAsia="Calibri"/>
                <w:sz w:val="20"/>
                <w:szCs w:val="20"/>
                <w:lang w:val="fr-CA"/>
              </w:rPr>
            </w:pPr>
            <w:r w:rsidRPr="00C56FE1">
              <w:rPr>
                <w:rFonts w:eastAsia="Calibri"/>
                <w:sz w:val="20"/>
                <w:szCs w:val="20"/>
                <w:lang w:val="fr-CA"/>
              </w:rPr>
              <w:t>(Vancouver)</w:t>
            </w:r>
          </w:p>
          <w:p w:rsidR="003D1275" w:rsidRPr="00C56FE1" w:rsidRDefault="003D1275" w:rsidP="009208D4">
            <w:pPr>
              <w:jc w:val="both"/>
              <w:rPr>
                <w:rFonts w:eastAsia="Calibri"/>
                <w:sz w:val="20"/>
                <w:szCs w:val="20"/>
                <w:lang w:val="fr-CA"/>
              </w:rPr>
            </w:pPr>
            <w:r w:rsidRPr="00C56FE1">
              <w:rPr>
                <w:rFonts w:eastAsia="Calibri"/>
                <w:sz w:val="20"/>
                <w:szCs w:val="20"/>
                <w:lang w:val="fr-CA"/>
              </w:rPr>
              <w:t>(Juges Newbury, Low et Groberman)</w:t>
            </w:r>
          </w:p>
          <w:p w:rsidR="003D1275" w:rsidRPr="00C56FE1" w:rsidRDefault="003D1275" w:rsidP="009208D4">
            <w:pPr>
              <w:jc w:val="both"/>
              <w:rPr>
                <w:rFonts w:eastAsia="Calibri"/>
                <w:sz w:val="20"/>
                <w:szCs w:val="20"/>
                <w:lang w:val="fr-CA"/>
              </w:rPr>
            </w:pPr>
          </w:p>
        </w:tc>
        <w:tc>
          <w:tcPr>
            <w:tcW w:w="243" w:type="pct"/>
          </w:tcPr>
          <w:p w:rsidR="003D1275" w:rsidRPr="00C56FE1" w:rsidRDefault="003D1275" w:rsidP="009208D4">
            <w:pPr>
              <w:jc w:val="both"/>
              <w:rPr>
                <w:rFonts w:eastAsia="Calibri"/>
                <w:sz w:val="20"/>
                <w:szCs w:val="20"/>
                <w:lang w:val="fr-CA"/>
              </w:rPr>
            </w:pPr>
          </w:p>
        </w:tc>
        <w:tc>
          <w:tcPr>
            <w:tcW w:w="2330" w:type="pct"/>
          </w:tcPr>
          <w:p w:rsidR="003D1275" w:rsidRPr="00C56FE1" w:rsidRDefault="003D1275" w:rsidP="009208D4">
            <w:pPr>
              <w:jc w:val="both"/>
              <w:rPr>
                <w:rFonts w:eastAsia="Calibri"/>
                <w:sz w:val="20"/>
                <w:szCs w:val="20"/>
                <w:lang w:val="fr-CA"/>
              </w:rPr>
            </w:pPr>
            <w:r w:rsidRPr="00C56FE1">
              <w:rPr>
                <w:rFonts w:eastAsia="Calibri"/>
                <w:sz w:val="20"/>
                <w:szCs w:val="20"/>
                <w:lang w:val="fr-CA"/>
              </w:rPr>
              <w:t>Appel rejeté</w:t>
            </w:r>
          </w:p>
          <w:p w:rsidR="003D1275" w:rsidRPr="00C56FE1" w:rsidRDefault="003D1275" w:rsidP="009208D4">
            <w:pPr>
              <w:jc w:val="both"/>
              <w:rPr>
                <w:rFonts w:eastAsia="Calibri"/>
                <w:sz w:val="20"/>
                <w:szCs w:val="20"/>
                <w:lang w:val="fr-CA"/>
              </w:rPr>
            </w:pPr>
          </w:p>
        </w:tc>
      </w:tr>
      <w:tr w:rsidR="003D1275" w:rsidRPr="00C56FE1" w:rsidTr="009208D4">
        <w:tc>
          <w:tcPr>
            <w:tcW w:w="2427" w:type="pct"/>
          </w:tcPr>
          <w:p w:rsidR="003D1275" w:rsidRPr="00C56FE1" w:rsidRDefault="003D1275" w:rsidP="009208D4">
            <w:pPr>
              <w:jc w:val="both"/>
              <w:rPr>
                <w:rFonts w:eastAsia="Calibri"/>
                <w:sz w:val="20"/>
                <w:szCs w:val="20"/>
                <w:lang w:val="fr-CA"/>
              </w:rPr>
            </w:pPr>
            <w:r w:rsidRPr="00C56FE1">
              <w:rPr>
                <w:rFonts w:eastAsia="Calibri"/>
                <w:sz w:val="20"/>
                <w:szCs w:val="20"/>
                <w:lang w:val="fr-CA"/>
              </w:rPr>
              <w:t>13 septembre 2012</w:t>
            </w:r>
          </w:p>
          <w:p w:rsidR="003D1275" w:rsidRPr="00C56FE1" w:rsidRDefault="003D1275" w:rsidP="009208D4">
            <w:pPr>
              <w:jc w:val="both"/>
              <w:rPr>
                <w:rFonts w:eastAsia="Calibri"/>
                <w:sz w:val="20"/>
                <w:szCs w:val="20"/>
                <w:lang w:val="fr-CA"/>
              </w:rPr>
            </w:pPr>
            <w:r w:rsidRPr="00C56FE1">
              <w:rPr>
                <w:rFonts w:eastAsia="Calibri"/>
                <w:sz w:val="20"/>
                <w:szCs w:val="20"/>
                <w:lang w:val="fr-CA"/>
              </w:rPr>
              <w:t>Cour suprême du Canada</w:t>
            </w:r>
          </w:p>
        </w:tc>
        <w:tc>
          <w:tcPr>
            <w:tcW w:w="243" w:type="pct"/>
          </w:tcPr>
          <w:p w:rsidR="003D1275" w:rsidRPr="00C56FE1" w:rsidRDefault="003D1275" w:rsidP="009208D4">
            <w:pPr>
              <w:jc w:val="both"/>
              <w:rPr>
                <w:rFonts w:eastAsia="Calibri"/>
                <w:sz w:val="20"/>
                <w:szCs w:val="20"/>
                <w:lang w:val="fr-CA"/>
              </w:rPr>
            </w:pPr>
          </w:p>
        </w:tc>
        <w:tc>
          <w:tcPr>
            <w:tcW w:w="2330" w:type="pct"/>
          </w:tcPr>
          <w:p w:rsidR="003D1275" w:rsidRPr="00C56FE1" w:rsidRDefault="003D1275" w:rsidP="009208D4">
            <w:pPr>
              <w:jc w:val="both"/>
              <w:rPr>
                <w:rFonts w:eastAsia="Calibri"/>
                <w:sz w:val="20"/>
                <w:szCs w:val="20"/>
                <w:lang w:val="fr-CA"/>
              </w:rPr>
            </w:pPr>
            <w:r w:rsidRPr="00C56FE1">
              <w:rPr>
                <w:rFonts w:eastAsia="Calibri"/>
                <w:sz w:val="20"/>
                <w:szCs w:val="20"/>
                <w:lang w:val="fr-CA"/>
              </w:rPr>
              <w:t>Demande d'autorisation d'appel, déposée</w:t>
            </w:r>
          </w:p>
          <w:p w:rsidR="003D1275" w:rsidRPr="00C56FE1" w:rsidRDefault="003D1275" w:rsidP="009208D4">
            <w:pPr>
              <w:jc w:val="both"/>
              <w:rPr>
                <w:rFonts w:eastAsia="Calibri"/>
                <w:sz w:val="20"/>
                <w:szCs w:val="20"/>
                <w:lang w:val="fr-CA"/>
              </w:rPr>
            </w:pPr>
          </w:p>
        </w:tc>
      </w:tr>
    </w:tbl>
    <w:p w:rsidR="00121FCA" w:rsidRDefault="00121FCA" w:rsidP="00121FCA">
      <w:pPr>
        <w:rPr>
          <w:sz w:val="20"/>
          <w:szCs w:val="20"/>
        </w:rPr>
      </w:pPr>
    </w:p>
    <w:p w:rsidR="00121FCA" w:rsidRDefault="00CD48BC" w:rsidP="00121FCA">
      <w:pPr>
        <w:rPr>
          <w:sz w:val="20"/>
          <w:szCs w:val="20"/>
          <w:lang w:val="fr-CA"/>
        </w:rPr>
      </w:pPr>
      <w:r w:rsidRPr="00CD48BC">
        <w:rPr>
          <w:sz w:val="20"/>
          <w:szCs w:val="20"/>
          <w:lang w:val="fr-CA"/>
        </w:rPr>
        <w:pict>
          <v:rect id="_x0000_i1043" style="width:2in;height:1pt" o:hrpct="0" o:hralign="center" o:hrstd="t" o:hrnoshade="t" o:hr="t" fillcolor="black [3213]" stroked="f"/>
        </w:pict>
      </w:r>
    </w:p>
    <w:p w:rsidR="00121FCA" w:rsidRDefault="00121FCA" w:rsidP="00121FC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60D73" w:rsidRPr="00DE03BF" w:rsidTr="003B435E">
        <w:trPr>
          <w:cantSplit/>
        </w:trPr>
        <w:tc>
          <w:tcPr>
            <w:tcW w:w="1458" w:type="dxa"/>
          </w:tcPr>
          <w:p w:rsidR="00660D73" w:rsidRPr="00DE03BF" w:rsidRDefault="00660D73" w:rsidP="003B435E">
            <w:pPr>
              <w:rPr>
                <w:sz w:val="20"/>
                <w:szCs w:val="20"/>
              </w:rPr>
            </w:pPr>
            <w:r w:rsidRPr="00DE03BF">
              <w:rPr>
                <w:rStyle w:val="SCCFileNumberChar"/>
                <w:sz w:val="20"/>
                <w:szCs w:val="20"/>
              </w:rPr>
              <w:t>34971</w:t>
            </w:r>
          </w:p>
          <w:p w:rsidR="00660D73" w:rsidRPr="00DE03BF" w:rsidRDefault="00660D73" w:rsidP="003B435E">
            <w:pPr>
              <w:rPr>
                <w:b/>
                <w:sz w:val="20"/>
                <w:szCs w:val="20"/>
                <w:lang w:val="fr-CA"/>
              </w:rPr>
            </w:pPr>
          </w:p>
        </w:tc>
        <w:tc>
          <w:tcPr>
            <w:tcW w:w="8118" w:type="dxa"/>
          </w:tcPr>
          <w:p w:rsidR="00660D73" w:rsidRPr="00DE03BF" w:rsidRDefault="00660D73" w:rsidP="003B435E">
            <w:pPr>
              <w:jc w:val="both"/>
              <w:rPr>
                <w:sz w:val="20"/>
                <w:szCs w:val="20"/>
              </w:rPr>
            </w:pPr>
            <w:r w:rsidRPr="00660D73">
              <w:rPr>
                <w:rStyle w:val="SCCLsocChar"/>
                <w:sz w:val="20"/>
                <w:szCs w:val="20"/>
                <w:lang w:val="en-CA"/>
              </w:rPr>
              <w:t>Allen Oberg, Rod Flaman, Cam Goff, Kyle Korneychuk, John Sandborn, Bill Toews, Stewart Wells and Bill Woods v. Minister of Agriculture and Agri-Food in his Capacity as Minister Responsible for the Canadian Wheat Board</w:t>
            </w:r>
            <w:r w:rsidRPr="00DE03BF">
              <w:rPr>
                <w:sz w:val="20"/>
                <w:szCs w:val="20"/>
              </w:rPr>
              <w:t xml:space="preserve"> (F.C.) (Civil) (By Leave)</w:t>
            </w:r>
          </w:p>
          <w:p w:rsidR="00660D73" w:rsidRPr="00DE03BF" w:rsidRDefault="00660D73" w:rsidP="003B435E">
            <w:pPr>
              <w:jc w:val="both"/>
              <w:rPr>
                <w:sz w:val="20"/>
                <w:szCs w:val="20"/>
              </w:rPr>
            </w:pPr>
          </w:p>
        </w:tc>
      </w:tr>
      <w:tr w:rsidR="00660D73" w:rsidRPr="00DE03BF" w:rsidTr="003B435E">
        <w:trPr>
          <w:cantSplit/>
        </w:trPr>
        <w:tc>
          <w:tcPr>
            <w:tcW w:w="1458" w:type="dxa"/>
          </w:tcPr>
          <w:p w:rsidR="00660D73" w:rsidRPr="00DE03BF" w:rsidRDefault="00660D73" w:rsidP="003B435E">
            <w:pPr>
              <w:rPr>
                <w:sz w:val="20"/>
                <w:szCs w:val="20"/>
              </w:rPr>
            </w:pPr>
            <w:r w:rsidRPr="00DE03BF">
              <w:rPr>
                <w:sz w:val="20"/>
                <w:szCs w:val="20"/>
              </w:rPr>
              <w:t>Coram :</w:t>
            </w:r>
          </w:p>
        </w:tc>
        <w:tc>
          <w:tcPr>
            <w:tcW w:w="8118" w:type="dxa"/>
          </w:tcPr>
          <w:p w:rsidR="00660D73" w:rsidRPr="00DE03BF" w:rsidRDefault="00660D73" w:rsidP="003B435E">
            <w:pPr>
              <w:rPr>
                <w:sz w:val="20"/>
                <w:szCs w:val="20"/>
              </w:rPr>
            </w:pPr>
            <w:r w:rsidRPr="00660D73">
              <w:rPr>
                <w:rStyle w:val="SCCCoramChar"/>
                <w:sz w:val="20"/>
                <w:szCs w:val="20"/>
                <w:lang w:val="en-CA"/>
              </w:rPr>
              <w:t>LeBel, Karakatsanis and Wagner JJ.</w:t>
            </w:r>
          </w:p>
          <w:p w:rsidR="00660D73" w:rsidRPr="00DE03BF" w:rsidRDefault="00660D73" w:rsidP="003B435E">
            <w:pPr>
              <w:rPr>
                <w:sz w:val="20"/>
                <w:szCs w:val="20"/>
                <w:u w:val="single"/>
              </w:rPr>
            </w:pPr>
          </w:p>
        </w:tc>
      </w:tr>
      <w:tr w:rsidR="00660D73" w:rsidRPr="00334802" w:rsidTr="003B435E">
        <w:trPr>
          <w:cantSplit/>
        </w:trPr>
        <w:tc>
          <w:tcPr>
            <w:tcW w:w="9576" w:type="dxa"/>
            <w:gridSpan w:val="2"/>
          </w:tcPr>
          <w:p w:rsidR="00660D73" w:rsidRPr="00DE03BF" w:rsidRDefault="00660D73" w:rsidP="003B435E">
            <w:pPr>
              <w:pStyle w:val="SCCShortJudgment"/>
              <w:rPr>
                <w:szCs w:val="20"/>
              </w:rPr>
            </w:pPr>
            <w:r w:rsidRPr="00DE03BF">
              <w:rPr>
                <w:szCs w:val="20"/>
              </w:rPr>
              <w:t>The motion for an extension of time to serve and file the application for leave to appeal is granted. The application for leave to appeal from the judgment of the Federal Court of Appeal, Number A-471-11, 2012 FCA 183, dated June 18, 2012, is dismissed with costs.</w:t>
            </w:r>
          </w:p>
          <w:p w:rsidR="00660D73" w:rsidRPr="00DE03BF" w:rsidRDefault="00660D73" w:rsidP="003B435E">
            <w:pPr>
              <w:pStyle w:val="SCCShortJudgment"/>
              <w:ind w:firstLine="0"/>
              <w:rPr>
                <w:szCs w:val="20"/>
              </w:rPr>
            </w:pPr>
          </w:p>
          <w:p w:rsidR="00660D73" w:rsidRPr="00DE03BF" w:rsidRDefault="00660D73" w:rsidP="003B435E">
            <w:pPr>
              <w:pStyle w:val="SCCShortJudgment"/>
              <w:rPr>
                <w:szCs w:val="20"/>
                <w:lang w:val="fr-CA"/>
              </w:rPr>
            </w:pPr>
            <w:r w:rsidRPr="00DE03BF">
              <w:rPr>
                <w:szCs w:val="20"/>
                <w:lang w:val="fr-CA"/>
              </w:rPr>
              <w:t>La requête en prorogation du délai de signification et de dépôt de la demande d’autorisation d’appel est accueillie. La demande d’autorisation d’appel de l’arrêt de la Cour d’appel fédérale, numéro A-471-11, 2012 CAF 183, daté du 18 juin 2012, est rejetée avec dépens.</w:t>
            </w:r>
          </w:p>
        </w:tc>
      </w:tr>
    </w:tbl>
    <w:p w:rsidR="00121FCA" w:rsidRPr="00660D73" w:rsidRDefault="00121FCA" w:rsidP="00121FCA">
      <w:pPr>
        <w:rPr>
          <w:sz w:val="20"/>
          <w:szCs w:val="20"/>
          <w:lang w:val="fr-CA"/>
        </w:rPr>
      </w:pPr>
    </w:p>
    <w:p w:rsidR="00121FCA" w:rsidRPr="001B157C" w:rsidRDefault="00121FCA" w:rsidP="00121FCA">
      <w:pPr>
        <w:rPr>
          <w:sz w:val="20"/>
          <w:szCs w:val="20"/>
          <w:u w:val="single"/>
        </w:rPr>
      </w:pPr>
      <w:r w:rsidRPr="001B157C">
        <w:rPr>
          <w:sz w:val="20"/>
          <w:szCs w:val="20"/>
          <w:u w:val="single"/>
        </w:rPr>
        <w:t>CASE SUMMARY</w:t>
      </w:r>
    </w:p>
    <w:p w:rsidR="00121FCA" w:rsidRDefault="00121FCA" w:rsidP="00121F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D1275" w:rsidRPr="00C56FE1" w:rsidTr="009208D4">
        <w:tc>
          <w:tcPr>
            <w:tcW w:w="5000" w:type="pct"/>
            <w:gridSpan w:val="3"/>
          </w:tcPr>
          <w:p w:rsidR="003D1275" w:rsidRPr="00C56FE1" w:rsidRDefault="003D1275" w:rsidP="009208D4">
            <w:pPr>
              <w:autoSpaceDE w:val="0"/>
              <w:autoSpaceDN w:val="0"/>
              <w:adjustRightInd w:val="0"/>
              <w:jc w:val="both"/>
              <w:rPr>
                <w:rFonts w:eastAsia="Calibri"/>
                <w:sz w:val="20"/>
              </w:rPr>
            </w:pPr>
            <w:r w:rsidRPr="00C56FE1">
              <w:rPr>
                <w:rFonts w:eastAsia="Calibri"/>
                <w:sz w:val="20"/>
              </w:rPr>
              <w:t xml:space="preserve">Crown Law — Judgments and Orders — Appeals — Legislation — Statutory Interpretation — Does the failure by a government official to comply with a declaratory order, pending an appeal of that declaration, amount to an abuse of process? — What is the appropriate balance, as part of the statutory interpretation process, between a strict interpretation based on the ordinary meaning of the words of a provision and a purposive interpretation which avoids an absurd result? — </w:t>
            </w:r>
            <w:r w:rsidRPr="00C56FE1">
              <w:rPr>
                <w:rFonts w:eastAsia="Calibri"/>
                <w:i/>
                <w:iCs/>
                <w:sz w:val="20"/>
              </w:rPr>
              <w:t>Canadian Wheat Board Act</w:t>
            </w:r>
            <w:r w:rsidRPr="00C56FE1">
              <w:rPr>
                <w:rFonts w:eastAsia="Calibri"/>
                <w:iCs/>
                <w:sz w:val="20"/>
              </w:rPr>
              <w:t>, R.S.C. 1985, c. C</w:t>
            </w:r>
            <w:r w:rsidRPr="00C56FE1">
              <w:rPr>
                <w:rFonts w:eastAsia="Calibri"/>
                <w:iCs/>
                <w:sz w:val="20"/>
              </w:rPr>
              <w:noBreakHyphen/>
              <w:t>24,</w:t>
            </w:r>
            <w:r w:rsidRPr="00C56FE1">
              <w:rPr>
                <w:rFonts w:eastAsia="Calibri"/>
                <w:color w:val="000000"/>
                <w:sz w:val="20"/>
              </w:rPr>
              <w:t xml:space="preserve"> </w:t>
            </w:r>
            <w:r w:rsidRPr="00C56FE1">
              <w:rPr>
                <w:rFonts w:eastAsia="Calibri"/>
                <w:iCs/>
                <w:sz w:val="20"/>
              </w:rPr>
              <w:t>s. 47.1.</w:t>
            </w:r>
          </w:p>
        </w:tc>
      </w:tr>
      <w:tr w:rsidR="003D1275" w:rsidRPr="00C56FE1" w:rsidTr="009208D4">
        <w:tc>
          <w:tcPr>
            <w:tcW w:w="5000" w:type="pct"/>
            <w:gridSpan w:val="3"/>
          </w:tcPr>
          <w:p w:rsidR="003D1275" w:rsidRPr="00C56FE1" w:rsidRDefault="003D1275" w:rsidP="009208D4">
            <w:pPr>
              <w:jc w:val="both"/>
              <w:rPr>
                <w:rFonts w:eastAsia="Calibri"/>
                <w:sz w:val="20"/>
              </w:rPr>
            </w:pPr>
          </w:p>
        </w:tc>
      </w:tr>
      <w:tr w:rsidR="003D1275" w:rsidRPr="00C56FE1" w:rsidTr="009208D4">
        <w:tc>
          <w:tcPr>
            <w:tcW w:w="5000" w:type="pct"/>
            <w:gridSpan w:val="3"/>
          </w:tcPr>
          <w:p w:rsidR="003D1275" w:rsidRPr="00C56FE1" w:rsidRDefault="003D1275" w:rsidP="009208D4">
            <w:pPr>
              <w:jc w:val="both"/>
              <w:rPr>
                <w:rFonts w:eastAsia="Calibri"/>
                <w:sz w:val="20"/>
              </w:rPr>
            </w:pPr>
            <w:r w:rsidRPr="00C56FE1">
              <w:rPr>
                <w:rFonts w:eastAsia="Calibri"/>
                <w:sz w:val="20"/>
              </w:rPr>
              <w:t xml:space="preserve">In 1998, Parliament adopted the </w:t>
            </w:r>
            <w:r w:rsidRPr="00C56FE1">
              <w:rPr>
                <w:rFonts w:eastAsia="Calibri"/>
                <w:i/>
                <w:sz w:val="20"/>
              </w:rPr>
              <w:t>Act to amend the Canadian Wheat Board Act and to make consequential amendments to other Acts</w:t>
            </w:r>
            <w:r w:rsidRPr="00C56FE1">
              <w:rPr>
                <w:rFonts w:eastAsia="Calibri"/>
                <w:sz w:val="20"/>
              </w:rPr>
              <w:t xml:space="preserve">, S.C. 1998, c. 17.  These Amendments included a new provision, section 47.1 of the </w:t>
            </w:r>
            <w:r w:rsidRPr="00C56FE1">
              <w:rPr>
                <w:rFonts w:eastAsia="Calibri"/>
                <w:i/>
                <w:sz w:val="20"/>
              </w:rPr>
              <w:t>Canadian Wheat Board Act</w:t>
            </w:r>
            <w:r w:rsidRPr="00C56FE1">
              <w:rPr>
                <w:rFonts w:eastAsia="Calibri"/>
                <w:sz w:val="20"/>
              </w:rPr>
              <w:t>, R.S.C. 1985, c. C</w:t>
            </w:r>
            <w:r w:rsidRPr="00C56FE1">
              <w:rPr>
                <w:rFonts w:eastAsia="Calibri"/>
                <w:sz w:val="20"/>
              </w:rPr>
              <w:noBreakHyphen/>
              <w:t>24 (the “CWB Act”) requiring consultations with the Canadian Wheat Board (the “CWB”) and a favourable vote by producers before any bill proposing the exclusion of certain kinds and grades of wheat and barley from the grain marketing monopoly could be introduced in Parliament.  On June 3, 2011, it was formally announced that legislation would be introduced to replace the single marketing desk for grain producers by an open market regime.  Based on their reading of section 47.1 of the CWB Act, the Applicants took the view that the Minister of Agriculture and Agri</w:t>
            </w:r>
            <w:r w:rsidRPr="00C56FE1">
              <w:rPr>
                <w:rFonts w:eastAsia="Calibri"/>
                <w:sz w:val="20"/>
              </w:rPr>
              <w:noBreakHyphen/>
              <w:t>Food (the “Minister”) could not submit such legislation to Parliament without the prior consent of grain producers obtained through a vote.  The Minister did not consider that he was legally bound to hold such a vote and proceeded with the introduction into Parliament of Bill C</w:t>
            </w:r>
            <w:r w:rsidRPr="00C56FE1">
              <w:rPr>
                <w:rFonts w:eastAsia="Calibri"/>
                <w:sz w:val="20"/>
              </w:rPr>
              <w:noBreakHyphen/>
              <w:t xml:space="preserve">18.  This Bill led to the adoption of the </w:t>
            </w:r>
            <w:r w:rsidRPr="00C56FE1">
              <w:rPr>
                <w:rFonts w:eastAsia="Calibri"/>
                <w:i/>
                <w:sz w:val="20"/>
              </w:rPr>
              <w:t>Marketing Freedom for Grain Farmers Act</w:t>
            </w:r>
            <w:r w:rsidRPr="00C56FE1">
              <w:rPr>
                <w:rFonts w:eastAsia="Calibri"/>
                <w:sz w:val="20"/>
              </w:rPr>
              <w:t xml:space="preserve"> (the “MFGF Act”), which received Royal Assent on December 15, 2011.  The Applicants initiated judicial review proceedings before the Federal Court challenging same.</w:t>
            </w:r>
          </w:p>
          <w:p w:rsidR="003D1275" w:rsidRPr="00C56FE1" w:rsidRDefault="003D1275" w:rsidP="009208D4">
            <w:pPr>
              <w:jc w:val="both"/>
              <w:rPr>
                <w:rFonts w:eastAsia="Calibri"/>
                <w:sz w:val="20"/>
              </w:rPr>
            </w:pPr>
          </w:p>
        </w:tc>
      </w:tr>
      <w:tr w:rsidR="003D1275" w:rsidRPr="00C56FE1" w:rsidTr="009208D4">
        <w:tc>
          <w:tcPr>
            <w:tcW w:w="2427" w:type="pct"/>
          </w:tcPr>
          <w:p w:rsidR="003D1275" w:rsidRPr="00C56FE1" w:rsidRDefault="003D1275" w:rsidP="009208D4">
            <w:pPr>
              <w:jc w:val="both"/>
              <w:rPr>
                <w:rFonts w:eastAsia="Calibri"/>
                <w:sz w:val="20"/>
              </w:rPr>
            </w:pPr>
            <w:r w:rsidRPr="00C56FE1">
              <w:rPr>
                <w:rFonts w:eastAsia="Calibri"/>
                <w:sz w:val="20"/>
              </w:rPr>
              <w:t>December 7, 2011</w:t>
            </w:r>
          </w:p>
          <w:p w:rsidR="003D1275" w:rsidRPr="00C56FE1" w:rsidRDefault="003D1275" w:rsidP="009208D4">
            <w:pPr>
              <w:jc w:val="both"/>
              <w:rPr>
                <w:rFonts w:eastAsia="Calibri"/>
                <w:sz w:val="20"/>
              </w:rPr>
            </w:pPr>
            <w:r w:rsidRPr="00C56FE1">
              <w:rPr>
                <w:rFonts w:eastAsia="Calibri"/>
                <w:sz w:val="20"/>
              </w:rPr>
              <w:t>Federal Court</w:t>
            </w:r>
          </w:p>
          <w:p w:rsidR="003D1275" w:rsidRPr="00C56FE1" w:rsidRDefault="003D1275" w:rsidP="009208D4">
            <w:pPr>
              <w:jc w:val="both"/>
              <w:rPr>
                <w:rFonts w:eastAsia="Calibri"/>
                <w:sz w:val="20"/>
              </w:rPr>
            </w:pPr>
            <w:r w:rsidRPr="00C56FE1">
              <w:rPr>
                <w:rFonts w:eastAsia="Calibri"/>
                <w:sz w:val="20"/>
              </w:rPr>
              <w:t>(Campbell J.)</w:t>
            </w:r>
          </w:p>
          <w:p w:rsidR="003D1275" w:rsidRPr="00C56FE1" w:rsidRDefault="003D1275" w:rsidP="009208D4">
            <w:pPr>
              <w:jc w:val="both"/>
              <w:rPr>
                <w:rFonts w:eastAsia="Calibri"/>
                <w:sz w:val="20"/>
                <w:lang w:val="fr-CA"/>
              </w:rPr>
            </w:pPr>
            <w:r w:rsidRPr="00C56FE1">
              <w:rPr>
                <w:rFonts w:eastAsia="Calibri"/>
                <w:sz w:val="20"/>
                <w:lang w:val="fr-CA"/>
              </w:rPr>
              <w:t>Nos. T</w:t>
            </w:r>
            <w:r w:rsidRPr="00C56FE1">
              <w:rPr>
                <w:rFonts w:eastAsia="Calibri"/>
                <w:sz w:val="20"/>
                <w:lang w:val="fr-CA"/>
              </w:rPr>
              <w:noBreakHyphen/>
              <w:t>1057</w:t>
            </w:r>
            <w:r w:rsidRPr="00C56FE1">
              <w:rPr>
                <w:rFonts w:eastAsia="Calibri"/>
                <w:sz w:val="20"/>
                <w:lang w:val="fr-CA"/>
              </w:rPr>
              <w:noBreakHyphen/>
              <w:t>11 and T</w:t>
            </w:r>
            <w:r w:rsidRPr="00C56FE1">
              <w:rPr>
                <w:rFonts w:eastAsia="Calibri"/>
                <w:sz w:val="20"/>
                <w:lang w:val="fr-CA"/>
              </w:rPr>
              <w:noBreakHyphen/>
              <w:t>1735</w:t>
            </w:r>
            <w:r w:rsidRPr="00C56FE1">
              <w:rPr>
                <w:rFonts w:eastAsia="Calibri"/>
                <w:sz w:val="20"/>
                <w:lang w:val="fr-CA"/>
              </w:rPr>
              <w:noBreakHyphen/>
              <w:t>11</w:t>
            </w:r>
          </w:p>
          <w:p w:rsidR="003D1275" w:rsidRPr="00C56FE1" w:rsidRDefault="003D1275" w:rsidP="009208D4">
            <w:pPr>
              <w:jc w:val="both"/>
              <w:rPr>
                <w:rFonts w:eastAsia="Calibri"/>
                <w:sz w:val="20"/>
                <w:lang w:val="fr-CA"/>
              </w:rPr>
            </w:pPr>
            <w:r w:rsidRPr="00C56FE1">
              <w:rPr>
                <w:rFonts w:eastAsia="Calibri"/>
                <w:sz w:val="20"/>
                <w:lang w:val="fr-CA"/>
              </w:rPr>
              <w:t>2011 FC 1432</w:t>
            </w:r>
          </w:p>
          <w:p w:rsidR="003D1275" w:rsidRPr="00C56FE1" w:rsidRDefault="003D1275" w:rsidP="009208D4">
            <w:pPr>
              <w:jc w:val="both"/>
              <w:rPr>
                <w:rFonts w:eastAsia="Calibri"/>
                <w:sz w:val="20"/>
                <w:lang w:val="fr-CA"/>
              </w:rPr>
            </w:pPr>
          </w:p>
        </w:tc>
        <w:tc>
          <w:tcPr>
            <w:tcW w:w="243" w:type="pct"/>
          </w:tcPr>
          <w:p w:rsidR="003D1275" w:rsidRPr="00C56FE1" w:rsidRDefault="003D1275" w:rsidP="009208D4">
            <w:pPr>
              <w:jc w:val="both"/>
              <w:rPr>
                <w:rFonts w:eastAsia="Calibri"/>
                <w:sz w:val="20"/>
                <w:lang w:val="fr-CA"/>
              </w:rPr>
            </w:pPr>
          </w:p>
        </w:tc>
        <w:tc>
          <w:tcPr>
            <w:tcW w:w="2330" w:type="pct"/>
          </w:tcPr>
          <w:p w:rsidR="003D1275" w:rsidRPr="00C56FE1" w:rsidRDefault="003D1275" w:rsidP="009208D4">
            <w:pPr>
              <w:jc w:val="both"/>
              <w:rPr>
                <w:rFonts w:eastAsia="Calibri"/>
                <w:sz w:val="20"/>
              </w:rPr>
            </w:pPr>
            <w:r w:rsidRPr="00C56FE1">
              <w:rPr>
                <w:rFonts w:eastAsia="Calibri"/>
                <w:sz w:val="20"/>
              </w:rPr>
              <w:t>Applications for judicial review allowed, relief granted in the form of declaratory orders stating that the Minister failed to comply with his statutory duty pursuant to section 47.1 of the CWB Act, to consult with the CWB and to obtain the consent of wheat and barley producers by means of a vote prior to introducing Bill C</w:t>
            </w:r>
            <w:r w:rsidRPr="00C56FE1">
              <w:rPr>
                <w:rFonts w:eastAsia="Calibri"/>
                <w:sz w:val="20"/>
              </w:rPr>
              <w:noBreakHyphen/>
              <w:t>18 in Parliament, which resulted in the adoption of the MFGF Act.</w:t>
            </w:r>
          </w:p>
          <w:p w:rsidR="003D1275" w:rsidRPr="00C56FE1" w:rsidRDefault="003D1275" w:rsidP="009208D4">
            <w:pPr>
              <w:jc w:val="both"/>
              <w:rPr>
                <w:rFonts w:eastAsia="Calibri"/>
                <w:sz w:val="20"/>
              </w:rPr>
            </w:pPr>
          </w:p>
        </w:tc>
      </w:tr>
      <w:tr w:rsidR="003D1275" w:rsidRPr="00C56FE1" w:rsidTr="009208D4">
        <w:tc>
          <w:tcPr>
            <w:tcW w:w="2427" w:type="pct"/>
          </w:tcPr>
          <w:p w:rsidR="003D1275" w:rsidRPr="00C56FE1" w:rsidRDefault="003D1275" w:rsidP="009208D4">
            <w:pPr>
              <w:jc w:val="both"/>
              <w:rPr>
                <w:rFonts w:eastAsia="Calibri"/>
                <w:sz w:val="20"/>
              </w:rPr>
            </w:pPr>
            <w:r w:rsidRPr="00C56FE1">
              <w:rPr>
                <w:rFonts w:eastAsia="Calibri"/>
                <w:sz w:val="20"/>
              </w:rPr>
              <w:t>June 18, 2012</w:t>
            </w:r>
          </w:p>
          <w:p w:rsidR="003D1275" w:rsidRPr="00C56FE1" w:rsidRDefault="003D1275" w:rsidP="009208D4">
            <w:pPr>
              <w:jc w:val="both"/>
              <w:rPr>
                <w:rFonts w:eastAsia="Calibri"/>
                <w:sz w:val="20"/>
              </w:rPr>
            </w:pPr>
            <w:r w:rsidRPr="00C56FE1">
              <w:rPr>
                <w:rFonts w:eastAsia="Calibri"/>
                <w:sz w:val="20"/>
              </w:rPr>
              <w:t>Federal Court of Appeal</w:t>
            </w:r>
          </w:p>
          <w:p w:rsidR="003D1275" w:rsidRPr="00C56FE1" w:rsidRDefault="003D1275" w:rsidP="009208D4">
            <w:pPr>
              <w:jc w:val="both"/>
              <w:rPr>
                <w:rFonts w:eastAsia="Calibri"/>
                <w:sz w:val="20"/>
              </w:rPr>
            </w:pPr>
            <w:r w:rsidRPr="00C56FE1">
              <w:rPr>
                <w:rFonts w:eastAsia="Calibri"/>
                <w:sz w:val="20"/>
              </w:rPr>
              <w:t>(Sharlow, Trudel and Mainville JJ.A.)</w:t>
            </w:r>
          </w:p>
          <w:p w:rsidR="003D1275" w:rsidRPr="00C56FE1" w:rsidRDefault="003D1275" w:rsidP="009208D4">
            <w:pPr>
              <w:jc w:val="both"/>
              <w:rPr>
                <w:rFonts w:eastAsia="Calibri"/>
                <w:sz w:val="20"/>
              </w:rPr>
            </w:pPr>
            <w:r w:rsidRPr="00C56FE1">
              <w:rPr>
                <w:rFonts w:eastAsia="Calibri"/>
                <w:sz w:val="20"/>
              </w:rPr>
              <w:t>Nos. A</w:t>
            </w:r>
            <w:r w:rsidRPr="00C56FE1">
              <w:rPr>
                <w:rFonts w:eastAsia="Calibri"/>
                <w:sz w:val="20"/>
              </w:rPr>
              <w:noBreakHyphen/>
              <w:t>470</w:t>
            </w:r>
            <w:r w:rsidRPr="00C56FE1">
              <w:rPr>
                <w:rFonts w:eastAsia="Calibri"/>
                <w:sz w:val="20"/>
              </w:rPr>
              <w:noBreakHyphen/>
              <w:t>11 and A</w:t>
            </w:r>
            <w:r w:rsidRPr="00C56FE1">
              <w:rPr>
                <w:rFonts w:eastAsia="Calibri"/>
                <w:sz w:val="20"/>
              </w:rPr>
              <w:noBreakHyphen/>
              <w:t>471</w:t>
            </w:r>
            <w:r w:rsidRPr="00C56FE1">
              <w:rPr>
                <w:rFonts w:eastAsia="Calibri"/>
                <w:sz w:val="20"/>
              </w:rPr>
              <w:noBreakHyphen/>
              <w:t>11</w:t>
            </w:r>
          </w:p>
          <w:p w:rsidR="003D1275" w:rsidRPr="00C56FE1" w:rsidRDefault="003D1275" w:rsidP="009208D4">
            <w:pPr>
              <w:jc w:val="both"/>
              <w:rPr>
                <w:rFonts w:eastAsia="Calibri"/>
                <w:sz w:val="20"/>
              </w:rPr>
            </w:pPr>
            <w:r w:rsidRPr="00C56FE1">
              <w:rPr>
                <w:rFonts w:eastAsia="Calibri"/>
                <w:sz w:val="20"/>
              </w:rPr>
              <w:t>2012 FCA 183</w:t>
            </w:r>
          </w:p>
          <w:p w:rsidR="003D1275" w:rsidRPr="00C56FE1" w:rsidRDefault="003D1275" w:rsidP="009208D4">
            <w:pPr>
              <w:jc w:val="both"/>
              <w:rPr>
                <w:rFonts w:eastAsia="Calibri"/>
                <w:sz w:val="20"/>
              </w:rPr>
            </w:pPr>
          </w:p>
        </w:tc>
        <w:tc>
          <w:tcPr>
            <w:tcW w:w="243" w:type="pct"/>
          </w:tcPr>
          <w:p w:rsidR="003D1275" w:rsidRPr="00C56FE1" w:rsidRDefault="003D1275" w:rsidP="009208D4">
            <w:pPr>
              <w:jc w:val="both"/>
              <w:rPr>
                <w:rFonts w:eastAsia="Calibri"/>
                <w:sz w:val="20"/>
              </w:rPr>
            </w:pPr>
          </w:p>
        </w:tc>
        <w:tc>
          <w:tcPr>
            <w:tcW w:w="2330" w:type="pct"/>
          </w:tcPr>
          <w:p w:rsidR="003D1275" w:rsidRPr="00C56FE1" w:rsidRDefault="003D1275" w:rsidP="009208D4">
            <w:pPr>
              <w:jc w:val="both"/>
              <w:rPr>
                <w:rFonts w:eastAsia="Calibri"/>
                <w:sz w:val="20"/>
              </w:rPr>
            </w:pPr>
            <w:r w:rsidRPr="00C56FE1">
              <w:rPr>
                <w:rFonts w:eastAsia="Calibri"/>
                <w:sz w:val="20"/>
              </w:rPr>
              <w:t>Appeals allowed and declaratory orders of the Federal Court set aside.</w:t>
            </w:r>
          </w:p>
        </w:tc>
      </w:tr>
      <w:tr w:rsidR="003D1275" w:rsidRPr="00C56FE1" w:rsidTr="009208D4">
        <w:tc>
          <w:tcPr>
            <w:tcW w:w="2427" w:type="pct"/>
          </w:tcPr>
          <w:p w:rsidR="003D1275" w:rsidRPr="00C56FE1" w:rsidRDefault="003D1275" w:rsidP="009208D4">
            <w:pPr>
              <w:jc w:val="both"/>
              <w:rPr>
                <w:rFonts w:eastAsia="Calibri"/>
                <w:sz w:val="20"/>
              </w:rPr>
            </w:pPr>
            <w:r w:rsidRPr="00C56FE1">
              <w:rPr>
                <w:rFonts w:eastAsia="Calibri"/>
                <w:sz w:val="20"/>
              </w:rPr>
              <w:t>September 19, 2012</w:t>
            </w:r>
          </w:p>
          <w:p w:rsidR="003D1275" w:rsidRPr="00C56FE1" w:rsidRDefault="003D1275" w:rsidP="009208D4">
            <w:pPr>
              <w:jc w:val="both"/>
              <w:rPr>
                <w:rFonts w:eastAsia="Calibri"/>
                <w:sz w:val="20"/>
              </w:rPr>
            </w:pPr>
            <w:r w:rsidRPr="00C56FE1">
              <w:rPr>
                <w:rFonts w:eastAsia="Calibri"/>
                <w:sz w:val="20"/>
              </w:rPr>
              <w:t xml:space="preserve">Supreme Court of Canada </w:t>
            </w:r>
          </w:p>
          <w:p w:rsidR="003D1275" w:rsidRPr="00C56FE1" w:rsidRDefault="003D1275" w:rsidP="009208D4">
            <w:pPr>
              <w:jc w:val="both"/>
              <w:rPr>
                <w:rFonts w:eastAsia="Calibri"/>
                <w:sz w:val="20"/>
              </w:rPr>
            </w:pPr>
          </w:p>
        </w:tc>
        <w:tc>
          <w:tcPr>
            <w:tcW w:w="243" w:type="pct"/>
          </w:tcPr>
          <w:p w:rsidR="003D1275" w:rsidRPr="00C56FE1" w:rsidRDefault="003D1275" w:rsidP="009208D4">
            <w:pPr>
              <w:jc w:val="both"/>
              <w:rPr>
                <w:rFonts w:eastAsia="Calibri"/>
                <w:sz w:val="20"/>
              </w:rPr>
            </w:pPr>
          </w:p>
        </w:tc>
        <w:tc>
          <w:tcPr>
            <w:tcW w:w="2330" w:type="pct"/>
          </w:tcPr>
          <w:p w:rsidR="003D1275" w:rsidRPr="00C56FE1" w:rsidRDefault="003D1275" w:rsidP="009208D4">
            <w:pPr>
              <w:jc w:val="both"/>
              <w:rPr>
                <w:rFonts w:eastAsia="Calibri"/>
                <w:sz w:val="20"/>
              </w:rPr>
            </w:pPr>
            <w:r w:rsidRPr="00C56FE1">
              <w:rPr>
                <w:rFonts w:eastAsia="Calibri"/>
                <w:sz w:val="20"/>
              </w:rPr>
              <w:t>Applications for leave to appeal filed.</w:t>
            </w:r>
          </w:p>
          <w:p w:rsidR="003D1275" w:rsidRPr="00C56FE1" w:rsidRDefault="003D1275" w:rsidP="009208D4">
            <w:pPr>
              <w:jc w:val="both"/>
              <w:rPr>
                <w:rFonts w:eastAsia="Calibri"/>
                <w:sz w:val="20"/>
              </w:rPr>
            </w:pPr>
          </w:p>
        </w:tc>
      </w:tr>
      <w:tr w:rsidR="003D1275" w:rsidRPr="00C56FE1" w:rsidTr="009208D4">
        <w:tc>
          <w:tcPr>
            <w:tcW w:w="2427" w:type="pct"/>
          </w:tcPr>
          <w:p w:rsidR="003D1275" w:rsidRPr="00C56FE1" w:rsidRDefault="003D1275" w:rsidP="009208D4">
            <w:pPr>
              <w:jc w:val="both"/>
              <w:rPr>
                <w:rFonts w:eastAsia="Calibri"/>
                <w:sz w:val="20"/>
              </w:rPr>
            </w:pPr>
            <w:r w:rsidRPr="00C56FE1">
              <w:rPr>
                <w:rFonts w:eastAsia="Calibri"/>
                <w:sz w:val="20"/>
              </w:rPr>
              <w:t>October 26, 2012</w:t>
            </w:r>
          </w:p>
          <w:p w:rsidR="003D1275" w:rsidRPr="00C56FE1" w:rsidRDefault="003D1275" w:rsidP="009208D4">
            <w:pPr>
              <w:jc w:val="both"/>
              <w:rPr>
                <w:rFonts w:eastAsia="Calibri"/>
                <w:sz w:val="20"/>
              </w:rPr>
            </w:pPr>
            <w:r w:rsidRPr="00C56FE1">
              <w:rPr>
                <w:rFonts w:eastAsia="Calibri"/>
                <w:sz w:val="20"/>
              </w:rPr>
              <w:t>Supreme Court of Canada</w:t>
            </w:r>
          </w:p>
        </w:tc>
        <w:tc>
          <w:tcPr>
            <w:tcW w:w="243" w:type="pct"/>
          </w:tcPr>
          <w:p w:rsidR="003D1275" w:rsidRPr="00C56FE1" w:rsidRDefault="003D1275" w:rsidP="009208D4">
            <w:pPr>
              <w:jc w:val="both"/>
              <w:rPr>
                <w:rFonts w:eastAsia="Calibri"/>
                <w:sz w:val="20"/>
              </w:rPr>
            </w:pPr>
          </w:p>
        </w:tc>
        <w:tc>
          <w:tcPr>
            <w:tcW w:w="2330" w:type="pct"/>
          </w:tcPr>
          <w:p w:rsidR="003D1275" w:rsidRPr="00C56FE1" w:rsidRDefault="003D1275" w:rsidP="009208D4">
            <w:pPr>
              <w:jc w:val="both"/>
              <w:rPr>
                <w:rFonts w:eastAsia="Calibri"/>
                <w:sz w:val="20"/>
              </w:rPr>
            </w:pPr>
            <w:r w:rsidRPr="00C56FE1">
              <w:rPr>
                <w:rFonts w:eastAsia="Calibri"/>
                <w:sz w:val="20"/>
              </w:rPr>
              <w:t>Motion to extend time to serve and file leave application filed.</w:t>
            </w:r>
          </w:p>
        </w:tc>
      </w:tr>
    </w:tbl>
    <w:p w:rsidR="00121FCA" w:rsidRDefault="00121FCA" w:rsidP="00121FCA">
      <w:pPr>
        <w:rPr>
          <w:sz w:val="20"/>
          <w:szCs w:val="20"/>
        </w:rPr>
      </w:pPr>
    </w:p>
    <w:p w:rsidR="00121FCA" w:rsidRPr="00C50A5C" w:rsidRDefault="00CD48BC" w:rsidP="00121FCA">
      <w:pPr>
        <w:rPr>
          <w:sz w:val="20"/>
          <w:szCs w:val="20"/>
        </w:rPr>
      </w:pPr>
      <w:r w:rsidRPr="00CD48BC">
        <w:rPr>
          <w:sz w:val="20"/>
          <w:szCs w:val="20"/>
          <w:lang w:val="fr-CA"/>
        </w:rPr>
        <w:pict>
          <v:rect id="_x0000_i1044" style="width:2in;height:1pt" o:hrpct="0" o:hralign="center" o:hrstd="t" o:hrnoshade="t" o:hr="t" fillcolor="black [3213]" stroked="f"/>
        </w:pict>
      </w:r>
    </w:p>
    <w:p w:rsidR="00121FCA" w:rsidRDefault="00121FCA" w:rsidP="00121FCA">
      <w:pPr>
        <w:rPr>
          <w:sz w:val="20"/>
          <w:szCs w:val="20"/>
        </w:rPr>
      </w:pPr>
    </w:p>
    <w:p w:rsidR="00121FCA" w:rsidRPr="001B157C" w:rsidRDefault="00121FCA" w:rsidP="00121FCA">
      <w:pPr>
        <w:rPr>
          <w:sz w:val="20"/>
          <w:szCs w:val="20"/>
          <w:u w:val="single"/>
          <w:lang w:val="fr-CA"/>
        </w:rPr>
      </w:pPr>
      <w:r w:rsidRPr="001B157C">
        <w:rPr>
          <w:sz w:val="20"/>
          <w:szCs w:val="20"/>
          <w:u w:val="single"/>
          <w:lang w:val="fr-CA"/>
        </w:rPr>
        <w:t>RÉSUMÉ DE L’AFFAIRE</w:t>
      </w:r>
    </w:p>
    <w:p w:rsidR="00121FCA" w:rsidRDefault="00121FCA" w:rsidP="00121FC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3D1275" w:rsidRPr="006307F5" w:rsidTr="009208D4">
        <w:tc>
          <w:tcPr>
            <w:tcW w:w="5000" w:type="pct"/>
            <w:gridSpan w:val="3"/>
          </w:tcPr>
          <w:p w:rsidR="003D1275" w:rsidRPr="00C56FE1" w:rsidRDefault="003D1275" w:rsidP="009208D4">
            <w:pPr>
              <w:jc w:val="both"/>
              <w:rPr>
                <w:rFonts w:eastAsia="Calibri"/>
                <w:sz w:val="20"/>
                <w:lang w:val="fr-CA"/>
              </w:rPr>
            </w:pPr>
            <w:r w:rsidRPr="00C56FE1">
              <w:rPr>
                <w:rFonts w:eastAsia="Calibri"/>
                <w:sz w:val="20"/>
                <w:lang w:val="fr-CA"/>
              </w:rPr>
              <w:t>Droit de la Couronne — Jugements et ordonnances — Appels — Législation — Interprétation des lois — Le non-respect, par un représentant du gouvernement, d'une ordonnance déclaratoire en attendant l'appel de cette ordonnance équivaut-il à un abus de procédure? — Quel est le bon équilibre, dans le cadre du processus d'interprétation des lois, entre une interprétation stricte fondée sur le sens ordinaire des mots d'une disposition et une interprétation téléologique qui permet d'éviter un résultat absurde? —</w:t>
            </w:r>
            <w:r w:rsidRPr="00C56FE1">
              <w:rPr>
                <w:rFonts w:eastAsia="Calibri"/>
                <w:i/>
                <w:iCs/>
                <w:sz w:val="20"/>
                <w:lang w:val="fr-CA"/>
              </w:rPr>
              <w:t xml:space="preserve"> Loi sur la Commission canadienne du blé</w:t>
            </w:r>
            <w:r w:rsidRPr="00C56FE1">
              <w:rPr>
                <w:rFonts w:eastAsia="Calibri"/>
                <w:iCs/>
                <w:sz w:val="20"/>
                <w:lang w:val="fr-CA"/>
              </w:rPr>
              <w:t>, L.R.C. 1985, ch. C</w:t>
            </w:r>
            <w:r w:rsidRPr="00C56FE1">
              <w:rPr>
                <w:rFonts w:eastAsia="Calibri"/>
                <w:iCs/>
                <w:sz w:val="20"/>
                <w:lang w:val="fr-CA"/>
              </w:rPr>
              <w:noBreakHyphen/>
              <w:t>24,</w:t>
            </w:r>
            <w:r w:rsidRPr="00C56FE1">
              <w:rPr>
                <w:rFonts w:eastAsia="Calibri"/>
                <w:color w:val="000000"/>
                <w:sz w:val="20"/>
                <w:lang w:val="fr-CA"/>
              </w:rPr>
              <w:t xml:space="preserve"> </w:t>
            </w:r>
            <w:r w:rsidRPr="00C56FE1">
              <w:rPr>
                <w:rFonts w:eastAsia="Calibri"/>
                <w:iCs/>
                <w:sz w:val="20"/>
                <w:lang w:val="fr-CA"/>
              </w:rPr>
              <w:t>art. 47.1.</w:t>
            </w:r>
          </w:p>
        </w:tc>
      </w:tr>
      <w:tr w:rsidR="003D1275" w:rsidRPr="006307F5" w:rsidTr="009208D4">
        <w:tc>
          <w:tcPr>
            <w:tcW w:w="5000" w:type="pct"/>
            <w:gridSpan w:val="3"/>
          </w:tcPr>
          <w:p w:rsidR="003D1275" w:rsidRPr="00C56FE1" w:rsidRDefault="003D1275" w:rsidP="009208D4">
            <w:pPr>
              <w:jc w:val="both"/>
              <w:rPr>
                <w:rFonts w:eastAsia="Calibri"/>
                <w:sz w:val="20"/>
                <w:lang w:val="fr-CA"/>
              </w:rPr>
            </w:pPr>
          </w:p>
        </w:tc>
      </w:tr>
      <w:tr w:rsidR="003D1275" w:rsidRPr="00334802" w:rsidTr="009208D4">
        <w:tc>
          <w:tcPr>
            <w:tcW w:w="5000" w:type="pct"/>
            <w:gridSpan w:val="3"/>
          </w:tcPr>
          <w:p w:rsidR="003D1275" w:rsidRPr="00C56FE1" w:rsidRDefault="003D1275" w:rsidP="009208D4">
            <w:pPr>
              <w:jc w:val="both"/>
              <w:rPr>
                <w:rFonts w:eastAsia="Calibri"/>
                <w:sz w:val="20"/>
                <w:lang w:val="fr-CA"/>
              </w:rPr>
            </w:pPr>
            <w:r w:rsidRPr="00C56FE1">
              <w:rPr>
                <w:rFonts w:eastAsia="Calibri"/>
                <w:sz w:val="20"/>
                <w:lang w:val="fr-CA"/>
              </w:rPr>
              <w:t>En 1998, le Parlement a adopté la</w:t>
            </w:r>
            <w:r w:rsidRPr="00C56FE1">
              <w:rPr>
                <w:rFonts w:eastAsia="Calibri"/>
                <w:i/>
                <w:sz w:val="20"/>
                <w:lang w:val="fr-CA"/>
              </w:rPr>
              <w:t xml:space="preserve"> Loi modifiant la Loi sur la Commission canadienne du blé et d'autres lois en conséquence</w:t>
            </w:r>
            <w:r w:rsidRPr="00C56FE1">
              <w:rPr>
                <w:rFonts w:eastAsia="Calibri"/>
                <w:sz w:val="20"/>
                <w:lang w:val="fr-CA"/>
              </w:rPr>
              <w:t>, L.C. 1998, ch. 17.  Ces modifications comprenaient une nouvelle disposition, l'article 47.1 de la</w:t>
            </w:r>
            <w:r w:rsidRPr="00C56FE1">
              <w:rPr>
                <w:rFonts w:eastAsia="Calibri"/>
                <w:i/>
                <w:sz w:val="20"/>
                <w:lang w:val="fr-CA"/>
              </w:rPr>
              <w:t xml:space="preserve"> Loi sur la Commission canadienne du blé</w:t>
            </w:r>
            <w:r w:rsidRPr="00C56FE1">
              <w:rPr>
                <w:rFonts w:eastAsia="Calibri"/>
                <w:sz w:val="20"/>
                <w:lang w:val="fr-CA"/>
              </w:rPr>
              <w:t>, L.R.C. 1985, ch. C</w:t>
            </w:r>
            <w:r w:rsidRPr="00C56FE1">
              <w:rPr>
                <w:rFonts w:eastAsia="Calibri"/>
                <w:sz w:val="20"/>
                <w:lang w:val="fr-CA"/>
              </w:rPr>
              <w:noBreakHyphen/>
              <w:t xml:space="preserve">24 (la « Loi sur la CCB ») qui crée une obligation de consulter la Commission canadienne du blé (« CCB ») et d’obtenir le vote favorable des producteurs avant qu’un projet de loi proposant l’exclusion de certains types et grades de blé et d’orge du monopole de commercialisation des grains puisse </w:t>
            </w:r>
            <w:r w:rsidRPr="00C56FE1">
              <w:rPr>
                <w:rFonts w:eastAsia="Calibri"/>
                <w:sz w:val="20"/>
                <w:lang w:val="fr-CA"/>
              </w:rPr>
              <w:lastRenderedPageBreak/>
              <w:t>être déposé au Parlement.  Le 3 juin 2011, il a été officiellement annoncé que serait présenté un projet de loi pour remplacer l'office de commercialisation unique pour les producteurs de grains par un régime de marché libre.  S'appuyant sur leur interprétation de l'article 47.1 de la Loi sur la CCB, les demandeurs ont soutenu que le ministre de l'Agriculture et de l'Agroalimentaire ne pouvait pas présenter un tel projet de loi au Parlement sans obtenir au préalable, par voie de scrutin, le consentement des producteurs de grains.  Le ministre était d'avis qu’il n’était pas légalement obligé de tenir un tel scrutin et a présenté au Parlement le projet de loi C</w:t>
            </w:r>
            <w:r w:rsidRPr="00C56FE1">
              <w:rPr>
                <w:rFonts w:eastAsia="Calibri"/>
                <w:sz w:val="20"/>
                <w:lang w:val="fr-CA"/>
              </w:rPr>
              <w:noBreakHyphen/>
              <w:t>18.  Ce projet de loi a mené à l'adoption de la</w:t>
            </w:r>
            <w:r w:rsidRPr="00C56FE1">
              <w:rPr>
                <w:rFonts w:eastAsia="Calibri"/>
                <w:i/>
                <w:sz w:val="20"/>
                <w:lang w:val="fr-CA"/>
              </w:rPr>
              <w:t xml:space="preserve"> Loi sur le libre choix des producteurs de grains en matière de commercialisation </w:t>
            </w:r>
            <w:r w:rsidRPr="00C56FE1">
              <w:rPr>
                <w:rFonts w:eastAsia="Calibri"/>
                <w:sz w:val="20"/>
                <w:lang w:val="fr-CA"/>
              </w:rPr>
              <w:t>(la « Loi sur le libre choix »), qui a obtenu la sanction royale le 15 décembre 2011.  Les demandeurs ont introduit une instance en contrôle judiciaire en Cour fédérale pour contester cette loi.</w:t>
            </w:r>
          </w:p>
          <w:p w:rsidR="003D1275" w:rsidRPr="00C56FE1" w:rsidRDefault="003D1275" w:rsidP="009208D4">
            <w:pPr>
              <w:jc w:val="both"/>
              <w:rPr>
                <w:rFonts w:eastAsia="Calibri"/>
                <w:sz w:val="20"/>
                <w:lang w:val="fr-CA"/>
              </w:rPr>
            </w:pPr>
          </w:p>
        </w:tc>
      </w:tr>
      <w:tr w:rsidR="003D1275" w:rsidRPr="00334802" w:rsidTr="009208D4">
        <w:tc>
          <w:tcPr>
            <w:tcW w:w="2427" w:type="pct"/>
          </w:tcPr>
          <w:p w:rsidR="003D1275" w:rsidRPr="00C56FE1" w:rsidRDefault="003D1275" w:rsidP="009208D4">
            <w:pPr>
              <w:jc w:val="both"/>
              <w:rPr>
                <w:rFonts w:eastAsia="Calibri"/>
                <w:sz w:val="20"/>
                <w:lang w:val="fr-CA"/>
              </w:rPr>
            </w:pPr>
            <w:r w:rsidRPr="00C56FE1">
              <w:rPr>
                <w:rFonts w:eastAsia="Calibri"/>
                <w:sz w:val="20"/>
                <w:lang w:val="fr-CA"/>
              </w:rPr>
              <w:lastRenderedPageBreak/>
              <w:t>7 décembre 2011</w:t>
            </w:r>
          </w:p>
          <w:p w:rsidR="003D1275" w:rsidRPr="00C56FE1" w:rsidRDefault="003D1275" w:rsidP="009208D4">
            <w:pPr>
              <w:jc w:val="both"/>
              <w:rPr>
                <w:rFonts w:eastAsia="Calibri"/>
                <w:sz w:val="20"/>
                <w:lang w:val="fr-CA"/>
              </w:rPr>
            </w:pPr>
            <w:r w:rsidRPr="00C56FE1">
              <w:rPr>
                <w:rFonts w:eastAsia="Calibri"/>
                <w:sz w:val="20"/>
                <w:lang w:val="fr-CA"/>
              </w:rPr>
              <w:t xml:space="preserve">Cour fédérale </w:t>
            </w:r>
          </w:p>
          <w:p w:rsidR="003D1275" w:rsidRPr="00C56FE1" w:rsidRDefault="003D1275" w:rsidP="009208D4">
            <w:pPr>
              <w:jc w:val="both"/>
              <w:rPr>
                <w:rFonts w:eastAsia="Calibri"/>
                <w:sz w:val="20"/>
                <w:lang w:val="fr-CA"/>
              </w:rPr>
            </w:pPr>
            <w:r w:rsidRPr="00C56FE1">
              <w:rPr>
                <w:rFonts w:eastAsia="Calibri"/>
                <w:sz w:val="20"/>
                <w:lang w:val="fr-CA"/>
              </w:rPr>
              <w:t>(Juge Campbell)</w:t>
            </w:r>
          </w:p>
          <w:p w:rsidR="003D1275" w:rsidRPr="00C56FE1" w:rsidRDefault="003D1275" w:rsidP="009208D4">
            <w:pPr>
              <w:jc w:val="both"/>
              <w:rPr>
                <w:rFonts w:eastAsia="Calibri"/>
                <w:sz w:val="20"/>
                <w:lang w:val="fr-CA"/>
              </w:rPr>
            </w:pPr>
            <w:r w:rsidRPr="00C56FE1">
              <w:rPr>
                <w:rFonts w:eastAsia="Calibri"/>
                <w:sz w:val="20"/>
                <w:lang w:val="fr-CA"/>
              </w:rPr>
              <w:t>N</w:t>
            </w:r>
            <w:r w:rsidRPr="00C56FE1">
              <w:rPr>
                <w:rFonts w:eastAsia="Calibri"/>
                <w:sz w:val="20"/>
                <w:vertAlign w:val="superscript"/>
                <w:lang w:val="fr-CA"/>
              </w:rPr>
              <w:t>os</w:t>
            </w:r>
            <w:r w:rsidRPr="00C56FE1">
              <w:rPr>
                <w:rFonts w:eastAsia="Calibri"/>
                <w:sz w:val="20"/>
                <w:lang w:val="fr-CA"/>
              </w:rPr>
              <w:t xml:space="preserve"> T</w:t>
            </w:r>
            <w:r w:rsidRPr="00C56FE1">
              <w:rPr>
                <w:rFonts w:eastAsia="Calibri"/>
                <w:sz w:val="20"/>
                <w:lang w:val="fr-CA"/>
              </w:rPr>
              <w:noBreakHyphen/>
              <w:t>1057</w:t>
            </w:r>
            <w:r w:rsidRPr="00C56FE1">
              <w:rPr>
                <w:rFonts w:eastAsia="Calibri"/>
                <w:sz w:val="20"/>
                <w:lang w:val="fr-CA"/>
              </w:rPr>
              <w:noBreakHyphen/>
              <w:t>11 et T</w:t>
            </w:r>
            <w:r w:rsidRPr="00C56FE1">
              <w:rPr>
                <w:rFonts w:eastAsia="Calibri"/>
                <w:sz w:val="20"/>
                <w:lang w:val="fr-CA"/>
              </w:rPr>
              <w:noBreakHyphen/>
              <w:t>1735</w:t>
            </w:r>
            <w:r w:rsidRPr="00C56FE1">
              <w:rPr>
                <w:rFonts w:eastAsia="Calibri"/>
                <w:sz w:val="20"/>
                <w:lang w:val="fr-CA"/>
              </w:rPr>
              <w:noBreakHyphen/>
              <w:t>11</w:t>
            </w:r>
          </w:p>
          <w:p w:rsidR="003D1275" w:rsidRPr="00C56FE1" w:rsidRDefault="003D1275" w:rsidP="009208D4">
            <w:pPr>
              <w:jc w:val="both"/>
              <w:rPr>
                <w:rFonts w:eastAsia="Calibri"/>
                <w:sz w:val="20"/>
                <w:lang w:val="fr-CA"/>
              </w:rPr>
            </w:pPr>
            <w:r w:rsidRPr="00C56FE1">
              <w:rPr>
                <w:rFonts w:eastAsia="Calibri"/>
                <w:sz w:val="20"/>
                <w:lang w:val="fr-CA"/>
              </w:rPr>
              <w:t>2011 CF 1432</w:t>
            </w:r>
          </w:p>
          <w:p w:rsidR="003D1275" w:rsidRPr="00C56FE1" w:rsidRDefault="003D1275" w:rsidP="009208D4">
            <w:pPr>
              <w:jc w:val="both"/>
              <w:rPr>
                <w:rFonts w:eastAsia="Calibri"/>
                <w:sz w:val="20"/>
                <w:lang w:val="fr-CA"/>
              </w:rPr>
            </w:pPr>
          </w:p>
        </w:tc>
        <w:tc>
          <w:tcPr>
            <w:tcW w:w="243" w:type="pct"/>
          </w:tcPr>
          <w:p w:rsidR="003D1275" w:rsidRPr="00C56FE1" w:rsidRDefault="003D1275" w:rsidP="009208D4">
            <w:pPr>
              <w:jc w:val="both"/>
              <w:rPr>
                <w:rFonts w:eastAsia="Calibri"/>
                <w:sz w:val="20"/>
                <w:lang w:val="fr-CA"/>
              </w:rPr>
            </w:pPr>
          </w:p>
        </w:tc>
        <w:tc>
          <w:tcPr>
            <w:tcW w:w="2330" w:type="pct"/>
          </w:tcPr>
          <w:p w:rsidR="003D1275" w:rsidRPr="00C56FE1" w:rsidRDefault="003D1275" w:rsidP="009208D4">
            <w:pPr>
              <w:jc w:val="both"/>
              <w:rPr>
                <w:rFonts w:eastAsia="Calibri"/>
                <w:sz w:val="20"/>
                <w:lang w:val="fr-CA"/>
              </w:rPr>
            </w:pPr>
            <w:r w:rsidRPr="00C56FE1">
              <w:rPr>
                <w:rFonts w:eastAsia="Calibri"/>
                <w:sz w:val="20"/>
                <w:lang w:val="fr-CA"/>
              </w:rPr>
              <w:t>Demande de contrôle judiciaire accueillie, réparations accordées sous la forme d'ordonnances déclaratoires portant que le ministre avait violé l’obligation que lui imposait l’article 47.1 de la Loi sur la CCB , soit de consulter la CCB et d’obtenir le consentement des producteurs de blé et d’orge au moyen d’un scrutin avant de présenter au Parlement le projet de loi C</w:t>
            </w:r>
            <w:r w:rsidRPr="00C56FE1">
              <w:rPr>
                <w:rFonts w:eastAsia="Calibri"/>
                <w:sz w:val="20"/>
                <w:lang w:val="fr-CA"/>
              </w:rPr>
              <w:noBreakHyphen/>
              <w:t>18, qui s’était soldé par l’adoption de la Loi sur le libre choix.</w:t>
            </w:r>
          </w:p>
          <w:p w:rsidR="003D1275" w:rsidRPr="00C56FE1" w:rsidRDefault="003D1275" w:rsidP="009208D4">
            <w:pPr>
              <w:jc w:val="both"/>
              <w:rPr>
                <w:rFonts w:eastAsia="Calibri"/>
                <w:sz w:val="20"/>
                <w:lang w:val="fr-CA"/>
              </w:rPr>
            </w:pPr>
          </w:p>
        </w:tc>
      </w:tr>
      <w:tr w:rsidR="003D1275" w:rsidRPr="00334802" w:rsidTr="009208D4">
        <w:tc>
          <w:tcPr>
            <w:tcW w:w="2427" w:type="pct"/>
          </w:tcPr>
          <w:p w:rsidR="003D1275" w:rsidRPr="00C56FE1" w:rsidRDefault="003D1275" w:rsidP="009208D4">
            <w:pPr>
              <w:jc w:val="both"/>
              <w:rPr>
                <w:rFonts w:eastAsia="Calibri"/>
                <w:sz w:val="20"/>
                <w:lang w:val="fr-CA"/>
              </w:rPr>
            </w:pPr>
            <w:r w:rsidRPr="00C56FE1">
              <w:rPr>
                <w:rFonts w:eastAsia="Calibri"/>
                <w:sz w:val="20"/>
                <w:lang w:val="fr-CA"/>
              </w:rPr>
              <w:t>18 juin 2012</w:t>
            </w:r>
          </w:p>
          <w:p w:rsidR="003D1275" w:rsidRPr="00C56FE1" w:rsidRDefault="003D1275" w:rsidP="009208D4">
            <w:pPr>
              <w:jc w:val="both"/>
              <w:rPr>
                <w:rFonts w:eastAsia="Calibri"/>
                <w:sz w:val="20"/>
                <w:lang w:val="fr-CA"/>
              </w:rPr>
            </w:pPr>
            <w:r w:rsidRPr="00C56FE1">
              <w:rPr>
                <w:rFonts w:eastAsia="Calibri"/>
                <w:sz w:val="20"/>
                <w:lang w:val="fr-CA"/>
              </w:rPr>
              <w:t xml:space="preserve">Cour d'appel fédérale </w:t>
            </w:r>
          </w:p>
          <w:p w:rsidR="003D1275" w:rsidRPr="00C56FE1" w:rsidRDefault="003D1275" w:rsidP="009208D4">
            <w:pPr>
              <w:jc w:val="both"/>
              <w:rPr>
                <w:rFonts w:eastAsia="Calibri"/>
                <w:sz w:val="20"/>
                <w:lang w:val="fr-CA"/>
              </w:rPr>
            </w:pPr>
            <w:r w:rsidRPr="00C56FE1">
              <w:rPr>
                <w:rFonts w:eastAsia="Calibri"/>
                <w:sz w:val="20"/>
                <w:lang w:val="fr-CA"/>
              </w:rPr>
              <w:t>(Juges Sharlow, Trudel et Mainville)</w:t>
            </w:r>
          </w:p>
          <w:p w:rsidR="003D1275" w:rsidRPr="00C56FE1" w:rsidRDefault="003D1275" w:rsidP="009208D4">
            <w:pPr>
              <w:jc w:val="both"/>
              <w:rPr>
                <w:rFonts w:eastAsia="Calibri"/>
                <w:sz w:val="20"/>
                <w:lang w:val="fr-CA"/>
              </w:rPr>
            </w:pPr>
            <w:r w:rsidRPr="00C56FE1">
              <w:rPr>
                <w:rFonts w:eastAsia="Calibri"/>
                <w:sz w:val="20"/>
                <w:lang w:val="fr-CA"/>
              </w:rPr>
              <w:t>N</w:t>
            </w:r>
            <w:r w:rsidRPr="00C56FE1">
              <w:rPr>
                <w:rFonts w:eastAsia="Calibri"/>
                <w:sz w:val="20"/>
                <w:vertAlign w:val="superscript"/>
                <w:lang w:val="fr-CA"/>
              </w:rPr>
              <w:t>os</w:t>
            </w:r>
            <w:r w:rsidRPr="00C56FE1">
              <w:rPr>
                <w:rFonts w:eastAsia="Calibri"/>
                <w:sz w:val="20"/>
                <w:lang w:val="fr-CA"/>
              </w:rPr>
              <w:t xml:space="preserve"> A</w:t>
            </w:r>
            <w:r w:rsidRPr="00C56FE1">
              <w:rPr>
                <w:rFonts w:eastAsia="Calibri"/>
                <w:sz w:val="20"/>
                <w:lang w:val="fr-CA"/>
              </w:rPr>
              <w:noBreakHyphen/>
              <w:t>470</w:t>
            </w:r>
            <w:r w:rsidRPr="00C56FE1">
              <w:rPr>
                <w:rFonts w:eastAsia="Calibri"/>
                <w:sz w:val="20"/>
                <w:lang w:val="fr-CA"/>
              </w:rPr>
              <w:noBreakHyphen/>
              <w:t>11 et A</w:t>
            </w:r>
            <w:r w:rsidRPr="00C56FE1">
              <w:rPr>
                <w:rFonts w:eastAsia="Calibri"/>
                <w:sz w:val="20"/>
                <w:lang w:val="fr-CA"/>
              </w:rPr>
              <w:noBreakHyphen/>
              <w:t>471</w:t>
            </w:r>
            <w:r w:rsidRPr="00C56FE1">
              <w:rPr>
                <w:rFonts w:eastAsia="Calibri"/>
                <w:sz w:val="20"/>
                <w:lang w:val="fr-CA"/>
              </w:rPr>
              <w:noBreakHyphen/>
              <w:t>11</w:t>
            </w:r>
          </w:p>
          <w:p w:rsidR="003D1275" w:rsidRPr="00C56FE1" w:rsidRDefault="003D1275" w:rsidP="009208D4">
            <w:pPr>
              <w:jc w:val="both"/>
              <w:rPr>
                <w:rFonts w:eastAsia="Calibri"/>
                <w:sz w:val="20"/>
                <w:lang w:val="fr-CA"/>
              </w:rPr>
            </w:pPr>
            <w:r w:rsidRPr="00C56FE1">
              <w:rPr>
                <w:rFonts w:eastAsia="Calibri"/>
                <w:sz w:val="20"/>
                <w:lang w:val="fr-CA"/>
              </w:rPr>
              <w:t>2012 CAF 183</w:t>
            </w:r>
          </w:p>
          <w:p w:rsidR="003D1275" w:rsidRPr="00C56FE1" w:rsidRDefault="003D1275" w:rsidP="009208D4">
            <w:pPr>
              <w:jc w:val="both"/>
              <w:rPr>
                <w:rFonts w:eastAsia="Calibri"/>
                <w:sz w:val="20"/>
                <w:lang w:val="fr-CA"/>
              </w:rPr>
            </w:pPr>
          </w:p>
        </w:tc>
        <w:tc>
          <w:tcPr>
            <w:tcW w:w="243" w:type="pct"/>
          </w:tcPr>
          <w:p w:rsidR="003D1275" w:rsidRPr="00C56FE1" w:rsidRDefault="003D1275" w:rsidP="009208D4">
            <w:pPr>
              <w:jc w:val="both"/>
              <w:rPr>
                <w:rFonts w:eastAsia="Calibri"/>
                <w:sz w:val="20"/>
                <w:lang w:val="fr-CA"/>
              </w:rPr>
            </w:pPr>
          </w:p>
        </w:tc>
        <w:tc>
          <w:tcPr>
            <w:tcW w:w="2330" w:type="pct"/>
          </w:tcPr>
          <w:p w:rsidR="003D1275" w:rsidRPr="00C56FE1" w:rsidRDefault="003D1275" w:rsidP="009208D4">
            <w:pPr>
              <w:jc w:val="both"/>
              <w:rPr>
                <w:rFonts w:eastAsia="Calibri"/>
                <w:sz w:val="20"/>
                <w:lang w:val="fr-CA"/>
              </w:rPr>
            </w:pPr>
            <w:r w:rsidRPr="00C56FE1">
              <w:rPr>
                <w:rFonts w:eastAsia="Calibri"/>
                <w:sz w:val="20"/>
                <w:lang w:val="fr-CA"/>
              </w:rPr>
              <w:t>Appels accueillis et ordonnances déclaratoires de la Cour fédérale annulées.</w:t>
            </w:r>
          </w:p>
          <w:p w:rsidR="003D1275" w:rsidRPr="00C56FE1" w:rsidRDefault="003D1275" w:rsidP="009208D4">
            <w:pPr>
              <w:jc w:val="both"/>
              <w:rPr>
                <w:rFonts w:eastAsia="Calibri"/>
                <w:sz w:val="20"/>
                <w:lang w:val="fr-CA"/>
              </w:rPr>
            </w:pPr>
          </w:p>
        </w:tc>
      </w:tr>
      <w:tr w:rsidR="003D1275" w:rsidRPr="00C56FE1" w:rsidTr="009208D4">
        <w:tc>
          <w:tcPr>
            <w:tcW w:w="2427" w:type="pct"/>
          </w:tcPr>
          <w:p w:rsidR="003D1275" w:rsidRPr="00C56FE1" w:rsidRDefault="003D1275" w:rsidP="009208D4">
            <w:pPr>
              <w:jc w:val="both"/>
              <w:rPr>
                <w:rFonts w:eastAsia="Calibri"/>
                <w:sz w:val="20"/>
                <w:lang w:val="fr-CA"/>
              </w:rPr>
            </w:pPr>
            <w:r w:rsidRPr="00C56FE1">
              <w:rPr>
                <w:rFonts w:eastAsia="Calibri"/>
                <w:sz w:val="20"/>
                <w:lang w:val="fr-CA"/>
              </w:rPr>
              <w:t>19 septembre 2012</w:t>
            </w:r>
          </w:p>
          <w:p w:rsidR="003D1275" w:rsidRPr="00C56FE1" w:rsidRDefault="003D1275" w:rsidP="009208D4">
            <w:pPr>
              <w:jc w:val="both"/>
              <w:rPr>
                <w:rFonts w:eastAsia="Calibri"/>
                <w:sz w:val="20"/>
                <w:lang w:val="fr-CA"/>
              </w:rPr>
            </w:pPr>
            <w:r w:rsidRPr="00C56FE1">
              <w:rPr>
                <w:rFonts w:eastAsia="Calibri"/>
                <w:sz w:val="20"/>
                <w:lang w:val="fr-CA"/>
              </w:rPr>
              <w:t>Cour suprême du Canada</w:t>
            </w:r>
          </w:p>
          <w:p w:rsidR="003D1275" w:rsidRPr="00C56FE1" w:rsidRDefault="003D1275" w:rsidP="009208D4">
            <w:pPr>
              <w:jc w:val="both"/>
              <w:rPr>
                <w:rFonts w:eastAsia="Calibri"/>
                <w:sz w:val="20"/>
                <w:lang w:val="fr-CA"/>
              </w:rPr>
            </w:pPr>
          </w:p>
        </w:tc>
        <w:tc>
          <w:tcPr>
            <w:tcW w:w="243" w:type="pct"/>
          </w:tcPr>
          <w:p w:rsidR="003D1275" w:rsidRPr="00C56FE1" w:rsidRDefault="003D1275" w:rsidP="009208D4">
            <w:pPr>
              <w:jc w:val="both"/>
              <w:rPr>
                <w:rFonts w:eastAsia="Calibri"/>
                <w:sz w:val="20"/>
                <w:lang w:val="fr-CA"/>
              </w:rPr>
            </w:pPr>
          </w:p>
        </w:tc>
        <w:tc>
          <w:tcPr>
            <w:tcW w:w="2330" w:type="pct"/>
          </w:tcPr>
          <w:p w:rsidR="003D1275" w:rsidRPr="00C56FE1" w:rsidRDefault="003D1275" w:rsidP="009208D4">
            <w:pPr>
              <w:jc w:val="both"/>
              <w:rPr>
                <w:rFonts w:eastAsia="Calibri"/>
                <w:sz w:val="20"/>
                <w:lang w:val="fr-CA"/>
              </w:rPr>
            </w:pPr>
            <w:r w:rsidRPr="00C56FE1">
              <w:rPr>
                <w:rFonts w:eastAsia="Calibri"/>
                <w:sz w:val="20"/>
                <w:lang w:val="fr-CA"/>
              </w:rPr>
              <w:t>Demande d'autorisation d'appel, déposée.</w:t>
            </w:r>
          </w:p>
          <w:p w:rsidR="003D1275" w:rsidRPr="00C56FE1" w:rsidRDefault="003D1275" w:rsidP="009208D4">
            <w:pPr>
              <w:jc w:val="both"/>
              <w:rPr>
                <w:rFonts w:eastAsia="Calibri"/>
                <w:sz w:val="20"/>
                <w:lang w:val="fr-CA"/>
              </w:rPr>
            </w:pPr>
          </w:p>
        </w:tc>
      </w:tr>
      <w:tr w:rsidR="003D1275" w:rsidRPr="00334802" w:rsidTr="009208D4">
        <w:tc>
          <w:tcPr>
            <w:tcW w:w="2427" w:type="pct"/>
          </w:tcPr>
          <w:p w:rsidR="003D1275" w:rsidRPr="00C56FE1" w:rsidRDefault="003D1275" w:rsidP="009208D4">
            <w:pPr>
              <w:jc w:val="both"/>
              <w:rPr>
                <w:rFonts w:eastAsia="Calibri"/>
                <w:sz w:val="20"/>
                <w:lang w:val="fr-CA"/>
              </w:rPr>
            </w:pPr>
            <w:r w:rsidRPr="00C56FE1">
              <w:rPr>
                <w:rFonts w:eastAsia="Calibri"/>
                <w:sz w:val="20"/>
                <w:lang w:val="fr-CA"/>
              </w:rPr>
              <w:t>26 octobre 2012</w:t>
            </w:r>
          </w:p>
          <w:p w:rsidR="003D1275" w:rsidRPr="00C56FE1" w:rsidRDefault="003D1275" w:rsidP="009208D4">
            <w:pPr>
              <w:jc w:val="both"/>
              <w:rPr>
                <w:rFonts w:eastAsia="Calibri"/>
                <w:sz w:val="20"/>
                <w:lang w:val="fr-CA"/>
              </w:rPr>
            </w:pPr>
            <w:r w:rsidRPr="00C56FE1">
              <w:rPr>
                <w:rFonts w:eastAsia="Calibri"/>
                <w:sz w:val="20"/>
                <w:lang w:val="fr-CA"/>
              </w:rPr>
              <w:t>Cour suprême du Canada</w:t>
            </w:r>
          </w:p>
        </w:tc>
        <w:tc>
          <w:tcPr>
            <w:tcW w:w="243" w:type="pct"/>
          </w:tcPr>
          <w:p w:rsidR="003D1275" w:rsidRPr="00C56FE1" w:rsidRDefault="003D1275" w:rsidP="009208D4">
            <w:pPr>
              <w:jc w:val="both"/>
              <w:rPr>
                <w:rFonts w:eastAsia="Calibri"/>
                <w:sz w:val="20"/>
                <w:lang w:val="fr-CA"/>
              </w:rPr>
            </w:pPr>
          </w:p>
        </w:tc>
        <w:tc>
          <w:tcPr>
            <w:tcW w:w="2330" w:type="pct"/>
          </w:tcPr>
          <w:p w:rsidR="003D1275" w:rsidRPr="00C56FE1" w:rsidRDefault="003D1275" w:rsidP="009208D4">
            <w:pPr>
              <w:jc w:val="both"/>
              <w:rPr>
                <w:rFonts w:eastAsia="Calibri"/>
                <w:sz w:val="20"/>
                <w:lang w:val="fr-CA"/>
              </w:rPr>
            </w:pPr>
            <w:r w:rsidRPr="00C56FE1">
              <w:rPr>
                <w:rFonts w:eastAsia="Calibri"/>
                <w:sz w:val="20"/>
                <w:lang w:val="fr-CA"/>
              </w:rPr>
              <w:t>Requête en prorogation du délai de signification et de dépôt de la demande d'autorisation, déposée.</w:t>
            </w:r>
          </w:p>
        </w:tc>
      </w:tr>
    </w:tbl>
    <w:p w:rsidR="00121FCA" w:rsidRPr="003D1275" w:rsidRDefault="00121FCA" w:rsidP="00121FCA">
      <w:pPr>
        <w:rPr>
          <w:sz w:val="20"/>
          <w:szCs w:val="20"/>
          <w:lang w:val="fr-CA"/>
        </w:rPr>
      </w:pPr>
    </w:p>
    <w:p w:rsidR="00121FCA" w:rsidRDefault="00CD48BC" w:rsidP="00121FCA">
      <w:pPr>
        <w:rPr>
          <w:sz w:val="20"/>
          <w:szCs w:val="20"/>
          <w:lang w:val="fr-CA"/>
        </w:rPr>
      </w:pPr>
      <w:r w:rsidRPr="00CD48BC">
        <w:rPr>
          <w:sz w:val="20"/>
          <w:szCs w:val="20"/>
          <w:lang w:val="fr-CA"/>
        </w:rPr>
        <w:pict>
          <v:rect id="_x0000_i1045" style="width:2in;height:1pt" o:hrpct="0" o:hralign="center" o:hrstd="t" o:hrnoshade="t" o:hr="t" fillcolor="black [3213]" stroked="f"/>
        </w:pict>
      </w:r>
    </w:p>
    <w:p w:rsidR="00121FCA" w:rsidRDefault="00121FCA" w:rsidP="00121FC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60D73" w:rsidRPr="00DE03BF" w:rsidTr="003B435E">
        <w:trPr>
          <w:cantSplit/>
        </w:trPr>
        <w:tc>
          <w:tcPr>
            <w:tcW w:w="1458" w:type="dxa"/>
          </w:tcPr>
          <w:p w:rsidR="00660D73" w:rsidRPr="00DE03BF" w:rsidRDefault="00660D73" w:rsidP="003B435E">
            <w:pPr>
              <w:rPr>
                <w:sz w:val="20"/>
                <w:szCs w:val="20"/>
              </w:rPr>
            </w:pPr>
            <w:r w:rsidRPr="00DE03BF">
              <w:rPr>
                <w:rStyle w:val="SCCFileNumberChar"/>
                <w:sz w:val="20"/>
                <w:szCs w:val="20"/>
              </w:rPr>
              <w:t>34973</w:t>
            </w:r>
          </w:p>
          <w:p w:rsidR="00660D73" w:rsidRPr="00DE03BF" w:rsidRDefault="00660D73" w:rsidP="003B435E">
            <w:pPr>
              <w:rPr>
                <w:b/>
                <w:sz w:val="20"/>
                <w:szCs w:val="20"/>
                <w:lang w:val="fr-CA"/>
              </w:rPr>
            </w:pPr>
          </w:p>
        </w:tc>
        <w:tc>
          <w:tcPr>
            <w:tcW w:w="8118" w:type="dxa"/>
          </w:tcPr>
          <w:p w:rsidR="00660D73" w:rsidRPr="00DE03BF" w:rsidRDefault="00660D73" w:rsidP="003B435E">
            <w:pPr>
              <w:jc w:val="both"/>
              <w:rPr>
                <w:sz w:val="20"/>
                <w:szCs w:val="20"/>
              </w:rPr>
            </w:pPr>
            <w:r w:rsidRPr="00660D73">
              <w:rPr>
                <w:rStyle w:val="SCCLsocChar"/>
                <w:sz w:val="20"/>
                <w:szCs w:val="20"/>
                <w:lang w:val="en-CA"/>
              </w:rPr>
              <w:t>Friends of the Canadian Wheat Board, Harold Bell, Daniel Gauthier, Ken Eshpeter, Terry Boehm, Lyle Simonson, Lynn Jacobson, Robert Horne, Wilf Harder, Laurence Nicholson, Larry Bohdanovich, Keith Ryan, Andy Baker, Norbert van Deynze, William Acheson, Luc Labossière, William Nicholson and Rene Saquet v. Attorney General of Canada</w:t>
            </w:r>
            <w:r w:rsidR="00616F97">
              <w:rPr>
                <w:rStyle w:val="SCCLsocChar"/>
                <w:sz w:val="20"/>
                <w:szCs w:val="20"/>
                <w:lang w:val="en-CA"/>
              </w:rPr>
              <w:t xml:space="preserve"> and </w:t>
            </w:r>
            <w:r w:rsidRPr="00660D73">
              <w:rPr>
                <w:rStyle w:val="SCCLsocChar"/>
                <w:sz w:val="20"/>
                <w:szCs w:val="20"/>
                <w:lang w:val="en-CA"/>
              </w:rPr>
              <w:t>Minister of Agriculture and Agri-Food in his Capacity as Minister Responsible for the Canadian Wheat Board</w:t>
            </w:r>
            <w:r w:rsidRPr="00DE03BF">
              <w:rPr>
                <w:sz w:val="20"/>
                <w:szCs w:val="20"/>
              </w:rPr>
              <w:t xml:space="preserve"> (F.C.) (Civil) (By Leave)</w:t>
            </w:r>
          </w:p>
          <w:p w:rsidR="00660D73" w:rsidRPr="00DE03BF" w:rsidRDefault="00660D73" w:rsidP="003B435E">
            <w:pPr>
              <w:jc w:val="both"/>
              <w:rPr>
                <w:sz w:val="20"/>
                <w:szCs w:val="20"/>
              </w:rPr>
            </w:pPr>
          </w:p>
        </w:tc>
      </w:tr>
      <w:tr w:rsidR="00660D73" w:rsidRPr="00DE03BF" w:rsidTr="003B435E">
        <w:trPr>
          <w:cantSplit/>
        </w:trPr>
        <w:tc>
          <w:tcPr>
            <w:tcW w:w="1458" w:type="dxa"/>
          </w:tcPr>
          <w:p w:rsidR="00660D73" w:rsidRPr="00DE03BF" w:rsidRDefault="00660D73" w:rsidP="003B435E">
            <w:pPr>
              <w:rPr>
                <w:sz w:val="20"/>
                <w:szCs w:val="20"/>
              </w:rPr>
            </w:pPr>
            <w:r w:rsidRPr="00DE03BF">
              <w:rPr>
                <w:sz w:val="20"/>
                <w:szCs w:val="20"/>
              </w:rPr>
              <w:t>Coram :</w:t>
            </w:r>
          </w:p>
        </w:tc>
        <w:tc>
          <w:tcPr>
            <w:tcW w:w="8118" w:type="dxa"/>
          </w:tcPr>
          <w:p w:rsidR="00660D73" w:rsidRPr="00DE03BF" w:rsidRDefault="00660D73" w:rsidP="003B435E">
            <w:pPr>
              <w:rPr>
                <w:sz w:val="20"/>
                <w:szCs w:val="20"/>
              </w:rPr>
            </w:pPr>
            <w:r w:rsidRPr="00660D73">
              <w:rPr>
                <w:rStyle w:val="SCCCoramChar"/>
                <w:sz w:val="20"/>
                <w:szCs w:val="20"/>
                <w:lang w:val="en-CA"/>
              </w:rPr>
              <w:t>LeBel, Karakatsanis and Wagner JJ.</w:t>
            </w:r>
          </w:p>
          <w:p w:rsidR="00660D73" w:rsidRPr="00DE03BF" w:rsidRDefault="00660D73" w:rsidP="003B435E">
            <w:pPr>
              <w:rPr>
                <w:sz w:val="20"/>
                <w:szCs w:val="20"/>
                <w:u w:val="single"/>
              </w:rPr>
            </w:pPr>
          </w:p>
        </w:tc>
      </w:tr>
      <w:tr w:rsidR="00660D73" w:rsidRPr="00334802" w:rsidTr="003B435E">
        <w:trPr>
          <w:cantSplit/>
        </w:trPr>
        <w:tc>
          <w:tcPr>
            <w:tcW w:w="9576" w:type="dxa"/>
            <w:gridSpan w:val="2"/>
          </w:tcPr>
          <w:p w:rsidR="00660D73" w:rsidRPr="00DE03BF" w:rsidRDefault="00660D73" w:rsidP="003B435E">
            <w:pPr>
              <w:pStyle w:val="SCCShortJudgment"/>
              <w:rPr>
                <w:szCs w:val="20"/>
              </w:rPr>
            </w:pPr>
            <w:r w:rsidRPr="00DE03BF">
              <w:rPr>
                <w:szCs w:val="20"/>
              </w:rPr>
              <w:t>The motion for an extension of time to serve and file the application for leave to appeal is granted. The application for leave to appeal from the judgment of the Federal Court of Appeal, Number A-470-11, 2012 FCA 183, dated June 18, 2012, is dismissed with costs.</w:t>
            </w:r>
          </w:p>
          <w:p w:rsidR="00660D73" w:rsidRPr="00DE03BF" w:rsidRDefault="00660D73" w:rsidP="003B435E">
            <w:pPr>
              <w:pStyle w:val="SCCShortJudgment"/>
              <w:ind w:firstLine="0"/>
              <w:rPr>
                <w:szCs w:val="20"/>
              </w:rPr>
            </w:pPr>
          </w:p>
          <w:p w:rsidR="00660D73" w:rsidRPr="00DE03BF" w:rsidRDefault="00660D73" w:rsidP="003B435E">
            <w:pPr>
              <w:pStyle w:val="SCCShortJudgment"/>
              <w:rPr>
                <w:szCs w:val="20"/>
                <w:lang w:val="fr-CA"/>
              </w:rPr>
            </w:pPr>
            <w:r w:rsidRPr="00DE03BF">
              <w:rPr>
                <w:szCs w:val="20"/>
                <w:lang w:val="fr-CA"/>
              </w:rPr>
              <w:t>La requête en prorogation du délai de signification et de dépôt de la demande d’autorisation d’appel est accueillie. La demande d’autorisation d’appel de l’arrêt de la Cour d’appel fédérale, numéro A-470-11, 2012 CAF 183, daté du 18 juin 2012, est rejetée avec dépens.</w:t>
            </w:r>
          </w:p>
        </w:tc>
      </w:tr>
    </w:tbl>
    <w:p w:rsidR="00121FCA" w:rsidRPr="00660D73" w:rsidRDefault="00121FCA" w:rsidP="00121FCA">
      <w:pPr>
        <w:rPr>
          <w:sz w:val="20"/>
          <w:szCs w:val="20"/>
          <w:lang w:val="fr-CA"/>
        </w:rPr>
      </w:pPr>
    </w:p>
    <w:p w:rsidR="00121FCA" w:rsidRPr="001B157C" w:rsidRDefault="00121FCA" w:rsidP="00121FCA">
      <w:pPr>
        <w:rPr>
          <w:sz w:val="20"/>
          <w:szCs w:val="20"/>
          <w:u w:val="single"/>
        </w:rPr>
      </w:pPr>
      <w:r w:rsidRPr="001B157C">
        <w:rPr>
          <w:sz w:val="20"/>
          <w:szCs w:val="20"/>
          <w:u w:val="single"/>
        </w:rPr>
        <w:lastRenderedPageBreak/>
        <w:t>CASE SUMMARY</w:t>
      </w:r>
    </w:p>
    <w:p w:rsidR="00121FCA" w:rsidRDefault="00121FCA" w:rsidP="00121F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4623F" w:rsidRPr="00C56FE1" w:rsidTr="009208D4">
        <w:tc>
          <w:tcPr>
            <w:tcW w:w="5000" w:type="pct"/>
            <w:gridSpan w:val="3"/>
          </w:tcPr>
          <w:p w:rsidR="0014623F" w:rsidRPr="00C56FE1" w:rsidRDefault="0014623F" w:rsidP="009208D4">
            <w:pPr>
              <w:jc w:val="both"/>
              <w:rPr>
                <w:rFonts w:eastAsia="Calibri"/>
                <w:sz w:val="20"/>
              </w:rPr>
            </w:pPr>
            <w:r w:rsidRPr="00C56FE1">
              <w:rPr>
                <w:rFonts w:eastAsia="Calibri"/>
                <w:sz w:val="20"/>
              </w:rPr>
              <w:t xml:space="preserve">Crown Law – Judgments and Orders – Appeals – Legislation – Statutory Interpretation – Does the failure by a government official to comply with a declaratory order, pending an appeal of that declaration, amount to an abuse of process? – What is the appropriate balance, as part of the statutory interpretation process, between a strict interpretation based on the ordinary meaning of the words of a provision and a purposive interpretation which avoids an absurd result? – </w:t>
            </w:r>
            <w:r w:rsidRPr="00C56FE1">
              <w:rPr>
                <w:rFonts w:eastAsia="Calibri"/>
                <w:i/>
                <w:iCs/>
                <w:sz w:val="20"/>
              </w:rPr>
              <w:t>Canadian Wheat Board Act</w:t>
            </w:r>
            <w:r w:rsidRPr="00C56FE1">
              <w:rPr>
                <w:rFonts w:eastAsia="Calibri"/>
                <w:iCs/>
                <w:sz w:val="20"/>
              </w:rPr>
              <w:t>, R.S.C. 1985, c. C</w:t>
            </w:r>
            <w:r w:rsidRPr="00C56FE1">
              <w:rPr>
                <w:rFonts w:eastAsia="Calibri"/>
                <w:iCs/>
                <w:sz w:val="20"/>
              </w:rPr>
              <w:noBreakHyphen/>
              <w:t>24,</w:t>
            </w:r>
            <w:r w:rsidRPr="00C56FE1">
              <w:rPr>
                <w:rFonts w:eastAsia="Calibri"/>
                <w:color w:val="000000"/>
                <w:sz w:val="20"/>
              </w:rPr>
              <w:t xml:space="preserve"> </w:t>
            </w:r>
            <w:r w:rsidRPr="00C56FE1">
              <w:rPr>
                <w:rFonts w:eastAsia="Calibri"/>
                <w:iCs/>
                <w:sz w:val="20"/>
              </w:rPr>
              <w:t>s. 47.1.</w:t>
            </w:r>
          </w:p>
        </w:tc>
      </w:tr>
      <w:tr w:rsidR="0014623F" w:rsidRPr="00C56FE1" w:rsidTr="009208D4">
        <w:tc>
          <w:tcPr>
            <w:tcW w:w="5000" w:type="pct"/>
            <w:gridSpan w:val="3"/>
          </w:tcPr>
          <w:p w:rsidR="0014623F" w:rsidRPr="00C56FE1" w:rsidRDefault="0014623F" w:rsidP="009208D4">
            <w:pPr>
              <w:jc w:val="both"/>
              <w:rPr>
                <w:rFonts w:eastAsia="Calibri"/>
                <w:sz w:val="20"/>
              </w:rPr>
            </w:pPr>
          </w:p>
        </w:tc>
      </w:tr>
      <w:tr w:rsidR="0014623F" w:rsidRPr="00C56FE1" w:rsidTr="009208D4">
        <w:tc>
          <w:tcPr>
            <w:tcW w:w="5000" w:type="pct"/>
            <w:gridSpan w:val="3"/>
          </w:tcPr>
          <w:p w:rsidR="0014623F" w:rsidRPr="00C56FE1" w:rsidRDefault="0014623F" w:rsidP="009208D4">
            <w:pPr>
              <w:jc w:val="both"/>
              <w:rPr>
                <w:rFonts w:eastAsia="Calibri"/>
                <w:sz w:val="20"/>
              </w:rPr>
            </w:pPr>
            <w:r w:rsidRPr="00C56FE1">
              <w:rPr>
                <w:rFonts w:eastAsia="Calibri"/>
                <w:sz w:val="20"/>
              </w:rPr>
              <w:t xml:space="preserve">In 1998, Parliament adopted the </w:t>
            </w:r>
            <w:r w:rsidRPr="00C56FE1">
              <w:rPr>
                <w:rFonts w:eastAsia="Calibri"/>
                <w:i/>
                <w:sz w:val="20"/>
              </w:rPr>
              <w:t>Act to amend the Canadian Wheat Board Act and to make consequential amendments to other Acts</w:t>
            </w:r>
            <w:r w:rsidRPr="00C56FE1">
              <w:rPr>
                <w:rFonts w:eastAsia="Calibri"/>
                <w:sz w:val="20"/>
              </w:rPr>
              <w:t xml:space="preserve">, S.C. 1998, c. 17.  These Amendments included a new provision, section 47.1 of the </w:t>
            </w:r>
            <w:r w:rsidRPr="00C56FE1">
              <w:rPr>
                <w:rFonts w:eastAsia="Calibri"/>
                <w:i/>
                <w:sz w:val="20"/>
              </w:rPr>
              <w:t>Canadian Wheat Board Act</w:t>
            </w:r>
            <w:r w:rsidRPr="00C56FE1">
              <w:rPr>
                <w:rFonts w:eastAsia="Calibri"/>
                <w:sz w:val="20"/>
              </w:rPr>
              <w:t>, R.S.C. 1985, c. C</w:t>
            </w:r>
            <w:r w:rsidRPr="00C56FE1">
              <w:rPr>
                <w:rFonts w:eastAsia="Calibri"/>
                <w:sz w:val="20"/>
              </w:rPr>
              <w:noBreakHyphen/>
              <w:t>24 (the “CWB Act”) requiring consultations with the Canadian Wheat Board (the “CWB”) and a favourable vote by producers before any bill proposing the exclusion of certain kinds and grades of wheat and barley from the grain marketing monopoly could be introduced in Parliament.  On June 3, 2011, it was formally announced that legislation would be introduced to replace the single marketing desk for grain producers by an open market regime.  Based on their reading of section 47.1 of the CWB Act, the Applicants took the view that the Minister of Agriculture and Agri</w:t>
            </w:r>
            <w:r w:rsidRPr="00C56FE1">
              <w:rPr>
                <w:rFonts w:eastAsia="Calibri"/>
                <w:sz w:val="20"/>
              </w:rPr>
              <w:noBreakHyphen/>
              <w:t>Food (the “Minister”) could not submit such legislation to Parliament without the prior consent of grain producers obtained through a vote.  The Minister did not consider that he was legally bound to hold such a vote and proceeded with the introduction into Parliament of Bill C</w:t>
            </w:r>
            <w:r w:rsidRPr="00C56FE1">
              <w:rPr>
                <w:rFonts w:eastAsia="Calibri"/>
                <w:sz w:val="20"/>
              </w:rPr>
              <w:noBreakHyphen/>
              <w:t xml:space="preserve">18.  This Bill led to the adoption of the </w:t>
            </w:r>
            <w:r w:rsidRPr="00C56FE1">
              <w:rPr>
                <w:rFonts w:eastAsia="Calibri"/>
                <w:i/>
                <w:sz w:val="20"/>
              </w:rPr>
              <w:t>Marketing Freedom for Grain Farmers Act</w:t>
            </w:r>
            <w:r w:rsidRPr="00C56FE1">
              <w:rPr>
                <w:rFonts w:eastAsia="Calibri"/>
                <w:sz w:val="20"/>
              </w:rPr>
              <w:t xml:space="preserve"> (the “MFGF Act”), which received Royal Assent on December 15, 2011.  The Applicants initiated judicial review proceedings before the Federal Court challenging same.</w:t>
            </w:r>
          </w:p>
          <w:p w:rsidR="0014623F" w:rsidRPr="00C56FE1" w:rsidRDefault="0014623F" w:rsidP="009208D4">
            <w:pPr>
              <w:jc w:val="both"/>
              <w:rPr>
                <w:rFonts w:eastAsia="Calibri"/>
                <w:sz w:val="20"/>
              </w:rPr>
            </w:pPr>
          </w:p>
        </w:tc>
      </w:tr>
      <w:tr w:rsidR="0014623F" w:rsidRPr="00C56FE1" w:rsidTr="009208D4">
        <w:tc>
          <w:tcPr>
            <w:tcW w:w="2427" w:type="pct"/>
          </w:tcPr>
          <w:p w:rsidR="0014623F" w:rsidRPr="00C56FE1" w:rsidRDefault="0014623F" w:rsidP="009208D4">
            <w:pPr>
              <w:jc w:val="both"/>
              <w:rPr>
                <w:rFonts w:eastAsia="Calibri"/>
                <w:sz w:val="20"/>
              </w:rPr>
            </w:pPr>
            <w:r w:rsidRPr="00C56FE1">
              <w:rPr>
                <w:rFonts w:eastAsia="Calibri"/>
                <w:sz w:val="20"/>
              </w:rPr>
              <w:t>December 7, 2011</w:t>
            </w:r>
          </w:p>
          <w:p w:rsidR="0014623F" w:rsidRPr="00C56FE1" w:rsidRDefault="0014623F" w:rsidP="009208D4">
            <w:pPr>
              <w:jc w:val="both"/>
              <w:rPr>
                <w:rFonts w:eastAsia="Calibri"/>
                <w:sz w:val="20"/>
              </w:rPr>
            </w:pPr>
            <w:r w:rsidRPr="00C56FE1">
              <w:rPr>
                <w:rFonts w:eastAsia="Calibri"/>
                <w:sz w:val="20"/>
              </w:rPr>
              <w:t>Federal Court</w:t>
            </w:r>
          </w:p>
          <w:p w:rsidR="0014623F" w:rsidRPr="00C56FE1" w:rsidRDefault="0014623F" w:rsidP="009208D4">
            <w:pPr>
              <w:jc w:val="both"/>
              <w:rPr>
                <w:rFonts w:eastAsia="Calibri"/>
                <w:sz w:val="20"/>
              </w:rPr>
            </w:pPr>
            <w:r w:rsidRPr="00C56FE1">
              <w:rPr>
                <w:rFonts w:eastAsia="Calibri"/>
                <w:sz w:val="20"/>
              </w:rPr>
              <w:t>(Campbell J.)</w:t>
            </w:r>
          </w:p>
          <w:p w:rsidR="0014623F" w:rsidRPr="00C56FE1" w:rsidRDefault="0014623F" w:rsidP="009208D4">
            <w:pPr>
              <w:jc w:val="both"/>
              <w:rPr>
                <w:rFonts w:eastAsia="Calibri"/>
                <w:sz w:val="20"/>
                <w:lang w:val="fr-CA"/>
              </w:rPr>
            </w:pPr>
            <w:r w:rsidRPr="00C56FE1">
              <w:rPr>
                <w:rFonts w:eastAsia="Calibri"/>
                <w:sz w:val="20"/>
                <w:lang w:val="fr-CA"/>
              </w:rPr>
              <w:t>Nos. T</w:t>
            </w:r>
            <w:r w:rsidRPr="00C56FE1">
              <w:rPr>
                <w:rFonts w:eastAsia="Calibri"/>
                <w:sz w:val="20"/>
                <w:lang w:val="fr-CA"/>
              </w:rPr>
              <w:noBreakHyphen/>
              <w:t>1057</w:t>
            </w:r>
            <w:r w:rsidRPr="00C56FE1">
              <w:rPr>
                <w:rFonts w:eastAsia="Calibri"/>
                <w:sz w:val="20"/>
                <w:lang w:val="fr-CA"/>
              </w:rPr>
              <w:noBreakHyphen/>
              <w:t>11 and T</w:t>
            </w:r>
            <w:r w:rsidRPr="00C56FE1">
              <w:rPr>
                <w:rFonts w:eastAsia="Calibri"/>
                <w:sz w:val="20"/>
                <w:lang w:val="fr-CA"/>
              </w:rPr>
              <w:noBreakHyphen/>
              <w:t>1735</w:t>
            </w:r>
            <w:r w:rsidRPr="00C56FE1">
              <w:rPr>
                <w:rFonts w:eastAsia="Calibri"/>
                <w:sz w:val="20"/>
                <w:lang w:val="fr-CA"/>
              </w:rPr>
              <w:noBreakHyphen/>
              <w:t>11</w:t>
            </w:r>
          </w:p>
          <w:p w:rsidR="0014623F" w:rsidRPr="00C56FE1" w:rsidRDefault="0014623F" w:rsidP="009208D4">
            <w:pPr>
              <w:jc w:val="both"/>
              <w:rPr>
                <w:rFonts w:eastAsia="Calibri"/>
                <w:sz w:val="20"/>
                <w:lang w:val="fr-CA"/>
              </w:rPr>
            </w:pPr>
            <w:r w:rsidRPr="00C56FE1">
              <w:rPr>
                <w:rFonts w:eastAsia="Calibri"/>
                <w:sz w:val="20"/>
                <w:lang w:val="fr-CA"/>
              </w:rPr>
              <w:t>2011 FC 1432</w:t>
            </w:r>
          </w:p>
          <w:p w:rsidR="0014623F" w:rsidRPr="00C56FE1" w:rsidRDefault="0014623F" w:rsidP="009208D4">
            <w:pPr>
              <w:jc w:val="both"/>
              <w:rPr>
                <w:rFonts w:eastAsia="Calibri"/>
                <w:sz w:val="20"/>
                <w:lang w:val="fr-CA"/>
              </w:rPr>
            </w:pPr>
          </w:p>
        </w:tc>
        <w:tc>
          <w:tcPr>
            <w:tcW w:w="243" w:type="pct"/>
          </w:tcPr>
          <w:p w:rsidR="0014623F" w:rsidRPr="00C56FE1" w:rsidRDefault="0014623F" w:rsidP="009208D4">
            <w:pPr>
              <w:jc w:val="both"/>
              <w:rPr>
                <w:rFonts w:eastAsia="Calibri"/>
                <w:sz w:val="20"/>
                <w:lang w:val="fr-CA"/>
              </w:rPr>
            </w:pPr>
          </w:p>
        </w:tc>
        <w:tc>
          <w:tcPr>
            <w:tcW w:w="2330" w:type="pct"/>
          </w:tcPr>
          <w:p w:rsidR="0014623F" w:rsidRPr="00C56FE1" w:rsidRDefault="0014623F" w:rsidP="009208D4">
            <w:pPr>
              <w:jc w:val="both"/>
              <w:rPr>
                <w:rFonts w:eastAsia="Calibri"/>
                <w:sz w:val="20"/>
              </w:rPr>
            </w:pPr>
            <w:r w:rsidRPr="00C56FE1">
              <w:rPr>
                <w:rFonts w:eastAsia="Calibri"/>
                <w:sz w:val="20"/>
              </w:rPr>
              <w:t>Applications for judicial review allowed, relief granted in the form of declaratory orders stating that the Minister failed to comply with his statutory duty pursuant to section 47.1 of the CWB Act, to consult with the CWB and to obtain the consent of wheat and barley producers by means of a vote prior to introducing Bill C</w:t>
            </w:r>
            <w:r w:rsidRPr="00C56FE1">
              <w:rPr>
                <w:rFonts w:eastAsia="Calibri"/>
                <w:sz w:val="20"/>
              </w:rPr>
              <w:noBreakHyphen/>
              <w:t>18 in Parliament, which resulted in the adoption of the MFGF Act.</w:t>
            </w:r>
          </w:p>
          <w:p w:rsidR="0014623F" w:rsidRPr="00C56FE1" w:rsidRDefault="0014623F" w:rsidP="009208D4">
            <w:pPr>
              <w:jc w:val="both"/>
              <w:rPr>
                <w:rFonts w:eastAsia="Calibri"/>
                <w:sz w:val="20"/>
              </w:rPr>
            </w:pPr>
          </w:p>
        </w:tc>
      </w:tr>
      <w:tr w:rsidR="0014623F" w:rsidRPr="00C56FE1" w:rsidTr="009208D4">
        <w:tc>
          <w:tcPr>
            <w:tcW w:w="2427" w:type="pct"/>
          </w:tcPr>
          <w:p w:rsidR="0014623F" w:rsidRPr="00C56FE1" w:rsidRDefault="0014623F" w:rsidP="009208D4">
            <w:pPr>
              <w:jc w:val="both"/>
              <w:rPr>
                <w:rFonts w:eastAsia="Calibri"/>
                <w:sz w:val="20"/>
              </w:rPr>
            </w:pPr>
            <w:r w:rsidRPr="00C56FE1">
              <w:rPr>
                <w:rFonts w:eastAsia="Calibri"/>
                <w:sz w:val="20"/>
              </w:rPr>
              <w:t>June 18, 2012</w:t>
            </w:r>
          </w:p>
          <w:p w:rsidR="0014623F" w:rsidRPr="00C56FE1" w:rsidRDefault="0014623F" w:rsidP="009208D4">
            <w:pPr>
              <w:jc w:val="both"/>
              <w:rPr>
                <w:rFonts w:eastAsia="Calibri"/>
                <w:sz w:val="20"/>
              </w:rPr>
            </w:pPr>
            <w:r w:rsidRPr="00C56FE1">
              <w:rPr>
                <w:rFonts w:eastAsia="Calibri"/>
                <w:sz w:val="20"/>
              </w:rPr>
              <w:t>Federal Court of Appeal</w:t>
            </w:r>
          </w:p>
          <w:p w:rsidR="0014623F" w:rsidRPr="00C56FE1" w:rsidRDefault="0014623F" w:rsidP="009208D4">
            <w:pPr>
              <w:jc w:val="both"/>
              <w:rPr>
                <w:rFonts w:eastAsia="Calibri"/>
                <w:sz w:val="20"/>
              </w:rPr>
            </w:pPr>
            <w:r w:rsidRPr="00C56FE1">
              <w:rPr>
                <w:rFonts w:eastAsia="Calibri"/>
                <w:sz w:val="20"/>
              </w:rPr>
              <w:t>(Sharlow, Trudel and Mainville JJ.A.)</w:t>
            </w:r>
          </w:p>
          <w:p w:rsidR="0014623F" w:rsidRPr="00C56FE1" w:rsidRDefault="0014623F" w:rsidP="009208D4">
            <w:pPr>
              <w:jc w:val="both"/>
              <w:rPr>
                <w:rFonts w:eastAsia="Calibri"/>
                <w:sz w:val="20"/>
              </w:rPr>
            </w:pPr>
            <w:r w:rsidRPr="00C56FE1">
              <w:rPr>
                <w:rFonts w:eastAsia="Calibri"/>
                <w:sz w:val="20"/>
              </w:rPr>
              <w:t>Nos. A</w:t>
            </w:r>
            <w:r w:rsidRPr="00C56FE1">
              <w:rPr>
                <w:rFonts w:eastAsia="Calibri"/>
                <w:sz w:val="20"/>
              </w:rPr>
              <w:noBreakHyphen/>
              <w:t>470</w:t>
            </w:r>
            <w:r w:rsidRPr="00C56FE1">
              <w:rPr>
                <w:rFonts w:eastAsia="Calibri"/>
                <w:sz w:val="20"/>
              </w:rPr>
              <w:noBreakHyphen/>
              <w:t>11 and A</w:t>
            </w:r>
            <w:r w:rsidRPr="00C56FE1">
              <w:rPr>
                <w:rFonts w:eastAsia="Calibri"/>
                <w:sz w:val="20"/>
              </w:rPr>
              <w:noBreakHyphen/>
              <w:t>471</w:t>
            </w:r>
            <w:r w:rsidRPr="00C56FE1">
              <w:rPr>
                <w:rFonts w:eastAsia="Calibri"/>
                <w:sz w:val="20"/>
              </w:rPr>
              <w:noBreakHyphen/>
              <w:t>11</w:t>
            </w:r>
          </w:p>
          <w:p w:rsidR="0014623F" w:rsidRPr="00C56FE1" w:rsidRDefault="0014623F" w:rsidP="009208D4">
            <w:pPr>
              <w:jc w:val="both"/>
              <w:rPr>
                <w:rFonts w:eastAsia="Calibri"/>
                <w:sz w:val="20"/>
              </w:rPr>
            </w:pPr>
            <w:r w:rsidRPr="00C56FE1">
              <w:rPr>
                <w:rFonts w:eastAsia="Calibri"/>
                <w:sz w:val="20"/>
              </w:rPr>
              <w:t>2012 FCA 183</w:t>
            </w:r>
          </w:p>
          <w:p w:rsidR="0014623F" w:rsidRPr="00C56FE1" w:rsidRDefault="0014623F" w:rsidP="009208D4">
            <w:pPr>
              <w:jc w:val="both"/>
              <w:rPr>
                <w:rFonts w:eastAsia="Calibri"/>
                <w:sz w:val="20"/>
              </w:rPr>
            </w:pPr>
          </w:p>
        </w:tc>
        <w:tc>
          <w:tcPr>
            <w:tcW w:w="243" w:type="pct"/>
          </w:tcPr>
          <w:p w:rsidR="0014623F" w:rsidRPr="00C56FE1" w:rsidRDefault="0014623F" w:rsidP="009208D4">
            <w:pPr>
              <w:jc w:val="both"/>
              <w:rPr>
                <w:rFonts w:eastAsia="Calibri"/>
                <w:sz w:val="20"/>
              </w:rPr>
            </w:pPr>
          </w:p>
        </w:tc>
        <w:tc>
          <w:tcPr>
            <w:tcW w:w="2330" w:type="pct"/>
          </w:tcPr>
          <w:p w:rsidR="0014623F" w:rsidRPr="00C56FE1" w:rsidRDefault="0014623F" w:rsidP="009208D4">
            <w:pPr>
              <w:jc w:val="both"/>
              <w:rPr>
                <w:rFonts w:eastAsia="Calibri"/>
                <w:sz w:val="20"/>
              </w:rPr>
            </w:pPr>
            <w:r w:rsidRPr="00C56FE1">
              <w:rPr>
                <w:rFonts w:eastAsia="Calibri"/>
                <w:sz w:val="20"/>
              </w:rPr>
              <w:t>Appeals allowed and declaratory orders of the Federal Court set aside.</w:t>
            </w:r>
          </w:p>
          <w:p w:rsidR="0014623F" w:rsidRPr="00C56FE1" w:rsidRDefault="0014623F" w:rsidP="009208D4">
            <w:pPr>
              <w:jc w:val="both"/>
              <w:rPr>
                <w:rFonts w:eastAsia="Calibri"/>
                <w:sz w:val="20"/>
              </w:rPr>
            </w:pPr>
          </w:p>
        </w:tc>
      </w:tr>
      <w:tr w:rsidR="0014623F" w:rsidRPr="00C56FE1" w:rsidTr="009208D4">
        <w:tc>
          <w:tcPr>
            <w:tcW w:w="2427" w:type="pct"/>
          </w:tcPr>
          <w:p w:rsidR="0014623F" w:rsidRPr="00C56FE1" w:rsidRDefault="0014623F" w:rsidP="009208D4">
            <w:pPr>
              <w:jc w:val="both"/>
              <w:rPr>
                <w:rFonts w:eastAsia="Calibri"/>
                <w:sz w:val="20"/>
              </w:rPr>
            </w:pPr>
            <w:r w:rsidRPr="00C56FE1">
              <w:rPr>
                <w:rFonts w:eastAsia="Calibri"/>
                <w:sz w:val="20"/>
              </w:rPr>
              <w:t>September 19, 2012</w:t>
            </w:r>
          </w:p>
          <w:p w:rsidR="0014623F" w:rsidRPr="00C56FE1" w:rsidRDefault="0014623F" w:rsidP="009208D4">
            <w:pPr>
              <w:jc w:val="both"/>
              <w:rPr>
                <w:rFonts w:eastAsia="Calibri"/>
                <w:sz w:val="20"/>
              </w:rPr>
            </w:pPr>
            <w:r w:rsidRPr="00C56FE1">
              <w:rPr>
                <w:rFonts w:eastAsia="Calibri"/>
                <w:sz w:val="20"/>
              </w:rPr>
              <w:t>Supreme Court of Canada</w:t>
            </w:r>
          </w:p>
          <w:p w:rsidR="0014623F" w:rsidRPr="00C56FE1" w:rsidRDefault="0014623F" w:rsidP="009208D4">
            <w:pPr>
              <w:jc w:val="both"/>
              <w:rPr>
                <w:rFonts w:eastAsia="Calibri"/>
                <w:sz w:val="20"/>
              </w:rPr>
            </w:pPr>
          </w:p>
        </w:tc>
        <w:tc>
          <w:tcPr>
            <w:tcW w:w="243" w:type="pct"/>
          </w:tcPr>
          <w:p w:rsidR="0014623F" w:rsidRPr="00C56FE1" w:rsidRDefault="0014623F" w:rsidP="009208D4">
            <w:pPr>
              <w:jc w:val="both"/>
              <w:rPr>
                <w:rFonts w:eastAsia="Calibri"/>
                <w:sz w:val="20"/>
              </w:rPr>
            </w:pPr>
          </w:p>
        </w:tc>
        <w:tc>
          <w:tcPr>
            <w:tcW w:w="2330" w:type="pct"/>
          </w:tcPr>
          <w:p w:rsidR="0014623F" w:rsidRPr="00C56FE1" w:rsidRDefault="0014623F" w:rsidP="009208D4">
            <w:pPr>
              <w:jc w:val="both"/>
              <w:rPr>
                <w:rFonts w:eastAsia="Calibri"/>
                <w:sz w:val="20"/>
              </w:rPr>
            </w:pPr>
            <w:r w:rsidRPr="00C56FE1">
              <w:rPr>
                <w:rFonts w:eastAsia="Calibri"/>
                <w:sz w:val="20"/>
              </w:rPr>
              <w:t>Applications for leave to appeal filed.</w:t>
            </w:r>
          </w:p>
          <w:p w:rsidR="0014623F" w:rsidRPr="00C56FE1" w:rsidRDefault="0014623F" w:rsidP="009208D4">
            <w:pPr>
              <w:jc w:val="both"/>
              <w:rPr>
                <w:rFonts w:eastAsia="Calibri"/>
                <w:sz w:val="20"/>
              </w:rPr>
            </w:pPr>
          </w:p>
        </w:tc>
      </w:tr>
      <w:tr w:rsidR="0014623F" w:rsidRPr="00C56FE1" w:rsidTr="009208D4">
        <w:tc>
          <w:tcPr>
            <w:tcW w:w="2427" w:type="pct"/>
          </w:tcPr>
          <w:p w:rsidR="0014623F" w:rsidRPr="00C56FE1" w:rsidRDefault="0014623F" w:rsidP="009208D4">
            <w:pPr>
              <w:jc w:val="both"/>
              <w:rPr>
                <w:rFonts w:eastAsia="Calibri"/>
                <w:sz w:val="20"/>
              </w:rPr>
            </w:pPr>
            <w:r w:rsidRPr="00C56FE1">
              <w:rPr>
                <w:rFonts w:eastAsia="Calibri"/>
                <w:sz w:val="20"/>
              </w:rPr>
              <w:t>October 30, 2012</w:t>
            </w:r>
          </w:p>
          <w:p w:rsidR="0014623F" w:rsidRPr="00C56FE1" w:rsidRDefault="0014623F" w:rsidP="009208D4">
            <w:pPr>
              <w:jc w:val="both"/>
              <w:rPr>
                <w:rFonts w:eastAsia="Calibri"/>
                <w:sz w:val="20"/>
              </w:rPr>
            </w:pPr>
            <w:r w:rsidRPr="00C56FE1">
              <w:rPr>
                <w:rFonts w:eastAsia="Calibri"/>
                <w:sz w:val="20"/>
              </w:rPr>
              <w:t>Supreme Court of Canada</w:t>
            </w:r>
          </w:p>
        </w:tc>
        <w:tc>
          <w:tcPr>
            <w:tcW w:w="243" w:type="pct"/>
          </w:tcPr>
          <w:p w:rsidR="0014623F" w:rsidRPr="00C56FE1" w:rsidRDefault="0014623F" w:rsidP="009208D4">
            <w:pPr>
              <w:jc w:val="both"/>
              <w:rPr>
                <w:rFonts w:eastAsia="Calibri"/>
                <w:sz w:val="20"/>
              </w:rPr>
            </w:pPr>
          </w:p>
        </w:tc>
        <w:tc>
          <w:tcPr>
            <w:tcW w:w="2330" w:type="pct"/>
          </w:tcPr>
          <w:p w:rsidR="0014623F" w:rsidRPr="00C56FE1" w:rsidRDefault="0014623F" w:rsidP="009208D4">
            <w:pPr>
              <w:jc w:val="both"/>
              <w:rPr>
                <w:rFonts w:eastAsia="Calibri"/>
                <w:sz w:val="20"/>
              </w:rPr>
            </w:pPr>
            <w:r w:rsidRPr="00C56FE1">
              <w:rPr>
                <w:rFonts w:eastAsia="Calibri"/>
                <w:sz w:val="20"/>
              </w:rPr>
              <w:t>Motion to extend time to serve and file leave application filed.</w:t>
            </w:r>
          </w:p>
        </w:tc>
      </w:tr>
    </w:tbl>
    <w:p w:rsidR="00121FCA" w:rsidRDefault="00121FCA" w:rsidP="00121FCA">
      <w:pPr>
        <w:rPr>
          <w:sz w:val="20"/>
          <w:szCs w:val="20"/>
        </w:rPr>
      </w:pPr>
    </w:p>
    <w:p w:rsidR="00121FCA" w:rsidRPr="00C50A5C" w:rsidRDefault="00CD48BC" w:rsidP="00121FCA">
      <w:pPr>
        <w:rPr>
          <w:sz w:val="20"/>
          <w:szCs w:val="20"/>
        </w:rPr>
      </w:pPr>
      <w:r w:rsidRPr="00CD48BC">
        <w:rPr>
          <w:sz w:val="20"/>
          <w:szCs w:val="20"/>
          <w:lang w:val="fr-CA"/>
        </w:rPr>
        <w:pict>
          <v:rect id="_x0000_i1046" style="width:2in;height:1pt" o:hrpct="0" o:hralign="center" o:hrstd="t" o:hrnoshade="t" o:hr="t" fillcolor="black [3213]" stroked="f"/>
        </w:pict>
      </w:r>
    </w:p>
    <w:p w:rsidR="00121FCA" w:rsidRDefault="00121FCA" w:rsidP="00121FCA">
      <w:pPr>
        <w:rPr>
          <w:sz w:val="20"/>
          <w:szCs w:val="20"/>
        </w:rPr>
      </w:pPr>
    </w:p>
    <w:p w:rsidR="00121FCA" w:rsidRPr="001B157C" w:rsidRDefault="00121FCA" w:rsidP="00121FCA">
      <w:pPr>
        <w:rPr>
          <w:sz w:val="20"/>
          <w:szCs w:val="20"/>
          <w:u w:val="single"/>
          <w:lang w:val="fr-CA"/>
        </w:rPr>
      </w:pPr>
      <w:r w:rsidRPr="001B157C">
        <w:rPr>
          <w:sz w:val="20"/>
          <w:szCs w:val="20"/>
          <w:u w:val="single"/>
          <w:lang w:val="fr-CA"/>
        </w:rPr>
        <w:t>RÉSUMÉ DE L’AFFAIRE</w:t>
      </w:r>
    </w:p>
    <w:p w:rsidR="00121FCA" w:rsidRDefault="00121FCA" w:rsidP="00121FC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14623F" w:rsidRPr="006307F5" w:rsidTr="009208D4">
        <w:tc>
          <w:tcPr>
            <w:tcW w:w="5000" w:type="pct"/>
            <w:gridSpan w:val="3"/>
          </w:tcPr>
          <w:p w:rsidR="0014623F" w:rsidRPr="00C56FE1" w:rsidRDefault="0014623F" w:rsidP="009208D4">
            <w:pPr>
              <w:jc w:val="both"/>
              <w:rPr>
                <w:rFonts w:eastAsia="Calibri"/>
                <w:sz w:val="20"/>
                <w:lang w:val="fr-CA"/>
              </w:rPr>
            </w:pPr>
            <w:r w:rsidRPr="00C56FE1">
              <w:rPr>
                <w:rFonts w:eastAsia="Calibri"/>
                <w:sz w:val="20"/>
                <w:lang w:val="fr-CA"/>
              </w:rPr>
              <w:t>Droit de la Couronne — Jugements et ordonnances — Appels — Législation — Interprétation des lois — Le non-respect, par un représentant du gouvernement, d'une ordonnance déclaratoire en attendant l'appel de cette ordonnance équivaut-il à un abus de procédure? — Quel est le bon équilibre, dans le cadre du processus d'interprétation des lois, entre une interprétation stricte fondée sur le sens ordinaire des mots d'une disposition et une interprétation téléologique qui permet d'éviter un résultat absurde? —</w:t>
            </w:r>
            <w:r w:rsidRPr="00C56FE1">
              <w:rPr>
                <w:rFonts w:eastAsia="Calibri"/>
                <w:i/>
                <w:iCs/>
                <w:sz w:val="20"/>
                <w:lang w:val="fr-CA"/>
              </w:rPr>
              <w:t xml:space="preserve"> Loi sur la Commission canadienne du blé</w:t>
            </w:r>
            <w:r w:rsidRPr="00C56FE1">
              <w:rPr>
                <w:rFonts w:eastAsia="Calibri"/>
                <w:iCs/>
                <w:sz w:val="20"/>
                <w:lang w:val="fr-CA"/>
              </w:rPr>
              <w:t>, L.R.C. 1985, ch. C</w:t>
            </w:r>
            <w:r w:rsidRPr="00C56FE1">
              <w:rPr>
                <w:rFonts w:eastAsia="Calibri"/>
                <w:iCs/>
                <w:sz w:val="20"/>
                <w:lang w:val="fr-CA"/>
              </w:rPr>
              <w:noBreakHyphen/>
              <w:t>24,</w:t>
            </w:r>
            <w:r w:rsidRPr="00C56FE1">
              <w:rPr>
                <w:rFonts w:eastAsia="Calibri"/>
                <w:color w:val="000000"/>
                <w:sz w:val="20"/>
                <w:lang w:val="fr-CA"/>
              </w:rPr>
              <w:t xml:space="preserve"> </w:t>
            </w:r>
            <w:r w:rsidRPr="00C56FE1">
              <w:rPr>
                <w:rFonts w:eastAsia="Calibri"/>
                <w:iCs/>
                <w:sz w:val="20"/>
                <w:lang w:val="fr-CA"/>
              </w:rPr>
              <w:t>art. 47.1.</w:t>
            </w:r>
          </w:p>
        </w:tc>
      </w:tr>
      <w:tr w:rsidR="0014623F" w:rsidRPr="006307F5" w:rsidTr="009208D4">
        <w:tc>
          <w:tcPr>
            <w:tcW w:w="5000" w:type="pct"/>
            <w:gridSpan w:val="3"/>
          </w:tcPr>
          <w:p w:rsidR="0014623F" w:rsidRPr="00C56FE1" w:rsidRDefault="0014623F" w:rsidP="009208D4">
            <w:pPr>
              <w:jc w:val="both"/>
              <w:rPr>
                <w:rFonts w:eastAsia="Calibri"/>
                <w:sz w:val="20"/>
                <w:lang w:val="fr-CA"/>
              </w:rPr>
            </w:pPr>
          </w:p>
        </w:tc>
      </w:tr>
      <w:tr w:rsidR="0014623F" w:rsidRPr="00334802" w:rsidTr="009208D4">
        <w:tc>
          <w:tcPr>
            <w:tcW w:w="5000" w:type="pct"/>
            <w:gridSpan w:val="3"/>
          </w:tcPr>
          <w:p w:rsidR="0014623F" w:rsidRPr="00C56FE1" w:rsidRDefault="0014623F" w:rsidP="009208D4">
            <w:pPr>
              <w:jc w:val="both"/>
              <w:rPr>
                <w:rFonts w:eastAsia="Calibri"/>
                <w:sz w:val="20"/>
                <w:lang w:val="fr-CA"/>
              </w:rPr>
            </w:pPr>
            <w:r w:rsidRPr="00C56FE1">
              <w:rPr>
                <w:rFonts w:eastAsia="Calibri"/>
                <w:sz w:val="20"/>
                <w:lang w:val="fr-CA"/>
              </w:rPr>
              <w:t>En 1998, le Parlement a adopté la</w:t>
            </w:r>
            <w:r w:rsidRPr="00C56FE1">
              <w:rPr>
                <w:rFonts w:eastAsia="Calibri"/>
                <w:i/>
                <w:sz w:val="20"/>
                <w:lang w:val="fr-CA"/>
              </w:rPr>
              <w:t xml:space="preserve"> Loi modifiant la Loi sur la Commission canadienne du blé et d'autres lois en conséquence</w:t>
            </w:r>
            <w:r w:rsidRPr="00C56FE1">
              <w:rPr>
                <w:rFonts w:eastAsia="Calibri"/>
                <w:sz w:val="20"/>
                <w:lang w:val="fr-CA"/>
              </w:rPr>
              <w:t>, L.C. 1998, ch. 17.  Ces modifications comprenaient une nouvelle disposition, l'article 47.1 de la</w:t>
            </w:r>
            <w:r w:rsidRPr="00C56FE1">
              <w:rPr>
                <w:rFonts w:eastAsia="Calibri"/>
                <w:i/>
                <w:sz w:val="20"/>
                <w:lang w:val="fr-CA"/>
              </w:rPr>
              <w:t xml:space="preserve"> Loi sur la Commission canadienne du blé</w:t>
            </w:r>
            <w:r w:rsidRPr="00C56FE1">
              <w:rPr>
                <w:rFonts w:eastAsia="Calibri"/>
                <w:sz w:val="20"/>
                <w:lang w:val="fr-CA"/>
              </w:rPr>
              <w:t>, L.R.C. 1985, ch. C</w:t>
            </w:r>
            <w:r w:rsidRPr="00C56FE1">
              <w:rPr>
                <w:rFonts w:eastAsia="Calibri"/>
                <w:sz w:val="20"/>
                <w:lang w:val="fr-CA"/>
              </w:rPr>
              <w:noBreakHyphen/>
              <w:t>24 (la « Loi sur la CCB ») qui crée une obligation de consulter la Commission canadienne du blé (« CCB ») et d’obtenir le vote favorable des producteurs avant qu’un projet de loi proposant l’exclusion de certains types et grades de blé et d’orge du monopole de commercialisation des grains puisse être déposé au Parlement.  Le 3 juin 2011, il a été officiellement annoncé que serait présenté un projet de loi pour remplacer l'office de commercialisation unique pour les producteurs de grains par un régime de marché libre.  S'appuyant sur leur interprétation de l'article 47.1 de la Loi sur la CCB, les demandeurs ont soutenu que le ministre de l'Agriculture et de l'Agroalimentaire ne pouvait pas présenter un tel projet de loi au Parlement sans obtenir au préalable, par voie de scrutin, le consentement des producteurs de grains.  Le ministre était d'avis qu’il n’était pas légalement obligé de tenir un tel scrutin et a présenté au Parlement le projet de loi C</w:t>
            </w:r>
            <w:r w:rsidRPr="00C56FE1">
              <w:rPr>
                <w:rFonts w:eastAsia="Calibri"/>
                <w:sz w:val="20"/>
                <w:lang w:val="fr-CA"/>
              </w:rPr>
              <w:noBreakHyphen/>
              <w:t>18.  Ce projet de loi a mené à l'adoption de la</w:t>
            </w:r>
            <w:r w:rsidRPr="00C56FE1">
              <w:rPr>
                <w:rFonts w:eastAsia="Calibri"/>
                <w:i/>
                <w:sz w:val="20"/>
                <w:lang w:val="fr-CA"/>
              </w:rPr>
              <w:t xml:space="preserve"> Loi sur le libre choix des producteurs de grains en matière de commercialisation </w:t>
            </w:r>
            <w:r w:rsidRPr="00C56FE1">
              <w:rPr>
                <w:rFonts w:eastAsia="Calibri"/>
                <w:sz w:val="20"/>
                <w:lang w:val="fr-CA"/>
              </w:rPr>
              <w:t>(la « Loi sur le libre choix »), qui a obtenu la sanction royale le 15 décembre 2011.  Les demandeurs ont introduit une instance en contrôle judiciaire en Cour fédérale pour contester cette loi.</w:t>
            </w:r>
          </w:p>
          <w:p w:rsidR="0014623F" w:rsidRPr="00C56FE1" w:rsidRDefault="0014623F" w:rsidP="009208D4">
            <w:pPr>
              <w:jc w:val="both"/>
              <w:rPr>
                <w:rFonts w:eastAsia="Calibri"/>
                <w:sz w:val="20"/>
                <w:lang w:val="fr-CA"/>
              </w:rPr>
            </w:pPr>
          </w:p>
        </w:tc>
      </w:tr>
      <w:tr w:rsidR="0014623F" w:rsidRPr="00334802" w:rsidTr="009208D4">
        <w:tc>
          <w:tcPr>
            <w:tcW w:w="2427" w:type="pct"/>
          </w:tcPr>
          <w:p w:rsidR="0014623F" w:rsidRPr="00C56FE1" w:rsidRDefault="0014623F" w:rsidP="009208D4">
            <w:pPr>
              <w:jc w:val="both"/>
              <w:rPr>
                <w:rFonts w:eastAsia="Calibri"/>
                <w:sz w:val="20"/>
                <w:lang w:val="fr-CA"/>
              </w:rPr>
            </w:pPr>
            <w:r w:rsidRPr="00C56FE1">
              <w:rPr>
                <w:rFonts w:eastAsia="Calibri"/>
                <w:sz w:val="20"/>
                <w:lang w:val="fr-CA"/>
              </w:rPr>
              <w:t>7 décembre 2011</w:t>
            </w:r>
          </w:p>
          <w:p w:rsidR="0014623F" w:rsidRPr="00C56FE1" w:rsidRDefault="0014623F" w:rsidP="009208D4">
            <w:pPr>
              <w:jc w:val="both"/>
              <w:rPr>
                <w:rFonts w:eastAsia="Calibri"/>
                <w:sz w:val="20"/>
                <w:lang w:val="fr-CA"/>
              </w:rPr>
            </w:pPr>
            <w:r w:rsidRPr="00C56FE1">
              <w:rPr>
                <w:rFonts w:eastAsia="Calibri"/>
                <w:sz w:val="20"/>
                <w:lang w:val="fr-CA"/>
              </w:rPr>
              <w:t xml:space="preserve">Cour fédérale </w:t>
            </w:r>
          </w:p>
          <w:p w:rsidR="0014623F" w:rsidRPr="00C56FE1" w:rsidRDefault="0014623F" w:rsidP="009208D4">
            <w:pPr>
              <w:jc w:val="both"/>
              <w:rPr>
                <w:rFonts w:eastAsia="Calibri"/>
                <w:sz w:val="20"/>
                <w:lang w:val="fr-CA"/>
              </w:rPr>
            </w:pPr>
            <w:r w:rsidRPr="00C56FE1">
              <w:rPr>
                <w:rFonts w:eastAsia="Calibri"/>
                <w:sz w:val="20"/>
                <w:lang w:val="fr-CA"/>
              </w:rPr>
              <w:t>(Juge Campbell)</w:t>
            </w:r>
          </w:p>
          <w:p w:rsidR="0014623F" w:rsidRPr="00C56FE1" w:rsidRDefault="0014623F" w:rsidP="009208D4">
            <w:pPr>
              <w:jc w:val="both"/>
              <w:rPr>
                <w:rFonts w:eastAsia="Calibri"/>
                <w:sz w:val="20"/>
                <w:lang w:val="fr-CA"/>
              </w:rPr>
            </w:pPr>
            <w:r w:rsidRPr="00C56FE1">
              <w:rPr>
                <w:rFonts w:eastAsia="Calibri"/>
                <w:sz w:val="20"/>
                <w:lang w:val="fr-CA"/>
              </w:rPr>
              <w:t>N</w:t>
            </w:r>
            <w:r w:rsidRPr="00C56FE1">
              <w:rPr>
                <w:rFonts w:eastAsia="Calibri"/>
                <w:sz w:val="20"/>
                <w:vertAlign w:val="superscript"/>
                <w:lang w:val="fr-CA"/>
              </w:rPr>
              <w:t>os</w:t>
            </w:r>
            <w:r w:rsidRPr="00C56FE1">
              <w:rPr>
                <w:rFonts w:eastAsia="Calibri"/>
                <w:sz w:val="20"/>
                <w:lang w:val="fr-CA"/>
              </w:rPr>
              <w:t xml:space="preserve"> T</w:t>
            </w:r>
            <w:r w:rsidRPr="00C56FE1">
              <w:rPr>
                <w:rFonts w:eastAsia="Calibri"/>
                <w:sz w:val="20"/>
                <w:lang w:val="fr-CA"/>
              </w:rPr>
              <w:noBreakHyphen/>
              <w:t>1057</w:t>
            </w:r>
            <w:r w:rsidRPr="00C56FE1">
              <w:rPr>
                <w:rFonts w:eastAsia="Calibri"/>
                <w:sz w:val="20"/>
                <w:lang w:val="fr-CA"/>
              </w:rPr>
              <w:noBreakHyphen/>
              <w:t>11 et T</w:t>
            </w:r>
            <w:r w:rsidRPr="00C56FE1">
              <w:rPr>
                <w:rFonts w:eastAsia="Calibri"/>
                <w:sz w:val="20"/>
                <w:lang w:val="fr-CA"/>
              </w:rPr>
              <w:noBreakHyphen/>
              <w:t>1735</w:t>
            </w:r>
            <w:r w:rsidRPr="00C56FE1">
              <w:rPr>
                <w:rFonts w:eastAsia="Calibri"/>
                <w:sz w:val="20"/>
                <w:lang w:val="fr-CA"/>
              </w:rPr>
              <w:noBreakHyphen/>
              <w:t>11</w:t>
            </w:r>
          </w:p>
          <w:p w:rsidR="0014623F" w:rsidRPr="00C56FE1" w:rsidRDefault="0014623F" w:rsidP="009208D4">
            <w:pPr>
              <w:jc w:val="both"/>
              <w:rPr>
                <w:rFonts w:eastAsia="Calibri"/>
                <w:sz w:val="20"/>
                <w:lang w:val="fr-CA"/>
              </w:rPr>
            </w:pPr>
            <w:r w:rsidRPr="00C56FE1">
              <w:rPr>
                <w:rFonts w:eastAsia="Calibri"/>
                <w:sz w:val="20"/>
                <w:lang w:val="fr-CA"/>
              </w:rPr>
              <w:t>2011 CF 1432</w:t>
            </w:r>
          </w:p>
          <w:p w:rsidR="0014623F" w:rsidRPr="00C56FE1" w:rsidRDefault="0014623F" w:rsidP="009208D4">
            <w:pPr>
              <w:jc w:val="both"/>
              <w:rPr>
                <w:rFonts w:eastAsia="Calibri"/>
                <w:sz w:val="20"/>
                <w:lang w:val="fr-CA"/>
              </w:rPr>
            </w:pPr>
          </w:p>
        </w:tc>
        <w:tc>
          <w:tcPr>
            <w:tcW w:w="243" w:type="pct"/>
          </w:tcPr>
          <w:p w:rsidR="0014623F" w:rsidRPr="00C56FE1" w:rsidRDefault="0014623F" w:rsidP="009208D4">
            <w:pPr>
              <w:jc w:val="both"/>
              <w:rPr>
                <w:rFonts w:eastAsia="Calibri"/>
                <w:sz w:val="20"/>
                <w:lang w:val="fr-CA"/>
              </w:rPr>
            </w:pPr>
          </w:p>
        </w:tc>
        <w:tc>
          <w:tcPr>
            <w:tcW w:w="2330" w:type="pct"/>
          </w:tcPr>
          <w:p w:rsidR="0014623F" w:rsidRPr="00C56FE1" w:rsidRDefault="0014623F" w:rsidP="009208D4">
            <w:pPr>
              <w:jc w:val="both"/>
              <w:rPr>
                <w:rFonts w:eastAsia="Calibri"/>
                <w:sz w:val="20"/>
                <w:lang w:val="fr-CA"/>
              </w:rPr>
            </w:pPr>
            <w:r w:rsidRPr="00C56FE1">
              <w:rPr>
                <w:rFonts w:eastAsia="Calibri"/>
                <w:sz w:val="20"/>
                <w:lang w:val="fr-CA"/>
              </w:rPr>
              <w:t>Demande de contrôle judiciaire accueillie, réparations accordées sous la forme d'ordonnances déclaratoires portant que le ministre avait violé l’obligation que lui imposait l’article 47.1 de la Loi sur la CCB , soit de consulter la CCB et d’obtenir le consentement des producteurs de blé et d’orge au moyen d’un scrutin avant de présenter au Parlement le projet de loi C</w:t>
            </w:r>
            <w:r w:rsidRPr="00C56FE1">
              <w:rPr>
                <w:rFonts w:eastAsia="Calibri"/>
                <w:sz w:val="20"/>
                <w:lang w:val="fr-CA"/>
              </w:rPr>
              <w:noBreakHyphen/>
              <w:t>18, qui s’était soldé par l’adoption de la Loi sur le libre choix.</w:t>
            </w:r>
          </w:p>
          <w:p w:rsidR="0014623F" w:rsidRPr="00C56FE1" w:rsidRDefault="0014623F" w:rsidP="009208D4">
            <w:pPr>
              <w:jc w:val="both"/>
              <w:rPr>
                <w:rFonts w:eastAsia="Calibri"/>
                <w:sz w:val="20"/>
                <w:lang w:val="fr-CA"/>
              </w:rPr>
            </w:pPr>
          </w:p>
        </w:tc>
      </w:tr>
      <w:tr w:rsidR="0014623F" w:rsidRPr="00334802" w:rsidTr="009208D4">
        <w:tc>
          <w:tcPr>
            <w:tcW w:w="2427" w:type="pct"/>
          </w:tcPr>
          <w:p w:rsidR="0014623F" w:rsidRPr="00C56FE1" w:rsidRDefault="0014623F" w:rsidP="009208D4">
            <w:pPr>
              <w:jc w:val="both"/>
              <w:rPr>
                <w:rFonts w:eastAsia="Calibri"/>
                <w:sz w:val="20"/>
                <w:lang w:val="fr-CA"/>
              </w:rPr>
            </w:pPr>
            <w:r w:rsidRPr="00C56FE1">
              <w:rPr>
                <w:rFonts w:eastAsia="Calibri"/>
                <w:sz w:val="20"/>
                <w:lang w:val="fr-CA"/>
              </w:rPr>
              <w:t>18 juin 2012</w:t>
            </w:r>
          </w:p>
          <w:p w:rsidR="0014623F" w:rsidRPr="00C56FE1" w:rsidRDefault="0014623F" w:rsidP="009208D4">
            <w:pPr>
              <w:jc w:val="both"/>
              <w:rPr>
                <w:rFonts w:eastAsia="Calibri"/>
                <w:sz w:val="20"/>
                <w:lang w:val="fr-CA"/>
              </w:rPr>
            </w:pPr>
            <w:r w:rsidRPr="00C56FE1">
              <w:rPr>
                <w:rFonts w:eastAsia="Calibri"/>
                <w:sz w:val="20"/>
                <w:lang w:val="fr-CA"/>
              </w:rPr>
              <w:t xml:space="preserve">Cour d'appel fédérale </w:t>
            </w:r>
          </w:p>
          <w:p w:rsidR="0014623F" w:rsidRPr="00C56FE1" w:rsidRDefault="0014623F" w:rsidP="009208D4">
            <w:pPr>
              <w:jc w:val="both"/>
              <w:rPr>
                <w:rFonts w:eastAsia="Calibri"/>
                <w:sz w:val="20"/>
                <w:lang w:val="fr-CA"/>
              </w:rPr>
            </w:pPr>
            <w:r w:rsidRPr="00C56FE1">
              <w:rPr>
                <w:rFonts w:eastAsia="Calibri"/>
                <w:sz w:val="20"/>
                <w:lang w:val="fr-CA"/>
              </w:rPr>
              <w:t>(Juges Sharlow, Trudel et Mainville)</w:t>
            </w:r>
          </w:p>
          <w:p w:rsidR="0014623F" w:rsidRPr="00C56FE1" w:rsidRDefault="0014623F" w:rsidP="009208D4">
            <w:pPr>
              <w:jc w:val="both"/>
              <w:rPr>
                <w:rFonts w:eastAsia="Calibri"/>
                <w:sz w:val="20"/>
                <w:lang w:val="fr-CA"/>
              </w:rPr>
            </w:pPr>
            <w:r w:rsidRPr="00C56FE1">
              <w:rPr>
                <w:rFonts w:eastAsia="Calibri"/>
                <w:sz w:val="20"/>
                <w:lang w:val="fr-CA"/>
              </w:rPr>
              <w:t>N</w:t>
            </w:r>
            <w:r w:rsidRPr="00C56FE1">
              <w:rPr>
                <w:rFonts w:eastAsia="Calibri"/>
                <w:sz w:val="20"/>
                <w:vertAlign w:val="superscript"/>
                <w:lang w:val="fr-CA"/>
              </w:rPr>
              <w:t>os</w:t>
            </w:r>
            <w:r w:rsidRPr="00C56FE1">
              <w:rPr>
                <w:rFonts w:eastAsia="Calibri"/>
                <w:sz w:val="20"/>
                <w:lang w:val="fr-CA"/>
              </w:rPr>
              <w:t xml:space="preserve"> A</w:t>
            </w:r>
            <w:r w:rsidRPr="00C56FE1">
              <w:rPr>
                <w:rFonts w:eastAsia="Calibri"/>
                <w:sz w:val="20"/>
                <w:lang w:val="fr-CA"/>
              </w:rPr>
              <w:noBreakHyphen/>
              <w:t>470</w:t>
            </w:r>
            <w:r w:rsidRPr="00C56FE1">
              <w:rPr>
                <w:rFonts w:eastAsia="Calibri"/>
                <w:sz w:val="20"/>
                <w:lang w:val="fr-CA"/>
              </w:rPr>
              <w:noBreakHyphen/>
              <w:t>11 et A</w:t>
            </w:r>
            <w:r w:rsidRPr="00C56FE1">
              <w:rPr>
                <w:rFonts w:eastAsia="Calibri"/>
                <w:sz w:val="20"/>
                <w:lang w:val="fr-CA"/>
              </w:rPr>
              <w:noBreakHyphen/>
              <w:t>471</w:t>
            </w:r>
            <w:r w:rsidRPr="00C56FE1">
              <w:rPr>
                <w:rFonts w:eastAsia="Calibri"/>
                <w:sz w:val="20"/>
                <w:lang w:val="fr-CA"/>
              </w:rPr>
              <w:noBreakHyphen/>
              <w:t>11</w:t>
            </w:r>
          </w:p>
          <w:p w:rsidR="0014623F" w:rsidRPr="00C56FE1" w:rsidRDefault="0014623F" w:rsidP="009208D4">
            <w:pPr>
              <w:jc w:val="both"/>
              <w:rPr>
                <w:rFonts w:eastAsia="Calibri"/>
                <w:sz w:val="20"/>
                <w:lang w:val="fr-CA"/>
              </w:rPr>
            </w:pPr>
            <w:r w:rsidRPr="00C56FE1">
              <w:rPr>
                <w:rFonts w:eastAsia="Calibri"/>
                <w:sz w:val="20"/>
                <w:lang w:val="fr-CA"/>
              </w:rPr>
              <w:t>2012 CAF 183</w:t>
            </w:r>
          </w:p>
          <w:p w:rsidR="0014623F" w:rsidRPr="00C56FE1" w:rsidRDefault="0014623F" w:rsidP="009208D4">
            <w:pPr>
              <w:jc w:val="both"/>
              <w:rPr>
                <w:rFonts w:eastAsia="Calibri"/>
                <w:sz w:val="20"/>
                <w:lang w:val="fr-CA"/>
              </w:rPr>
            </w:pPr>
          </w:p>
        </w:tc>
        <w:tc>
          <w:tcPr>
            <w:tcW w:w="243" w:type="pct"/>
          </w:tcPr>
          <w:p w:rsidR="0014623F" w:rsidRPr="00C56FE1" w:rsidRDefault="0014623F" w:rsidP="009208D4">
            <w:pPr>
              <w:jc w:val="both"/>
              <w:rPr>
                <w:rFonts w:eastAsia="Calibri"/>
                <w:sz w:val="20"/>
                <w:lang w:val="fr-CA"/>
              </w:rPr>
            </w:pPr>
          </w:p>
        </w:tc>
        <w:tc>
          <w:tcPr>
            <w:tcW w:w="2330" w:type="pct"/>
          </w:tcPr>
          <w:p w:rsidR="0014623F" w:rsidRPr="00C56FE1" w:rsidRDefault="0014623F" w:rsidP="009208D4">
            <w:pPr>
              <w:jc w:val="both"/>
              <w:rPr>
                <w:rFonts w:eastAsia="Calibri"/>
                <w:sz w:val="20"/>
                <w:lang w:val="fr-CA"/>
              </w:rPr>
            </w:pPr>
            <w:r w:rsidRPr="00C56FE1">
              <w:rPr>
                <w:rFonts w:eastAsia="Calibri"/>
                <w:sz w:val="20"/>
                <w:lang w:val="fr-CA"/>
              </w:rPr>
              <w:t>Appels accueillis et ordonnances déclaratoires de la Cour fédérale annulées.</w:t>
            </w:r>
          </w:p>
          <w:p w:rsidR="0014623F" w:rsidRPr="00C56FE1" w:rsidRDefault="0014623F" w:rsidP="009208D4">
            <w:pPr>
              <w:jc w:val="both"/>
              <w:rPr>
                <w:rFonts w:eastAsia="Calibri"/>
                <w:sz w:val="20"/>
                <w:lang w:val="fr-CA"/>
              </w:rPr>
            </w:pPr>
          </w:p>
        </w:tc>
      </w:tr>
      <w:tr w:rsidR="0014623F" w:rsidRPr="00C56FE1" w:rsidTr="009208D4">
        <w:tc>
          <w:tcPr>
            <w:tcW w:w="2427" w:type="pct"/>
          </w:tcPr>
          <w:p w:rsidR="0014623F" w:rsidRPr="00C56FE1" w:rsidRDefault="0014623F" w:rsidP="009208D4">
            <w:pPr>
              <w:jc w:val="both"/>
              <w:rPr>
                <w:rFonts w:eastAsia="Calibri"/>
                <w:sz w:val="20"/>
                <w:lang w:val="fr-CA"/>
              </w:rPr>
            </w:pPr>
            <w:r w:rsidRPr="00C56FE1">
              <w:rPr>
                <w:rFonts w:eastAsia="Calibri"/>
                <w:sz w:val="20"/>
                <w:lang w:val="fr-CA"/>
              </w:rPr>
              <w:t>19 septembre 2012</w:t>
            </w:r>
          </w:p>
          <w:p w:rsidR="0014623F" w:rsidRPr="00C56FE1" w:rsidRDefault="0014623F" w:rsidP="009208D4">
            <w:pPr>
              <w:jc w:val="both"/>
              <w:rPr>
                <w:rFonts w:eastAsia="Calibri"/>
                <w:sz w:val="20"/>
                <w:lang w:val="fr-CA"/>
              </w:rPr>
            </w:pPr>
            <w:r w:rsidRPr="00C56FE1">
              <w:rPr>
                <w:rFonts w:eastAsia="Calibri"/>
                <w:sz w:val="20"/>
                <w:lang w:val="fr-CA"/>
              </w:rPr>
              <w:t>Cour suprême du Canada</w:t>
            </w:r>
          </w:p>
          <w:p w:rsidR="0014623F" w:rsidRPr="00C56FE1" w:rsidRDefault="0014623F" w:rsidP="009208D4">
            <w:pPr>
              <w:jc w:val="both"/>
              <w:rPr>
                <w:rFonts w:eastAsia="Calibri"/>
                <w:sz w:val="20"/>
                <w:lang w:val="fr-CA"/>
              </w:rPr>
            </w:pPr>
          </w:p>
        </w:tc>
        <w:tc>
          <w:tcPr>
            <w:tcW w:w="243" w:type="pct"/>
          </w:tcPr>
          <w:p w:rsidR="0014623F" w:rsidRPr="00C56FE1" w:rsidRDefault="0014623F" w:rsidP="009208D4">
            <w:pPr>
              <w:jc w:val="both"/>
              <w:rPr>
                <w:rFonts w:eastAsia="Calibri"/>
                <w:sz w:val="20"/>
                <w:lang w:val="fr-CA"/>
              </w:rPr>
            </w:pPr>
          </w:p>
        </w:tc>
        <w:tc>
          <w:tcPr>
            <w:tcW w:w="2330" w:type="pct"/>
          </w:tcPr>
          <w:p w:rsidR="0014623F" w:rsidRPr="00C56FE1" w:rsidRDefault="0014623F" w:rsidP="009208D4">
            <w:pPr>
              <w:jc w:val="both"/>
              <w:rPr>
                <w:rFonts w:eastAsia="Calibri"/>
                <w:sz w:val="20"/>
                <w:lang w:val="fr-CA"/>
              </w:rPr>
            </w:pPr>
            <w:r w:rsidRPr="00C56FE1">
              <w:rPr>
                <w:rFonts w:eastAsia="Calibri"/>
                <w:sz w:val="20"/>
                <w:lang w:val="fr-CA"/>
              </w:rPr>
              <w:t>Demande d'autorisation d'appel, déposée.</w:t>
            </w:r>
          </w:p>
          <w:p w:rsidR="0014623F" w:rsidRPr="00C56FE1" w:rsidRDefault="0014623F" w:rsidP="009208D4">
            <w:pPr>
              <w:jc w:val="both"/>
              <w:rPr>
                <w:rFonts w:eastAsia="Calibri"/>
                <w:sz w:val="20"/>
                <w:lang w:val="fr-CA"/>
              </w:rPr>
            </w:pPr>
          </w:p>
        </w:tc>
      </w:tr>
      <w:tr w:rsidR="0014623F" w:rsidRPr="00334802" w:rsidTr="009208D4">
        <w:tc>
          <w:tcPr>
            <w:tcW w:w="2427" w:type="pct"/>
          </w:tcPr>
          <w:p w:rsidR="0014623F" w:rsidRPr="00C56FE1" w:rsidRDefault="0014623F" w:rsidP="009208D4">
            <w:pPr>
              <w:jc w:val="both"/>
              <w:rPr>
                <w:rFonts w:eastAsia="Calibri"/>
                <w:sz w:val="20"/>
                <w:lang w:val="fr-CA"/>
              </w:rPr>
            </w:pPr>
            <w:r w:rsidRPr="00C56FE1">
              <w:rPr>
                <w:rFonts w:eastAsia="Calibri"/>
                <w:sz w:val="20"/>
                <w:lang w:val="fr-CA"/>
              </w:rPr>
              <w:t>30 octobre 2012</w:t>
            </w:r>
          </w:p>
          <w:p w:rsidR="0014623F" w:rsidRPr="00C56FE1" w:rsidRDefault="0014623F" w:rsidP="009208D4">
            <w:pPr>
              <w:jc w:val="both"/>
              <w:rPr>
                <w:rFonts w:eastAsia="Calibri"/>
                <w:sz w:val="20"/>
                <w:lang w:val="fr-CA"/>
              </w:rPr>
            </w:pPr>
            <w:r w:rsidRPr="00C56FE1">
              <w:rPr>
                <w:rFonts w:eastAsia="Calibri"/>
                <w:sz w:val="20"/>
                <w:lang w:val="fr-CA"/>
              </w:rPr>
              <w:t>Cour suprême du Canada</w:t>
            </w:r>
          </w:p>
        </w:tc>
        <w:tc>
          <w:tcPr>
            <w:tcW w:w="243" w:type="pct"/>
          </w:tcPr>
          <w:p w:rsidR="0014623F" w:rsidRPr="00C56FE1" w:rsidRDefault="0014623F" w:rsidP="009208D4">
            <w:pPr>
              <w:jc w:val="both"/>
              <w:rPr>
                <w:rFonts w:eastAsia="Calibri"/>
                <w:sz w:val="20"/>
                <w:lang w:val="fr-CA"/>
              </w:rPr>
            </w:pPr>
          </w:p>
        </w:tc>
        <w:tc>
          <w:tcPr>
            <w:tcW w:w="2330" w:type="pct"/>
          </w:tcPr>
          <w:p w:rsidR="0014623F" w:rsidRPr="00C56FE1" w:rsidRDefault="0014623F" w:rsidP="009208D4">
            <w:pPr>
              <w:jc w:val="both"/>
              <w:rPr>
                <w:rFonts w:eastAsia="Calibri"/>
                <w:sz w:val="20"/>
                <w:lang w:val="fr-CA"/>
              </w:rPr>
            </w:pPr>
            <w:r w:rsidRPr="00C56FE1">
              <w:rPr>
                <w:rFonts w:eastAsia="Calibri"/>
                <w:sz w:val="20"/>
                <w:lang w:val="fr-CA"/>
              </w:rPr>
              <w:t>Requête en prorogation du délai de signification et de dépôt de la demande d'autorisation, déposée.</w:t>
            </w:r>
          </w:p>
        </w:tc>
      </w:tr>
    </w:tbl>
    <w:p w:rsidR="00121FCA" w:rsidRPr="0014623F" w:rsidRDefault="00121FCA" w:rsidP="00121FCA">
      <w:pPr>
        <w:rPr>
          <w:sz w:val="20"/>
          <w:szCs w:val="20"/>
          <w:lang w:val="fr-CA"/>
        </w:rPr>
      </w:pPr>
    </w:p>
    <w:p w:rsidR="00121FCA" w:rsidRDefault="00CD48BC" w:rsidP="00121FCA">
      <w:pPr>
        <w:rPr>
          <w:sz w:val="20"/>
          <w:szCs w:val="20"/>
          <w:lang w:val="fr-CA"/>
        </w:rPr>
      </w:pPr>
      <w:r w:rsidRPr="00CD48BC">
        <w:rPr>
          <w:sz w:val="20"/>
          <w:szCs w:val="20"/>
          <w:lang w:val="fr-CA"/>
        </w:rPr>
        <w:pict>
          <v:rect id="_x0000_i1047" style="width:2in;height:1pt" o:hrpct="0" o:hralign="center" o:hrstd="t" o:hrnoshade="t" o:hr="t" fillcolor="black [3213]" stroked="f"/>
        </w:pict>
      </w:r>
    </w:p>
    <w:p w:rsidR="00121FCA" w:rsidRDefault="00121FCA" w:rsidP="00121FC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60D73" w:rsidRPr="00DE03BF" w:rsidTr="003B435E">
        <w:trPr>
          <w:cantSplit/>
        </w:trPr>
        <w:tc>
          <w:tcPr>
            <w:tcW w:w="1458" w:type="dxa"/>
          </w:tcPr>
          <w:p w:rsidR="00660D73" w:rsidRPr="00DE03BF" w:rsidRDefault="00660D73" w:rsidP="003B435E">
            <w:pPr>
              <w:rPr>
                <w:sz w:val="20"/>
                <w:szCs w:val="20"/>
              </w:rPr>
            </w:pPr>
            <w:r w:rsidRPr="00DE03BF">
              <w:rPr>
                <w:rStyle w:val="SCCFileNumberChar"/>
                <w:sz w:val="20"/>
                <w:szCs w:val="20"/>
              </w:rPr>
              <w:t>34977</w:t>
            </w:r>
          </w:p>
          <w:p w:rsidR="00660D73" w:rsidRPr="00DE03BF" w:rsidRDefault="00660D73" w:rsidP="003B435E">
            <w:pPr>
              <w:rPr>
                <w:b/>
                <w:sz w:val="20"/>
                <w:szCs w:val="20"/>
                <w:lang w:val="fr-CA"/>
              </w:rPr>
            </w:pPr>
          </w:p>
        </w:tc>
        <w:tc>
          <w:tcPr>
            <w:tcW w:w="8118" w:type="dxa"/>
          </w:tcPr>
          <w:p w:rsidR="00660D73" w:rsidRPr="00DE03BF" w:rsidRDefault="00660D73" w:rsidP="003B435E">
            <w:pPr>
              <w:jc w:val="both"/>
              <w:rPr>
                <w:sz w:val="20"/>
                <w:szCs w:val="20"/>
              </w:rPr>
            </w:pPr>
            <w:r w:rsidRPr="00660D73">
              <w:rPr>
                <w:rStyle w:val="SCCLsocChar"/>
                <w:sz w:val="20"/>
                <w:szCs w:val="20"/>
                <w:lang w:val="en-CA"/>
              </w:rPr>
              <w:t>Enmax Power Corporation v. Remington Development Corporation</w:t>
            </w:r>
            <w:r w:rsidRPr="00DE03BF">
              <w:rPr>
                <w:sz w:val="20"/>
                <w:szCs w:val="20"/>
              </w:rPr>
              <w:t xml:space="preserve"> (Alta.) (Civil) (By Leave)</w:t>
            </w:r>
          </w:p>
          <w:p w:rsidR="00660D73" w:rsidRPr="00DE03BF" w:rsidRDefault="00660D73" w:rsidP="003B435E">
            <w:pPr>
              <w:jc w:val="both"/>
              <w:rPr>
                <w:sz w:val="20"/>
                <w:szCs w:val="20"/>
              </w:rPr>
            </w:pPr>
          </w:p>
        </w:tc>
      </w:tr>
      <w:tr w:rsidR="00660D73" w:rsidRPr="00DE03BF" w:rsidTr="003B435E">
        <w:trPr>
          <w:cantSplit/>
        </w:trPr>
        <w:tc>
          <w:tcPr>
            <w:tcW w:w="1458" w:type="dxa"/>
          </w:tcPr>
          <w:p w:rsidR="00660D73" w:rsidRPr="00DE03BF" w:rsidRDefault="00660D73" w:rsidP="003B435E">
            <w:pPr>
              <w:rPr>
                <w:sz w:val="20"/>
                <w:szCs w:val="20"/>
              </w:rPr>
            </w:pPr>
            <w:r w:rsidRPr="00DE03BF">
              <w:rPr>
                <w:sz w:val="20"/>
                <w:szCs w:val="20"/>
              </w:rPr>
              <w:t>Coram :</w:t>
            </w:r>
          </w:p>
        </w:tc>
        <w:tc>
          <w:tcPr>
            <w:tcW w:w="8118" w:type="dxa"/>
          </w:tcPr>
          <w:p w:rsidR="00660D73" w:rsidRPr="00DE03BF" w:rsidRDefault="00660D73" w:rsidP="003B435E">
            <w:pPr>
              <w:rPr>
                <w:sz w:val="20"/>
                <w:szCs w:val="20"/>
              </w:rPr>
            </w:pPr>
            <w:r w:rsidRPr="00660D73">
              <w:rPr>
                <w:rStyle w:val="SCCCoramChar"/>
                <w:sz w:val="20"/>
                <w:szCs w:val="20"/>
                <w:lang w:val="en-CA"/>
              </w:rPr>
              <w:t>McLachlin C.J. and Abella and Cromwell JJ.</w:t>
            </w:r>
          </w:p>
          <w:p w:rsidR="00660D73" w:rsidRPr="00DE03BF" w:rsidRDefault="00660D73" w:rsidP="003B435E">
            <w:pPr>
              <w:rPr>
                <w:sz w:val="20"/>
                <w:szCs w:val="20"/>
                <w:u w:val="single"/>
              </w:rPr>
            </w:pPr>
          </w:p>
        </w:tc>
      </w:tr>
      <w:tr w:rsidR="00660D73" w:rsidRPr="00334802" w:rsidTr="003B435E">
        <w:trPr>
          <w:cantSplit/>
        </w:trPr>
        <w:tc>
          <w:tcPr>
            <w:tcW w:w="9576" w:type="dxa"/>
            <w:gridSpan w:val="2"/>
          </w:tcPr>
          <w:p w:rsidR="00660D73" w:rsidRPr="00DE03BF" w:rsidRDefault="00660D73" w:rsidP="003B435E">
            <w:pPr>
              <w:pStyle w:val="SCCShortJudgment"/>
              <w:rPr>
                <w:szCs w:val="20"/>
              </w:rPr>
            </w:pPr>
            <w:r w:rsidRPr="00DE03BF">
              <w:rPr>
                <w:szCs w:val="20"/>
              </w:rPr>
              <w:t>The application for leave to appeal from the judgment of the Court of Appeal of Alberta (Calgary), Number 1101-0328-AC, 2012 ABCA 196, dated June 21, 2012, is dismissed with costs.</w:t>
            </w:r>
          </w:p>
          <w:p w:rsidR="00660D73" w:rsidRPr="00DE03BF" w:rsidRDefault="00660D73" w:rsidP="003B435E">
            <w:pPr>
              <w:pStyle w:val="SCCShortJudgment"/>
              <w:ind w:firstLine="0"/>
              <w:rPr>
                <w:szCs w:val="20"/>
              </w:rPr>
            </w:pPr>
          </w:p>
          <w:p w:rsidR="00660D73" w:rsidRPr="00DE03BF" w:rsidRDefault="00660D73" w:rsidP="003B435E">
            <w:pPr>
              <w:pStyle w:val="SCCShortJudgment"/>
              <w:rPr>
                <w:szCs w:val="20"/>
                <w:lang w:val="fr-CA"/>
              </w:rPr>
            </w:pPr>
            <w:r w:rsidRPr="00DE03BF">
              <w:rPr>
                <w:szCs w:val="20"/>
                <w:lang w:val="fr-CA"/>
              </w:rPr>
              <w:t>La demande d’autorisation d’appel de l’arrêt de la Cour d'appel de l’Alberta (Calgary), numéro 1101-0328-AC, 2012 ABCA 196, daté du 21 juin 2012, est rejetée avec dépens.</w:t>
            </w:r>
          </w:p>
        </w:tc>
      </w:tr>
    </w:tbl>
    <w:p w:rsidR="00121FCA" w:rsidRPr="00660D73" w:rsidRDefault="00121FCA" w:rsidP="00121FCA">
      <w:pPr>
        <w:rPr>
          <w:sz w:val="20"/>
          <w:szCs w:val="20"/>
          <w:lang w:val="fr-CA"/>
        </w:rPr>
      </w:pPr>
    </w:p>
    <w:p w:rsidR="00121FCA" w:rsidRPr="001B157C" w:rsidRDefault="00121FCA" w:rsidP="00121FCA">
      <w:pPr>
        <w:rPr>
          <w:sz w:val="20"/>
          <w:szCs w:val="20"/>
          <w:u w:val="single"/>
        </w:rPr>
      </w:pPr>
      <w:r w:rsidRPr="001B157C">
        <w:rPr>
          <w:sz w:val="20"/>
          <w:szCs w:val="20"/>
          <w:u w:val="single"/>
        </w:rPr>
        <w:lastRenderedPageBreak/>
        <w:t>CASE SUMMARY</w:t>
      </w:r>
    </w:p>
    <w:p w:rsidR="00121FCA" w:rsidRDefault="00121FCA" w:rsidP="00121FCA">
      <w:pPr>
        <w:rPr>
          <w:sz w:val="20"/>
          <w:szCs w:val="20"/>
        </w:rPr>
      </w:pPr>
    </w:p>
    <w:tbl>
      <w:tblPr>
        <w:tblW w:w="5000" w:type="pct"/>
        <w:tblLayout w:type="fixed"/>
        <w:tblCellMar>
          <w:left w:w="0" w:type="dxa"/>
          <w:bottom w:w="99" w:type="dxa"/>
          <w:right w:w="0" w:type="dxa"/>
        </w:tblCellMar>
        <w:tblLook w:val="04A0"/>
      </w:tblPr>
      <w:tblGrid>
        <w:gridCol w:w="4623"/>
        <w:gridCol w:w="464"/>
        <w:gridCol w:w="4532"/>
      </w:tblGrid>
      <w:tr w:rsidR="0014623F" w:rsidRPr="00C56FE1" w:rsidTr="009208D4">
        <w:tc>
          <w:tcPr>
            <w:tcW w:w="5000" w:type="pct"/>
            <w:gridSpan w:val="3"/>
          </w:tcPr>
          <w:p w:rsidR="0014623F" w:rsidRPr="00C56FE1" w:rsidRDefault="0014623F" w:rsidP="009208D4">
            <w:pPr>
              <w:jc w:val="both"/>
              <w:rPr>
                <w:rFonts w:eastAsia="Calibri"/>
                <w:sz w:val="20"/>
              </w:rPr>
            </w:pPr>
            <w:r w:rsidRPr="00C56FE1">
              <w:rPr>
                <w:rFonts w:eastAsia="Calibri"/>
                <w:sz w:val="20"/>
              </w:rPr>
              <w:t>Contracts – Commercial contracts – Termination – Property – Real property – Assignment – Parties applying to determine</w:t>
            </w:r>
            <w:r w:rsidRPr="00C56FE1">
              <w:rPr>
                <w:rFonts w:eastAsia="Calibri"/>
                <w:iCs/>
                <w:color w:val="000000"/>
                <w:sz w:val="20"/>
              </w:rPr>
              <w:t xml:space="preserve"> whether agreements were validly assigned to Respondent and whether Respondent was entitled to terminate Applicant's rights under those agreements – Whether there are</w:t>
            </w:r>
            <w:r w:rsidRPr="00C56FE1">
              <w:rPr>
                <w:rFonts w:eastAsia="Calibri"/>
                <w:sz w:val="20"/>
              </w:rPr>
              <w:t xml:space="preserve"> limitations on the assignment of contracts - What is the applicable test which should be adopted in determining if a contract is personal and therefore incapable of assignment?</w:t>
            </w:r>
          </w:p>
        </w:tc>
      </w:tr>
      <w:tr w:rsidR="0014623F" w:rsidRPr="00C56FE1" w:rsidTr="009208D4">
        <w:tc>
          <w:tcPr>
            <w:tcW w:w="5000" w:type="pct"/>
            <w:gridSpan w:val="3"/>
          </w:tcPr>
          <w:p w:rsidR="0014623F" w:rsidRPr="00C56FE1" w:rsidRDefault="0014623F" w:rsidP="009208D4">
            <w:pPr>
              <w:jc w:val="both"/>
              <w:rPr>
                <w:rFonts w:eastAsia="Calibri"/>
                <w:sz w:val="20"/>
              </w:rPr>
            </w:pPr>
          </w:p>
        </w:tc>
      </w:tr>
      <w:tr w:rsidR="0014623F" w:rsidRPr="00C56FE1" w:rsidTr="009208D4">
        <w:tc>
          <w:tcPr>
            <w:tcW w:w="5000" w:type="pct"/>
            <w:gridSpan w:val="3"/>
          </w:tcPr>
          <w:p w:rsidR="0014623F" w:rsidRPr="00C56FE1" w:rsidRDefault="0014623F" w:rsidP="009208D4">
            <w:pPr>
              <w:jc w:val="both"/>
              <w:rPr>
                <w:rFonts w:eastAsia="Calibri"/>
                <w:sz w:val="20"/>
              </w:rPr>
            </w:pPr>
            <w:r w:rsidRPr="00C56FE1">
              <w:rPr>
                <w:rFonts w:eastAsia="Calibri"/>
                <w:color w:val="000000"/>
                <w:sz w:val="20"/>
              </w:rPr>
              <w:t>The parties brought a special application by consent order to have the court determine two stated issues: whether Canadian Pacific Railroad (“CPR”) had validly assigned two transmission agreements to Remington Development Corporation (“Remington”) and whether those assignments were valid and binding as against Enmax Power Corporation (“Enmax”).   The second question was whether Remington was entitled to terminate Enmax's rights under the agreements.  In 1948, CPR and Calgary Power (Enmax’s predecessor in title) entered into an agreement whereby CPR granted Calgary Power the right to place towers and wires carrying  electrical current over CPR property, known as the Interlink Lands.  Calgary Power agreed not to assign the agreement without the consent of CPR.  The agreement also provided that it could be terminated by either party on three months’ notice and, upon termination, the towers and wires would be moved at Calgary Power's expense.  In 1970, CPR and the City of Calgary, Calgary Power's successor, executed a replacement agreement that contained terms concerning assignment and termination similar to those found in the original agreement.  The City of Calgary assigned both of its agreements with CPR to Enmax, with the consent of CPR.  Neither agreement had any specific wording requiring Enmax’s consent for CPR to assign the agreements.  The power lines, towers and poles operated on the Interlink Lands have supplied power to downtown Calgary continuously since 1948, feeding many thousands of users.  In 2002, CPR sold the Interlink Lands, and assigned the associated agreements to Remington, a real estate development company.  No notice was given to Enmax.  In 2004, Remington gave notice to Enmax, terminating the agreements.  Enmax refused to move the towers and lines.</w:t>
            </w:r>
          </w:p>
          <w:p w:rsidR="0014623F" w:rsidRPr="00C56FE1" w:rsidRDefault="0014623F" w:rsidP="009208D4">
            <w:pPr>
              <w:jc w:val="both"/>
              <w:rPr>
                <w:rFonts w:eastAsia="Calibri"/>
                <w:sz w:val="20"/>
              </w:rPr>
            </w:pPr>
          </w:p>
        </w:tc>
      </w:tr>
      <w:tr w:rsidR="0014623F" w:rsidRPr="00C56FE1" w:rsidTr="009208D4">
        <w:tc>
          <w:tcPr>
            <w:tcW w:w="2403" w:type="pct"/>
          </w:tcPr>
          <w:p w:rsidR="0014623F" w:rsidRPr="00C56FE1" w:rsidRDefault="0014623F" w:rsidP="009208D4">
            <w:pPr>
              <w:jc w:val="both"/>
              <w:rPr>
                <w:rFonts w:eastAsia="Calibri"/>
                <w:sz w:val="20"/>
              </w:rPr>
            </w:pPr>
            <w:r w:rsidRPr="00C56FE1">
              <w:rPr>
                <w:rFonts w:eastAsia="Calibri"/>
                <w:sz w:val="20"/>
              </w:rPr>
              <w:t>November 10, 2011</w:t>
            </w:r>
          </w:p>
          <w:p w:rsidR="0014623F" w:rsidRPr="00C56FE1" w:rsidRDefault="0014623F" w:rsidP="009208D4">
            <w:pPr>
              <w:jc w:val="both"/>
              <w:rPr>
                <w:rFonts w:eastAsia="Calibri"/>
                <w:sz w:val="20"/>
              </w:rPr>
            </w:pPr>
            <w:r w:rsidRPr="00C56FE1">
              <w:rPr>
                <w:rFonts w:eastAsia="Calibri"/>
                <w:sz w:val="20"/>
              </w:rPr>
              <w:t>Court of Queen’s Bench of Alberta</w:t>
            </w:r>
          </w:p>
          <w:p w:rsidR="0014623F" w:rsidRPr="00C56FE1" w:rsidRDefault="0014623F" w:rsidP="009208D4">
            <w:pPr>
              <w:jc w:val="both"/>
              <w:rPr>
                <w:rFonts w:eastAsia="Calibri"/>
                <w:sz w:val="20"/>
              </w:rPr>
            </w:pPr>
            <w:r w:rsidRPr="00C56FE1">
              <w:rPr>
                <w:rFonts w:eastAsia="Calibri"/>
                <w:sz w:val="20"/>
              </w:rPr>
              <w:t>(Park J.)</w:t>
            </w:r>
          </w:p>
          <w:p w:rsidR="0014623F" w:rsidRPr="00C56FE1" w:rsidRDefault="0014623F" w:rsidP="009208D4">
            <w:pPr>
              <w:jc w:val="both"/>
              <w:rPr>
                <w:rFonts w:eastAsia="Calibri"/>
                <w:sz w:val="20"/>
              </w:rPr>
            </w:pPr>
            <w:r w:rsidRPr="00C56FE1">
              <w:rPr>
                <w:rFonts w:eastAsia="Calibri"/>
                <w:sz w:val="20"/>
              </w:rPr>
              <w:t>2011 ABQB 694</w:t>
            </w:r>
          </w:p>
          <w:p w:rsidR="0014623F" w:rsidRPr="00C56FE1" w:rsidRDefault="0014623F" w:rsidP="009208D4">
            <w:pPr>
              <w:jc w:val="both"/>
              <w:rPr>
                <w:rFonts w:eastAsia="Calibri"/>
                <w:sz w:val="20"/>
              </w:rPr>
            </w:pPr>
          </w:p>
        </w:tc>
        <w:tc>
          <w:tcPr>
            <w:tcW w:w="241" w:type="pct"/>
          </w:tcPr>
          <w:p w:rsidR="0014623F" w:rsidRPr="00C56FE1" w:rsidRDefault="0014623F" w:rsidP="009208D4">
            <w:pPr>
              <w:jc w:val="both"/>
              <w:rPr>
                <w:rFonts w:eastAsia="Calibri"/>
                <w:sz w:val="20"/>
              </w:rPr>
            </w:pPr>
          </w:p>
        </w:tc>
        <w:tc>
          <w:tcPr>
            <w:tcW w:w="2356" w:type="pct"/>
          </w:tcPr>
          <w:p w:rsidR="0014623F" w:rsidRPr="00C56FE1" w:rsidRDefault="0014623F" w:rsidP="009208D4">
            <w:pPr>
              <w:jc w:val="both"/>
              <w:rPr>
                <w:rFonts w:eastAsia="Calibri"/>
                <w:sz w:val="20"/>
              </w:rPr>
            </w:pPr>
            <w:r w:rsidRPr="00C56FE1">
              <w:rPr>
                <w:rFonts w:eastAsia="Calibri"/>
                <w:sz w:val="20"/>
              </w:rPr>
              <w:t>Assignment of agreements held to be valid</w:t>
            </w:r>
          </w:p>
          <w:p w:rsidR="0014623F" w:rsidRPr="00C56FE1" w:rsidRDefault="0014623F" w:rsidP="009208D4">
            <w:pPr>
              <w:jc w:val="both"/>
              <w:rPr>
                <w:rFonts w:eastAsia="Calibri"/>
                <w:sz w:val="20"/>
              </w:rPr>
            </w:pPr>
          </w:p>
          <w:p w:rsidR="0014623F" w:rsidRPr="00C56FE1" w:rsidRDefault="0014623F" w:rsidP="009208D4">
            <w:pPr>
              <w:jc w:val="both"/>
              <w:rPr>
                <w:rFonts w:eastAsia="Calibri"/>
                <w:sz w:val="20"/>
              </w:rPr>
            </w:pPr>
          </w:p>
        </w:tc>
      </w:tr>
      <w:tr w:rsidR="0014623F" w:rsidRPr="00C56FE1" w:rsidTr="009208D4">
        <w:tc>
          <w:tcPr>
            <w:tcW w:w="2403" w:type="pct"/>
          </w:tcPr>
          <w:p w:rsidR="0014623F" w:rsidRPr="00C56FE1" w:rsidRDefault="0014623F" w:rsidP="009208D4">
            <w:pPr>
              <w:jc w:val="both"/>
              <w:rPr>
                <w:rFonts w:eastAsia="Calibri"/>
                <w:sz w:val="20"/>
              </w:rPr>
            </w:pPr>
            <w:r w:rsidRPr="00C56FE1">
              <w:rPr>
                <w:rFonts w:eastAsia="Calibri"/>
                <w:sz w:val="20"/>
              </w:rPr>
              <w:t>June 21, 2012</w:t>
            </w:r>
          </w:p>
          <w:p w:rsidR="0014623F" w:rsidRPr="00C56FE1" w:rsidRDefault="0014623F" w:rsidP="009208D4">
            <w:pPr>
              <w:jc w:val="both"/>
              <w:rPr>
                <w:rFonts w:eastAsia="Calibri"/>
                <w:sz w:val="20"/>
              </w:rPr>
            </w:pPr>
            <w:r w:rsidRPr="00C56FE1">
              <w:rPr>
                <w:rFonts w:eastAsia="Calibri"/>
                <w:sz w:val="20"/>
              </w:rPr>
              <w:t>Court of Appeal of Alberta (Calgary)</w:t>
            </w:r>
          </w:p>
          <w:p w:rsidR="0014623F" w:rsidRPr="00C56FE1" w:rsidRDefault="0014623F" w:rsidP="009208D4">
            <w:pPr>
              <w:jc w:val="both"/>
              <w:rPr>
                <w:rFonts w:eastAsia="Calibri"/>
                <w:sz w:val="20"/>
              </w:rPr>
            </w:pPr>
            <w:r w:rsidRPr="00C56FE1">
              <w:rPr>
                <w:rFonts w:eastAsia="Calibri"/>
                <w:sz w:val="20"/>
              </w:rPr>
              <w:t>(Côté, Paperny and Strekaf JJ.A.)</w:t>
            </w:r>
          </w:p>
          <w:p w:rsidR="0014623F" w:rsidRPr="00C56FE1" w:rsidRDefault="0014623F" w:rsidP="009208D4">
            <w:pPr>
              <w:jc w:val="both"/>
              <w:rPr>
                <w:rFonts w:eastAsia="Calibri"/>
                <w:sz w:val="20"/>
              </w:rPr>
            </w:pPr>
            <w:r w:rsidRPr="00C56FE1">
              <w:rPr>
                <w:rFonts w:eastAsia="Calibri"/>
                <w:sz w:val="20"/>
              </w:rPr>
              <w:t>2012 ABCA 196</w:t>
            </w:r>
          </w:p>
          <w:p w:rsidR="0014623F" w:rsidRPr="00C56FE1" w:rsidRDefault="0014623F" w:rsidP="009208D4">
            <w:pPr>
              <w:jc w:val="both"/>
              <w:rPr>
                <w:rFonts w:eastAsia="Calibri"/>
                <w:sz w:val="20"/>
                <w:lang w:val="fr-CA"/>
              </w:rPr>
            </w:pPr>
          </w:p>
        </w:tc>
        <w:tc>
          <w:tcPr>
            <w:tcW w:w="241" w:type="pct"/>
          </w:tcPr>
          <w:p w:rsidR="0014623F" w:rsidRPr="00C56FE1" w:rsidRDefault="0014623F" w:rsidP="009208D4">
            <w:pPr>
              <w:jc w:val="both"/>
              <w:rPr>
                <w:rFonts w:eastAsia="Calibri"/>
                <w:sz w:val="20"/>
                <w:lang w:val="fr-CA"/>
              </w:rPr>
            </w:pPr>
          </w:p>
        </w:tc>
        <w:tc>
          <w:tcPr>
            <w:tcW w:w="2356" w:type="pct"/>
          </w:tcPr>
          <w:p w:rsidR="0014623F" w:rsidRPr="00C56FE1" w:rsidRDefault="0014623F" w:rsidP="009208D4">
            <w:pPr>
              <w:jc w:val="both"/>
              <w:rPr>
                <w:rFonts w:eastAsia="Calibri"/>
                <w:sz w:val="20"/>
              </w:rPr>
            </w:pPr>
            <w:r w:rsidRPr="00C56FE1">
              <w:rPr>
                <w:rFonts w:eastAsia="Calibri"/>
                <w:sz w:val="20"/>
              </w:rPr>
              <w:t>Appeal dismissed</w:t>
            </w:r>
          </w:p>
          <w:p w:rsidR="0014623F" w:rsidRPr="00C56FE1" w:rsidRDefault="0014623F" w:rsidP="009208D4">
            <w:pPr>
              <w:jc w:val="both"/>
              <w:rPr>
                <w:rFonts w:eastAsia="Calibri"/>
                <w:sz w:val="20"/>
              </w:rPr>
            </w:pPr>
          </w:p>
        </w:tc>
      </w:tr>
      <w:tr w:rsidR="0014623F" w:rsidRPr="00C56FE1" w:rsidTr="009208D4">
        <w:tc>
          <w:tcPr>
            <w:tcW w:w="2403" w:type="pct"/>
          </w:tcPr>
          <w:p w:rsidR="0014623F" w:rsidRPr="00C56FE1" w:rsidRDefault="0014623F" w:rsidP="009208D4">
            <w:pPr>
              <w:jc w:val="both"/>
              <w:rPr>
                <w:rFonts w:eastAsia="Calibri"/>
                <w:sz w:val="20"/>
              </w:rPr>
            </w:pPr>
            <w:r w:rsidRPr="00C56FE1">
              <w:rPr>
                <w:rFonts w:eastAsia="Calibri"/>
                <w:sz w:val="20"/>
              </w:rPr>
              <w:t>September 20, 2012</w:t>
            </w:r>
          </w:p>
          <w:p w:rsidR="0014623F" w:rsidRPr="00C56FE1" w:rsidRDefault="0014623F" w:rsidP="009208D4">
            <w:pPr>
              <w:jc w:val="both"/>
              <w:rPr>
                <w:rFonts w:eastAsia="Calibri"/>
                <w:sz w:val="20"/>
              </w:rPr>
            </w:pPr>
            <w:r w:rsidRPr="00C56FE1">
              <w:rPr>
                <w:rFonts w:eastAsia="Calibri"/>
                <w:sz w:val="20"/>
              </w:rPr>
              <w:t>Supreme Court of Canada</w:t>
            </w:r>
          </w:p>
        </w:tc>
        <w:tc>
          <w:tcPr>
            <w:tcW w:w="241" w:type="pct"/>
          </w:tcPr>
          <w:p w:rsidR="0014623F" w:rsidRPr="00C56FE1" w:rsidRDefault="0014623F" w:rsidP="009208D4">
            <w:pPr>
              <w:jc w:val="both"/>
              <w:rPr>
                <w:rFonts w:eastAsia="Calibri"/>
                <w:sz w:val="20"/>
              </w:rPr>
            </w:pPr>
          </w:p>
        </w:tc>
        <w:tc>
          <w:tcPr>
            <w:tcW w:w="2356" w:type="pct"/>
          </w:tcPr>
          <w:p w:rsidR="0014623F" w:rsidRPr="00C56FE1" w:rsidRDefault="0014623F" w:rsidP="009208D4">
            <w:pPr>
              <w:jc w:val="both"/>
              <w:rPr>
                <w:rFonts w:eastAsia="Calibri"/>
                <w:sz w:val="20"/>
              </w:rPr>
            </w:pPr>
            <w:r w:rsidRPr="00C56FE1">
              <w:rPr>
                <w:rFonts w:eastAsia="Calibri"/>
                <w:sz w:val="20"/>
              </w:rPr>
              <w:t>Application for leave to appeal filed</w:t>
            </w:r>
          </w:p>
          <w:p w:rsidR="0014623F" w:rsidRPr="00C56FE1" w:rsidRDefault="0014623F" w:rsidP="009208D4">
            <w:pPr>
              <w:jc w:val="both"/>
              <w:rPr>
                <w:rFonts w:eastAsia="Calibri"/>
                <w:sz w:val="20"/>
              </w:rPr>
            </w:pPr>
          </w:p>
        </w:tc>
      </w:tr>
    </w:tbl>
    <w:p w:rsidR="00121FCA" w:rsidRDefault="00121FCA" w:rsidP="00121FCA">
      <w:pPr>
        <w:rPr>
          <w:sz w:val="20"/>
          <w:szCs w:val="20"/>
        </w:rPr>
      </w:pPr>
    </w:p>
    <w:p w:rsidR="00121FCA" w:rsidRPr="00C50A5C" w:rsidRDefault="00CD48BC" w:rsidP="00121FCA">
      <w:pPr>
        <w:rPr>
          <w:sz w:val="20"/>
          <w:szCs w:val="20"/>
        </w:rPr>
      </w:pPr>
      <w:r w:rsidRPr="00CD48BC">
        <w:rPr>
          <w:sz w:val="20"/>
          <w:szCs w:val="20"/>
          <w:lang w:val="fr-CA"/>
        </w:rPr>
        <w:pict>
          <v:rect id="_x0000_i1048" style="width:2in;height:1pt" o:hrpct="0" o:hralign="center" o:hrstd="t" o:hrnoshade="t" o:hr="t" fillcolor="black [3213]" stroked="f"/>
        </w:pict>
      </w:r>
    </w:p>
    <w:p w:rsidR="00121FCA" w:rsidRDefault="00121FCA" w:rsidP="00121FCA">
      <w:pPr>
        <w:rPr>
          <w:sz w:val="20"/>
          <w:szCs w:val="20"/>
        </w:rPr>
      </w:pPr>
    </w:p>
    <w:p w:rsidR="00121FCA" w:rsidRPr="001B157C" w:rsidRDefault="00121FCA" w:rsidP="00121FCA">
      <w:pPr>
        <w:rPr>
          <w:sz w:val="20"/>
          <w:szCs w:val="20"/>
          <w:u w:val="single"/>
          <w:lang w:val="fr-CA"/>
        </w:rPr>
      </w:pPr>
      <w:r w:rsidRPr="001B157C">
        <w:rPr>
          <w:sz w:val="20"/>
          <w:szCs w:val="20"/>
          <w:u w:val="single"/>
          <w:lang w:val="fr-CA"/>
        </w:rPr>
        <w:t>RÉSUMÉ DE L’AFFAIRE</w:t>
      </w:r>
    </w:p>
    <w:p w:rsidR="00121FCA" w:rsidRDefault="00121FCA" w:rsidP="00121FCA">
      <w:pPr>
        <w:rPr>
          <w:sz w:val="20"/>
          <w:szCs w:val="20"/>
        </w:rPr>
      </w:pPr>
    </w:p>
    <w:tbl>
      <w:tblPr>
        <w:tblW w:w="5000" w:type="pct"/>
        <w:tblLayout w:type="fixed"/>
        <w:tblCellMar>
          <w:left w:w="0" w:type="dxa"/>
          <w:bottom w:w="99" w:type="dxa"/>
          <w:right w:w="0" w:type="dxa"/>
        </w:tblCellMar>
        <w:tblLook w:val="00A0"/>
      </w:tblPr>
      <w:tblGrid>
        <w:gridCol w:w="4623"/>
        <w:gridCol w:w="464"/>
        <w:gridCol w:w="4532"/>
      </w:tblGrid>
      <w:tr w:rsidR="0014623F" w:rsidRPr="00334802" w:rsidTr="009208D4">
        <w:tc>
          <w:tcPr>
            <w:tcW w:w="5000" w:type="pct"/>
            <w:gridSpan w:val="3"/>
          </w:tcPr>
          <w:p w:rsidR="0014623F" w:rsidRPr="00C56FE1" w:rsidRDefault="0014623F" w:rsidP="009208D4">
            <w:pPr>
              <w:jc w:val="both"/>
              <w:rPr>
                <w:rFonts w:eastAsia="Calibri"/>
                <w:sz w:val="20"/>
                <w:lang w:val="fr-CA"/>
              </w:rPr>
            </w:pPr>
            <w:r w:rsidRPr="00C56FE1">
              <w:rPr>
                <w:rFonts w:eastAsia="Calibri"/>
                <w:sz w:val="20"/>
                <w:lang w:val="fr-CA"/>
              </w:rPr>
              <w:t xml:space="preserve">Contrats — Contrats commerciaux — Résiliation — Biens — Biens réels — Cession — Les parties demandent qu'il soit statué sur la question de savoir si des accords ont été valablement cédés à l’intimée et si l'intimée avait droit de résilier les droits de la demanderesse en vertu de ces accords </w:t>
            </w:r>
            <w:r w:rsidRPr="00C56FE1">
              <w:rPr>
                <w:rFonts w:eastAsia="Calibri"/>
                <w:iCs/>
                <w:color w:val="000000"/>
                <w:sz w:val="20"/>
                <w:lang w:val="fr-CA"/>
              </w:rPr>
              <w:t xml:space="preserve">— Y a-t-il des restrictions à la cession des contrats? </w:t>
            </w:r>
            <w:r w:rsidRPr="00C56FE1">
              <w:rPr>
                <w:rFonts w:eastAsia="Calibri"/>
                <w:sz w:val="20"/>
                <w:lang w:val="fr-CA"/>
              </w:rPr>
              <w:t>— Quel critère devrait être adopté pour statuer sur la question de savoir si un contrat est personnel et donc incessible?</w:t>
            </w:r>
          </w:p>
        </w:tc>
      </w:tr>
      <w:tr w:rsidR="0014623F" w:rsidRPr="00334802" w:rsidTr="009208D4">
        <w:tc>
          <w:tcPr>
            <w:tcW w:w="5000" w:type="pct"/>
            <w:gridSpan w:val="3"/>
          </w:tcPr>
          <w:p w:rsidR="0014623F" w:rsidRPr="00C56FE1" w:rsidRDefault="0014623F" w:rsidP="009208D4">
            <w:pPr>
              <w:jc w:val="both"/>
              <w:rPr>
                <w:rFonts w:eastAsia="Calibri"/>
                <w:sz w:val="20"/>
                <w:lang w:val="fr-CA"/>
              </w:rPr>
            </w:pPr>
          </w:p>
        </w:tc>
      </w:tr>
      <w:tr w:rsidR="0014623F" w:rsidRPr="00334802" w:rsidTr="009208D4">
        <w:tc>
          <w:tcPr>
            <w:tcW w:w="5000" w:type="pct"/>
            <w:gridSpan w:val="3"/>
          </w:tcPr>
          <w:p w:rsidR="0014623F" w:rsidRPr="00C56FE1" w:rsidRDefault="0014623F" w:rsidP="009208D4">
            <w:pPr>
              <w:jc w:val="both"/>
              <w:rPr>
                <w:rFonts w:eastAsia="Calibri"/>
                <w:sz w:val="20"/>
                <w:lang w:val="fr-CA"/>
              </w:rPr>
            </w:pPr>
            <w:r w:rsidRPr="00C56FE1">
              <w:rPr>
                <w:rFonts w:eastAsia="Calibri"/>
                <w:color w:val="000000"/>
                <w:sz w:val="20"/>
                <w:lang w:val="fr-CA"/>
              </w:rPr>
              <w:t xml:space="preserve">Les parties ont présenté une demande spéciale par voie d'ordonnance sur consentement pour que le tribunal statue sur deux questions énoncées : le Chemin de fer Canadien Pacifique (« CFCP ») a-t-il valablement cédé deux accords de transmission à Remington Development Corporation (« Remington ») et ces cessions étaient-elles valables et opposables à l'égard d’Enmax Power Corporation (« Enmax »)?  La deuxième question était de savoir si Remington </w:t>
            </w:r>
            <w:r w:rsidRPr="00C56FE1">
              <w:rPr>
                <w:rFonts w:eastAsia="Calibri"/>
                <w:color w:val="000000"/>
                <w:sz w:val="20"/>
                <w:lang w:val="fr-CA"/>
              </w:rPr>
              <w:lastRenderedPageBreak/>
              <w:t>avait le droit de résilier les droits d’Enmax en vertu des accords.  En 1948, CFCP et Calgary Power (la société remplacée par Enmax) ont conclu un accord par lequel CFCP accordait à Calgary Power le droit de placer des tours et des fils de transmission d'électricité au-dessus de terrains de CFCP, connus sous le nom de « terres Interlink ».  Calgary Power avait accepté de ne pas céder l’accord sans le consentement de CFCP. L’accord prévoyait également qu'une partie pouvait le résilier moyennant un préavis de trois mois et qu'au moment de la résiliation, les tours et les fils seraient déplacés aux frais de Calgary Power.  En 1970, CFCP et la Ville de Calgary, l’ayant cause de Calgary Power, ont signé un nouvel accord qui renfermait des dispositions relatives à la cession et à la résiliation, semblables à celles qui se trouvaient dans l’accord initial.  La Ville de Calgary a cédé à Enmax ses deux accords avec CFCP, avec le consentement de CFCP. Ni l'un ni l'autre des accords ne renfermait de dispositions particulières qui exigeaient le consentement d’Enmax pour que CFCP cède les accords.  Les lignes de transmission d'électricité, les tours et les pylônes exploités sur les terres Interlink avaient servi à alimenter en électricité le centre-ville de Calgary continuellement depuis 1948, ce qui représente plusieurs milliers d'usagers.  En 2002, CFCP a vendu les terres Interlink et a cédé les accords y afférents à Remington, une société de promotion immobilière.  Aucun avis n'a été donné à Enmax.  En 2004, Remington a avisé Enmax qu'elle résiliait les accords.  Enmax a refusé de déplacer les tours et les lignes.</w:t>
            </w:r>
          </w:p>
          <w:p w:rsidR="0014623F" w:rsidRPr="00C56FE1" w:rsidRDefault="0014623F" w:rsidP="009208D4">
            <w:pPr>
              <w:jc w:val="both"/>
              <w:rPr>
                <w:rFonts w:eastAsia="Calibri"/>
                <w:sz w:val="20"/>
                <w:lang w:val="fr-CA"/>
              </w:rPr>
            </w:pPr>
          </w:p>
        </w:tc>
      </w:tr>
      <w:tr w:rsidR="0014623F" w:rsidRPr="00C56FE1" w:rsidTr="009208D4">
        <w:tc>
          <w:tcPr>
            <w:tcW w:w="2403" w:type="pct"/>
          </w:tcPr>
          <w:p w:rsidR="0014623F" w:rsidRPr="00C56FE1" w:rsidRDefault="0014623F" w:rsidP="009208D4">
            <w:pPr>
              <w:jc w:val="both"/>
              <w:rPr>
                <w:rFonts w:eastAsia="Calibri"/>
                <w:sz w:val="20"/>
                <w:lang w:val="fr-CA"/>
              </w:rPr>
            </w:pPr>
            <w:r w:rsidRPr="00C56FE1">
              <w:rPr>
                <w:rFonts w:eastAsia="Calibri"/>
                <w:sz w:val="20"/>
                <w:lang w:val="fr-CA"/>
              </w:rPr>
              <w:lastRenderedPageBreak/>
              <w:t>10 novembre 2011</w:t>
            </w:r>
          </w:p>
          <w:p w:rsidR="0014623F" w:rsidRPr="00C56FE1" w:rsidRDefault="0014623F" w:rsidP="009208D4">
            <w:pPr>
              <w:jc w:val="both"/>
              <w:rPr>
                <w:rFonts w:eastAsia="Calibri"/>
                <w:sz w:val="20"/>
                <w:lang w:val="fr-CA"/>
              </w:rPr>
            </w:pPr>
            <w:r w:rsidRPr="00C56FE1">
              <w:rPr>
                <w:rFonts w:eastAsia="Calibri"/>
                <w:sz w:val="20"/>
                <w:lang w:val="fr-CA"/>
              </w:rPr>
              <w:t xml:space="preserve">Cour du Banc de la Reine de l'Alberta </w:t>
            </w:r>
          </w:p>
          <w:p w:rsidR="0014623F" w:rsidRPr="00C56FE1" w:rsidRDefault="0014623F" w:rsidP="009208D4">
            <w:pPr>
              <w:jc w:val="both"/>
              <w:rPr>
                <w:rFonts w:eastAsia="Calibri"/>
                <w:sz w:val="20"/>
                <w:lang w:val="fr-CA"/>
              </w:rPr>
            </w:pPr>
            <w:r w:rsidRPr="00C56FE1">
              <w:rPr>
                <w:rFonts w:eastAsia="Calibri"/>
                <w:sz w:val="20"/>
                <w:lang w:val="fr-CA"/>
              </w:rPr>
              <w:t>(Juge Park)</w:t>
            </w:r>
          </w:p>
          <w:p w:rsidR="0014623F" w:rsidRPr="00C56FE1" w:rsidRDefault="0014623F" w:rsidP="009208D4">
            <w:pPr>
              <w:jc w:val="both"/>
              <w:rPr>
                <w:rFonts w:eastAsia="Calibri"/>
                <w:sz w:val="20"/>
                <w:lang w:val="fr-CA"/>
              </w:rPr>
            </w:pPr>
            <w:r w:rsidRPr="00C56FE1">
              <w:rPr>
                <w:rFonts w:eastAsia="Calibri"/>
                <w:sz w:val="20"/>
                <w:lang w:val="fr-CA"/>
              </w:rPr>
              <w:t>2011 ABQB 694</w:t>
            </w:r>
          </w:p>
          <w:p w:rsidR="0014623F" w:rsidRPr="00C56FE1" w:rsidRDefault="0014623F" w:rsidP="009208D4">
            <w:pPr>
              <w:jc w:val="both"/>
              <w:rPr>
                <w:rFonts w:eastAsia="Calibri"/>
                <w:sz w:val="20"/>
                <w:lang w:val="fr-CA"/>
              </w:rPr>
            </w:pPr>
          </w:p>
        </w:tc>
        <w:tc>
          <w:tcPr>
            <w:tcW w:w="241" w:type="pct"/>
          </w:tcPr>
          <w:p w:rsidR="0014623F" w:rsidRPr="00C56FE1" w:rsidRDefault="0014623F" w:rsidP="009208D4">
            <w:pPr>
              <w:jc w:val="both"/>
              <w:rPr>
                <w:rFonts w:eastAsia="Calibri"/>
                <w:sz w:val="20"/>
                <w:lang w:val="fr-CA"/>
              </w:rPr>
            </w:pPr>
          </w:p>
        </w:tc>
        <w:tc>
          <w:tcPr>
            <w:tcW w:w="2356" w:type="pct"/>
          </w:tcPr>
          <w:p w:rsidR="0014623F" w:rsidRPr="00C56FE1" w:rsidRDefault="0014623F" w:rsidP="009208D4">
            <w:pPr>
              <w:jc w:val="both"/>
              <w:rPr>
                <w:rFonts w:eastAsia="Calibri"/>
                <w:sz w:val="20"/>
                <w:lang w:val="fr-CA"/>
              </w:rPr>
            </w:pPr>
            <w:r w:rsidRPr="00C56FE1">
              <w:rPr>
                <w:rFonts w:eastAsia="Calibri"/>
                <w:sz w:val="20"/>
                <w:lang w:val="fr-CA"/>
              </w:rPr>
              <w:t>Cession des accords jugée valable</w:t>
            </w:r>
          </w:p>
          <w:p w:rsidR="0014623F" w:rsidRPr="00C56FE1" w:rsidRDefault="0014623F" w:rsidP="009208D4">
            <w:pPr>
              <w:jc w:val="both"/>
              <w:rPr>
                <w:rFonts w:eastAsia="Calibri"/>
                <w:sz w:val="20"/>
                <w:lang w:val="fr-CA"/>
              </w:rPr>
            </w:pPr>
          </w:p>
        </w:tc>
      </w:tr>
      <w:tr w:rsidR="0014623F" w:rsidRPr="00C56FE1" w:rsidTr="009208D4">
        <w:tc>
          <w:tcPr>
            <w:tcW w:w="2403" w:type="pct"/>
          </w:tcPr>
          <w:p w:rsidR="0014623F" w:rsidRPr="00C56FE1" w:rsidRDefault="0014623F" w:rsidP="009208D4">
            <w:pPr>
              <w:jc w:val="both"/>
              <w:rPr>
                <w:rFonts w:eastAsia="Calibri"/>
                <w:sz w:val="20"/>
                <w:lang w:val="fr-CA"/>
              </w:rPr>
            </w:pPr>
            <w:r w:rsidRPr="00C56FE1">
              <w:rPr>
                <w:rFonts w:eastAsia="Calibri"/>
                <w:sz w:val="20"/>
                <w:lang w:val="fr-CA"/>
              </w:rPr>
              <w:t>21 juin 2012</w:t>
            </w:r>
          </w:p>
          <w:p w:rsidR="0014623F" w:rsidRPr="00C56FE1" w:rsidRDefault="0014623F" w:rsidP="009208D4">
            <w:pPr>
              <w:jc w:val="both"/>
              <w:rPr>
                <w:rFonts w:eastAsia="Calibri"/>
                <w:sz w:val="20"/>
                <w:lang w:val="fr-CA"/>
              </w:rPr>
            </w:pPr>
            <w:r w:rsidRPr="00C56FE1">
              <w:rPr>
                <w:rFonts w:eastAsia="Calibri"/>
                <w:sz w:val="20"/>
                <w:lang w:val="fr-CA"/>
              </w:rPr>
              <w:t>Cour d'appel de l’Alberta (Calgary)</w:t>
            </w:r>
          </w:p>
          <w:p w:rsidR="0014623F" w:rsidRPr="00C56FE1" w:rsidRDefault="0014623F" w:rsidP="009208D4">
            <w:pPr>
              <w:jc w:val="both"/>
              <w:rPr>
                <w:rFonts w:eastAsia="Calibri"/>
                <w:sz w:val="20"/>
                <w:lang w:val="fr-CA"/>
              </w:rPr>
            </w:pPr>
            <w:r w:rsidRPr="00C56FE1">
              <w:rPr>
                <w:rFonts w:eastAsia="Calibri"/>
                <w:sz w:val="20"/>
                <w:lang w:val="fr-CA"/>
              </w:rPr>
              <w:t>(Juges Côté, Paperny et Strekaf)</w:t>
            </w:r>
          </w:p>
          <w:p w:rsidR="0014623F" w:rsidRPr="00C56FE1" w:rsidRDefault="0014623F" w:rsidP="009208D4">
            <w:pPr>
              <w:jc w:val="both"/>
              <w:rPr>
                <w:rFonts w:eastAsia="Calibri"/>
                <w:sz w:val="20"/>
                <w:lang w:val="fr-CA"/>
              </w:rPr>
            </w:pPr>
            <w:r w:rsidRPr="00C56FE1">
              <w:rPr>
                <w:rFonts w:eastAsia="Calibri"/>
                <w:sz w:val="20"/>
                <w:lang w:val="fr-CA"/>
              </w:rPr>
              <w:t>2012 ABCA 196</w:t>
            </w:r>
          </w:p>
          <w:p w:rsidR="0014623F" w:rsidRPr="00C56FE1" w:rsidRDefault="0014623F" w:rsidP="009208D4">
            <w:pPr>
              <w:jc w:val="both"/>
              <w:rPr>
                <w:rFonts w:eastAsia="Calibri"/>
                <w:sz w:val="20"/>
                <w:lang w:val="fr-CA"/>
              </w:rPr>
            </w:pPr>
          </w:p>
        </w:tc>
        <w:tc>
          <w:tcPr>
            <w:tcW w:w="241" w:type="pct"/>
          </w:tcPr>
          <w:p w:rsidR="0014623F" w:rsidRPr="00C56FE1" w:rsidRDefault="0014623F" w:rsidP="009208D4">
            <w:pPr>
              <w:jc w:val="both"/>
              <w:rPr>
                <w:rFonts w:eastAsia="Calibri"/>
                <w:sz w:val="20"/>
                <w:lang w:val="fr-CA"/>
              </w:rPr>
            </w:pPr>
          </w:p>
        </w:tc>
        <w:tc>
          <w:tcPr>
            <w:tcW w:w="2356" w:type="pct"/>
          </w:tcPr>
          <w:p w:rsidR="0014623F" w:rsidRPr="00C56FE1" w:rsidRDefault="0014623F" w:rsidP="009208D4">
            <w:pPr>
              <w:jc w:val="both"/>
              <w:rPr>
                <w:rFonts w:eastAsia="Calibri"/>
                <w:sz w:val="20"/>
                <w:lang w:val="fr-CA"/>
              </w:rPr>
            </w:pPr>
            <w:r w:rsidRPr="00C56FE1">
              <w:rPr>
                <w:rFonts w:eastAsia="Calibri"/>
                <w:sz w:val="20"/>
                <w:lang w:val="fr-CA"/>
              </w:rPr>
              <w:t>Appel rejeté</w:t>
            </w:r>
          </w:p>
          <w:p w:rsidR="0014623F" w:rsidRPr="00C56FE1" w:rsidRDefault="0014623F" w:rsidP="009208D4">
            <w:pPr>
              <w:jc w:val="both"/>
              <w:rPr>
                <w:rFonts w:eastAsia="Calibri"/>
                <w:sz w:val="20"/>
                <w:lang w:val="fr-CA"/>
              </w:rPr>
            </w:pPr>
          </w:p>
        </w:tc>
      </w:tr>
      <w:tr w:rsidR="0014623F" w:rsidRPr="00C56FE1" w:rsidTr="009208D4">
        <w:tc>
          <w:tcPr>
            <w:tcW w:w="2403" w:type="pct"/>
          </w:tcPr>
          <w:p w:rsidR="0014623F" w:rsidRPr="00C56FE1" w:rsidRDefault="0014623F" w:rsidP="009208D4">
            <w:pPr>
              <w:jc w:val="both"/>
              <w:rPr>
                <w:rFonts w:eastAsia="Calibri"/>
                <w:sz w:val="20"/>
                <w:lang w:val="fr-CA"/>
              </w:rPr>
            </w:pPr>
            <w:r w:rsidRPr="00C56FE1">
              <w:rPr>
                <w:rFonts w:eastAsia="Calibri"/>
                <w:sz w:val="20"/>
                <w:lang w:val="fr-CA"/>
              </w:rPr>
              <w:t>20 septembre 2012</w:t>
            </w:r>
          </w:p>
          <w:p w:rsidR="0014623F" w:rsidRPr="00C56FE1" w:rsidRDefault="0014623F" w:rsidP="009208D4">
            <w:pPr>
              <w:jc w:val="both"/>
              <w:rPr>
                <w:rFonts w:eastAsia="Calibri"/>
                <w:sz w:val="20"/>
                <w:lang w:val="fr-CA"/>
              </w:rPr>
            </w:pPr>
            <w:r w:rsidRPr="00C56FE1">
              <w:rPr>
                <w:rFonts w:eastAsia="Calibri"/>
                <w:sz w:val="20"/>
                <w:lang w:val="fr-CA"/>
              </w:rPr>
              <w:t>Cour suprême du Canada</w:t>
            </w:r>
          </w:p>
        </w:tc>
        <w:tc>
          <w:tcPr>
            <w:tcW w:w="241" w:type="pct"/>
          </w:tcPr>
          <w:p w:rsidR="0014623F" w:rsidRPr="00C56FE1" w:rsidRDefault="0014623F" w:rsidP="009208D4">
            <w:pPr>
              <w:jc w:val="both"/>
              <w:rPr>
                <w:rFonts w:eastAsia="Calibri"/>
                <w:sz w:val="20"/>
                <w:lang w:val="fr-CA"/>
              </w:rPr>
            </w:pPr>
          </w:p>
        </w:tc>
        <w:tc>
          <w:tcPr>
            <w:tcW w:w="2356" w:type="pct"/>
          </w:tcPr>
          <w:p w:rsidR="0014623F" w:rsidRPr="00C56FE1" w:rsidRDefault="0014623F" w:rsidP="009208D4">
            <w:pPr>
              <w:jc w:val="both"/>
              <w:rPr>
                <w:rFonts w:eastAsia="Calibri"/>
                <w:sz w:val="20"/>
                <w:lang w:val="fr-CA"/>
              </w:rPr>
            </w:pPr>
            <w:r w:rsidRPr="00C56FE1">
              <w:rPr>
                <w:rFonts w:eastAsia="Calibri"/>
                <w:sz w:val="20"/>
                <w:lang w:val="fr-CA"/>
              </w:rPr>
              <w:t>Demande d'autorisation d'appel, déposée</w:t>
            </w:r>
          </w:p>
        </w:tc>
      </w:tr>
    </w:tbl>
    <w:p w:rsidR="00121FCA" w:rsidRDefault="00121FCA" w:rsidP="00121FCA">
      <w:pPr>
        <w:rPr>
          <w:sz w:val="20"/>
          <w:szCs w:val="20"/>
        </w:rPr>
      </w:pPr>
    </w:p>
    <w:p w:rsidR="00121FCA" w:rsidRDefault="00CD48BC" w:rsidP="00121FCA">
      <w:pPr>
        <w:rPr>
          <w:sz w:val="20"/>
          <w:szCs w:val="20"/>
          <w:lang w:val="fr-CA"/>
        </w:rPr>
      </w:pPr>
      <w:r w:rsidRPr="00CD48BC">
        <w:rPr>
          <w:sz w:val="20"/>
          <w:szCs w:val="20"/>
          <w:lang w:val="fr-CA"/>
        </w:rPr>
        <w:pict>
          <v:rect id="_x0000_i1049" style="width:2in;height:1pt" o:hrpct="0" o:hralign="center" o:hrstd="t" o:hrnoshade="t" o:hr="t" fillcolor="black [3213]" stroked="f"/>
        </w:pict>
      </w:r>
    </w:p>
    <w:p w:rsidR="00121FCA" w:rsidRDefault="00121FCA" w:rsidP="00121FC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60D73" w:rsidRPr="00DE03BF" w:rsidTr="003B435E">
        <w:trPr>
          <w:cantSplit/>
        </w:trPr>
        <w:tc>
          <w:tcPr>
            <w:tcW w:w="1458" w:type="dxa"/>
          </w:tcPr>
          <w:p w:rsidR="00660D73" w:rsidRPr="00DE03BF" w:rsidRDefault="00660D73" w:rsidP="003B435E">
            <w:pPr>
              <w:rPr>
                <w:sz w:val="20"/>
                <w:szCs w:val="20"/>
              </w:rPr>
            </w:pPr>
            <w:r w:rsidRPr="00DE03BF">
              <w:rPr>
                <w:rStyle w:val="SCCFileNumberChar"/>
                <w:sz w:val="20"/>
                <w:szCs w:val="20"/>
              </w:rPr>
              <w:t>34978</w:t>
            </w:r>
          </w:p>
          <w:p w:rsidR="00660D73" w:rsidRPr="00DE03BF" w:rsidRDefault="00660D73" w:rsidP="003B435E">
            <w:pPr>
              <w:rPr>
                <w:b/>
                <w:sz w:val="20"/>
                <w:szCs w:val="20"/>
                <w:lang w:val="fr-CA"/>
              </w:rPr>
            </w:pPr>
          </w:p>
        </w:tc>
        <w:tc>
          <w:tcPr>
            <w:tcW w:w="8118" w:type="dxa"/>
          </w:tcPr>
          <w:p w:rsidR="00660D73" w:rsidRPr="00DE03BF" w:rsidRDefault="00660D73" w:rsidP="003B435E">
            <w:pPr>
              <w:jc w:val="both"/>
              <w:rPr>
                <w:sz w:val="20"/>
                <w:szCs w:val="20"/>
              </w:rPr>
            </w:pPr>
            <w:r w:rsidRPr="00660D73">
              <w:rPr>
                <w:rStyle w:val="SCCLsocChar"/>
                <w:sz w:val="20"/>
                <w:szCs w:val="20"/>
                <w:lang w:val="en-CA"/>
              </w:rPr>
              <w:t>Blood Tribe</w:t>
            </w:r>
            <w:r w:rsidR="002E70B1">
              <w:rPr>
                <w:rStyle w:val="SCCLsocChar"/>
                <w:sz w:val="20"/>
                <w:szCs w:val="20"/>
                <w:lang w:val="en-CA"/>
              </w:rPr>
              <w:t xml:space="preserve"> and</w:t>
            </w:r>
            <w:r w:rsidRPr="00660D73">
              <w:rPr>
                <w:rStyle w:val="SCCLsocChar"/>
                <w:sz w:val="20"/>
                <w:szCs w:val="20"/>
                <w:lang w:val="en-CA"/>
              </w:rPr>
              <w:t xml:space="preserve"> Randy Bottle on behalf of the Trustees of the Blood Tribe/Kainaiwa Specific Claim Trust Agreement #1 v. Attorney General of Canada</w:t>
            </w:r>
            <w:r w:rsidRPr="00DE03BF">
              <w:rPr>
                <w:sz w:val="20"/>
                <w:szCs w:val="20"/>
              </w:rPr>
              <w:t xml:space="preserve"> (Alta.) (Civil) (By Leave)</w:t>
            </w:r>
          </w:p>
          <w:p w:rsidR="00660D73" w:rsidRPr="00DE03BF" w:rsidRDefault="00660D73" w:rsidP="003B435E">
            <w:pPr>
              <w:jc w:val="both"/>
              <w:rPr>
                <w:sz w:val="20"/>
                <w:szCs w:val="20"/>
              </w:rPr>
            </w:pPr>
          </w:p>
        </w:tc>
      </w:tr>
      <w:tr w:rsidR="00660D73" w:rsidRPr="00DE03BF" w:rsidTr="003B435E">
        <w:trPr>
          <w:cantSplit/>
        </w:trPr>
        <w:tc>
          <w:tcPr>
            <w:tcW w:w="1458" w:type="dxa"/>
          </w:tcPr>
          <w:p w:rsidR="00660D73" w:rsidRPr="00DE03BF" w:rsidRDefault="00660D73" w:rsidP="003B435E">
            <w:pPr>
              <w:rPr>
                <w:sz w:val="20"/>
                <w:szCs w:val="20"/>
              </w:rPr>
            </w:pPr>
            <w:r w:rsidRPr="00DE03BF">
              <w:rPr>
                <w:sz w:val="20"/>
                <w:szCs w:val="20"/>
              </w:rPr>
              <w:t>Coram :</w:t>
            </w:r>
          </w:p>
        </w:tc>
        <w:tc>
          <w:tcPr>
            <w:tcW w:w="8118" w:type="dxa"/>
          </w:tcPr>
          <w:p w:rsidR="00660D73" w:rsidRPr="00DE03BF" w:rsidRDefault="00660D73" w:rsidP="003B435E">
            <w:pPr>
              <w:rPr>
                <w:sz w:val="20"/>
                <w:szCs w:val="20"/>
              </w:rPr>
            </w:pPr>
            <w:r w:rsidRPr="00660D73">
              <w:rPr>
                <w:rStyle w:val="SCCCoramChar"/>
                <w:sz w:val="20"/>
                <w:szCs w:val="20"/>
                <w:lang w:val="en-CA"/>
              </w:rPr>
              <w:t>McLachlin C.J. and Abella and Cromwell JJ.</w:t>
            </w:r>
          </w:p>
          <w:p w:rsidR="00660D73" w:rsidRPr="00DE03BF" w:rsidRDefault="00660D73" w:rsidP="003B435E">
            <w:pPr>
              <w:rPr>
                <w:sz w:val="20"/>
                <w:szCs w:val="20"/>
                <w:u w:val="single"/>
              </w:rPr>
            </w:pPr>
          </w:p>
        </w:tc>
      </w:tr>
      <w:tr w:rsidR="00660D73" w:rsidRPr="00334802" w:rsidTr="003B435E">
        <w:trPr>
          <w:cantSplit/>
        </w:trPr>
        <w:tc>
          <w:tcPr>
            <w:tcW w:w="9576" w:type="dxa"/>
            <w:gridSpan w:val="2"/>
          </w:tcPr>
          <w:p w:rsidR="00660D73" w:rsidRPr="00DE03BF" w:rsidRDefault="00660D73" w:rsidP="003B435E">
            <w:pPr>
              <w:pStyle w:val="SCCShortJudgment"/>
              <w:rPr>
                <w:szCs w:val="20"/>
              </w:rPr>
            </w:pPr>
            <w:r w:rsidRPr="00DE03BF">
              <w:rPr>
                <w:szCs w:val="20"/>
              </w:rPr>
              <w:t>The application for leave to appeal from the judgment of the Court of Appeal of Alberta (Calgary), Number 1201-0035-AC, 2012 ABCA 206, dated June 29, 2012, is dismissed with costs.</w:t>
            </w:r>
          </w:p>
          <w:p w:rsidR="00660D73" w:rsidRPr="00DE03BF" w:rsidRDefault="00660D73" w:rsidP="003B435E">
            <w:pPr>
              <w:pStyle w:val="SCCShortJudgment"/>
              <w:ind w:firstLine="0"/>
              <w:rPr>
                <w:szCs w:val="20"/>
              </w:rPr>
            </w:pPr>
          </w:p>
          <w:p w:rsidR="00660D73" w:rsidRPr="00DE03BF" w:rsidRDefault="00660D73" w:rsidP="003B435E">
            <w:pPr>
              <w:pStyle w:val="SCCShortJudgment"/>
              <w:rPr>
                <w:szCs w:val="20"/>
                <w:lang w:val="fr-CA"/>
              </w:rPr>
            </w:pPr>
            <w:r w:rsidRPr="00DE03BF">
              <w:rPr>
                <w:szCs w:val="20"/>
                <w:lang w:val="fr-CA"/>
              </w:rPr>
              <w:t>La demande d’autorisation d’appel de l’arrêt de la Cour d'appel de l’Alberta (Calgary), numéro 1201-0035-AC, 2012 ABCA 206, daté du 29 juin 2012, est rejetée avec dépens.</w:t>
            </w:r>
          </w:p>
        </w:tc>
      </w:tr>
    </w:tbl>
    <w:p w:rsidR="00121FCA" w:rsidRPr="00660D73" w:rsidRDefault="00121FCA" w:rsidP="00121FCA">
      <w:pPr>
        <w:rPr>
          <w:sz w:val="20"/>
          <w:szCs w:val="20"/>
          <w:lang w:val="fr-CA"/>
        </w:rPr>
      </w:pPr>
    </w:p>
    <w:p w:rsidR="00121FCA" w:rsidRPr="001B157C" w:rsidRDefault="00121FCA" w:rsidP="00121FCA">
      <w:pPr>
        <w:rPr>
          <w:sz w:val="20"/>
          <w:szCs w:val="20"/>
          <w:u w:val="single"/>
        </w:rPr>
      </w:pPr>
      <w:r w:rsidRPr="001B157C">
        <w:rPr>
          <w:sz w:val="20"/>
          <w:szCs w:val="20"/>
          <w:u w:val="single"/>
        </w:rPr>
        <w:t>CASE SUMMARY</w:t>
      </w:r>
    </w:p>
    <w:p w:rsidR="00121FCA" w:rsidRDefault="00121FCA" w:rsidP="00121FCA">
      <w:pPr>
        <w:rPr>
          <w:sz w:val="20"/>
          <w:szCs w:val="20"/>
        </w:rPr>
      </w:pPr>
    </w:p>
    <w:tbl>
      <w:tblPr>
        <w:tblW w:w="5000" w:type="pct"/>
        <w:tblLayout w:type="fixed"/>
        <w:tblCellMar>
          <w:left w:w="0" w:type="dxa"/>
          <w:bottom w:w="99" w:type="dxa"/>
          <w:right w:w="0" w:type="dxa"/>
        </w:tblCellMar>
        <w:tblLook w:val="04A0"/>
      </w:tblPr>
      <w:tblGrid>
        <w:gridCol w:w="4623"/>
        <w:gridCol w:w="464"/>
        <w:gridCol w:w="4532"/>
      </w:tblGrid>
      <w:tr w:rsidR="0014623F" w:rsidRPr="00C56FE1" w:rsidTr="009208D4">
        <w:tc>
          <w:tcPr>
            <w:tcW w:w="5000" w:type="pct"/>
            <w:gridSpan w:val="3"/>
          </w:tcPr>
          <w:p w:rsidR="0014623F" w:rsidRPr="00C56FE1" w:rsidRDefault="0014623F" w:rsidP="009208D4">
            <w:pPr>
              <w:jc w:val="both"/>
              <w:rPr>
                <w:rFonts w:eastAsia="Calibri"/>
                <w:sz w:val="20"/>
              </w:rPr>
            </w:pPr>
            <w:r w:rsidRPr="00C56FE1">
              <w:rPr>
                <w:rFonts w:eastAsia="Calibri"/>
                <w:sz w:val="20"/>
              </w:rPr>
              <w:t xml:space="preserve">Aboriginal law - Duties of the Crown-Taxation - Fiduciary duty </w:t>
            </w:r>
            <w:r w:rsidRPr="00C56FE1">
              <w:rPr>
                <w:rFonts w:eastAsia="Calibri"/>
                <w:i/>
                <w:sz w:val="20"/>
              </w:rPr>
              <w:t>–</w:t>
            </w:r>
            <w:r w:rsidRPr="00C56FE1">
              <w:rPr>
                <w:rFonts w:eastAsia="Calibri"/>
                <w:sz w:val="20"/>
              </w:rPr>
              <w:t xml:space="preserve">Declaratory relief - </w:t>
            </w:r>
            <w:r w:rsidRPr="00C56FE1">
              <w:rPr>
                <w:rFonts w:eastAsia="Calibri"/>
                <w:iCs/>
                <w:color w:val="000000"/>
                <w:sz w:val="20"/>
              </w:rPr>
              <w:t>First Nation Band sued Crown for breach of fiduciary duties and unjust enrichment after Crown refused to give respondents assurance that a proposed commercial venture would be tax exempt</w:t>
            </w:r>
            <w:r w:rsidRPr="00C56FE1">
              <w:rPr>
                <w:rFonts w:eastAsia="Calibri"/>
                <w:i/>
                <w:iCs/>
                <w:color w:val="000000"/>
                <w:sz w:val="20"/>
              </w:rPr>
              <w:t xml:space="preserve"> – </w:t>
            </w:r>
            <w:r w:rsidRPr="00C56FE1">
              <w:rPr>
                <w:rFonts w:eastAsia="Calibri"/>
                <w:sz w:val="20"/>
              </w:rPr>
              <w:t xml:space="preserve">Whether Court of Appeal restricted access to justice by dismissing a claim against the Federal Crown in circumstances where the plaintiff in the action lacks the financial resources to complete a transaction due to the Federal Crown’s position on the </w:t>
            </w:r>
            <w:r w:rsidRPr="00C56FE1">
              <w:rPr>
                <w:rFonts w:eastAsia="Calibri"/>
                <w:i/>
                <w:sz w:val="20"/>
              </w:rPr>
              <w:t>Excise Tax Act</w:t>
            </w:r>
            <w:r w:rsidRPr="00C56FE1">
              <w:rPr>
                <w:rFonts w:eastAsia="Calibri"/>
                <w:sz w:val="20"/>
              </w:rPr>
              <w:t xml:space="preserve"> and where the Federal Crown then says that its position cannot be challenged in the Courts of Canada? - Can the Federal Crown thwart the addition to reserve process by taking a position on the excise tax and despite representations to the contrary refuse to have the question determined </w:t>
            </w:r>
            <w:r w:rsidRPr="00C56FE1">
              <w:rPr>
                <w:rFonts w:eastAsia="Calibri"/>
                <w:sz w:val="20"/>
              </w:rPr>
              <w:lastRenderedPageBreak/>
              <w:t xml:space="preserve">in the Court of Canada? </w:t>
            </w:r>
            <w:r w:rsidRPr="00C56FE1">
              <w:rPr>
                <w:rFonts w:eastAsia="Calibri"/>
                <w:i/>
                <w:iCs/>
                <w:color w:val="000000"/>
                <w:sz w:val="20"/>
              </w:rPr>
              <w:t xml:space="preserve">– </w:t>
            </w:r>
            <w:r w:rsidRPr="00C56FE1">
              <w:rPr>
                <w:rFonts w:eastAsia="Calibri"/>
                <w:sz w:val="20"/>
              </w:rPr>
              <w:t xml:space="preserve">Is the remedy of a declaration available to determine a question of law under the circumstances where the Federal Crown owes a fiduciary duty to the Blood Tribe and the Federal Crown knowingly obstructs the determination of that question of law despite representations to the contrary? - </w:t>
            </w:r>
            <w:r w:rsidRPr="00C56FE1">
              <w:rPr>
                <w:rFonts w:eastAsia="Calibri"/>
                <w:i/>
                <w:color w:val="000000"/>
                <w:sz w:val="20"/>
              </w:rPr>
              <w:t>Indian Act</w:t>
            </w:r>
            <w:r w:rsidRPr="00C56FE1">
              <w:rPr>
                <w:rFonts w:eastAsia="Calibri"/>
                <w:color w:val="000000"/>
                <w:sz w:val="20"/>
              </w:rPr>
              <w:t>, RSC, 1985, c I-4, s. 87.</w:t>
            </w:r>
          </w:p>
        </w:tc>
      </w:tr>
      <w:tr w:rsidR="0014623F" w:rsidRPr="00C56FE1" w:rsidTr="009208D4">
        <w:tc>
          <w:tcPr>
            <w:tcW w:w="5000" w:type="pct"/>
            <w:gridSpan w:val="3"/>
          </w:tcPr>
          <w:p w:rsidR="0014623F" w:rsidRPr="00C56FE1" w:rsidRDefault="0014623F" w:rsidP="009208D4">
            <w:pPr>
              <w:jc w:val="both"/>
              <w:rPr>
                <w:rFonts w:eastAsia="Calibri"/>
                <w:sz w:val="20"/>
              </w:rPr>
            </w:pPr>
          </w:p>
        </w:tc>
      </w:tr>
      <w:tr w:rsidR="0014623F" w:rsidRPr="00C56FE1" w:rsidTr="009208D4">
        <w:tc>
          <w:tcPr>
            <w:tcW w:w="5000" w:type="pct"/>
            <w:gridSpan w:val="3"/>
          </w:tcPr>
          <w:p w:rsidR="0014623F" w:rsidRPr="00C56FE1" w:rsidRDefault="0014623F" w:rsidP="009208D4">
            <w:pPr>
              <w:jc w:val="both"/>
              <w:rPr>
                <w:rFonts w:eastAsia="Calibri"/>
                <w:color w:val="000000"/>
                <w:sz w:val="20"/>
              </w:rPr>
            </w:pPr>
            <w:r w:rsidRPr="00C56FE1">
              <w:rPr>
                <w:rFonts w:eastAsia="Calibri"/>
                <w:color w:val="000000"/>
                <w:sz w:val="20"/>
              </w:rPr>
              <w:t xml:space="preserve">The Applicant First Nation Band developed a plan to purchase an oil refinery and convert it to reserve land with the hope that its production would then be exempt from federal excise tax under the </w:t>
            </w:r>
            <w:r w:rsidRPr="00C56FE1">
              <w:rPr>
                <w:rFonts w:eastAsia="Calibri"/>
                <w:i/>
                <w:color w:val="000000"/>
                <w:sz w:val="20"/>
              </w:rPr>
              <w:t>Indian Act</w:t>
            </w:r>
            <w:r w:rsidRPr="00C56FE1">
              <w:rPr>
                <w:rFonts w:eastAsia="Calibri"/>
                <w:color w:val="000000"/>
                <w:sz w:val="20"/>
              </w:rPr>
              <w:t>, RSC, 1985, c I-4, s. 87.  When the Respondent Crown refused to give the Band the assurance that such an undertaking would be tax exempt, it sued the Crown alleging breach of fiduciary duty and unjust enrichment.  The statement of claim also sought a declaration that the proposed commercial venture was tax exempt.</w:t>
            </w:r>
          </w:p>
          <w:p w:rsidR="0014623F" w:rsidRPr="00C56FE1" w:rsidRDefault="0014623F" w:rsidP="009208D4">
            <w:pPr>
              <w:jc w:val="both"/>
              <w:rPr>
                <w:rFonts w:eastAsia="Calibri"/>
                <w:color w:val="000000"/>
                <w:sz w:val="20"/>
              </w:rPr>
            </w:pPr>
          </w:p>
        </w:tc>
      </w:tr>
      <w:tr w:rsidR="0014623F" w:rsidRPr="00C56FE1" w:rsidTr="009208D4">
        <w:tc>
          <w:tcPr>
            <w:tcW w:w="2403" w:type="pct"/>
          </w:tcPr>
          <w:p w:rsidR="0014623F" w:rsidRPr="00C56FE1" w:rsidRDefault="0014623F" w:rsidP="009208D4">
            <w:pPr>
              <w:jc w:val="both"/>
              <w:rPr>
                <w:rFonts w:eastAsia="Calibri"/>
                <w:sz w:val="20"/>
              </w:rPr>
            </w:pPr>
            <w:r w:rsidRPr="00C56FE1">
              <w:rPr>
                <w:rFonts w:eastAsia="Calibri"/>
                <w:sz w:val="20"/>
              </w:rPr>
              <w:t>November 22, 2011</w:t>
            </w:r>
          </w:p>
          <w:p w:rsidR="0014623F" w:rsidRPr="00C56FE1" w:rsidRDefault="0014623F" w:rsidP="009208D4">
            <w:pPr>
              <w:jc w:val="both"/>
              <w:rPr>
                <w:rFonts w:eastAsia="Calibri"/>
                <w:sz w:val="20"/>
              </w:rPr>
            </w:pPr>
            <w:r w:rsidRPr="00C56FE1">
              <w:rPr>
                <w:rFonts w:eastAsia="Calibri"/>
                <w:sz w:val="20"/>
              </w:rPr>
              <w:t>Court of Queen’s Bench of Alberta</w:t>
            </w:r>
          </w:p>
          <w:p w:rsidR="0014623F" w:rsidRPr="00C56FE1" w:rsidRDefault="0014623F" w:rsidP="009208D4">
            <w:pPr>
              <w:jc w:val="both"/>
              <w:rPr>
                <w:rFonts w:eastAsia="Calibri"/>
                <w:sz w:val="20"/>
              </w:rPr>
            </w:pPr>
            <w:r w:rsidRPr="00C56FE1">
              <w:rPr>
                <w:rFonts w:eastAsia="Calibri"/>
                <w:sz w:val="20"/>
              </w:rPr>
              <w:t>(McIntyre J.)</w:t>
            </w:r>
          </w:p>
          <w:p w:rsidR="0014623F" w:rsidRPr="00C56FE1" w:rsidRDefault="0014623F" w:rsidP="009208D4">
            <w:pPr>
              <w:jc w:val="both"/>
              <w:rPr>
                <w:rFonts w:eastAsia="Calibri"/>
                <w:sz w:val="20"/>
              </w:rPr>
            </w:pPr>
          </w:p>
        </w:tc>
        <w:tc>
          <w:tcPr>
            <w:tcW w:w="241" w:type="pct"/>
          </w:tcPr>
          <w:p w:rsidR="0014623F" w:rsidRPr="00C56FE1" w:rsidRDefault="0014623F" w:rsidP="009208D4">
            <w:pPr>
              <w:jc w:val="both"/>
              <w:rPr>
                <w:rFonts w:eastAsia="Calibri"/>
                <w:sz w:val="20"/>
              </w:rPr>
            </w:pPr>
          </w:p>
        </w:tc>
        <w:tc>
          <w:tcPr>
            <w:tcW w:w="2356" w:type="pct"/>
          </w:tcPr>
          <w:p w:rsidR="0014623F" w:rsidRPr="00C56FE1" w:rsidRDefault="0014623F" w:rsidP="009208D4">
            <w:pPr>
              <w:jc w:val="both"/>
              <w:rPr>
                <w:rFonts w:eastAsia="Calibri"/>
                <w:sz w:val="20"/>
              </w:rPr>
            </w:pPr>
            <w:r w:rsidRPr="00C56FE1">
              <w:rPr>
                <w:rFonts w:eastAsia="Calibri"/>
                <w:sz w:val="20"/>
              </w:rPr>
              <w:t xml:space="preserve">Respondent’s application for summary judgment against Applicant’s action for breach of fiduciary duty, unjust enrichment and for declaration that </w:t>
            </w:r>
            <w:r w:rsidRPr="00C56FE1">
              <w:rPr>
                <w:rFonts w:eastAsia="Calibri"/>
                <w:i/>
                <w:sz w:val="20"/>
              </w:rPr>
              <w:t>Excise Tax Act</w:t>
            </w:r>
            <w:r w:rsidRPr="00C56FE1">
              <w:rPr>
                <w:rFonts w:eastAsia="Calibri"/>
                <w:sz w:val="20"/>
              </w:rPr>
              <w:t xml:space="preserve"> had no application to commercial venture by virtue of s. 87 of </w:t>
            </w:r>
            <w:r w:rsidRPr="00C56FE1">
              <w:rPr>
                <w:rFonts w:eastAsia="Calibri"/>
                <w:i/>
                <w:sz w:val="20"/>
              </w:rPr>
              <w:t xml:space="preserve">Indian Act, </w:t>
            </w:r>
            <w:r w:rsidRPr="00C56FE1">
              <w:rPr>
                <w:rFonts w:eastAsia="Calibri"/>
                <w:sz w:val="20"/>
              </w:rPr>
              <w:t>dismissed</w:t>
            </w:r>
          </w:p>
          <w:p w:rsidR="0014623F" w:rsidRPr="00C56FE1" w:rsidRDefault="0014623F" w:rsidP="009208D4">
            <w:pPr>
              <w:jc w:val="both"/>
              <w:rPr>
                <w:rFonts w:eastAsia="Calibri"/>
                <w:sz w:val="20"/>
              </w:rPr>
            </w:pPr>
          </w:p>
        </w:tc>
      </w:tr>
      <w:tr w:rsidR="0014623F" w:rsidRPr="00C56FE1" w:rsidTr="009208D4">
        <w:tc>
          <w:tcPr>
            <w:tcW w:w="2403" w:type="pct"/>
          </w:tcPr>
          <w:p w:rsidR="0014623F" w:rsidRPr="00C56FE1" w:rsidRDefault="0014623F" w:rsidP="009208D4">
            <w:pPr>
              <w:jc w:val="both"/>
              <w:rPr>
                <w:rFonts w:eastAsia="Calibri"/>
                <w:sz w:val="20"/>
              </w:rPr>
            </w:pPr>
            <w:r w:rsidRPr="00C56FE1">
              <w:rPr>
                <w:rFonts w:eastAsia="Calibri"/>
                <w:sz w:val="20"/>
              </w:rPr>
              <w:t>June 29, 2012</w:t>
            </w:r>
          </w:p>
          <w:p w:rsidR="0014623F" w:rsidRPr="00C56FE1" w:rsidRDefault="0014623F" w:rsidP="009208D4">
            <w:pPr>
              <w:jc w:val="both"/>
              <w:rPr>
                <w:rFonts w:eastAsia="Calibri"/>
                <w:sz w:val="20"/>
              </w:rPr>
            </w:pPr>
            <w:r w:rsidRPr="00C56FE1">
              <w:rPr>
                <w:rFonts w:eastAsia="Calibri"/>
                <w:sz w:val="20"/>
              </w:rPr>
              <w:t>Court of Appeal of Alberta (Calgary)</w:t>
            </w:r>
          </w:p>
          <w:p w:rsidR="0014623F" w:rsidRPr="00C56FE1" w:rsidRDefault="0014623F" w:rsidP="009208D4">
            <w:pPr>
              <w:jc w:val="both"/>
              <w:rPr>
                <w:rFonts w:eastAsia="Calibri"/>
                <w:sz w:val="20"/>
              </w:rPr>
            </w:pPr>
            <w:r w:rsidRPr="00C56FE1">
              <w:rPr>
                <w:rFonts w:eastAsia="Calibri"/>
                <w:sz w:val="20"/>
              </w:rPr>
              <w:t>(Conrad, O'Brien and O'Ferrall JJ.A.)</w:t>
            </w:r>
          </w:p>
          <w:p w:rsidR="0014623F" w:rsidRPr="00C56FE1" w:rsidRDefault="0014623F" w:rsidP="009208D4">
            <w:pPr>
              <w:jc w:val="both"/>
              <w:rPr>
                <w:rFonts w:eastAsia="Calibri"/>
                <w:sz w:val="20"/>
              </w:rPr>
            </w:pPr>
          </w:p>
        </w:tc>
        <w:tc>
          <w:tcPr>
            <w:tcW w:w="241" w:type="pct"/>
          </w:tcPr>
          <w:p w:rsidR="0014623F" w:rsidRPr="00C56FE1" w:rsidRDefault="0014623F" w:rsidP="009208D4">
            <w:pPr>
              <w:jc w:val="both"/>
              <w:rPr>
                <w:rFonts w:eastAsia="Calibri"/>
                <w:sz w:val="20"/>
              </w:rPr>
            </w:pPr>
          </w:p>
        </w:tc>
        <w:tc>
          <w:tcPr>
            <w:tcW w:w="2356" w:type="pct"/>
          </w:tcPr>
          <w:p w:rsidR="0014623F" w:rsidRPr="00C56FE1" w:rsidRDefault="0014623F" w:rsidP="009208D4">
            <w:pPr>
              <w:jc w:val="both"/>
              <w:rPr>
                <w:rFonts w:eastAsia="Calibri"/>
                <w:sz w:val="20"/>
              </w:rPr>
            </w:pPr>
            <w:r w:rsidRPr="00C56FE1">
              <w:rPr>
                <w:rFonts w:eastAsia="Calibri"/>
                <w:sz w:val="20"/>
              </w:rPr>
              <w:t>Appeal allowed: action dismissed</w:t>
            </w:r>
          </w:p>
          <w:p w:rsidR="0014623F" w:rsidRPr="00C56FE1" w:rsidRDefault="0014623F" w:rsidP="009208D4">
            <w:pPr>
              <w:jc w:val="both"/>
              <w:rPr>
                <w:rFonts w:eastAsia="Calibri"/>
                <w:sz w:val="20"/>
              </w:rPr>
            </w:pPr>
          </w:p>
        </w:tc>
      </w:tr>
      <w:tr w:rsidR="0014623F" w:rsidRPr="00C56FE1" w:rsidTr="009208D4">
        <w:tc>
          <w:tcPr>
            <w:tcW w:w="2403" w:type="pct"/>
          </w:tcPr>
          <w:p w:rsidR="0014623F" w:rsidRPr="00C56FE1" w:rsidRDefault="0014623F" w:rsidP="009208D4">
            <w:pPr>
              <w:jc w:val="both"/>
              <w:rPr>
                <w:rFonts w:eastAsia="Calibri"/>
                <w:sz w:val="20"/>
              </w:rPr>
            </w:pPr>
            <w:r w:rsidRPr="00C56FE1">
              <w:rPr>
                <w:rFonts w:eastAsia="Calibri"/>
                <w:sz w:val="20"/>
              </w:rPr>
              <w:t>September 20, 2012</w:t>
            </w:r>
          </w:p>
          <w:p w:rsidR="0014623F" w:rsidRPr="00C56FE1" w:rsidRDefault="0014623F" w:rsidP="009208D4">
            <w:pPr>
              <w:jc w:val="both"/>
              <w:rPr>
                <w:rFonts w:eastAsia="Calibri"/>
                <w:sz w:val="20"/>
              </w:rPr>
            </w:pPr>
            <w:r w:rsidRPr="00C56FE1">
              <w:rPr>
                <w:rFonts w:eastAsia="Calibri"/>
                <w:sz w:val="20"/>
              </w:rPr>
              <w:t>Supreme Court of Canada</w:t>
            </w:r>
          </w:p>
        </w:tc>
        <w:tc>
          <w:tcPr>
            <w:tcW w:w="241" w:type="pct"/>
          </w:tcPr>
          <w:p w:rsidR="0014623F" w:rsidRPr="00C56FE1" w:rsidRDefault="0014623F" w:rsidP="009208D4">
            <w:pPr>
              <w:jc w:val="both"/>
              <w:rPr>
                <w:rFonts w:eastAsia="Calibri"/>
                <w:sz w:val="20"/>
              </w:rPr>
            </w:pPr>
          </w:p>
        </w:tc>
        <w:tc>
          <w:tcPr>
            <w:tcW w:w="2356" w:type="pct"/>
          </w:tcPr>
          <w:p w:rsidR="0014623F" w:rsidRPr="00C56FE1" w:rsidRDefault="0014623F" w:rsidP="009208D4">
            <w:pPr>
              <w:jc w:val="both"/>
              <w:rPr>
                <w:rFonts w:eastAsia="Calibri"/>
                <w:sz w:val="20"/>
              </w:rPr>
            </w:pPr>
            <w:r w:rsidRPr="00C56FE1">
              <w:rPr>
                <w:rFonts w:eastAsia="Calibri"/>
                <w:sz w:val="20"/>
              </w:rPr>
              <w:t>Application for leave to appeal filed</w:t>
            </w:r>
          </w:p>
          <w:p w:rsidR="0014623F" w:rsidRPr="00C56FE1" w:rsidRDefault="0014623F" w:rsidP="009208D4">
            <w:pPr>
              <w:jc w:val="both"/>
              <w:rPr>
                <w:rFonts w:eastAsia="Calibri"/>
                <w:sz w:val="20"/>
              </w:rPr>
            </w:pPr>
          </w:p>
        </w:tc>
      </w:tr>
    </w:tbl>
    <w:p w:rsidR="00121FCA" w:rsidRDefault="00121FCA" w:rsidP="00121FCA">
      <w:pPr>
        <w:rPr>
          <w:sz w:val="20"/>
          <w:szCs w:val="20"/>
        </w:rPr>
      </w:pPr>
    </w:p>
    <w:p w:rsidR="00121FCA" w:rsidRPr="00C50A5C" w:rsidRDefault="00CD48BC" w:rsidP="00121FCA">
      <w:pPr>
        <w:rPr>
          <w:sz w:val="20"/>
          <w:szCs w:val="20"/>
        </w:rPr>
      </w:pPr>
      <w:r w:rsidRPr="00CD48BC">
        <w:rPr>
          <w:sz w:val="20"/>
          <w:szCs w:val="20"/>
          <w:lang w:val="fr-CA"/>
        </w:rPr>
        <w:pict>
          <v:rect id="_x0000_i1050" style="width:2in;height:1pt" o:hrpct="0" o:hralign="center" o:hrstd="t" o:hrnoshade="t" o:hr="t" fillcolor="black [3213]" stroked="f"/>
        </w:pict>
      </w:r>
    </w:p>
    <w:p w:rsidR="00121FCA" w:rsidRDefault="00121FCA" w:rsidP="00121FCA">
      <w:pPr>
        <w:rPr>
          <w:sz w:val="20"/>
          <w:szCs w:val="20"/>
        </w:rPr>
      </w:pPr>
    </w:p>
    <w:p w:rsidR="00121FCA" w:rsidRPr="001B157C" w:rsidRDefault="00121FCA" w:rsidP="00121FCA">
      <w:pPr>
        <w:rPr>
          <w:sz w:val="20"/>
          <w:szCs w:val="20"/>
          <w:u w:val="single"/>
          <w:lang w:val="fr-CA"/>
        </w:rPr>
      </w:pPr>
      <w:r w:rsidRPr="001B157C">
        <w:rPr>
          <w:sz w:val="20"/>
          <w:szCs w:val="20"/>
          <w:u w:val="single"/>
          <w:lang w:val="fr-CA"/>
        </w:rPr>
        <w:t>RÉSUMÉ DE L’AFFAIRE</w:t>
      </w:r>
    </w:p>
    <w:p w:rsidR="00121FCA" w:rsidRDefault="00121FCA" w:rsidP="00121FCA">
      <w:pPr>
        <w:rPr>
          <w:sz w:val="20"/>
          <w:szCs w:val="20"/>
        </w:rPr>
      </w:pPr>
    </w:p>
    <w:tbl>
      <w:tblPr>
        <w:tblW w:w="5000" w:type="pct"/>
        <w:tblLayout w:type="fixed"/>
        <w:tblCellMar>
          <w:left w:w="0" w:type="dxa"/>
          <w:bottom w:w="99" w:type="dxa"/>
          <w:right w:w="0" w:type="dxa"/>
        </w:tblCellMar>
        <w:tblLook w:val="00A0"/>
      </w:tblPr>
      <w:tblGrid>
        <w:gridCol w:w="4623"/>
        <w:gridCol w:w="464"/>
        <w:gridCol w:w="4532"/>
      </w:tblGrid>
      <w:tr w:rsidR="0014623F" w:rsidRPr="006307F5" w:rsidTr="009208D4">
        <w:tc>
          <w:tcPr>
            <w:tcW w:w="5000" w:type="pct"/>
            <w:gridSpan w:val="3"/>
          </w:tcPr>
          <w:p w:rsidR="0014623F" w:rsidRPr="00C56FE1" w:rsidRDefault="0014623F" w:rsidP="009208D4">
            <w:pPr>
              <w:jc w:val="both"/>
              <w:rPr>
                <w:rFonts w:eastAsia="Calibri"/>
                <w:sz w:val="20"/>
                <w:lang w:val="fr-CA"/>
              </w:rPr>
            </w:pPr>
            <w:r w:rsidRPr="00C56FE1">
              <w:rPr>
                <w:rFonts w:eastAsia="Calibri"/>
                <w:sz w:val="20"/>
                <w:lang w:val="fr-CA"/>
              </w:rPr>
              <w:t xml:space="preserve">Droits des Autochtones — Obligations de la Couronne — Droit fiscal — Obligation fiduciaire </w:t>
            </w:r>
            <w:r w:rsidRPr="00C56FE1">
              <w:rPr>
                <w:rFonts w:eastAsia="Calibri"/>
                <w:i/>
                <w:sz w:val="20"/>
                <w:lang w:val="fr-CA"/>
              </w:rPr>
              <w:t>—</w:t>
            </w:r>
            <w:r w:rsidRPr="00C56FE1">
              <w:rPr>
                <w:rFonts w:eastAsia="Calibri"/>
                <w:sz w:val="20"/>
                <w:lang w:val="fr-CA"/>
              </w:rPr>
              <w:t xml:space="preserve"> Jugement déclaratoire —</w:t>
            </w:r>
            <w:r w:rsidRPr="00C56FE1">
              <w:rPr>
                <w:rFonts w:eastAsia="Calibri"/>
                <w:iCs/>
                <w:color w:val="000000"/>
                <w:sz w:val="20"/>
                <w:lang w:val="fr-CA"/>
              </w:rPr>
              <w:t xml:space="preserve"> La Première nation constituée en bande a poursuivi la Couronne pour violation d’obligations fiduciaires et enrichissement injustifié par suite du refus de la Couronne de donner aux demandeurs l'assurance qu'une entreprise commerciale projetée allait être exempte de taxation </w:t>
            </w:r>
            <w:r w:rsidRPr="00C56FE1">
              <w:rPr>
                <w:rFonts w:eastAsia="Calibri"/>
                <w:i/>
                <w:iCs/>
                <w:color w:val="000000"/>
                <w:sz w:val="20"/>
                <w:lang w:val="fr-CA"/>
              </w:rPr>
              <w:t>—</w:t>
            </w:r>
            <w:r w:rsidRPr="00C56FE1">
              <w:rPr>
                <w:rFonts w:eastAsia="Calibri"/>
                <w:sz w:val="20"/>
                <w:lang w:val="fr-CA"/>
              </w:rPr>
              <w:t xml:space="preserve"> La Cour d'appel a</w:t>
            </w:r>
            <w:r w:rsidRPr="00C56FE1">
              <w:rPr>
                <w:rFonts w:eastAsia="Calibri"/>
                <w:sz w:val="20"/>
                <w:lang w:val="fr-CA"/>
              </w:rPr>
              <w:noBreakHyphen/>
              <w:t>t</w:t>
            </w:r>
            <w:r w:rsidRPr="00C56FE1">
              <w:rPr>
                <w:rFonts w:eastAsia="Calibri"/>
                <w:sz w:val="20"/>
                <w:lang w:val="fr-CA"/>
              </w:rPr>
              <w:noBreakHyphen/>
              <w:t xml:space="preserve">elle limité l'accès à la justice en rejetant une demande contre la Couronne fédérale dans une situation où le demandeur à l’action manque de ressources financières pour réaliser une opération en raison de la position arrêtée par la Couronne fédérale à l’égard de la </w:t>
            </w:r>
            <w:r w:rsidRPr="00C56FE1">
              <w:rPr>
                <w:rFonts w:eastAsia="Calibri"/>
                <w:i/>
                <w:sz w:val="20"/>
                <w:lang w:val="fr-CA"/>
              </w:rPr>
              <w:t>Loi sur la taxe d'accise</w:t>
            </w:r>
            <w:r w:rsidRPr="00C56FE1">
              <w:rPr>
                <w:rFonts w:eastAsia="Calibri"/>
                <w:sz w:val="20"/>
                <w:lang w:val="fr-CA"/>
              </w:rPr>
              <w:t xml:space="preserve"> et où la Couronne fédérale affirme ensuite que cette position ne peut être contestée devant les tribunaux au Canada? — La Couronne fédérale peut</w:t>
            </w:r>
            <w:r w:rsidRPr="00C56FE1">
              <w:rPr>
                <w:rFonts w:eastAsia="Calibri"/>
                <w:sz w:val="20"/>
                <w:lang w:val="fr-CA"/>
              </w:rPr>
              <w:noBreakHyphen/>
              <w:t xml:space="preserve">elle faire obstacle au processus d’addition à la réserve en prenant une position sur la taxe d'accise et, malgré les arguments contraires, refuser qu'il soit statué sur la question devant les tribunaux au Canada? </w:t>
            </w:r>
            <w:r w:rsidRPr="00C56FE1">
              <w:rPr>
                <w:rFonts w:eastAsia="Calibri"/>
                <w:i/>
                <w:iCs/>
                <w:color w:val="000000"/>
                <w:sz w:val="20"/>
                <w:lang w:val="fr-CA"/>
              </w:rPr>
              <w:t>—</w:t>
            </w:r>
            <w:r w:rsidRPr="00C56FE1">
              <w:rPr>
                <w:rFonts w:eastAsia="Calibri"/>
                <w:sz w:val="20"/>
                <w:lang w:val="fr-CA"/>
              </w:rPr>
              <w:t xml:space="preserve"> Est</w:t>
            </w:r>
            <w:r w:rsidRPr="00C56FE1">
              <w:rPr>
                <w:rFonts w:eastAsia="Calibri"/>
                <w:sz w:val="20"/>
                <w:lang w:val="fr-CA"/>
              </w:rPr>
              <w:noBreakHyphen/>
              <w:t xml:space="preserve">il possible d'obtenir un jugement déclaratoire pour trancher une question de droit dans une situation où la Couronne fédérale a une obligation fiduciaire envers la tribu des Blood et où la Couronne fait sciemment obstacle à ce qu’il soit statué sur cette question de droit malgré les arguments contraires? — </w:t>
            </w:r>
            <w:r w:rsidRPr="00C56FE1">
              <w:rPr>
                <w:rFonts w:eastAsia="Calibri"/>
                <w:i/>
                <w:color w:val="000000"/>
                <w:sz w:val="20"/>
                <w:lang w:val="fr-CA"/>
              </w:rPr>
              <w:t>Loi sur les Indiens</w:t>
            </w:r>
            <w:r w:rsidRPr="00C56FE1">
              <w:rPr>
                <w:rFonts w:eastAsia="Calibri"/>
                <w:color w:val="000000"/>
                <w:sz w:val="20"/>
                <w:lang w:val="fr-CA"/>
              </w:rPr>
              <w:t>, L.R.C. 1985, ch. I</w:t>
            </w:r>
            <w:r w:rsidRPr="00C56FE1">
              <w:rPr>
                <w:rFonts w:eastAsia="Calibri"/>
                <w:color w:val="000000"/>
                <w:sz w:val="20"/>
                <w:lang w:val="fr-CA"/>
              </w:rPr>
              <w:noBreakHyphen/>
              <w:t>4, art. 87.</w:t>
            </w:r>
          </w:p>
        </w:tc>
      </w:tr>
      <w:tr w:rsidR="0014623F" w:rsidRPr="006307F5" w:rsidTr="009208D4">
        <w:tc>
          <w:tcPr>
            <w:tcW w:w="5000" w:type="pct"/>
            <w:gridSpan w:val="3"/>
          </w:tcPr>
          <w:p w:rsidR="0014623F" w:rsidRPr="00C56FE1" w:rsidRDefault="0014623F" w:rsidP="009208D4">
            <w:pPr>
              <w:jc w:val="both"/>
              <w:rPr>
                <w:rFonts w:eastAsia="Calibri"/>
                <w:sz w:val="20"/>
                <w:lang w:val="fr-CA"/>
              </w:rPr>
            </w:pPr>
          </w:p>
        </w:tc>
      </w:tr>
      <w:tr w:rsidR="0014623F" w:rsidRPr="00334802" w:rsidTr="009208D4">
        <w:tc>
          <w:tcPr>
            <w:tcW w:w="5000" w:type="pct"/>
            <w:gridSpan w:val="3"/>
          </w:tcPr>
          <w:p w:rsidR="0014623F" w:rsidRPr="00C56FE1" w:rsidRDefault="0014623F" w:rsidP="009208D4">
            <w:pPr>
              <w:jc w:val="both"/>
              <w:rPr>
                <w:rFonts w:eastAsia="Calibri"/>
                <w:color w:val="000000"/>
                <w:sz w:val="20"/>
                <w:lang w:val="fr-CA"/>
              </w:rPr>
            </w:pPr>
            <w:r w:rsidRPr="00C56FE1">
              <w:rPr>
                <w:rFonts w:eastAsia="Calibri"/>
                <w:color w:val="000000"/>
                <w:sz w:val="20"/>
                <w:lang w:val="fr-CA"/>
              </w:rPr>
              <w:t>La demanderesse, une Première nation constituée en bande, a élaboré le projet d'acheter une raffinerie de pétrole et de la convertir en terre de réserve dans l'espoir que sa production serait alors exemptée de la taxe d'accise fédérale en vertu de la</w:t>
            </w:r>
            <w:r w:rsidRPr="00C56FE1">
              <w:rPr>
                <w:rFonts w:eastAsia="Calibri"/>
                <w:i/>
                <w:color w:val="000000"/>
                <w:sz w:val="20"/>
                <w:lang w:val="fr-CA"/>
              </w:rPr>
              <w:t xml:space="preserve"> Loi sur les Indiens</w:t>
            </w:r>
            <w:r w:rsidRPr="00C56FE1">
              <w:rPr>
                <w:rFonts w:eastAsia="Calibri"/>
                <w:color w:val="000000"/>
                <w:sz w:val="20"/>
                <w:lang w:val="fr-CA"/>
              </w:rPr>
              <w:t>, L.R.C. 1985, ch. I</w:t>
            </w:r>
            <w:r w:rsidRPr="00C56FE1">
              <w:rPr>
                <w:rFonts w:eastAsia="Calibri"/>
                <w:color w:val="000000"/>
                <w:sz w:val="20"/>
                <w:lang w:val="fr-CA"/>
              </w:rPr>
              <w:noBreakHyphen/>
              <w:t>4, art. 87.  Lorsque la Couronne intimée a refusé de donner à la bande l'assurance qu'une telle entreprise serait exempte de taxation, cette dernière a poursuivi la Couronne, alléguant une violation de l'obligation fiduciaire et l'enrichissement injustifié.  Dans sa déclaration, la demanderesse a également sollicité un jugement déclarant que l'entreprise commerciale projetée était exempte de taxation.</w:t>
            </w:r>
          </w:p>
          <w:p w:rsidR="0014623F" w:rsidRPr="00C56FE1" w:rsidRDefault="0014623F" w:rsidP="009208D4">
            <w:pPr>
              <w:jc w:val="both"/>
              <w:rPr>
                <w:rFonts w:eastAsia="Calibri"/>
                <w:color w:val="000000"/>
                <w:sz w:val="20"/>
                <w:lang w:val="fr-CA"/>
              </w:rPr>
            </w:pPr>
          </w:p>
        </w:tc>
      </w:tr>
      <w:tr w:rsidR="0014623F" w:rsidRPr="00C56FE1" w:rsidTr="00660D73">
        <w:trPr>
          <w:cantSplit/>
        </w:trPr>
        <w:tc>
          <w:tcPr>
            <w:tcW w:w="2403" w:type="pct"/>
          </w:tcPr>
          <w:p w:rsidR="0014623F" w:rsidRPr="00C56FE1" w:rsidRDefault="0014623F" w:rsidP="009208D4">
            <w:pPr>
              <w:jc w:val="both"/>
              <w:rPr>
                <w:rFonts w:eastAsia="Calibri"/>
                <w:sz w:val="20"/>
                <w:lang w:val="fr-CA"/>
              </w:rPr>
            </w:pPr>
            <w:r w:rsidRPr="00C56FE1">
              <w:rPr>
                <w:rFonts w:eastAsia="Calibri"/>
                <w:sz w:val="20"/>
                <w:lang w:val="fr-CA"/>
              </w:rPr>
              <w:lastRenderedPageBreak/>
              <w:t>22 novembre 2011</w:t>
            </w:r>
          </w:p>
          <w:p w:rsidR="0014623F" w:rsidRPr="00C56FE1" w:rsidRDefault="0014623F" w:rsidP="009208D4">
            <w:pPr>
              <w:jc w:val="both"/>
              <w:rPr>
                <w:rFonts w:eastAsia="Calibri"/>
                <w:sz w:val="20"/>
                <w:lang w:val="fr-CA"/>
              </w:rPr>
            </w:pPr>
            <w:r w:rsidRPr="00C56FE1">
              <w:rPr>
                <w:rFonts w:eastAsia="Calibri"/>
                <w:sz w:val="20"/>
                <w:lang w:val="fr-CA"/>
              </w:rPr>
              <w:t xml:space="preserve">Cours du Banc de la Reine de l'Alberta </w:t>
            </w:r>
          </w:p>
          <w:p w:rsidR="0014623F" w:rsidRPr="00C56FE1" w:rsidRDefault="0014623F" w:rsidP="009208D4">
            <w:pPr>
              <w:jc w:val="both"/>
              <w:rPr>
                <w:rFonts w:eastAsia="Calibri"/>
                <w:sz w:val="20"/>
                <w:lang w:val="fr-CA"/>
              </w:rPr>
            </w:pPr>
            <w:r w:rsidRPr="00C56FE1">
              <w:rPr>
                <w:rFonts w:eastAsia="Calibri"/>
                <w:sz w:val="20"/>
                <w:lang w:val="fr-CA"/>
              </w:rPr>
              <w:t>(Juge McIntyre)</w:t>
            </w:r>
          </w:p>
          <w:p w:rsidR="0014623F" w:rsidRPr="00C56FE1" w:rsidRDefault="0014623F" w:rsidP="009208D4">
            <w:pPr>
              <w:jc w:val="both"/>
              <w:rPr>
                <w:rFonts w:eastAsia="Calibri"/>
                <w:sz w:val="20"/>
                <w:lang w:val="fr-CA"/>
              </w:rPr>
            </w:pPr>
          </w:p>
        </w:tc>
        <w:tc>
          <w:tcPr>
            <w:tcW w:w="241" w:type="pct"/>
          </w:tcPr>
          <w:p w:rsidR="0014623F" w:rsidRPr="00C56FE1" w:rsidRDefault="0014623F" w:rsidP="009208D4">
            <w:pPr>
              <w:jc w:val="both"/>
              <w:rPr>
                <w:rFonts w:eastAsia="Calibri"/>
                <w:sz w:val="20"/>
                <w:lang w:val="fr-CA"/>
              </w:rPr>
            </w:pPr>
          </w:p>
        </w:tc>
        <w:tc>
          <w:tcPr>
            <w:tcW w:w="2356" w:type="pct"/>
          </w:tcPr>
          <w:p w:rsidR="0014623F" w:rsidRPr="00C56FE1" w:rsidRDefault="0014623F" w:rsidP="009208D4">
            <w:pPr>
              <w:jc w:val="both"/>
              <w:rPr>
                <w:rFonts w:eastAsia="Calibri"/>
                <w:sz w:val="20"/>
                <w:lang w:val="fr-CA"/>
              </w:rPr>
            </w:pPr>
            <w:r w:rsidRPr="00C56FE1">
              <w:rPr>
                <w:rFonts w:eastAsia="Calibri"/>
                <w:sz w:val="20"/>
                <w:lang w:val="fr-CA"/>
              </w:rPr>
              <w:t xml:space="preserve">Requête de l'intimé en jugement sommaire contre l'action des demandeurs pour violation de l'obligation fiduciaire, enrichissement injustifié et jugement déclarant que la </w:t>
            </w:r>
            <w:r w:rsidRPr="00C56FE1">
              <w:rPr>
                <w:rFonts w:eastAsia="Calibri"/>
                <w:i/>
                <w:sz w:val="20"/>
                <w:lang w:val="fr-CA"/>
              </w:rPr>
              <w:t>Loi sur la taxe d'accise</w:t>
            </w:r>
            <w:r w:rsidRPr="00C56FE1">
              <w:rPr>
                <w:rFonts w:eastAsia="Calibri"/>
                <w:sz w:val="20"/>
                <w:lang w:val="fr-CA"/>
              </w:rPr>
              <w:t xml:space="preserve"> ne s'appliquait pas à une entreprise commerciale en vertu de l'art. 87 de la </w:t>
            </w:r>
            <w:r w:rsidRPr="00C56FE1">
              <w:rPr>
                <w:rFonts w:eastAsia="Calibri"/>
                <w:i/>
                <w:sz w:val="20"/>
                <w:lang w:val="fr-CA"/>
              </w:rPr>
              <w:t>Loi sur les Indiens</w:t>
            </w:r>
            <w:r w:rsidRPr="00C56FE1">
              <w:rPr>
                <w:rFonts w:eastAsia="Calibri"/>
                <w:sz w:val="20"/>
                <w:lang w:val="fr-CA"/>
              </w:rPr>
              <w:t xml:space="preserve">, rejetée </w:t>
            </w:r>
          </w:p>
          <w:p w:rsidR="0014623F" w:rsidRPr="00C56FE1" w:rsidRDefault="0014623F" w:rsidP="009208D4">
            <w:pPr>
              <w:jc w:val="both"/>
              <w:rPr>
                <w:rFonts w:eastAsia="Calibri"/>
                <w:sz w:val="20"/>
                <w:lang w:val="fr-CA"/>
              </w:rPr>
            </w:pPr>
          </w:p>
        </w:tc>
      </w:tr>
      <w:tr w:rsidR="0014623F" w:rsidRPr="00C56FE1" w:rsidTr="00660D73">
        <w:trPr>
          <w:cantSplit/>
        </w:trPr>
        <w:tc>
          <w:tcPr>
            <w:tcW w:w="2403" w:type="pct"/>
          </w:tcPr>
          <w:p w:rsidR="0014623F" w:rsidRPr="00C56FE1" w:rsidRDefault="0014623F" w:rsidP="009208D4">
            <w:pPr>
              <w:jc w:val="both"/>
              <w:rPr>
                <w:rFonts w:eastAsia="Calibri"/>
                <w:sz w:val="20"/>
                <w:lang w:val="fr-CA"/>
              </w:rPr>
            </w:pPr>
            <w:r w:rsidRPr="00C56FE1">
              <w:rPr>
                <w:rFonts w:eastAsia="Calibri"/>
                <w:sz w:val="20"/>
                <w:lang w:val="fr-CA"/>
              </w:rPr>
              <w:t>29 juin 2012</w:t>
            </w:r>
          </w:p>
          <w:p w:rsidR="0014623F" w:rsidRPr="00C56FE1" w:rsidRDefault="0014623F" w:rsidP="009208D4">
            <w:pPr>
              <w:jc w:val="both"/>
              <w:rPr>
                <w:rFonts w:eastAsia="Calibri"/>
                <w:sz w:val="20"/>
                <w:lang w:val="fr-CA"/>
              </w:rPr>
            </w:pPr>
            <w:r w:rsidRPr="00C56FE1">
              <w:rPr>
                <w:rFonts w:eastAsia="Calibri"/>
                <w:sz w:val="20"/>
                <w:lang w:val="fr-CA"/>
              </w:rPr>
              <w:t>Cour d'appel de l’Alberta (Calgary)</w:t>
            </w:r>
          </w:p>
          <w:p w:rsidR="0014623F" w:rsidRPr="00C56FE1" w:rsidRDefault="0014623F" w:rsidP="009208D4">
            <w:pPr>
              <w:jc w:val="both"/>
              <w:rPr>
                <w:rFonts w:eastAsia="Calibri"/>
                <w:sz w:val="20"/>
                <w:lang w:val="fr-CA"/>
              </w:rPr>
            </w:pPr>
            <w:r w:rsidRPr="00C56FE1">
              <w:rPr>
                <w:rFonts w:eastAsia="Calibri"/>
                <w:sz w:val="20"/>
                <w:lang w:val="fr-CA"/>
              </w:rPr>
              <w:t>(Juges Conrad, O'Brien et O'Ferrall)</w:t>
            </w:r>
          </w:p>
          <w:p w:rsidR="0014623F" w:rsidRPr="00C56FE1" w:rsidRDefault="0014623F" w:rsidP="009208D4">
            <w:pPr>
              <w:jc w:val="both"/>
              <w:rPr>
                <w:rFonts w:eastAsia="Calibri"/>
                <w:sz w:val="20"/>
                <w:lang w:val="fr-CA"/>
              </w:rPr>
            </w:pPr>
          </w:p>
        </w:tc>
        <w:tc>
          <w:tcPr>
            <w:tcW w:w="241" w:type="pct"/>
          </w:tcPr>
          <w:p w:rsidR="0014623F" w:rsidRPr="00C56FE1" w:rsidRDefault="0014623F" w:rsidP="009208D4">
            <w:pPr>
              <w:jc w:val="both"/>
              <w:rPr>
                <w:rFonts w:eastAsia="Calibri"/>
                <w:sz w:val="20"/>
                <w:lang w:val="fr-CA"/>
              </w:rPr>
            </w:pPr>
          </w:p>
        </w:tc>
        <w:tc>
          <w:tcPr>
            <w:tcW w:w="2356" w:type="pct"/>
          </w:tcPr>
          <w:p w:rsidR="0014623F" w:rsidRPr="00C56FE1" w:rsidRDefault="0014623F" w:rsidP="009208D4">
            <w:pPr>
              <w:jc w:val="both"/>
              <w:rPr>
                <w:rFonts w:eastAsia="Calibri"/>
                <w:sz w:val="20"/>
                <w:lang w:val="fr-CA"/>
              </w:rPr>
            </w:pPr>
            <w:r w:rsidRPr="00C56FE1">
              <w:rPr>
                <w:rFonts w:eastAsia="Calibri"/>
                <w:sz w:val="20"/>
                <w:lang w:val="fr-CA"/>
              </w:rPr>
              <w:t>Appel accueilli : action rejetée</w:t>
            </w:r>
          </w:p>
          <w:p w:rsidR="0014623F" w:rsidRPr="00C56FE1" w:rsidRDefault="0014623F" w:rsidP="009208D4">
            <w:pPr>
              <w:jc w:val="both"/>
              <w:rPr>
                <w:rFonts w:eastAsia="Calibri"/>
                <w:sz w:val="20"/>
                <w:lang w:val="fr-CA"/>
              </w:rPr>
            </w:pPr>
          </w:p>
        </w:tc>
      </w:tr>
      <w:tr w:rsidR="0014623F" w:rsidRPr="00C56FE1" w:rsidTr="00660D73">
        <w:trPr>
          <w:cantSplit/>
        </w:trPr>
        <w:tc>
          <w:tcPr>
            <w:tcW w:w="2403" w:type="pct"/>
          </w:tcPr>
          <w:p w:rsidR="0014623F" w:rsidRPr="00C56FE1" w:rsidRDefault="0014623F" w:rsidP="009208D4">
            <w:pPr>
              <w:jc w:val="both"/>
              <w:rPr>
                <w:rFonts w:eastAsia="Calibri"/>
                <w:sz w:val="20"/>
                <w:lang w:val="fr-CA"/>
              </w:rPr>
            </w:pPr>
            <w:r w:rsidRPr="00C56FE1">
              <w:rPr>
                <w:rFonts w:eastAsia="Calibri"/>
                <w:sz w:val="20"/>
                <w:lang w:val="fr-CA"/>
              </w:rPr>
              <w:t>20 septembre 2012</w:t>
            </w:r>
          </w:p>
          <w:p w:rsidR="0014623F" w:rsidRPr="00C56FE1" w:rsidRDefault="0014623F" w:rsidP="009208D4">
            <w:pPr>
              <w:jc w:val="both"/>
              <w:rPr>
                <w:rFonts w:eastAsia="Calibri"/>
                <w:sz w:val="20"/>
                <w:lang w:val="fr-CA"/>
              </w:rPr>
            </w:pPr>
            <w:r w:rsidRPr="00C56FE1">
              <w:rPr>
                <w:rFonts w:eastAsia="Calibri"/>
                <w:sz w:val="20"/>
                <w:lang w:val="fr-CA"/>
              </w:rPr>
              <w:t>Cour suprême du Canada</w:t>
            </w:r>
          </w:p>
        </w:tc>
        <w:tc>
          <w:tcPr>
            <w:tcW w:w="241" w:type="pct"/>
          </w:tcPr>
          <w:p w:rsidR="0014623F" w:rsidRPr="00C56FE1" w:rsidRDefault="0014623F" w:rsidP="009208D4">
            <w:pPr>
              <w:jc w:val="both"/>
              <w:rPr>
                <w:rFonts w:eastAsia="Calibri"/>
                <w:sz w:val="20"/>
                <w:lang w:val="fr-CA"/>
              </w:rPr>
            </w:pPr>
          </w:p>
        </w:tc>
        <w:tc>
          <w:tcPr>
            <w:tcW w:w="2356" w:type="pct"/>
          </w:tcPr>
          <w:p w:rsidR="0014623F" w:rsidRPr="00C56FE1" w:rsidRDefault="0014623F" w:rsidP="009208D4">
            <w:pPr>
              <w:jc w:val="both"/>
              <w:rPr>
                <w:rFonts w:eastAsia="Calibri"/>
                <w:sz w:val="20"/>
                <w:lang w:val="fr-CA"/>
              </w:rPr>
            </w:pPr>
            <w:r w:rsidRPr="00C56FE1">
              <w:rPr>
                <w:rFonts w:eastAsia="Calibri"/>
                <w:sz w:val="20"/>
                <w:lang w:val="fr-CA"/>
              </w:rPr>
              <w:t>Demande d'autorisation d'appel, déposée</w:t>
            </w:r>
          </w:p>
          <w:p w:rsidR="0014623F" w:rsidRPr="00C56FE1" w:rsidRDefault="0014623F" w:rsidP="009208D4">
            <w:pPr>
              <w:jc w:val="both"/>
              <w:rPr>
                <w:rFonts w:eastAsia="Calibri"/>
                <w:sz w:val="20"/>
                <w:lang w:val="fr-CA"/>
              </w:rPr>
            </w:pPr>
          </w:p>
        </w:tc>
      </w:tr>
    </w:tbl>
    <w:p w:rsidR="00121FCA" w:rsidRDefault="00121FCA" w:rsidP="00121FCA">
      <w:pPr>
        <w:rPr>
          <w:sz w:val="20"/>
          <w:szCs w:val="20"/>
        </w:rPr>
      </w:pPr>
    </w:p>
    <w:p w:rsidR="00121FCA" w:rsidRDefault="00CD48BC" w:rsidP="00121FCA">
      <w:pPr>
        <w:rPr>
          <w:sz w:val="20"/>
          <w:szCs w:val="20"/>
          <w:lang w:val="fr-CA"/>
        </w:rPr>
      </w:pPr>
      <w:r w:rsidRPr="00CD48BC">
        <w:rPr>
          <w:sz w:val="20"/>
          <w:szCs w:val="20"/>
          <w:lang w:val="fr-CA"/>
        </w:rPr>
        <w:pict>
          <v:rect id="_x0000_i1051" style="width:2in;height:1pt" o:hrpct="0" o:hralign="center" o:hrstd="t" o:hrnoshade="t" o:hr="t" fillcolor="black [3213]" stroked="f"/>
        </w:pict>
      </w:r>
    </w:p>
    <w:p w:rsidR="00121FCA" w:rsidRDefault="00121FCA" w:rsidP="00121FC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A75E7" w:rsidRPr="00334802" w:rsidTr="003B435E">
        <w:trPr>
          <w:cantSplit/>
        </w:trPr>
        <w:tc>
          <w:tcPr>
            <w:tcW w:w="1458" w:type="dxa"/>
          </w:tcPr>
          <w:p w:rsidR="000A75E7" w:rsidRPr="00DE03BF" w:rsidRDefault="000A75E7" w:rsidP="003B435E">
            <w:pPr>
              <w:rPr>
                <w:sz w:val="20"/>
                <w:szCs w:val="20"/>
              </w:rPr>
            </w:pPr>
            <w:r w:rsidRPr="00DE03BF">
              <w:rPr>
                <w:rStyle w:val="SCCFileNumberChar"/>
                <w:sz w:val="20"/>
                <w:szCs w:val="20"/>
              </w:rPr>
              <w:t>34985</w:t>
            </w:r>
          </w:p>
          <w:p w:rsidR="000A75E7" w:rsidRPr="00DE03BF" w:rsidRDefault="000A75E7" w:rsidP="003B435E">
            <w:pPr>
              <w:rPr>
                <w:b/>
                <w:sz w:val="20"/>
                <w:szCs w:val="20"/>
                <w:lang w:val="fr-CA"/>
              </w:rPr>
            </w:pPr>
          </w:p>
        </w:tc>
        <w:tc>
          <w:tcPr>
            <w:tcW w:w="8118" w:type="dxa"/>
          </w:tcPr>
          <w:p w:rsidR="000A75E7" w:rsidRPr="00DE03BF" w:rsidRDefault="000A75E7" w:rsidP="003B435E">
            <w:pPr>
              <w:jc w:val="both"/>
              <w:rPr>
                <w:sz w:val="20"/>
                <w:szCs w:val="20"/>
                <w:lang w:val="fr-CA"/>
              </w:rPr>
            </w:pPr>
            <w:r w:rsidRPr="00DE03BF">
              <w:rPr>
                <w:rStyle w:val="SCCLsocChar"/>
                <w:sz w:val="20"/>
                <w:szCs w:val="20"/>
              </w:rPr>
              <w:t>Axor Construction Canada inc.</w:t>
            </w:r>
            <w:r w:rsidR="00F02CD9">
              <w:rPr>
                <w:rStyle w:val="SCCLsocChar"/>
                <w:sz w:val="20"/>
                <w:szCs w:val="20"/>
              </w:rPr>
              <w:t xml:space="preserve"> et</w:t>
            </w:r>
            <w:r w:rsidRPr="00DE03BF">
              <w:rPr>
                <w:rStyle w:val="SCCLsocChar"/>
                <w:sz w:val="20"/>
                <w:szCs w:val="20"/>
              </w:rPr>
              <w:t xml:space="preserve"> Compagnie d'Assurance Travelers du Canada aux droits de Compagnie d'Assurance London Garantie c. Bibliothèque et Archives Nationales du Québec</w:t>
            </w:r>
            <w:r w:rsidRPr="00DE03BF">
              <w:rPr>
                <w:sz w:val="20"/>
                <w:szCs w:val="20"/>
                <w:lang w:val="fr-CA"/>
              </w:rPr>
              <w:t xml:space="preserve"> (Qc) (Civile) (Autorisation)</w:t>
            </w:r>
          </w:p>
          <w:p w:rsidR="000A75E7" w:rsidRPr="00DE03BF" w:rsidRDefault="000A75E7" w:rsidP="003B435E">
            <w:pPr>
              <w:jc w:val="both"/>
              <w:rPr>
                <w:sz w:val="20"/>
                <w:szCs w:val="20"/>
                <w:lang w:val="fr-CA"/>
              </w:rPr>
            </w:pPr>
          </w:p>
        </w:tc>
      </w:tr>
      <w:tr w:rsidR="000A75E7" w:rsidRPr="00334802" w:rsidTr="003B435E">
        <w:trPr>
          <w:cantSplit/>
        </w:trPr>
        <w:tc>
          <w:tcPr>
            <w:tcW w:w="1458" w:type="dxa"/>
          </w:tcPr>
          <w:p w:rsidR="000A75E7" w:rsidRPr="00F02CD9" w:rsidRDefault="000A75E7" w:rsidP="003B435E">
            <w:pPr>
              <w:rPr>
                <w:sz w:val="20"/>
                <w:szCs w:val="20"/>
                <w:lang w:val="fr-CA"/>
              </w:rPr>
            </w:pPr>
            <w:r w:rsidRPr="00F02CD9">
              <w:rPr>
                <w:sz w:val="20"/>
                <w:szCs w:val="20"/>
                <w:lang w:val="fr-CA"/>
              </w:rPr>
              <w:t>Coram :</w:t>
            </w:r>
          </w:p>
        </w:tc>
        <w:tc>
          <w:tcPr>
            <w:tcW w:w="8118" w:type="dxa"/>
          </w:tcPr>
          <w:p w:rsidR="000A75E7" w:rsidRPr="00DE03BF" w:rsidRDefault="000A75E7" w:rsidP="003B435E">
            <w:pPr>
              <w:rPr>
                <w:sz w:val="20"/>
                <w:szCs w:val="20"/>
                <w:lang w:val="fr-CA"/>
              </w:rPr>
            </w:pPr>
            <w:r w:rsidRPr="00DE03BF">
              <w:rPr>
                <w:rStyle w:val="SCCCoramChar"/>
                <w:sz w:val="20"/>
                <w:szCs w:val="20"/>
              </w:rPr>
              <w:t>Les juges LeBel, Karakatsanis et Wagner</w:t>
            </w:r>
          </w:p>
          <w:p w:rsidR="000A75E7" w:rsidRPr="00DE03BF" w:rsidRDefault="000A75E7" w:rsidP="003B435E">
            <w:pPr>
              <w:rPr>
                <w:sz w:val="20"/>
                <w:szCs w:val="20"/>
                <w:u w:val="single"/>
                <w:lang w:val="fr-CA"/>
              </w:rPr>
            </w:pPr>
          </w:p>
        </w:tc>
      </w:tr>
      <w:tr w:rsidR="000A75E7" w:rsidRPr="00DE03BF" w:rsidTr="003B435E">
        <w:trPr>
          <w:cantSplit/>
        </w:trPr>
        <w:tc>
          <w:tcPr>
            <w:tcW w:w="9576" w:type="dxa"/>
            <w:gridSpan w:val="2"/>
          </w:tcPr>
          <w:p w:rsidR="000A75E7" w:rsidRPr="00DE03BF" w:rsidRDefault="000A75E7" w:rsidP="003B435E">
            <w:pPr>
              <w:pStyle w:val="SCCShortJudgment"/>
              <w:rPr>
                <w:szCs w:val="20"/>
                <w:lang w:val="fr-CA"/>
              </w:rPr>
            </w:pPr>
            <w:r w:rsidRPr="00DE03BF">
              <w:rPr>
                <w:szCs w:val="20"/>
                <w:lang w:val="fr-CA"/>
              </w:rPr>
              <w:t>La demande d’autorisation d’appel de l’arrêt de la Cour d’appel du Québec (Montréal), numéro 500-09-020939-104, 2012 QCCA 1228, daté du 29 juin 2012, est rejetée avec dépens.</w:t>
            </w:r>
          </w:p>
          <w:p w:rsidR="000A75E7" w:rsidRPr="00DE03BF" w:rsidRDefault="000A75E7" w:rsidP="003B435E">
            <w:pPr>
              <w:pStyle w:val="SCCShortJudgment"/>
              <w:ind w:firstLine="0"/>
              <w:rPr>
                <w:szCs w:val="20"/>
                <w:lang w:val="fr-CA"/>
              </w:rPr>
            </w:pPr>
          </w:p>
          <w:p w:rsidR="000A75E7" w:rsidRPr="00DE03BF" w:rsidRDefault="000A75E7" w:rsidP="003B435E">
            <w:pPr>
              <w:pStyle w:val="SCCShortJudgment"/>
              <w:rPr>
                <w:szCs w:val="20"/>
              </w:rPr>
            </w:pPr>
            <w:r w:rsidRPr="00DE03BF">
              <w:rPr>
                <w:szCs w:val="20"/>
              </w:rPr>
              <w:t>The application for leave to appeal from the judgment of the Court of Appeal of Quebec (Montréal), Number 500-09-020939-104, 2012 QCCA 1228, dated June 29, 2012, is dismissed with costs.</w:t>
            </w:r>
          </w:p>
        </w:tc>
      </w:tr>
    </w:tbl>
    <w:p w:rsidR="00121FCA" w:rsidRDefault="00121FCA" w:rsidP="00121FCA">
      <w:pPr>
        <w:rPr>
          <w:sz w:val="20"/>
          <w:szCs w:val="20"/>
        </w:rPr>
      </w:pPr>
    </w:p>
    <w:p w:rsidR="00121FCA" w:rsidRPr="001B157C" w:rsidRDefault="00121FCA" w:rsidP="00121FCA">
      <w:pPr>
        <w:rPr>
          <w:sz w:val="20"/>
          <w:szCs w:val="20"/>
          <w:u w:val="single"/>
        </w:rPr>
      </w:pPr>
      <w:r w:rsidRPr="001B157C">
        <w:rPr>
          <w:sz w:val="20"/>
          <w:szCs w:val="20"/>
          <w:u w:val="single"/>
        </w:rPr>
        <w:t>CASE SUMMARY</w:t>
      </w:r>
    </w:p>
    <w:p w:rsidR="00121FCA" w:rsidRDefault="00121FCA" w:rsidP="00121F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C6775" w:rsidRPr="00C56FE1" w:rsidTr="009208D4">
        <w:tc>
          <w:tcPr>
            <w:tcW w:w="5000" w:type="pct"/>
            <w:gridSpan w:val="3"/>
          </w:tcPr>
          <w:p w:rsidR="00AC6775" w:rsidRPr="00C56FE1" w:rsidRDefault="00AC6775" w:rsidP="009208D4">
            <w:pPr>
              <w:jc w:val="both"/>
              <w:rPr>
                <w:rFonts w:eastAsia="Calibri"/>
                <w:sz w:val="20"/>
              </w:rPr>
            </w:pPr>
            <w:r w:rsidRPr="00C56FE1">
              <w:rPr>
                <w:rFonts w:eastAsia="Calibri"/>
                <w:sz w:val="20"/>
              </w:rPr>
              <w:t>Administrative law – Public contracts – Consequences of call for tenders – Project to build Bibliothèque nationale du Québec with call for tenders without disclosure of budget – Tenders all exceeding previously authorized cost limit – Negotiation and impasse – Client deciding to accept best tender by obtaining budget increase – Company refusing to enter into contract on those conditions – Mutual actions in damages – Whether Court of Appeal wrongly affirmed lawfulness of respondent institution’s actions – Whether Court of Appeal wrongly affirmed fault of applicant company.</w:t>
            </w:r>
          </w:p>
        </w:tc>
      </w:tr>
      <w:tr w:rsidR="00AC6775" w:rsidRPr="00C56FE1" w:rsidTr="009208D4">
        <w:tc>
          <w:tcPr>
            <w:tcW w:w="5000" w:type="pct"/>
            <w:gridSpan w:val="3"/>
          </w:tcPr>
          <w:p w:rsidR="00AC6775" w:rsidRPr="00C56FE1" w:rsidRDefault="00AC6775" w:rsidP="009208D4">
            <w:pPr>
              <w:jc w:val="both"/>
              <w:rPr>
                <w:rFonts w:eastAsia="Calibri"/>
                <w:sz w:val="20"/>
              </w:rPr>
            </w:pPr>
          </w:p>
        </w:tc>
      </w:tr>
      <w:tr w:rsidR="00AC6775" w:rsidRPr="00C56FE1" w:rsidTr="009208D4">
        <w:tc>
          <w:tcPr>
            <w:tcW w:w="5000" w:type="pct"/>
            <w:gridSpan w:val="3"/>
          </w:tcPr>
          <w:p w:rsidR="00AC6775" w:rsidRPr="00C56FE1" w:rsidRDefault="00AC6775" w:rsidP="009208D4">
            <w:pPr>
              <w:jc w:val="both"/>
              <w:rPr>
                <w:rFonts w:eastAsia="Calibri"/>
                <w:sz w:val="20"/>
              </w:rPr>
            </w:pPr>
            <w:r w:rsidRPr="00C56FE1">
              <w:rPr>
                <w:rFonts w:eastAsia="Calibri"/>
                <w:sz w:val="20"/>
              </w:rPr>
              <w:t xml:space="preserve">In November 1999, the respondent institution’s board of governors adopted an immovable creation plan with a total budget of $90.6 million approved by the Quebec government.  In the summer of 2002, a call for tenders was issued for the final phase of the project, the actual construction of the library, for which there was an envelope of $54.6 million.  The call for tenders specified that the contract amount could not exceed the authorized cost, which was not disclosed; however, if all the proposals exceeded the authorized cost, the institution could negotiate with the candidate with the best tender if its tender did not exceed the authorized cost by more than 10%.  The candidate with the best tender undertook to sign a contract within 15 days of being invited to do so.  If it failed to sign a contract within that time, it became liable for the resulting additional costs.  The institution received nine tenders.  Axor’s tender of $57.4 million was the lowest, although it exceeded the authorized cost by $2.8 million.  Negotiations were held but broke down.  The board of governors chose to comply with the initial plans, so it asked the Minister to authorize the signing of a contract with Axor for the amount proposed by Axor.  Axor did not accept that solution and insisted on negotiating a cost reduction.  The contract was awarded to the second competing candidate for a higher amount.  Axor instituted an action in damages against BNAQ based on the loss of the contract.  BNAQ filed an action in damages against Axor for </w:t>
            </w:r>
            <w:r w:rsidRPr="00C56FE1">
              <w:rPr>
                <w:rFonts w:eastAsia="Calibri"/>
                <w:sz w:val="20"/>
              </w:rPr>
              <w:lastRenderedPageBreak/>
              <w:t>the difference in costs.</w:t>
            </w:r>
          </w:p>
          <w:p w:rsidR="00AC6775" w:rsidRPr="00C56FE1" w:rsidRDefault="00AC6775" w:rsidP="009208D4">
            <w:pPr>
              <w:jc w:val="both"/>
              <w:rPr>
                <w:rFonts w:eastAsia="Calibri"/>
                <w:sz w:val="20"/>
              </w:rPr>
            </w:pPr>
            <w:r w:rsidRPr="00C56FE1">
              <w:rPr>
                <w:rFonts w:eastAsia="Calibri"/>
                <w:sz w:val="20"/>
              </w:rPr>
              <w:t xml:space="preserve"> </w:t>
            </w:r>
          </w:p>
        </w:tc>
      </w:tr>
      <w:tr w:rsidR="00AC6775" w:rsidRPr="00C56FE1" w:rsidTr="009208D4">
        <w:tc>
          <w:tcPr>
            <w:tcW w:w="2427" w:type="pct"/>
          </w:tcPr>
          <w:p w:rsidR="00AC6775" w:rsidRPr="00C56FE1" w:rsidRDefault="00AC6775" w:rsidP="009208D4">
            <w:pPr>
              <w:jc w:val="both"/>
              <w:rPr>
                <w:rFonts w:eastAsia="Calibri"/>
                <w:sz w:val="20"/>
              </w:rPr>
            </w:pPr>
            <w:r w:rsidRPr="00C56FE1">
              <w:rPr>
                <w:rFonts w:eastAsia="Calibri"/>
                <w:sz w:val="20"/>
              </w:rPr>
              <w:lastRenderedPageBreak/>
              <w:t>July 14, 2010</w:t>
            </w:r>
          </w:p>
          <w:p w:rsidR="00AC6775" w:rsidRPr="00C56FE1" w:rsidRDefault="00AC6775" w:rsidP="009208D4">
            <w:pPr>
              <w:jc w:val="both"/>
              <w:rPr>
                <w:rFonts w:eastAsia="Calibri"/>
                <w:sz w:val="20"/>
              </w:rPr>
            </w:pPr>
            <w:r w:rsidRPr="00C56FE1">
              <w:rPr>
                <w:rFonts w:eastAsia="Calibri"/>
                <w:sz w:val="20"/>
              </w:rPr>
              <w:t>Quebec Superior Court</w:t>
            </w:r>
          </w:p>
          <w:p w:rsidR="00AC6775" w:rsidRPr="00C56FE1" w:rsidRDefault="00AC6775" w:rsidP="009208D4">
            <w:pPr>
              <w:jc w:val="both"/>
              <w:rPr>
                <w:rFonts w:eastAsia="Calibri"/>
                <w:sz w:val="20"/>
              </w:rPr>
            </w:pPr>
            <w:r w:rsidRPr="00C56FE1">
              <w:rPr>
                <w:rFonts w:eastAsia="Calibri"/>
                <w:sz w:val="20"/>
              </w:rPr>
              <w:t>(Monast J.)</w:t>
            </w:r>
          </w:p>
          <w:p w:rsidR="00AC6775" w:rsidRPr="00C56FE1" w:rsidRDefault="00AC6775" w:rsidP="009208D4">
            <w:pPr>
              <w:jc w:val="both"/>
              <w:rPr>
                <w:rFonts w:eastAsia="Calibri"/>
                <w:sz w:val="20"/>
              </w:rPr>
            </w:pPr>
            <w:r w:rsidRPr="00C56FE1">
              <w:rPr>
                <w:rFonts w:eastAsia="Calibri"/>
                <w:sz w:val="20"/>
              </w:rPr>
              <w:t>2010 QCCS 3232</w:t>
            </w:r>
          </w:p>
          <w:p w:rsidR="00AC6775" w:rsidRPr="00C56FE1" w:rsidRDefault="00AC6775" w:rsidP="009208D4">
            <w:pPr>
              <w:jc w:val="both"/>
              <w:rPr>
                <w:rFonts w:eastAsia="Calibri"/>
                <w:sz w:val="20"/>
              </w:rPr>
            </w:pPr>
          </w:p>
        </w:tc>
        <w:tc>
          <w:tcPr>
            <w:tcW w:w="243" w:type="pct"/>
          </w:tcPr>
          <w:p w:rsidR="00AC6775" w:rsidRPr="00C56FE1" w:rsidRDefault="00AC6775" w:rsidP="009208D4">
            <w:pPr>
              <w:jc w:val="both"/>
              <w:rPr>
                <w:rFonts w:eastAsia="Calibri"/>
                <w:sz w:val="20"/>
              </w:rPr>
            </w:pPr>
          </w:p>
        </w:tc>
        <w:tc>
          <w:tcPr>
            <w:tcW w:w="2330" w:type="pct"/>
          </w:tcPr>
          <w:p w:rsidR="00AC6775" w:rsidRPr="00C56FE1" w:rsidRDefault="00AC6775" w:rsidP="009208D4">
            <w:pPr>
              <w:jc w:val="both"/>
              <w:rPr>
                <w:rFonts w:eastAsia="Calibri"/>
                <w:sz w:val="20"/>
              </w:rPr>
            </w:pPr>
            <w:r w:rsidRPr="00C56FE1">
              <w:rPr>
                <w:rFonts w:eastAsia="Calibri"/>
                <w:sz w:val="20"/>
              </w:rPr>
              <w:t>Applicants’ actions dismissed; respondent’s action allowed</w:t>
            </w:r>
          </w:p>
        </w:tc>
      </w:tr>
      <w:tr w:rsidR="00AC6775" w:rsidRPr="00C56FE1" w:rsidTr="009208D4">
        <w:tc>
          <w:tcPr>
            <w:tcW w:w="2427" w:type="pct"/>
          </w:tcPr>
          <w:p w:rsidR="00AC6775" w:rsidRPr="00C56FE1" w:rsidRDefault="00AC6775" w:rsidP="009208D4">
            <w:pPr>
              <w:jc w:val="both"/>
              <w:rPr>
                <w:rFonts w:eastAsia="Calibri"/>
                <w:sz w:val="20"/>
              </w:rPr>
            </w:pPr>
            <w:r w:rsidRPr="00C56FE1">
              <w:rPr>
                <w:rFonts w:eastAsia="Calibri"/>
                <w:sz w:val="20"/>
              </w:rPr>
              <w:t>June 29, 2012</w:t>
            </w:r>
          </w:p>
          <w:p w:rsidR="00AC6775" w:rsidRPr="00C56FE1" w:rsidRDefault="00AC6775" w:rsidP="009208D4">
            <w:pPr>
              <w:jc w:val="both"/>
              <w:rPr>
                <w:rFonts w:eastAsia="Calibri"/>
                <w:sz w:val="20"/>
              </w:rPr>
            </w:pPr>
            <w:r w:rsidRPr="00C56FE1">
              <w:rPr>
                <w:rFonts w:eastAsia="Calibri"/>
                <w:sz w:val="20"/>
              </w:rPr>
              <w:t>Quebec Court of Appeal (Montréal)</w:t>
            </w:r>
          </w:p>
          <w:p w:rsidR="00AC6775" w:rsidRPr="00C56FE1" w:rsidRDefault="00AC6775" w:rsidP="009208D4">
            <w:pPr>
              <w:jc w:val="both"/>
              <w:rPr>
                <w:rFonts w:eastAsia="Calibri"/>
                <w:sz w:val="20"/>
                <w:lang w:val="fr-CA"/>
              </w:rPr>
            </w:pPr>
            <w:r w:rsidRPr="00C56FE1">
              <w:rPr>
                <w:rFonts w:eastAsia="Calibri"/>
                <w:sz w:val="20"/>
                <w:lang w:val="fr-CA"/>
              </w:rPr>
              <w:t>(Doyon, Léger and Viens JJ.A.)</w:t>
            </w:r>
          </w:p>
          <w:p w:rsidR="00AC6775" w:rsidRPr="00C56FE1" w:rsidRDefault="00AC6775" w:rsidP="009208D4">
            <w:pPr>
              <w:jc w:val="both"/>
              <w:rPr>
                <w:rFonts w:eastAsia="Calibri"/>
                <w:sz w:val="20"/>
              </w:rPr>
            </w:pPr>
            <w:r w:rsidRPr="00C56FE1">
              <w:rPr>
                <w:rFonts w:eastAsia="Calibri"/>
                <w:sz w:val="20"/>
              </w:rPr>
              <w:t>2012 QCCA 1228</w:t>
            </w:r>
          </w:p>
          <w:p w:rsidR="00AC6775" w:rsidRPr="00C56FE1" w:rsidRDefault="00AC6775" w:rsidP="009208D4">
            <w:pPr>
              <w:jc w:val="both"/>
              <w:rPr>
                <w:rFonts w:eastAsia="Calibri"/>
                <w:sz w:val="20"/>
              </w:rPr>
            </w:pPr>
          </w:p>
        </w:tc>
        <w:tc>
          <w:tcPr>
            <w:tcW w:w="243" w:type="pct"/>
          </w:tcPr>
          <w:p w:rsidR="00AC6775" w:rsidRPr="00C56FE1" w:rsidRDefault="00AC6775" w:rsidP="009208D4">
            <w:pPr>
              <w:jc w:val="both"/>
              <w:rPr>
                <w:rFonts w:eastAsia="Calibri"/>
                <w:sz w:val="20"/>
              </w:rPr>
            </w:pPr>
          </w:p>
        </w:tc>
        <w:tc>
          <w:tcPr>
            <w:tcW w:w="2330" w:type="pct"/>
          </w:tcPr>
          <w:p w:rsidR="00AC6775" w:rsidRPr="00C56FE1" w:rsidRDefault="00AC6775" w:rsidP="009208D4">
            <w:pPr>
              <w:jc w:val="both"/>
              <w:rPr>
                <w:rFonts w:eastAsia="Calibri"/>
                <w:sz w:val="20"/>
              </w:rPr>
            </w:pPr>
            <w:r w:rsidRPr="00C56FE1">
              <w:rPr>
                <w:rFonts w:eastAsia="Calibri"/>
                <w:sz w:val="20"/>
              </w:rPr>
              <w:t>Applicants’ appeal dismissed</w:t>
            </w:r>
          </w:p>
        </w:tc>
      </w:tr>
      <w:tr w:rsidR="00AC6775" w:rsidRPr="00C56FE1" w:rsidTr="009208D4">
        <w:tc>
          <w:tcPr>
            <w:tcW w:w="2427" w:type="pct"/>
          </w:tcPr>
          <w:p w:rsidR="00AC6775" w:rsidRPr="00C56FE1" w:rsidRDefault="00AC6775" w:rsidP="009208D4">
            <w:pPr>
              <w:jc w:val="both"/>
              <w:rPr>
                <w:rFonts w:eastAsia="Calibri"/>
                <w:sz w:val="20"/>
              </w:rPr>
            </w:pPr>
            <w:r w:rsidRPr="00C56FE1">
              <w:rPr>
                <w:rFonts w:eastAsia="Calibri"/>
                <w:sz w:val="20"/>
              </w:rPr>
              <w:t>September 25, 2012</w:t>
            </w:r>
          </w:p>
          <w:p w:rsidR="00AC6775" w:rsidRPr="00C56FE1" w:rsidRDefault="00AC6775" w:rsidP="009208D4">
            <w:pPr>
              <w:jc w:val="both"/>
              <w:rPr>
                <w:rFonts w:eastAsia="Calibri"/>
                <w:sz w:val="20"/>
              </w:rPr>
            </w:pPr>
            <w:r w:rsidRPr="00C56FE1">
              <w:rPr>
                <w:rFonts w:eastAsia="Calibri"/>
                <w:sz w:val="20"/>
              </w:rPr>
              <w:t>Supreme Court of Canada</w:t>
            </w:r>
          </w:p>
        </w:tc>
        <w:tc>
          <w:tcPr>
            <w:tcW w:w="243" w:type="pct"/>
          </w:tcPr>
          <w:p w:rsidR="00AC6775" w:rsidRPr="00C56FE1" w:rsidRDefault="00AC6775" w:rsidP="009208D4">
            <w:pPr>
              <w:jc w:val="both"/>
              <w:rPr>
                <w:rFonts w:eastAsia="Calibri"/>
                <w:sz w:val="20"/>
              </w:rPr>
            </w:pPr>
          </w:p>
        </w:tc>
        <w:tc>
          <w:tcPr>
            <w:tcW w:w="2330" w:type="pct"/>
          </w:tcPr>
          <w:p w:rsidR="00AC6775" w:rsidRPr="00C56FE1" w:rsidRDefault="00AC6775" w:rsidP="009208D4">
            <w:pPr>
              <w:jc w:val="both"/>
              <w:rPr>
                <w:rFonts w:eastAsia="Calibri"/>
                <w:sz w:val="20"/>
              </w:rPr>
            </w:pPr>
            <w:r w:rsidRPr="00C56FE1">
              <w:rPr>
                <w:rFonts w:eastAsia="Calibri"/>
                <w:sz w:val="20"/>
              </w:rPr>
              <w:t>Application for leave to appeal filed</w:t>
            </w:r>
          </w:p>
          <w:p w:rsidR="00AC6775" w:rsidRPr="00C56FE1" w:rsidRDefault="00AC6775" w:rsidP="009208D4">
            <w:pPr>
              <w:jc w:val="both"/>
              <w:rPr>
                <w:rFonts w:eastAsia="Calibri"/>
                <w:sz w:val="20"/>
              </w:rPr>
            </w:pPr>
          </w:p>
        </w:tc>
      </w:tr>
    </w:tbl>
    <w:p w:rsidR="00121FCA" w:rsidRDefault="00121FCA" w:rsidP="00121FCA">
      <w:pPr>
        <w:rPr>
          <w:sz w:val="20"/>
          <w:szCs w:val="20"/>
        </w:rPr>
      </w:pPr>
    </w:p>
    <w:p w:rsidR="00121FCA" w:rsidRPr="00C50A5C" w:rsidRDefault="00CD48BC" w:rsidP="00121FCA">
      <w:pPr>
        <w:rPr>
          <w:sz w:val="20"/>
          <w:szCs w:val="20"/>
        </w:rPr>
      </w:pPr>
      <w:r w:rsidRPr="00CD48BC">
        <w:rPr>
          <w:sz w:val="20"/>
          <w:szCs w:val="20"/>
          <w:lang w:val="fr-CA"/>
        </w:rPr>
        <w:pict>
          <v:rect id="_x0000_i1052" style="width:2in;height:1pt" o:hrpct="0" o:hralign="center" o:hrstd="t" o:hrnoshade="t" o:hr="t" fillcolor="black [3213]" stroked="f"/>
        </w:pict>
      </w:r>
    </w:p>
    <w:p w:rsidR="00121FCA" w:rsidRDefault="00121FCA" w:rsidP="00121FCA">
      <w:pPr>
        <w:rPr>
          <w:sz w:val="20"/>
          <w:szCs w:val="20"/>
        </w:rPr>
      </w:pPr>
    </w:p>
    <w:p w:rsidR="00121FCA" w:rsidRPr="001B157C" w:rsidRDefault="00121FCA" w:rsidP="00121FCA">
      <w:pPr>
        <w:rPr>
          <w:sz w:val="20"/>
          <w:szCs w:val="20"/>
          <w:u w:val="single"/>
          <w:lang w:val="fr-CA"/>
        </w:rPr>
      </w:pPr>
      <w:r w:rsidRPr="001B157C">
        <w:rPr>
          <w:sz w:val="20"/>
          <w:szCs w:val="20"/>
          <w:u w:val="single"/>
          <w:lang w:val="fr-CA"/>
        </w:rPr>
        <w:t>RÉSUMÉ DE L’AFFAIRE</w:t>
      </w:r>
    </w:p>
    <w:p w:rsidR="00121FCA" w:rsidRDefault="00121FCA" w:rsidP="00121F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C6775" w:rsidRPr="00334802" w:rsidTr="009208D4">
        <w:tc>
          <w:tcPr>
            <w:tcW w:w="5000" w:type="pct"/>
            <w:gridSpan w:val="3"/>
          </w:tcPr>
          <w:p w:rsidR="00AC6775" w:rsidRPr="00C56FE1" w:rsidRDefault="00AC6775" w:rsidP="009208D4">
            <w:pPr>
              <w:jc w:val="both"/>
              <w:rPr>
                <w:rFonts w:eastAsia="Calibri"/>
                <w:sz w:val="20"/>
                <w:lang w:val="fr-CA"/>
              </w:rPr>
            </w:pPr>
            <w:r w:rsidRPr="00C56FE1">
              <w:rPr>
                <w:rFonts w:eastAsia="Calibri"/>
                <w:sz w:val="20"/>
                <w:lang w:val="fr-CA"/>
              </w:rPr>
              <w:t>Droit administratif – Contrats publics – Conséquences d’un appel d’offres – Projet de construction de la Bibliothèque nationale du Québec avec appel d’offres sans dévoilement de budget – Offres dépassant toutes la limite de coûts jusque-là autorisée – Négociation et impasse - Décision du donneur d’ouvrage d’accepter la meilleure offre en obtenant une augmentation de budget – Refus de l’entreprise de contracter à ces conditions – Poursuites mutuelles en dommages-intérêts – La Cour d’appel a-t-elle confirmé à tort la légalité des agissements de l’institution intimée? – La Cour d’appel a-t-elle confirmé à tort la faute de l’entreprise demanderesse?</w:t>
            </w:r>
          </w:p>
        </w:tc>
      </w:tr>
      <w:tr w:rsidR="00AC6775" w:rsidRPr="00334802" w:rsidTr="009208D4">
        <w:tc>
          <w:tcPr>
            <w:tcW w:w="5000" w:type="pct"/>
            <w:gridSpan w:val="3"/>
          </w:tcPr>
          <w:p w:rsidR="00AC6775" w:rsidRPr="00C56FE1" w:rsidRDefault="00AC6775" w:rsidP="009208D4">
            <w:pPr>
              <w:jc w:val="both"/>
              <w:rPr>
                <w:rFonts w:eastAsia="Calibri"/>
                <w:sz w:val="20"/>
                <w:lang w:val="fr-CA"/>
              </w:rPr>
            </w:pPr>
          </w:p>
        </w:tc>
      </w:tr>
      <w:tr w:rsidR="00AC6775" w:rsidRPr="00334802" w:rsidTr="009208D4">
        <w:tc>
          <w:tcPr>
            <w:tcW w:w="5000" w:type="pct"/>
            <w:gridSpan w:val="3"/>
          </w:tcPr>
          <w:p w:rsidR="00AC6775" w:rsidRPr="00C56FE1" w:rsidRDefault="00AC6775" w:rsidP="009208D4">
            <w:pPr>
              <w:jc w:val="both"/>
              <w:rPr>
                <w:rFonts w:eastAsia="Calibri"/>
                <w:sz w:val="20"/>
                <w:lang w:val="fr-CA"/>
              </w:rPr>
            </w:pPr>
            <w:r w:rsidRPr="00C56FE1">
              <w:rPr>
                <w:rFonts w:eastAsia="Calibri"/>
                <w:sz w:val="20"/>
                <w:lang w:val="fr-CA"/>
              </w:rPr>
              <w:t>Le conseil d’administration de l’institution intimée adopte, en novembre 1999, un plan de création immobilière pour un budget total de 90,6 M$, approuvé par le gouvernement du Québec.  À l’été 2002, un appel d’offres est lancé pour la phase ultime du projet, soit la construction même de la bibliothèque; l’enveloppe prévue à cette fin est de 54,6 M$.  Selon l’appel d’offres, le montant du contrat ne peut dépasser le coût autorisé, qui n’est pas dévoilé ; advenant le cas, toutefois, où toutes les propositions dépassent le coût autorisé, l’institution peut négocier avec le candidat ayant fait la meilleure offre si le dépassement n’excède pas 10%.  Le candidat ayant déposé la meilleure offre s’engage pour sa part à signer le contrat dans les quinze jours de l’invitation qu’il reçoit à cet effet, à défaut de quoi il devient responsable des coûts supplémentaires résultant de son défaut.  L’institution reçoit neuf offres.  Celle d’Axor est la moins coûteuse bien qu’à 57,4 M$, elle dépasse de 2,8 M$ le coût autorisé.  Des négociations surviennent mais achoppent.  Le conseil d’administration choisit de respecter les plans initiaux; il demande donc à la ministre d’autoriser la signature du contrat avec Axor pour le montant proposé par celle-ci.  Axor refuse cette solution et insiste pour négocier la réduction des coûts. Le contrat est adjugé au deuxième candidat en lice, pour un montant supérieur. Axor entreprend une action en dommages-intérêts contre BNAQ pour la perte du contrat.  BNAQ dépose une action en dommages-intérêts contre Axor pour la différence de coûts.</w:t>
            </w:r>
          </w:p>
          <w:p w:rsidR="00AC6775" w:rsidRPr="00C56FE1" w:rsidRDefault="00AC6775" w:rsidP="009208D4">
            <w:pPr>
              <w:jc w:val="both"/>
              <w:rPr>
                <w:rFonts w:eastAsia="Calibri"/>
                <w:sz w:val="20"/>
                <w:lang w:val="fr-CA"/>
              </w:rPr>
            </w:pPr>
            <w:r w:rsidRPr="00C56FE1">
              <w:rPr>
                <w:rFonts w:eastAsia="Calibri"/>
                <w:sz w:val="20"/>
                <w:lang w:val="fr-CA"/>
              </w:rPr>
              <w:t xml:space="preserve"> </w:t>
            </w:r>
          </w:p>
        </w:tc>
      </w:tr>
      <w:tr w:rsidR="00AC6775" w:rsidRPr="00334802" w:rsidTr="009208D4">
        <w:tc>
          <w:tcPr>
            <w:tcW w:w="2427" w:type="pct"/>
          </w:tcPr>
          <w:p w:rsidR="00AC6775" w:rsidRPr="00C56FE1" w:rsidRDefault="00AC6775" w:rsidP="009208D4">
            <w:pPr>
              <w:jc w:val="both"/>
              <w:rPr>
                <w:rFonts w:eastAsia="Calibri"/>
                <w:sz w:val="20"/>
                <w:lang w:val="fr-CA"/>
              </w:rPr>
            </w:pPr>
            <w:r w:rsidRPr="00C56FE1">
              <w:rPr>
                <w:rFonts w:eastAsia="Calibri"/>
                <w:sz w:val="20"/>
                <w:lang w:val="fr-CA"/>
              </w:rPr>
              <w:t>Le 14 juillet 2010</w:t>
            </w:r>
          </w:p>
          <w:p w:rsidR="00AC6775" w:rsidRPr="00C56FE1" w:rsidRDefault="00AC6775" w:rsidP="009208D4">
            <w:pPr>
              <w:jc w:val="both"/>
              <w:rPr>
                <w:rFonts w:eastAsia="Calibri"/>
                <w:sz w:val="20"/>
                <w:lang w:val="fr-CA"/>
              </w:rPr>
            </w:pPr>
            <w:r w:rsidRPr="00C56FE1">
              <w:rPr>
                <w:rFonts w:eastAsia="Calibri"/>
                <w:sz w:val="20"/>
                <w:lang w:val="fr-CA"/>
              </w:rPr>
              <w:t>Cour supérieure du Québec</w:t>
            </w:r>
          </w:p>
          <w:p w:rsidR="00AC6775" w:rsidRPr="00C56FE1" w:rsidRDefault="00AC6775" w:rsidP="009208D4">
            <w:pPr>
              <w:jc w:val="both"/>
              <w:rPr>
                <w:rFonts w:eastAsia="Calibri"/>
                <w:sz w:val="20"/>
                <w:lang w:val="fr-CA"/>
              </w:rPr>
            </w:pPr>
            <w:r w:rsidRPr="00C56FE1">
              <w:rPr>
                <w:rFonts w:eastAsia="Calibri"/>
                <w:sz w:val="20"/>
                <w:lang w:val="fr-CA"/>
              </w:rPr>
              <w:t>(La juge Monast)</w:t>
            </w:r>
          </w:p>
          <w:p w:rsidR="00AC6775" w:rsidRPr="00C56FE1" w:rsidRDefault="00AC6775" w:rsidP="009208D4">
            <w:pPr>
              <w:jc w:val="both"/>
              <w:rPr>
                <w:rFonts w:eastAsia="Calibri"/>
                <w:sz w:val="20"/>
                <w:lang w:val="fr-CA"/>
              </w:rPr>
            </w:pPr>
            <w:r w:rsidRPr="00C56FE1">
              <w:rPr>
                <w:rFonts w:eastAsia="Calibri"/>
                <w:sz w:val="20"/>
                <w:lang w:val="fr-CA"/>
              </w:rPr>
              <w:t>2010 QCCS 3232</w:t>
            </w:r>
          </w:p>
          <w:p w:rsidR="00AC6775" w:rsidRPr="00C56FE1" w:rsidRDefault="00AC6775" w:rsidP="009208D4">
            <w:pPr>
              <w:jc w:val="both"/>
              <w:rPr>
                <w:rFonts w:eastAsia="Calibri"/>
                <w:sz w:val="20"/>
              </w:rPr>
            </w:pPr>
          </w:p>
        </w:tc>
        <w:tc>
          <w:tcPr>
            <w:tcW w:w="243" w:type="pct"/>
          </w:tcPr>
          <w:p w:rsidR="00AC6775" w:rsidRPr="00C56FE1" w:rsidRDefault="00AC6775" w:rsidP="009208D4">
            <w:pPr>
              <w:jc w:val="both"/>
              <w:rPr>
                <w:rFonts w:eastAsia="Calibri"/>
                <w:sz w:val="20"/>
              </w:rPr>
            </w:pPr>
          </w:p>
        </w:tc>
        <w:tc>
          <w:tcPr>
            <w:tcW w:w="2330" w:type="pct"/>
          </w:tcPr>
          <w:p w:rsidR="00AC6775" w:rsidRPr="00C56FE1" w:rsidRDefault="00AC6775" w:rsidP="009208D4">
            <w:pPr>
              <w:jc w:val="both"/>
              <w:rPr>
                <w:rFonts w:eastAsia="Calibri"/>
                <w:sz w:val="20"/>
                <w:lang w:val="fr-CA"/>
              </w:rPr>
            </w:pPr>
            <w:r w:rsidRPr="00C56FE1">
              <w:rPr>
                <w:rFonts w:eastAsia="Calibri"/>
                <w:sz w:val="20"/>
                <w:lang w:val="fr-CA"/>
              </w:rPr>
              <w:t>Action des demanderesses rejetée; action de l’intimée accueillie.</w:t>
            </w:r>
          </w:p>
        </w:tc>
      </w:tr>
      <w:tr w:rsidR="00AC6775" w:rsidRPr="00C56FE1" w:rsidTr="009208D4">
        <w:tc>
          <w:tcPr>
            <w:tcW w:w="2427" w:type="pct"/>
          </w:tcPr>
          <w:p w:rsidR="00AC6775" w:rsidRPr="00C56FE1" w:rsidRDefault="00AC6775" w:rsidP="009208D4">
            <w:pPr>
              <w:jc w:val="both"/>
              <w:rPr>
                <w:rFonts w:eastAsia="Calibri"/>
                <w:sz w:val="20"/>
                <w:lang w:val="fr-CA"/>
              </w:rPr>
            </w:pPr>
            <w:r w:rsidRPr="00C56FE1">
              <w:rPr>
                <w:rFonts w:eastAsia="Calibri"/>
                <w:sz w:val="20"/>
                <w:lang w:val="fr-CA"/>
              </w:rPr>
              <w:t>Le 29 juin 2012</w:t>
            </w:r>
          </w:p>
          <w:p w:rsidR="00AC6775" w:rsidRPr="00C56FE1" w:rsidRDefault="00AC6775" w:rsidP="009208D4">
            <w:pPr>
              <w:jc w:val="both"/>
              <w:rPr>
                <w:rFonts w:eastAsia="Calibri"/>
                <w:sz w:val="20"/>
                <w:lang w:val="fr-CA"/>
              </w:rPr>
            </w:pPr>
            <w:r w:rsidRPr="00C56FE1">
              <w:rPr>
                <w:rFonts w:eastAsia="Calibri"/>
                <w:sz w:val="20"/>
                <w:lang w:val="fr-CA"/>
              </w:rPr>
              <w:t>Cour d’appel du Québec (Montréal)</w:t>
            </w:r>
          </w:p>
          <w:p w:rsidR="00AC6775" w:rsidRPr="00C56FE1" w:rsidRDefault="00AC6775" w:rsidP="009208D4">
            <w:pPr>
              <w:jc w:val="both"/>
              <w:rPr>
                <w:rFonts w:eastAsia="Calibri"/>
                <w:sz w:val="20"/>
                <w:lang w:val="fr-CA"/>
              </w:rPr>
            </w:pPr>
            <w:r w:rsidRPr="00C56FE1">
              <w:rPr>
                <w:rFonts w:eastAsia="Calibri"/>
                <w:sz w:val="20"/>
                <w:lang w:val="fr-CA"/>
              </w:rPr>
              <w:t>(Les juges Doyon, Léger et Viens)</w:t>
            </w:r>
          </w:p>
          <w:p w:rsidR="00AC6775" w:rsidRPr="00C56FE1" w:rsidRDefault="00AC6775" w:rsidP="009208D4">
            <w:pPr>
              <w:jc w:val="both"/>
              <w:rPr>
                <w:rFonts w:eastAsia="Calibri"/>
                <w:sz w:val="20"/>
                <w:lang w:val="fr-CA"/>
              </w:rPr>
            </w:pPr>
            <w:r w:rsidRPr="00C56FE1">
              <w:rPr>
                <w:rFonts w:eastAsia="Calibri"/>
                <w:sz w:val="20"/>
                <w:lang w:val="fr-CA"/>
              </w:rPr>
              <w:t>2012 QCCA 1228</w:t>
            </w:r>
          </w:p>
          <w:p w:rsidR="00AC6775" w:rsidRPr="00C56FE1" w:rsidRDefault="00AC6775" w:rsidP="009208D4">
            <w:pPr>
              <w:jc w:val="both"/>
              <w:rPr>
                <w:rFonts w:eastAsia="Calibri"/>
                <w:sz w:val="20"/>
                <w:lang w:val="fr-CA"/>
              </w:rPr>
            </w:pPr>
          </w:p>
        </w:tc>
        <w:tc>
          <w:tcPr>
            <w:tcW w:w="243" w:type="pct"/>
          </w:tcPr>
          <w:p w:rsidR="00AC6775" w:rsidRPr="00C56FE1" w:rsidRDefault="00AC6775" w:rsidP="009208D4">
            <w:pPr>
              <w:jc w:val="both"/>
              <w:rPr>
                <w:rFonts w:eastAsia="Calibri"/>
                <w:sz w:val="20"/>
                <w:lang w:val="fr-FR"/>
              </w:rPr>
            </w:pPr>
          </w:p>
        </w:tc>
        <w:tc>
          <w:tcPr>
            <w:tcW w:w="2330" w:type="pct"/>
          </w:tcPr>
          <w:p w:rsidR="00AC6775" w:rsidRPr="00C56FE1" w:rsidRDefault="00AC6775" w:rsidP="009208D4">
            <w:pPr>
              <w:jc w:val="both"/>
              <w:rPr>
                <w:rFonts w:eastAsia="Calibri"/>
                <w:sz w:val="20"/>
                <w:lang w:val="fr-CA"/>
              </w:rPr>
            </w:pPr>
            <w:r w:rsidRPr="00C56FE1">
              <w:rPr>
                <w:rFonts w:eastAsia="Calibri"/>
                <w:sz w:val="20"/>
                <w:lang w:val="fr-CA"/>
              </w:rPr>
              <w:t>Appel des demanderesses rejeté.</w:t>
            </w:r>
          </w:p>
        </w:tc>
      </w:tr>
      <w:tr w:rsidR="00AC6775" w:rsidRPr="00C56FE1" w:rsidTr="009208D4">
        <w:tc>
          <w:tcPr>
            <w:tcW w:w="2427" w:type="pct"/>
          </w:tcPr>
          <w:p w:rsidR="00AC6775" w:rsidRPr="00C56FE1" w:rsidRDefault="00AC6775" w:rsidP="009208D4">
            <w:pPr>
              <w:jc w:val="both"/>
              <w:rPr>
                <w:rFonts w:eastAsia="Calibri"/>
                <w:sz w:val="20"/>
                <w:lang w:val="fr-CA"/>
              </w:rPr>
            </w:pPr>
            <w:r w:rsidRPr="00C56FE1">
              <w:rPr>
                <w:rFonts w:eastAsia="Calibri"/>
                <w:sz w:val="20"/>
                <w:lang w:val="fr-CA"/>
              </w:rPr>
              <w:lastRenderedPageBreak/>
              <w:t>Le 25 septembre 2012</w:t>
            </w:r>
          </w:p>
          <w:p w:rsidR="00AC6775" w:rsidRPr="00C56FE1" w:rsidRDefault="00AC6775" w:rsidP="009208D4">
            <w:pPr>
              <w:jc w:val="both"/>
              <w:rPr>
                <w:rFonts w:eastAsia="Calibri"/>
                <w:sz w:val="20"/>
                <w:lang w:val="fr-FR"/>
              </w:rPr>
            </w:pPr>
            <w:r w:rsidRPr="00C56FE1">
              <w:rPr>
                <w:rFonts w:eastAsia="Calibri"/>
                <w:sz w:val="20"/>
                <w:lang w:val="fr-CA"/>
              </w:rPr>
              <w:t>Cour suprême du Canada</w:t>
            </w:r>
          </w:p>
        </w:tc>
        <w:tc>
          <w:tcPr>
            <w:tcW w:w="243" w:type="pct"/>
          </w:tcPr>
          <w:p w:rsidR="00AC6775" w:rsidRPr="00C56FE1" w:rsidRDefault="00AC6775" w:rsidP="009208D4">
            <w:pPr>
              <w:jc w:val="both"/>
              <w:rPr>
                <w:rFonts w:eastAsia="Calibri"/>
                <w:sz w:val="20"/>
                <w:lang w:val="fr-FR"/>
              </w:rPr>
            </w:pPr>
          </w:p>
        </w:tc>
        <w:tc>
          <w:tcPr>
            <w:tcW w:w="2330" w:type="pct"/>
          </w:tcPr>
          <w:p w:rsidR="00AC6775" w:rsidRPr="00C56FE1" w:rsidRDefault="00AC6775" w:rsidP="009208D4">
            <w:pPr>
              <w:jc w:val="both"/>
              <w:rPr>
                <w:rFonts w:eastAsia="Calibri"/>
                <w:sz w:val="20"/>
                <w:lang w:val="fr-CA"/>
              </w:rPr>
            </w:pPr>
            <w:r w:rsidRPr="00C56FE1">
              <w:rPr>
                <w:rFonts w:eastAsia="Calibri"/>
                <w:sz w:val="20"/>
                <w:lang w:val="fr-CA"/>
              </w:rPr>
              <w:t>Demande d'autorisation d'appel déposée.</w:t>
            </w:r>
          </w:p>
          <w:p w:rsidR="00AC6775" w:rsidRPr="00C56FE1" w:rsidRDefault="00AC6775" w:rsidP="009208D4">
            <w:pPr>
              <w:jc w:val="both"/>
              <w:rPr>
                <w:rFonts w:eastAsia="Calibri"/>
                <w:sz w:val="20"/>
                <w:lang w:val="fr-CA"/>
              </w:rPr>
            </w:pPr>
          </w:p>
        </w:tc>
      </w:tr>
    </w:tbl>
    <w:p w:rsidR="00121FCA" w:rsidRDefault="00121FCA" w:rsidP="00121FCA">
      <w:pPr>
        <w:rPr>
          <w:sz w:val="20"/>
          <w:szCs w:val="20"/>
        </w:rPr>
      </w:pPr>
    </w:p>
    <w:p w:rsidR="00121FCA" w:rsidRDefault="00CD48BC" w:rsidP="00121FCA">
      <w:pPr>
        <w:rPr>
          <w:sz w:val="20"/>
          <w:szCs w:val="20"/>
          <w:lang w:val="fr-CA"/>
        </w:rPr>
      </w:pPr>
      <w:r w:rsidRPr="00CD48BC">
        <w:rPr>
          <w:sz w:val="20"/>
          <w:szCs w:val="20"/>
          <w:lang w:val="fr-CA"/>
        </w:rPr>
        <w:pict>
          <v:rect id="_x0000_i1053" style="width:2in;height:1pt" o:hrpct="0" o:hralign="center" o:hrstd="t" o:hrnoshade="t" o:hr="t" fillcolor="black [3213]" stroked="f"/>
        </w:pict>
      </w:r>
    </w:p>
    <w:p w:rsidR="00121FCA" w:rsidRDefault="00121FCA" w:rsidP="00121FC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A75E7" w:rsidRPr="00334802" w:rsidTr="003B435E">
        <w:trPr>
          <w:cantSplit/>
        </w:trPr>
        <w:tc>
          <w:tcPr>
            <w:tcW w:w="1458" w:type="dxa"/>
          </w:tcPr>
          <w:p w:rsidR="000A75E7" w:rsidRPr="00DE03BF" w:rsidRDefault="000A75E7" w:rsidP="003B435E">
            <w:pPr>
              <w:rPr>
                <w:sz w:val="20"/>
                <w:szCs w:val="20"/>
              </w:rPr>
            </w:pPr>
            <w:r w:rsidRPr="00DE03BF">
              <w:rPr>
                <w:rStyle w:val="SCCFileNumberChar"/>
                <w:sz w:val="20"/>
                <w:szCs w:val="20"/>
              </w:rPr>
              <w:t>34994</w:t>
            </w:r>
          </w:p>
          <w:p w:rsidR="000A75E7" w:rsidRPr="00DE03BF" w:rsidRDefault="000A75E7" w:rsidP="003B435E">
            <w:pPr>
              <w:rPr>
                <w:b/>
                <w:sz w:val="20"/>
                <w:szCs w:val="20"/>
                <w:lang w:val="fr-CA"/>
              </w:rPr>
            </w:pPr>
          </w:p>
        </w:tc>
        <w:tc>
          <w:tcPr>
            <w:tcW w:w="8118" w:type="dxa"/>
          </w:tcPr>
          <w:p w:rsidR="000A75E7" w:rsidRPr="00DE03BF" w:rsidRDefault="000A75E7" w:rsidP="003B435E">
            <w:pPr>
              <w:rPr>
                <w:sz w:val="20"/>
                <w:szCs w:val="20"/>
                <w:lang w:val="fr-CA"/>
              </w:rPr>
            </w:pPr>
            <w:r w:rsidRPr="00DE03BF">
              <w:rPr>
                <w:rStyle w:val="SCCLsocChar"/>
                <w:sz w:val="20"/>
                <w:szCs w:val="20"/>
              </w:rPr>
              <w:t>Bell Canada c. Union des consommateurs</w:t>
            </w:r>
            <w:r w:rsidRPr="00DE03BF">
              <w:rPr>
                <w:sz w:val="20"/>
                <w:szCs w:val="20"/>
                <w:lang w:val="fr-CA"/>
              </w:rPr>
              <w:t xml:space="preserve"> (Qc) (Civile) (Autorisation)</w:t>
            </w:r>
          </w:p>
          <w:p w:rsidR="000A75E7" w:rsidRPr="00DE03BF" w:rsidRDefault="000A75E7" w:rsidP="003B435E">
            <w:pPr>
              <w:rPr>
                <w:sz w:val="20"/>
                <w:szCs w:val="20"/>
                <w:lang w:val="fr-CA"/>
              </w:rPr>
            </w:pPr>
          </w:p>
        </w:tc>
      </w:tr>
      <w:tr w:rsidR="000A75E7" w:rsidRPr="00334802" w:rsidTr="003B435E">
        <w:trPr>
          <w:cantSplit/>
        </w:trPr>
        <w:tc>
          <w:tcPr>
            <w:tcW w:w="1458" w:type="dxa"/>
          </w:tcPr>
          <w:p w:rsidR="000A75E7" w:rsidRPr="00DE03BF" w:rsidRDefault="000A75E7" w:rsidP="003B435E">
            <w:pPr>
              <w:rPr>
                <w:sz w:val="20"/>
                <w:szCs w:val="20"/>
              </w:rPr>
            </w:pPr>
            <w:r w:rsidRPr="00DE03BF">
              <w:rPr>
                <w:sz w:val="20"/>
                <w:szCs w:val="20"/>
              </w:rPr>
              <w:t>Coram :</w:t>
            </w:r>
          </w:p>
        </w:tc>
        <w:tc>
          <w:tcPr>
            <w:tcW w:w="8118" w:type="dxa"/>
          </w:tcPr>
          <w:p w:rsidR="000A75E7" w:rsidRPr="00DE03BF" w:rsidRDefault="000A75E7" w:rsidP="003B435E">
            <w:pPr>
              <w:rPr>
                <w:sz w:val="20"/>
                <w:szCs w:val="20"/>
                <w:lang w:val="fr-CA"/>
              </w:rPr>
            </w:pPr>
            <w:r w:rsidRPr="00DE03BF">
              <w:rPr>
                <w:rStyle w:val="SCCCoramChar"/>
                <w:sz w:val="20"/>
                <w:szCs w:val="20"/>
              </w:rPr>
              <w:t>Les juges LeBel, Karakatsanis et Wagner</w:t>
            </w:r>
          </w:p>
          <w:p w:rsidR="000A75E7" w:rsidRPr="00DE03BF" w:rsidRDefault="000A75E7" w:rsidP="003B435E">
            <w:pPr>
              <w:rPr>
                <w:sz w:val="20"/>
                <w:szCs w:val="20"/>
                <w:u w:val="single"/>
                <w:lang w:val="fr-CA"/>
              </w:rPr>
            </w:pPr>
          </w:p>
        </w:tc>
      </w:tr>
      <w:tr w:rsidR="000A75E7" w:rsidRPr="00DE03BF" w:rsidTr="003B435E">
        <w:trPr>
          <w:cantSplit/>
        </w:trPr>
        <w:tc>
          <w:tcPr>
            <w:tcW w:w="9576" w:type="dxa"/>
            <w:gridSpan w:val="2"/>
          </w:tcPr>
          <w:p w:rsidR="000A75E7" w:rsidRPr="00DE03BF" w:rsidRDefault="000A75E7" w:rsidP="003B435E">
            <w:pPr>
              <w:pStyle w:val="SCCShortJudgment"/>
              <w:rPr>
                <w:szCs w:val="20"/>
                <w:lang w:val="fr-CA"/>
              </w:rPr>
            </w:pPr>
            <w:r w:rsidRPr="00DE03BF">
              <w:rPr>
                <w:szCs w:val="20"/>
                <w:lang w:val="fr-CA"/>
              </w:rPr>
              <w:t>La demande d’autorisation d’appel de l’arrêt de la Cour d’appel du Québec (Montréal), numéro 500-09-021539-119, 2012 QCCA 1287, daté du 12 juillet 2012, est rejetée avec dépens.</w:t>
            </w:r>
          </w:p>
          <w:p w:rsidR="000A75E7" w:rsidRPr="00DE03BF" w:rsidRDefault="000A75E7" w:rsidP="003B435E">
            <w:pPr>
              <w:pStyle w:val="SCCShortJudgment"/>
              <w:ind w:firstLine="0"/>
              <w:rPr>
                <w:szCs w:val="20"/>
                <w:lang w:val="fr-CA"/>
              </w:rPr>
            </w:pPr>
          </w:p>
          <w:p w:rsidR="000A75E7" w:rsidRPr="00DE03BF" w:rsidRDefault="000A75E7" w:rsidP="003B435E">
            <w:pPr>
              <w:pStyle w:val="SCCShortJudgment"/>
              <w:rPr>
                <w:szCs w:val="20"/>
              </w:rPr>
            </w:pPr>
            <w:r w:rsidRPr="00DE03BF">
              <w:rPr>
                <w:szCs w:val="20"/>
              </w:rPr>
              <w:t>The application for leave to appeal from the judgment of the Court of Appeal of Quebec (Montréal), Number 500-09-021539-119, 2012 QCCA 1287, dated July 12, 2012, is dismissed with costs.</w:t>
            </w:r>
          </w:p>
        </w:tc>
      </w:tr>
    </w:tbl>
    <w:p w:rsidR="00121FCA" w:rsidRDefault="00121FCA" w:rsidP="00121FCA">
      <w:pPr>
        <w:rPr>
          <w:sz w:val="20"/>
          <w:szCs w:val="20"/>
        </w:rPr>
      </w:pPr>
    </w:p>
    <w:p w:rsidR="00121FCA" w:rsidRPr="001B157C" w:rsidRDefault="00121FCA" w:rsidP="00121FCA">
      <w:pPr>
        <w:rPr>
          <w:sz w:val="20"/>
          <w:szCs w:val="20"/>
          <w:u w:val="single"/>
        </w:rPr>
      </w:pPr>
      <w:r w:rsidRPr="001B157C">
        <w:rPr>
          <w:sz w:val="20"/>
          <w:szCs w:val="20"/>
          <w:u w:val="single"/>
        </w:rPr>
        <w:t>CASE SUMMARY</w:t>
      </w:r>
    </w:p>
    <w:p w:rsidR="00121FCA" w:rsidRDefault="00121FCA" w:rsidP="00121F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C6775" w:rsidRPr="00C56FE1" w:rsidTr="009208D4">
        <w:tc>
          <w:tcPr>
            <w:tcW w:w="5000" w:type="pct"/>
            <w:gridSpan w:val="3"/>
          </w:tcPr>
          <w:p w:rsidR="00AC6775" w:rsidRPr="00C56FE1" w:rsidRDefault="00AC6775" w:rsidP="009208D4">
            <w:pPr>
              <w:jc w:val="both"/>
              <w:rPr>
                <w:rFonts w:eastAsia="Calibri"/>
                <w:sz w:val="20"/>
              </w:rPr>
            </w:pPr>
            <w:r w:rsidRPr="00C56FE1">
              <w:rPr>
                <w:rFonts w:eastAsia="Calibri"/>
                <w:sz w:val="20"/>
              </w:rPr>
              <w:t xml:space="preserve">Civil procedure </w:t>
            </w:r>
            <w:r w:rsidRPr="00C56FE1">
              <w:rPr>
                <w:rFonts w:eastAsia="Calibri"/>
                <w:smallCaps/>
                <w:sz w:val="20"/>
              </w:rPr>
              <w:t>—</w:t>
            </w:r>
            <w:r w:rsidRPr="00C56FE1">
              <w:rPr>
                <w:rFonts w:eastAsia="Calibri"/>
                <w:sz w:val="20"/>
              </w:rPr>
              <w:t xml:space="preserve"> Class action </w:t>
            </w:r>
            <w:r w:rsidRPr="00C56FE1">
              <w:rPr>
                <w:rFonts w:eastAsia="Calibri"/>
                <w:smallCaps/>
                <w:sz w:val="20"/>
              </w:rPr>
              <w:t>—</w:t>
            </w:r>
            <w:r w:rsidRPr="00C56FE1">
              <w:rPr>
                <w:rFonts w:eastAsia="Calibri"/>
                <w:sz w:val="20"/>
              </w:rPr>
              <w:t xml:space="preserve"> Criteria for authorizing </w:t>
            </w:r>
            <w:r w:rsidRPr="00C56FE1">
              <w:rPr>
                <w:rFonts w:eastAsia="Calibri"/>
                <w:smallCaps/>
                <w:sz w:val="20"/>
              </w:rPr>
              <w:t>—</w:t>
            </w:r>
            <w:r w:rsidRPr="00C56FE1">
              <w:rPr>
                <w:rFonts w:eastAsia="Calibri"/>
                <w:sz w:val="20"/>
              </w:rPr>
              <w:t xml:space="preserve"> Impact of slowing down evening Internet service on communications of Bell Canada customers in Quebec and Ontario </w:t>
            </w:r>
            <w:r w:rsidRPr="00C56FE1">
              <w:rPr>
                <w:rFonts w:eastAsia="Calibri"/>
                <w:smallCaps/>
                <w:sz w:val="20"/>
              </w:rPr>
              <w:t>—</w:t>
            </w:r>
            <w:r w:rsidRPr="00C56FE1">
              <w:rPr>
                <w:rFonts w:eastAsia="Calibri"/>
                <w:sz w:val="20"/>
              </w:rPr>
              <w:t xml:space="preserve"> Whether Court of Appeal erred in intervening to overturn assessment of criteria for authorizing class action as applied by trial judge </w:t>
            </w:r>
            <w:r w:rsidRPr="00C56FE1">
              <w:rPr>
                <w:rFonts w:eastAsia="Calibri"/>
                <w:smallCaps/>
                <w:sz w:val="20"/>
              </w:rPr>
              <w:t>—</w:t>
            </w:r>
            <w:r w:rsidRPr="00C56FE1">
              <w:rPr>
                <w:rFonts w:eastAsia="Calibri"/>
                <w:sz w:val="20"/>
              </w:rPr>
              <w:t xml:space="preserve"> Whether class action instituted in Quebec can include customers from Ontario </w:t>
            </w:r>
            <w:r w:rsidRPr="00C56FE1">
              <w:rPr>
                <w:rFonts w:eastAsia="Calibri"/>
                <w:smallCaps/>
                <w:sz w:val="20"/>
              </w:rPr>
              <w:t>—</w:t>
            </w:r>
            <w:r w:rsidRPr="00C56FE1">
              <w:rPr>
                <w:rFonts w:eastAsia="Calibri"/>
                <w:sz w:val="20"/>
              </w:rPr>
              <w:t xml:space="preserve"> </w:t>
            </w:r>
            <w:r w:rsidRPr="00C56FE1">
              <w:rPr>
                <w:rFonts w:eastAsia="Calibri"/>
                <w:i/>
                <w:sz w:val="20"/>
              </w:rPr>
              <w:t>Code of Civil Procedure</w:t>
            </w:r>
            <w:r w:rsidRPr="00C56FE1">
              <w:rPr>
                <w:rFonts w:eastAsia="Calibri"/>
                <w:sz w:val="20"/>
              </w:rPr>
              <w:t>, R.S.Q. c. C</w:t>
            </w:r>
            <w:r w:rsidRPr="00C56FE1">
              <w:rPr>
                <w:rFonts w:eastAsia="Calibri"/>
                <w:sz w:val="20"/>
              </w:rPr>
              <w:noBreakHyphen/>
              <w:t>25, art. 1003.</w:t>
            </w:r>
          </w:p>
        </w:tc>
      </w:tr>
      <w:tr w:rsidR="00AC6775" w:rsidRPr="00C56FE1" w:rsidTr="009208D4">
        <w:tc>
          <w:tcPr>
            <w:tcW w:w="5000" w:type="pct"/>
            <w:gridSpan w:val="3"/>
          </w:tcPr>
          <w:p w:rsidR="00AC6775" w:rsidRPr="00C56FE1" w:rsidRDefault="00AC6775" w:rsidP="009208D4">
            <w:pPr>
              <w:jc w:val="both"/>
              <w:rPr>
                <w:rFonts w:eastAsia="Calibri"/>
                <w:sz w:val="20"/>
              </w:rPr>
            </w:pPr>
          </w:p>
        </w:tc>
      </w:tr>
      <w:tr w:rsidR="00AC6775" w:rsidRPr="00C56FE1" w:rsidTr="009208D4">
        <w:tc>
          <w:tcPr>
            <w:tcW w:w="5000" w:type="pct"/>
            <w:gridSpan w:val="3"/>
          </w:tcPr>
          <w:p w:rsidR="00AC6775" w:rsidRPr="00C56FE1" w:rsidRDefault="00AC6775" w:rsidP="009208D4">
            <w:pPr>
              <w:jc w:val="both"/>
              <w:rPr>
                <w:rFonts w:eastAsia="Calibri"/>
                <w:sz w:val="20"/>
              </w:rPr>
            </w:pPr>
            <w:r w:rsidRPr="00C56FE1">
              <w:rPr>
                <w:rFonts w:eastAsia="Calibri"/>
                <w:sz w:val="20"/>
              </w:rPr>
              <w:t>The services at issue provided access to a high</w:t>
            </w:r>
            <w:r w:rsidRPr="00C56FE1">
              <w:rPr>
                <w:rFonts w:eastAsia="Calibri"/>
                <w:sz w:val="20"/>
              </w:rPr>
              <w:noBreakHyphen/>
              <w:t>speed Internet connection.  The representative of the complainant group subscribed to the service in October 2004 and renewed her subscription in 2006.  Bell admitted that, starting in October 2007, it had deployed a traffic management tool for P2P file transmission called Deep Packet Inspection (DPI) to prevent congestion between 4:30 p.m. and 2:00 a.m.  That selection slowed down access to the network, whereas Bell’s advertising claimed that access was ultra</w:t>
            </w:r>
            <w:r w:rsidRPr="00C56FE1">
              <w:rPr>
                <w:rFonts w:eastAsia="Calibri"/>
                <w:sz w:val="20"/>
              </w:rPr>
              <w:noBreakHyphen/>
              <w:t>fast and consistent.  The complainants also alleged that the DPI technology made it possible for Bell to inspect the personal data transmitted.</w:t>
            </w:r>
          </w:p>
          <w:p w:rsidR="00AC6775" w:rsidRPr="00C56FE1" w:rsidRDefault="00AC6775" w:rsidP="009208D4">
            <w:pPr>
              <w:jc w:val="both"/>
              <w:rPr>
                <w:rFonts w:eastAsia="Calibri"/>
                <w:sz w:val="20"/>
              </w:rPr>
            </w:pPr>
          </w:p>
        </w:tc>
      </w:tr>
      <w:tr w:rsidR="00AC6775" w:rsidRPr="00C56FE1" w:rsidTr="009208D4">
        <w:tc>
          <w:tcPr>
            <w:tcW w:w="2427" w:type="pct"/>
          </w:tcPr>
          <w:p w:rsidR="00AC6775" w:rsidRPr="00C56FE1" w:rsidRDefault="00AC6775" w:rsidP="009208D4">
            <w:pPr>
              <w:jc w:val="both"/>
              <w:rPr>
                <w:rFonts w:eastAsia="Calibri"/>
                <w:sz w:val="20"/>
              </w:rPr>
            </w:pPr>
            <w:r w:rsidRPr="00C56FE1">
              <w:rPr>
                <w:rFonts w:eastAsia="Calibri"/>
                <w:sz w:val="20"/>
              </w:rPr>
              <w:t>February 22, 2011</w:t>
            </w:r>
          </w:p>
          <w:p w:rsidR="00AC6775" w:rsidRPr="00C56FE1" w:rsidRDefault="00AC6775" w:rsidP="009208D4">
            <w:pPr>
              <w:jc w:val="both"/>
              <w:rPr>
                <w:rFonts w:eastAsia="Calibri"/>
                <w:sz w:val="20"/>
              </w:rPr>
            </w:pPr>
            <w:r w:rsidRPr="00C56FE1">
              <w:rPr>
                <w:rFonts w:eastAsia="Calibri"/>
                <w:sz w:val="20"/>
              </w:rPr>
              <w:t>Quebec Superior Court</w:t>
            </w:r>
          </w:p>
          <w:p w:rsidR="00AC6775" w:rsidRPr="00C56FE1" w:rsidRDefault="00AC6775" w:rsidP="009208D4">
            <w:pPr>
              <w:jc w:val="both"/>
              <w:rPr>
                <w:rFonts w:eastAsia="Calibri"/>
                <w:sz w:val="20"/>
              </w:rPr>
            </w:pPr>
            <w:r w:rsidRPr="00C56FE1">
              <w:rPr>
                <w:rFonts w:eastAsia="Calibri"/>
                <w:sz w:val="20"/>
              </w:rPr>
              <w:t>(Courteau J.)</w:t>
            </w:r>
          </w:p>
          <w:p w:rsidR="00AC6775" w:rsidRPr="00C56FE1" w:rsidRDefault="00AC6775" w:rsidP="009208D4">
            <w:pPr>
              <w:jc w:val="both"/>
              <w:rPr>
                <w:rFonts w:eastAsia="Calibri"/>
                <w:sz w:val="20"/>
              </w:rPr>
            </w:pPr>
            <w:r w:rsidRPr="00C56FE1">
              <w:rPr>
                <w:rFonts w:eastAsia="Calibri"/>
                <w:sz w:val="20"/>
              </w:rPr>
              <w:t>2011 QCCS 1118</w:t>
            </w:r>
          </w:p>
          <w:p w:rsidR="00AC6775" w:rsidRPr="00C56FE1" w:rsidRDefault="00AC6775" w:rsidP="009208D4">
            <w:pPr>
              <w:jc w:val="both"/>
              <w:rPr>
                <w:rFonts w:eastAsia="Calibri"/>
                <w:sz w:val="20"/>
              </w:rPr>
            </w:pPr>
          </w:p>
        </w:tc>
        <w:tc>
          <w:tcPr>
            <w:tcW w:w="243" w:type="pct"/>
          </w:tcPr>
          <w:p w:rsidR="00AC6775" w:rsidRPr="00C56FE1" w:rsidRDefault="00AC6775" w:rsidP="009208D4">
            <w:pPr>
              <w:jc w:val="both"/>
              <w:rPr>
                <w:rFonts w:eastAsia="Calibri"/>
                <w:sz w:val="20"/>
              </w:rPr>
            </w:pPr>
          </w:p>
        </w:tc>
        <w:tc>
          <w:tcPr>
            <w:tcW w:w="2330" w:type="pct"/>
          </w:tcPr>
          <w:p w:rsidR="00AC6775" w:rsidRPr="00C56FE1" w:rsidRDefault="00AC6775" w:rsidP="009208D4">
            <w:pPr>
              <w:jc w:val="both"/>
              <w:rPr>
                <w:rFonts w:eastAsia="Calibri"/>
                <w:sz w:val="20"/>
              </w:rPr>
            </w:pPr>
            <w:r w:rsidRPr="00C56FE1">
              <w:rPr>
                <w:rFonts w:eastAsia="Calibri"/>
                <w:sz w:val="20"/>
              </w:rPr>
              <w:t>Authorization to institute class action denied to respondent</w:t>
            </w:r>
          </w:p>
        </w:tc>
      </w:tr>
      <w:tr w:rsidR="00AC6775" w:rsidRPr="00C56FE1" w:rsidTr="009208D4">
        <w:tc>
          <w:tcPr>
            <w:tcW w:w="2427" w:type="pct"/>
          </w:tcPr>
          <w:p w:rsidR="00AC6775" w:rsidRPr="00C56FE1" w:rsidRDefault="00AC6775" w:rsidP="009208D4">
            <w:pPr>
              <w:jc w:val="both"/>
              <w:rPr>
                <w:rFonts w:eastAsia="Calibri"/>
                <w:sz w:val="20"/>
              </w:rPr>
            </w:pPr>
            <w:r w:rsidRPr="00C56FE1">
              <w:rPr>
                <w:rFonts w:eastAsia="Calibri"/>
                <w:sz w:val="20"/>
              </w:rPr>
              <w:t>July 12, 2012</w:t>
            </w:r>
          </w:p>
          <w:p w:rsidR="00AC6775" w:rsidRPr="00C56FE1" w:rsidRDefault="00AC6775" w:rsidP="009208D4">
            <w:pPr>
              <w:jc w:val="both"/>
              <w:rPr>
                <w:rFonts w:eastAsia="Calibri"/>
                <w:sz w:val="20"/>
              </w:rPr>
            </w:pPr>
            <w:r w:rsidRPr="00C56FE1">
              <w:rPr>
                <w:rFonts w:eastAsia="Calibri"/>
                <w:sz w:val="20"/>
              </w:rPr>
              <w:t>Quebec Court of Appeal (Montréal)</w:t>
            </w:r>
          </w:p>
          <w:p w:rsidR="00AC6775" w:rsidRPr="00C56FE1" w:rsidRDefault="00AC6775" w:rsidP="009208D4">
            <w:pPr>
              <w:jc w:val="both"/>
              <w:rPr>
                <w:rFonts w:eastAsia="Calibri"/>
                <w:sz w:val="20"/>
                <w:lang w:val="fr-CA"/>
              </w:rPr>
            </w:pPr>
            <w:r w:rsidRPr="00C56FE1">
              <w:rPr>
                <w:rFonts w:eastAsia="Calibri"/>
                <w:sz w:val="20"/>
                <w:lang w:val="fr-CA"/>
              </w:rPr>
              <w:t>(Chamberland, Dufresne and Léger JJ.A.)</w:t>
            </w:r>
          </w:p>
          <w:p w:rsidR="00AC6775" w:rsidRPr="00C56FE1" w:rsidRDefault="00AC6775" w:rsidP="009208D4">
            <w:pPr>
              <w:jc w:val="both"/>
              <w:rPr>
                <w:rFonts w:eastAsia="Calibri"/>
                <w:sz w:val="20"/>
              </w:rPr>
            </w:pPr>
            <w:r w:rsidRPr="00C56FE1">
              <w:rPr>
                <w:rFonts w:eastAsia="Calibri"/>
                <w:sz w:val="20"/>
              </w:rPr>
              <w:t>2012 QCCA 1287</w:t>
            </w:r>
          </w:p>
          <w:p w:rsidR="00AC6775" w:rsidRPr="00C56FE1" w:rsidRDefault="00AC6775" w:rsidP="009208D4">
            <w:pPr>
              <w:jc w:val="both"/>
              <w:rPr>
                <w:rFonts w:eastAsia="Calibri"/>
                <w:sz w:val="20"/>
              </w:rPr>
            </w:pPr>
          </w:p>
        </w:tc>
        <w:tc>
          <w:tcPr>
            <w:tcW w:w="243" w:type="pct"/>
          </w:tcPr>
          <w:p w:rsidR="00AC6775" w:rsidRPr="00C56FE1" w:rsidRDefault="00AC6775" w:rsidP="009208D4">
            <w:pPr>
              <w:jc w:val="both"/>
              <w:rPr>
                <w:rFonts w:eastAsia="Calibri"/>
                <w:sz w:val="20"/>
              </w:rPr>
            </w:pPr>
          </w:p>
        </w:tc>
        <w:tc>
          <w:tcPr>
            <w:tcW w:w="2330" w:type="pct"/>
          </w:tcPr>
          <w:p w:rsidR="00AC6775" w:rsidRPr="00C56FE1" w:rsidRDefault="00AC6775" w:rsidP="009208D4">
            <w:pPr>
              <w:jc w:val="both"/>
              <w:rPr>
                <w:rFonts w:eastAsia="Calibri"/>
                <w:sz w:val="20"/>
              </w:rPr>
            </w:pPr>
            <w:r w:rsidRPr="00C56FE1">
              <w:rPr>
                <w:rFonts w:eastAsia="Calibri"/>
                <w:sz w:val="20"/>
              </w:rPr>
              <w:t>Appeal allowed; authorization granted</w:t>
            </w:r>
          </w:p>
        </w:tc>
      </w:tr>
      <w:tr w:rsidR="00AC6775" w:rsidRPr="00C56FE1" w:rsidTr="009208D4">
        <w:tc>
          <w:tcPr>
            <w:tcW w:w="2427" w:type="pct"/>
          </w:tcPr>
          <w:p w:rsidR="00AC6775" w:rsidRPr="00C56FE1" w:rsidRDefault="00AC6775" w:rsidP="009208D4">
            <w:pPr>
              <w:jc w:val="both"/>
              <w:rPr>
                <w:rFonts w:eastAsia="Calibri"/>
                <w:sz w:val="20"/>
              </w:rPr>
            </w:pPr>
            <w:r w:rsidRPr="00C56FE1">
              <w:rPr>
                <w:rFonts w:eastAsia="Calibri"/>
                <w:sz w:val="20"/>
              </w:rPr>
              <w:t>September 28, 2012</w:t>
            </w:r>
          </w:p>
          <w:p w:rsidR="00AC6775" w:rsidRPr="00C56FE1" w:rsidRDefault="00AC6775" w:rsidP="009208D4">
            <w:pPr>
              <w:jc w:val="both"/>
              <w:rPr>
                <w:rFonts w:eastAsia="Calibri"/>
                <w:sz w:val="20"/>
              </w:rPr>
            </w:pPr>
            <w:r w:rsidRPr="00C56FE1">
              <w:rPr>
                <w:rFonts w:eastAsia="Calibri"/>
                <w:sz w:val="20"/>
              </w:rPr>
              <w:t>Supreme Court of Canada</w:t>
            </w:r>
          </w:p>
        </w:tc>
        <w:tc>
          <w:tcPr>
            <w:tcW w:w="243" w:type="pct"/>
          </w:tcPr>
          <w:p w:rsidR="00AC6775" w:rsidRPr="00C56FE1" w:rsidRDefault="00AC6775" w:rsidP="009208D4">
            <w:pPr>
              <w:jc w:val="both"/>
              <w:rPr>
                <w:rFonts w:eastAsia="Calibri"/>
                <w:sz w:val="20"/>
              </w:rPr>
            </w:pPr>
          </w:p>
        </w:tc>
        <w:tc>
          <w:tcPr>
            <w:tcW w:w="2330" w:type="pct"/>
          </w:tcPr>
          <w:p w:rsidR="00AC6775" w:rsidRPr="00C56FE1" w:rsidRDefault="00AC6775" w:rsidP="009208D4">
            <w:pPr>
              <w:jc w:val="both"/>
              <w:rPr>
                <w:rFonts w:eastAsia="Calibri"/>
                <w:sz w:val="20"/>
              </w:rPr>
            </w:pPr>
            <w:r w:rsidRPr="00C56FE1">
              <w:rPr>
                <w:rFonts w:eastAsia="Calibri"/>
                <w:sz w:val="20"/>
              </w:rPr>
              <w:t>Application for leave to appeal filed</w:t>
            </w:r>
          </w:p>
          <w:p w:rsidR="00AC6775" w:rsidRPr="00C56FE1" w:rsidRDefault="00AC6775" w:rsidP="009208D4">
            <w:pPr>
              <w:jc w:val="both"/>
              <w:rPr>
                <w:rFonts w:eastAsia="Calibri"/>
                <w:sz w:val="20"/>
              </w:rPr>
            </w:pPr>
          </w:p>
        </w:tc>
      </w:tr>
    </w:tbl>
    <w:p w:rsidR="00121FCA" w:rsidRDefault="00121FCA" w:rsidP="00121FCA">
      <w:pPr>
        <w:rPr>
          <w:sz w:val="20"/>
          <w:szCs w:val="20"/>
        </w:rPr>
      </w:pPr>
    </w:p>
    <w:p w:rsidR="00121FCA" w:rsidRPr="00C50A5C" w:rsidRDefault="00CD48BC" w:rsidP="00121FCA">
      <w:pPr>
        <w:rPr>
          <w:sz w:val="20"/>
          <w:szCs w:val="20"/>
        </w:rPr>
      </w:pPr>
      <w:r w:rsidRPr="00CD48BC">
        <w:rPr>
          <w:sz w:val="20"/>
          <w:szCs w:val="20"/>
          <w:lang w:val="fr-CA"/>
        </w:rPr>
        <w:pict>
          <v:rect id="_x0000_i1054" style="width:2in;height:1pt" o:hrpct="0" o:hralign="center" o:hrstd="t" o:hrnoshade="t" o:hr="t" fillcolor="black [3213]" stroked="f"/>
        </w:pict>
      </w:r>
    </w:p>
    <w:p w:rsidR="00121FCA" w:rsidRDefault="00121FCA" w:rsidP="00121FCA">
      <w:pPr>
        <w:rPr>
          <w:sz w:val="20"/>
          <w:szCs w:val="20"/>
        </w:rPr>
      </w:pPr>
    </w:p>
    <w:p w:rsidR="00121FCA" w:rsidRPr="001B157C" w:rsidRDefault="00121FCA" w:rsidP="00121FCA">
      <w:pPr>
        <w:rPr>
          <w:sz w:val="20"/>
          <w:szCs w:val="20"/>
          <w:u w:val="single"/>
          <w:lang w:val="fr-CA"/>
        </w:rPr>
      </w:pPr>
      <w:r w:rsidRPr="001B157C">
        <w:rPr>
          <w:sz w:val="20"/>
          <w:szCs w:val="20"/>
          <w:u w:val="single"/>
          <w:lang w:val="fr-CA"/>
        </w:rPr>
        <w:t>RÉSUMÉ DE L’AFFAIRE</w:t>
      </w:r>
    </w:p>
    <w:p w:rsidR="00121FCA" w:rsidRDefault="00121FCA" w:rsidP="00121F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C6775" w:rsidRPr="006307F5" w:rsidTr="009208D4">
        <w:tc>
          <w:tcPr>
            <w:tcW w:w="5000" w:type="pct"/>
            <w:gridSpan w:val="3"/>
          </w:tcPr>
          <w:p w:rsidR="00AC6775" w:rsidRPr="00C56FE1" w:rsidRDefault="00AC6775" w:rsidP="009208D4">
            <w:pPr>
              <w:jc w:val="both"/>
              <w:rPr>
                <w:rFonts w:eastAsia="Calibri"/>
                <w:sz w:val="20"/>
                <w:lang w:val="fr-FR"/>
              </w:rPr>
            </w:pPr>
            <w:r w:rsidRPr="00C56FE1">
              <w:rPr>
                <w:rFonts w:eastAsia="Calibri"/>
                <w:sz w:val="20"/>
                <w:lang w:val="fr-CA"/>
              </w:rPr>
              <w:t xml:space="preserve">Procédure civile – Recours collectif – Critères d’autorisation – Effets du ralentissement de service Internet en soirée sur les communications de clients de Bell Canada au Québec et en Ontario – La Cour d’appel a-t-elle eu tort </w:t>
            </w:r>
            <w:r w:rsidRPr="00C56FE1">
              <w:rPr>
                <w:rFonts w:eastAsia="Calibri"/>
                <w:sz w:val="20"/>
                <w:lang w:val="fr-CA"/>
              </w:rPr>
              <w:lastRenderedPageBreak/>
              <w:t xml:space="preserve">d’intervenir pour renverser l’appréciation des critères d’autorisation tels qu’appliqués par la juge du procès? – Un recours collectif entrepris au Québec peut-il inclure des clients d’Ontario? – </w:t>
            </w:r>
            <w:r w:rsidRPr="00C56FE1">
              <w:rPr>
                <w:rFonts w:eastAsia="Calibri"/>
                <w:i/>
                <w:sz w:val="20"/>
                <w:lang w:val="fr-CA"/>
              </w:rPr>
              <w:t>Code de procédure civile</w:t>
            </w:r>
            <w:r w:rsidRPr="00C56FE1">
              <w:rPr>
                <w:rFonts w:eastAsia="Calibri"/>
                <w:sz w:val="20"/>
                <w:lang w:val="fr-CA"/>
              </w:rPr>
              <w:t>, L.R.Q. ch. C-25, art. 1003.</w:t>
            </w:r>
          </w:p>
        </w:tc>
      </w:tr>
      <w:tr w:rsidR="00AC6775" w:rsidRPr="006307F5" w:rsidTr="009208D4">
        <w:tc>
          <w:tcPr>
            <w:tcW w:w="5000" w:type="pct"/>
            <w:gridSpan w:val="3"/>
          </w:tcPr>
          <w:p w:rsidR="00AC6775" w:rsidRPr="00C56FE1" w:rsidRDefault="00AC6775" w:rsidP="009208D4">
            <w:pPr>
              <w:jc w:val="both"/>
              <w:rPr>
                <w:rFonts w:eastAsia="Calibri"/>
                <w:sz w:val="20"/>
                <w:lang w:val="fr-CA"/>
              </w:rPr>
            </w:pPr>
          </w:p>
        </w:tc>
      </w:tr>
      <w:tr w:rsidR="00AC6775" w:rsidRPr="00334802" w:rsidTr="009208D4">
        <w:tc>
          <w:tcPr>
            <w:tcW w:w="5000" w:type="pct"/>
            <w:gridSpan w:val="3"/>
          </w:tcPr>
          <w:p w:rsidR="00AC6775" w:rsidRPr="00C56FE1" w:rsidRDefault="00AC6775" w:rsidP="009208D4">
            <w:pPr>
              <w:jc w:val="both"/>
              <w:rPr>
                <w:rFonts w:eastAsia="Calibri"/>
                <w:sz w:val="20"/>
                <w:lang w:val="fr-CA"/>
              </w:rPr>
            </w:pPr>
            <w:r w:rsidRPr="00C56FE1">
              <w:rPr>
                <w:rFonts w:eastAsia="Calibri"/>
                <w:sz w:val="20"/>
                <w:lang w:val="fr-CA"/>
              </w:rPr>
              <w:t>Les services en litige donnent accès à une connexion Internet de haute vitesse.  La représentante du groupe plaignant s'est abonnée à ce service en octobre 2004 et a renouvelé son abonnement en 2006.  Bell admet avoir déployé, à partir d’octobre 2007, un outil de gestion du trafic de fichiers transmis (P2P) appelé Deep Packet Inspection (DPI) pour prévenir la congestion entre 16 h 30 et 2h.  Cette sélection ralentit la vitesse d'accès au réseau, tandis que les publicités de Bell font valoir un accès ultrarapide et constant.  Les plaignants allèguent aussi que la technologie DPI permet à Bell d'inspecter les données personnelles transmises.</w:t>
            </w:r>
          </w:p>
          <w:p w:rsidR="00AC6775" w:rsidRPr="00C56FE1" w:rsidRDefault="00AC6775" w:rsidP="009208D4">
            <w:pPr>
              <w:jc w:val="both"/>
              <w:rPr>
                <w:rFonts w:eastAsia="Calibri"/>
                <w:sz w:val="20"/>
                <w:lang w:val="fr-CA"/>
              </w:rPr>
            </w:pPr>
          </w:p>
        </w:tc>
      </w:tr>
      <w:tr w:rsidR="00AC6775" w:rsidRPr="00334802" w:rsidTr="009208D4">
        <w:tc>
          <w:tcPr>
            <w:tcW w:w="2427" w:type="pct"/>
          </w:tcPr>
          <w:p w:rsidR="00AC6775" w:rsidRPr="00C56FE1" w:rsidRDefault="00AC6775" w:rsidP="009208D4">
            <w:pPr>
              <w:jc w:val="both"/>
              <w:rPr>
                <w:rFonts w:eastAsia="Calibri"/>
                <w:sz w:val="20"/>
                <w:lang w:val="fr-CA"/>
              </w:rPr>
            </w:pPr>
            <w:r w:rsidRPr="00C56FE1">
              <w:rPr>
                <w:rFonts w:eastAsia="Calibri"/>
                <w:sz w:val="20"/>
                <w:lang w:val="fr-CA"/>
              </w:rPr>
              <w:t>Le 22 février 2011</w:t>
            </w:r>
          </w:p>
          <w:p w:rsidR="00AC6775" w:rsidRPr="00C56FE1" w:rsidRDefault="00AC6775" w:rsidP="009208D4">
            <w:pPr>
              <w:jc w:val="both"/>
              <w:rPr>
                <w:rFonts w:eastAsia="Calibri"/>
                <w:sz w:val="20"/>
                <w:lang w:val="fr-CA"/>
              </w:rPr>
            </w:pPr>
            <w:r w:rsidRPr="00C56FE1">
              <w:rPr>
                <w:rFonts w:eastAsia="Calibri"/>
                <w:sz w:val="20"/>
                <w:lang w:val="fr-CA"/>
              </w:rPr>
              <w:t>Cour supérieure du Québec</w:t>
            </w:r>
          </w:p>
          <w:p w:rsidR="00AC6775" w:rsidRPr="00C56FE1" w:rsidRDefault="00AC6775" w:rsidP="009208D4">
            <w:pPr>
              <w:jc w:val="both"/>
              <w:rPr>
                <w:rFonts w:eastAsia="Calibri"/>
                <w:sz w:val="20"/>
                <w:lang w:val="fr-CA"/>
              </w:rPr>
            </w:pPr>
            <w:r w:rsidRPr="00C56FE1">
              <w:rPr>
                <w:rFonts w:eastAsia="Calibri"/>
                <w:sz w:val="20"/>
                <w:lang w:val="fr-CA"/>
              </w:rPr>
              <w:t>(La juge Courteau)</w:t>
            </w:r>
          </w:p>
          <w:p w:rsidR="00AC6775" w:rsidRPr="00C56FE1" w:rsidRDefault="00AC6775" w:rsidP="009208D4">
            <w:pPr>
              <w:jc w:val="both"/>
              <w:rPr>
                <w:rFonts w:eastAsia="Calibri"/>
                <w:sz w:val="20"/>
                <w:lang w:val="fr-CA"/>
              </w:rPr>
            </w:pPr>
            <w:r w:rsidRPr="00C56FE1">
              <w:rPr>
                <w:rFonts w:eastAsia="Calibri"/>
                <w:sz w:val="20"/>
                <w:lang w:val="fr-CA"/>
              </w:rPr>
              <w:t>2011 QCCS 1118</w:t>
            </w:r>
          </w:p>
          <w:p w:rsidR="00AC6775" w:rsidRPr="00C56FE1" w:rsidRDefault="00AC6775" w:rsidP="009208D4">
            <w:pPr>
              <w:jc w:val="both"/>
              <w:rPr>
                <w:rFonts w:eastAsia="Calibri"/>
                <w:sz w:val="20"/>
              </w:rPr>
            </w:pPr>
          </w:p>
        </w:tc>
        <w:tc>
          <w:tcPr>
            <w:tcW w:w="243" w:type="pct"/>
          </w:tcPr>
          <w:p w:rsidR="00AC6775" w:rsidRPr="00C56FE1" w:rsidRDefault="00AC6775" w:rsidP="009208D4">
            <w:pPr>
              <w:jc w:val="both"/>
              <w:rPr>
                <w:rFonts w:eastAsia="Calibri"/>
                <w:sz w:val="20"/>
              </w:rPr>
            </w:pPr>
          </w:p>
        </w:tc>
        <w:tc>
          <w:tcPr>
            <w:tcW w:w="2330" w:type="pct"/>
          </w:tcPr>
          <w:p w:rsidR="00AC6775" w:rsidRPr="00C56FE1" w:rsidRDefault="00AC6775" w:rsidP="009208D4">
            <w:pPr>
              <w:jc w:val="both"/>
              <w:rPr>
                <w:rFonts w:eastAsia="Calibri"/>
                <w:sz w:val="20"/>
                <w:lang w:val="fr-CA"/>
              </w:rPr>
            </w:pPr>
            <w:r w:rsidRPr="00C56FE1">
              <w:rPr>
                <w:rFonts w:eastAsia="Calibri"/>
                <w:sz w:val="20"/>
                <w:lang w:val="fr-CA"/>
              </w:rPr>
              <w:t>Autorisation d’exercer un recours collectif refusée à l’intimée.</w:t>
            </w:r>
          </w:p>
        </w:tc>
      </w:tr>
      <w:tr w:rsidR="00AC6775" w:rsidRPr="00C56FE1" w:rsidTr="009208D4">
        <w:tc>
          <w:tcPr>
            <w:tcW w:w="2427" w:type="pct"/>
          </w:tcPr>
          <w:p w:rsidR="00AC6775" w:rsidRPr="00C56FE1" w:rsidRDefault="00AC6775" w:rsidP="009208D4">
            <w:pPr>
              <w:jc w:val="both"/>
              <w:rPr>
                <w:rFonts w:eastAsia="Calibri"/>
                <w:sz w:val="20"/>
                <w:lang w:val="fr-CA"/>
              </w:rPr>
            </w:pPr>
            <w:r w:rsidRPr="00C56FE1">
              <w:rPr>
                <w:rFonts w:eastAsia="Calibri"/>
                <w:sz w:val="20"/>
                <w:lang w:val="fr-CA"/>
              </w:rPr>
              <w:t>Le 12 juillet 2012</w:t>
            </w:r>
          </w:p>
          <w:p w:rsidR="00AC6775" w:rsidRPr="00C56FE1" w:rsidRDefault="00AC6775" w:rsidP="009208D4">
            <w:pPr>
              <w:jc w:val="both"/>
              <w:rPr>
                <w:rFonts w:eastAsia="Calibri"/>
                <w:sz w:val="20"/>
                <w:lang w:val="fr-CA"/>
              </w:rPr>
            </w:pPr>
            <w:r w:rsidRPr="00C56FE1">
              <w:rPr>
                <w:rFonts w:eastAsia="Calibri"/>
                <w:sz w:val="20"/>
                <w:lang w:val="fr-CA"/>
              </w:rPr>
              <w:t>Cour d’appel du Québec (Montréal)</w:t>
            </w:r>
          </w:p>
          <w:p w:rsidR="00AC6775" w:rsidRPr="00C56FE1" w:rsidRDefault="00AC6775" w:rsidP="009208D4">
            <w:pPr>
              <w:jc w:val="both"/>
              <w:rPr>
                <w:rFonts w:eastAsia="Calibri"/>
                <w:sz w:val="20"/>
                <w:lang w:val="fr-CA"/>
              </w:rPr>
            </w:pPr>
            <w:r w:rsidRPr="00C56FE1">
              <w:rPr>
                <w:rFonts w:eastAsia="Calibri"/>
                <w:sz w:val="20"/>
                <w:lang w:val="fr-CA"/>
              </w:rPr>
              <w:t>(Les juges Chamberland, Dufresne et Léger)</w:t>
            </w:r>
          </w:p>
          <w:p w:rsidR="00AC6775" w:rsidRPr="00C56FE1" w:rsidRDefault="00AC6775" w:rsidP="009208D4">
            <w:pPr>
              <w:jc w:val="both"/>
              <w:rPr>
                <w:rFonts w:eastAsia="Calibri"/>
                <w:sz w:val="20"/>
                <w:lang w:val="fr-CA"/>
              </w:rPr>
            </w:pPr>
            <w:r w:rsidRPr="00C56FE1">
              <w:rPr>
                <w:rFonts w:eastAsia="Calibri"/>
                <w:sz w:val="20"/>
                <w:lang w:val="fr-CA"/>
              </w:rPr>
              <w:t>2012 QCCA 1287</w:t>
            </w:r>
          </w:p>
          <w:p w:rsidR="00AC6775" w:rsidRPr="00C56FE1" w:rsidRDefault="00AC6775" w:rsidP="009208D4">
            <w:pPr>
              <w:jc w:val="both"/>
              <w:rPr>
                <w:rFonts w:eastAsia="Calibri"/>
                <w:sz w:val="20"/>
                <w:lang w:val="fr-FR"/>
              </w:rPr>
            </w:pPr>
          </w:p>
        </w:tc>
        <w:tc>
          <w:tcPr>
            <w:tcW w:w="243" w:type="pct"/>
          </w:tcPr>
          <w:p w:rsidR="00AC6775" w:rsidRPr="00C56FE1" w:rsidRDefault="00AC6775" w:rsidP="009208D4">
            <w:pPr>
              <w:jc w:val="both"/>
              <w:rPr>
                <w:rFonts w:eastAsia="Calibri"/>
                <w:sz w:val="20"/>
                <w:lang w:val="fr-FR"/>
              </w:rPr>
            </w:pPr>
          </w:p>
        </w:tc>
        <w:tc>
          <w:tcPr>
            <w:tcW w:w="2330" w:type="pct"/>
          </w:tcPr>
          <w:p w:rsidR="00AC6775" w:rsidRPr="00C56FE1" w:rsidRDefault="00AC6775" w:rsidP="009208D4">
            <w:pPr>
              <w:jc w:val="both"/>
              <w:rPr>
                <w:rFonts w:eastAsia="Calibri"/>
                <w:sz w:val="20"/>
                <w:lang w:val="fr-CA"/>
              </w:rPr>
            </w:pPr>
            <w:r w:rsidRPr="00C56FE1">
              <w:rPr>
                <w:rFonts w:eastAsia="Calibri"/>
                <w:sz w:val="20"/>
                <w:lang w:val="fr-CA"/>
              </w:rPr>
              <w:t>Appel accueilli; autorisation accordée.</w:t>
            </w:r>
          </w:p>
        </w:tc>
      </w:tr>
      <w:tr w:rsidR="00AC6775" w:rsidRPr="00C56FE1" w:rsidTr="009208D4">
        <w:tc>
          <w:tcPr>
            <w:tcW w:w="2427" w:type="pct"/>
          </w:tcPr>
          <w:p w:rsidR="00AC6775" w:rsidRPr="00C56FE1" w:rsidRDefault="00AC6775" w:rsidP="009208D4">
            <w:pPr>
              <w:jc w:val="both"/>
              <w:rPr>
                <w:rFonts w:eastAsia="Calibri"/>
                <w:sz w:val="20"/>
                <w:lang w:val="fr-CA"/>
              </w:rPr>
            </w:pPr>
            <w:r w:rsidRPr="00C56FE1">
              <w:rPr>
                <w:rFonts w:eastAsia="Calibri"/>
                <w:sz w:val="20"/>
                <w:lang w:val="fr-CA"/>
              </w:rPr>
              <w:t>Le 28 septembre 2012</w:t>
            </w:r>
          </w:p>
          <w:p w:rsidR="00AC6775" w:rsidRPr="00C56FE1" w:rsidRDefault="00AC6775" w:rsidP="009208D4">
            <w:pPr>
              <w:jc w:val="both"/>
              <w:rPr>
                <w:rFonts w:eastAsia="Calibri"/>
                <w:sz w:val="20"/>
                <w:lang w:val="fr-FR"/>
              </w:rPr>
            </w:pPr>
            <w:r w:rsidRPr="00C56FE1">
              <w:rPr>
                <w:rFonts w:eastAsia="Calibri"/>
                <w:sz w:val="20"/>
                <w:lang w:val="fr-CA"/>
              </w:rPr>
              <w:t>Cour suprême du Canada</w:t>
            </w:r>
          </w:p>
        </w:tc>
        <w:tc>
          <w:tcPr>
            <w:tcW w:w="243" w:type="pct"/>
          </w:tcPr>
          <w:p w:rsidR="00AC6775" w:rsidRPr="00C56FE1" w:rsidRDefault="00AC6775" w:rsidP="009208D4">
            <w:pPr>
              <w:jc w:val="both"/>
              <w:rPr>
                <w:rFonts w:eastAsia="Calibri"/>
                <w:sz w:val="20"/>
                <w:lang w:val="fr-FR"/>
              </w:rPr>
            </w:pPr>
          </w:p>
        </w:tc>
        <w:tc>
          <w:tcPr>
            <w:tcW w:w="2330" w:type="pct"/>
          </w:tcPr>
          <w:p w:rsidR="00AC6775" w:rsidRPr="00C56FE1" w:rsidRDefault="00AC6775" w:rsidP="009208D4">
            <w:pPr>
              <w:jc w:val="both"/>
              <w:rPr>
                <w:rFonts w:eastAsia="Calibri"/>
                <w:sz w:val="20"/>
                <w:lang w:val="fr-CA"/>
              </w:rPr>
            </w:pPr>
            <w:r w:rsidRPr="00C56FE1">
              <w:rPr>
                <w:rFonts w:eastAsia="Calibri"/>
                <w:sz w:val="20"/>
                <w:lang w:val="fr-CA"/>
              </w:rPr>
              <w:t>Demande d'autorisation d'appel déposée.</w:t>
            </w:r>
          </w:p>
          <w:p w:rsidR="00AC6775" w:rsidRPr="00C56FE1" w:rsidRDefault="00AC6775" w:rsidP="009208D4">
            <w:pPr>
              <w:jc w:val="both"/>
              <w:rPr>
                <w:rFonts w:eastAsia="Calibri"/>
                <w:sz w:val="20"/>
                <w:lang w:val="fr-CA"/>
              </w:rPr>
            </w:pPr>
          </w:p>
        </w:tc>
      </w:tr>
    </w:tbl>
    <w:p w:rsidR="00121FCA" w:rsidRDefault="00121FCA" w:rsidP="00121FCA">
      <w:pPr>
        <w:rPr>
          <w:sz w:val="20"/>
          <w:szCs w:val="20"/>
        </w:rPr>
      </w:pPr>
    </w:p>
    <w:p w:rsidR="00121FCA" w:rsidRDefault="00CD48BC" w:rsidP="00121FCA">
      <w:pPr>
        <w:rPr>
          <w:sz w:val="20"/>
          <w:szCs w:val="20"/>
          <w:lang w:val="fr-CA"/>
        </w:rPr>
      </w:pPr>
      <w:r w:rsidRPr="00CD48BC">
        <w:rPr>
          <w:sz w:val="20"/>
          <w:szCs w:val="20"/>
          <w:lang w:val="fr-CA"/>
        </w:rPr>
        <w:pict>
          <v:rect id="_x0000_i1055" style="width:2in;height:1pt" o:hrpct="0" o:hralign="center" o:hrstd="t" o:hrnoshade="t" o:hr="t" fillcolor="black [3213]" stroked="f"/>
        </w:pict>
      </w:r>
    </w:p>
    <w:p w:rsidR="00121FCA" w:rsidRDefault="00121FCA" w:rsidP="00121FC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A75E7" w:rsidRPr="00334802" w:rsidTr="003B435E">
        <w:trPr>
          <w:cantSplit/>
        </w:trPr>
        <w:tc>
          <w:tcPr>
            <w:tcW w:w="1458" w:type="dxa"/>
          </w:tcPr>
          <w:p w:rsidR="000A75E7" w:rsidRPr="00DE03BF" w:rsidRDefault="000A75E7" w:rsidP="003B435E">
            <w:pPr>
              <w:rPr>
                <w:sz w:val="20"/>
                <w:szCs w:val="20"/>
              </w:rPr>
            </w:pPr>
            <w:r w:rsidRPr="00DE03BF">
              <w:rPr>
                <w:rStyle w:val="SCCFileNumberChar"/>
                <w:sz w:val="20"/>
                <w:szCs w:val="20"/>
              </w:rPr>
              <w:t>34995</w:t>
            </w:r>
          </w:p>
          <w:p w:rsidR="000A75E7" w:rsidRPr="00DE03BF" w:rsidRDefault="000A75E7" w:rsidP="003B435E">
            <w:pPr>
              <w:rPr>
                <w:b/>
                <w:sz w:val="20"/>
                <w:szCs w:val="20"/>
                <w:lang w:val="fr-CA"/>
              </w:rPr>
            </w:pPr>
          </w:p>
        </w:tc>
        <w:tc>
          <w:tcPr>
            <w:tcW w:w="8118" w:type="dxa"/>
          </w:tcPr>
          <w:p w:rsidR="000A75E7" w:rsidRPr="00DE03BF" w:rsidRDefault="000A75E7" w:rsidP="003B435E">
            <w:pPr>
              <w:rPr>
                <w:sz w:val="20"/>
                <w:szCs w:val="20"/>
                <w:lang w:val="fr-CA"/>
              </w:rPr>
            </w:pPr>
            <w:r w:rsidRPr="00DE03BF">
              <w:rPr>
                <w:rStyle w:val="SCCLsocChar"/>
                <w:sz w:val="20"/>
                <w:szCs w:val="20"/>
              </w:rPr>
              <w:t>Christopher Lill c. Sa Majesté la Reine</w:t>
            </w:r>
            <w:r w:rsidRPr="00DE03BF">
              <w:rPr>
                <w:sz w:val="20"/>
                <w:szCs w:val="20"/>
                <w:lang w:val="fr-CA"/>
              </w:rPr>
              <w:t xml:space="preserve"> (Qc) (Criminelle) (Autorisation)</w:t>
            </w:r>
          </w:p>
          <w:p w:rsidR="000A75E7" w:rsidRPr="00DE03BF" w:rsidRDefault="000A75E7" w:rsidP="003B435E">
            <w:pPr>
              <w:rPr>
                <w:sz w:val="20"/>
                <w:szCs w:val="20"/>
                <w:lang w:val="fr-CA"/>
              </w:rPr>
            </w:pPr>
          </w:p>
        </w:tc>
      </w:tr>
      <w:tr w:rsidR="000A75E7" w:rsidRPr="00334802" w:rsidTr="003B435E">
        <w:trPr>
          <w:cantSplit/>
        </w:trPr>
        <w:tc>
          <w:tcPr>
            <w:tcW w:w="1458" w:type="dxa"/>
          </w:tcPr>
          <w:p w:rsidR="000A75E7" w:rsidRPr="00DE03BF" w:rsidRDefault="000A75E7" w:rsidP="003B435E">
            <w:pPr>
              <w:rPr>
                <w:sz w:val="20"/>
                <w:szCs w:val="20"/>
              </w:rPr>
            </w:pPr>
            <w:r w:rsidRPr="00DE03BF">
              <w:rPr>
                <w:sz w:val="20"/>
                <w:szCs w:val="20"/>
              </w:rPr>
              <w:t>Coram :</w:t>
            </w:r>
          </w:p>
        </w:tc>
        <w:tc>
          <w:tcPr>
            <w:tcW w:w="8118" w:type="dxa"/>
          </w:tcPr>
          <w:p w:rsidR="000A75E7" w:rsidRPr="00DE03BF" w:rsidRDefault="000A75E7" w:rsidP="003B435E">
            <w:pPr>
              <w:rPr>
                <w:sz w:val="20"/>
                <w:szCs w:val="20"/>
                <w:lang w:val="fr-CA"/>
              </w:rPr>
            </w:pPr>
            <w:r w:rsidRPr="00DE03BF">
              <w:rPr>
                <w:rStyle w:val="SCCCoramChar"/>
                <w:sz w:val="20"/>
                <w:szCs w:val="20"/>
              </w:rPr>
              <w:t>Les juges LeBel, Karakatsanis et Wagner</w:t>
            </w:r>
          </w:p>
          <w:p w:rsidR="000A75E7" w:rsidRPr="00DE03BF" w:rsidRDefault="000A75E7" w:rsidP="003B435E">
            <w:pPr>
              <w:rPr>
                <w:sz w:val="20"/>
                <w:szCs w:val="20"/>
                <w:u w:val="single"/>
                <w:lang w:val="fr-CA"/>
              </w:rPr>
            </w:pPr>
          </w:p>
        </w:tc>
      </w:tr>
      <w:tr w:rsidR="000A75E7" w:rsidRPr="00DE03BF" w:rsidTr="003B435E">
        <w:trPr>
          <w:cantSplit/>
        </w:trPr>
        <w:tc>
          <w:tcPr>
            <w:tcW w:w="9576" w:type="dxa"/>
            <w:gridSpan w:val="2"/>
          </w:tcPr>
          <w:p w:rsidR="000A75E7" w:rsidRPr="00DE03BF" w:rsidRDefault="000A75E7" w:rsidP="003B435E">
            <w:pPr>
              <w:pStyle w:val="SCCShortJudgment"/>
              <w:rPr>
                <w:szCs w:val="20"/>
                <w:lang w:val="fr-CA"/>
              </w:rPr>
            </w:pPr>
            <w:r w:rsidRPr="00DE03BF">
              <w:rPr>
                <w:szCs w:val="20"/>
                <w:lang w:val="fr-CA"/>
              </w:rPr>
              <w:t>La demande d’autorisation d’appel de l’arrêt de la Cour d’appel du Québec (Montréal), numéro 500-10-004020-077, 2012 QCCA 1418, daté du 7 août 2012, est rejetée sans dépens.</w:t>
            </w:r>
          </w:p>
          <w:p w:rsidR="000A75E7" w:rsidRPr="00DE03BF" w:rsidRDefault="000A75E7" w:rsidP="003B435E">
            <w:pPr>
              <w:pStyle w:val="SCCShortJudgment"/>
              <w:ind w:firstLine="0"/>
              <w:rPr>
                <w:szCs w:val="20"/>
                <w:lang w:val="fr-CA"/>
              </w:rPr>
            </w:pPr>
          </w:p>
          <w:p w:rsidR="000A75E7" w:rsidRPr="00DE03BF" w:rsidRDefault="000A75E7" w:rsidP="003B435E">
            <w:pPr>
              <w:pStyle w:val="SCCShortJudgment"/>
              <w:rPr>
                <w:szCs w:val="20"/>
              </w:rPr>
            </w:pPr>
            <w:r w:rsidRPr="00DE03BF">
              <w:rPr>
                <w:szCs w:val="20"/>
              </w:rPr>
              <w:t>The application for leave to appeal from the judgment of the Court of Appeal of Quebec (Montréal), Number 500-10-004020-077, 2012 QCCA 1418, dated August 7, 2012, is dismissed without costs.</w:t>
            </w:r>
          </w:p>
        </w:tc>
      </w:tr>
    </w:tbl>
    <w:p w:rsidR="00121FCA" w:rsidRDefault="00121FCA" w:rsidP="00121FCA">
      <w:pPr>
        <w:rPr>
          <w:sz w:val="20"/>
          <w:szCs w:val="20"/>
        </w:rPr>
      </w:pPr>
    </w:p>
    <w:p w:rsidR="00121FCA" w:rsidRPr="001B157C" w:rsidRDefault="00121FCA" w:rsidP="00121FCA">
      <w:pPr>
        <w:rPr>
          <w:sz w:val="20"/>
          <w:szCs w:val="20"/>
          <w:u w:val="single"/>
        </w:rPr>
      </w:pPr>
      <w:r w:rsidRPr="001B157C">
        <w:rPr>
          <w:sz w:val="20"/>
          <w:szCs w:val="20"/>
          <w:u w:val="single"/>
        </w:rPr>
        <w:t>CASE SUMMARY</w:t>
      </w:r>
    </w:p>
    <w:p w:rsidR="00121FCA" w:rsidRDefault="00121FCA" w:rsidP="00121FCA">
      <w:pPr>
        <w:rPr>
          <w:sz w:val="20"/>
          <w:szCs w:val="20"/>
        </w:rPr>
      </w:pPr>
    </w:p>
    <w:tbl>
      <w:tblPr>
        <w:tblW w:w="4952" w:type="pct"/>
        <w:tblLayout w:type="fixed"/>
        <w:tblCellMar>
          <w:left w:w="0" w:type="dxa"/>
          <w:bottom w:w="99" w:type="dxa"/>
          <w:right w:w="0" w:type="dxa"/>
        </w:tblCellMar>
        <w:tblLook w:val="04A0"/>
      </w:tblPr>
      <w:tblGrid>
        <w:gridCol w:w="4552"/>
        <w:gridCol w:w="455"/>
        <w:gridCol w:w="4520"/>
      </w:tblGrid>
      <w:tr w:rsidR="00F83453" w:rsidRPr="00C56FE1" w:rsidTr="009208D4">
        <w:tc>
          <w:tcPr>
            <w:tcW w:w="5000" w:type="pct"/>
            <w:gridSpan w:val="3"/>
          </w:tcPr>
          <w:p w:rsidR="00F83453" w:rsidRPr="00C56FE1" w:rsidRDefault="00F83453" w:rsidP="009208D4">
            <w:pPr>
              <w:jc w:val="both"/>
              <w:rPr>
                <w:rFonts w:eastAsia="Calibri"/>
                <w:smallCaps/>
                <w:sz w:val="20"/>
              </w:rPr>
            </w:pPr>
            <w:r w:rsidRPr="00C56FE1">
              <w:rPr>
                <w:rFonts w:eastAsia="Calibri"/>
                <w:smallCaps/>
                <w:sz w:val="20"/>
              </w:rPr>
              <w:t>(Publication Ban in Case)</w:t>
            </w:r>
          </w:p>
          <w:p w:rsidR="00F83453" w:rsidRPr="00C56FE1" w:rsidRDefault="00F83453" w:rsidP="009208D4">
            <w:pPr>
              <w:jc w:val="both"/>
              <w:rPr>
                <w:rFonts w:eastAsia="Calibri"/>
                <w:sz w:val="20"/>
              </w:rPr>
            </w:pPr>
          </w:p>
          <w:p w:rsidR="00F83453" w:rsidRPr="00C56FE1" w:rsidRDefault="00F83453" w:rsidP="009208D4">
            <w:pPr>
              <w:jc w:val="both"/>
              <w:rPr>
                <w:rFonts w:eastAsia="Calibri"/>
                <w:sz w:val="20"/>
              </w:rPr>
            </w:pPr>
            <w:r w:rsidRPr="00C56FE1">
              <w:rPr>
                <w:rFonts w:eastAsia="Calibri"/>
                <w:sz w:val="20"/>
              </w:rPr>
              <w:t xml:space="preserve">Criminal law — Charge to jury — First degree murder — Elements of offence — Lesser and included offences — Complicity — Foreseeability of death — Accused’s criminal record — Whether Court of Appeal erred in concluding that its intervention not required by charge or absence of charge to jury concerning (1) accomplice’s intention, (2) need for bodily harm that was neither trivial nor transitory to be objectively foreseeable by accomplice, (3) fact that jury did not have to determine who was principal to murder for purposes of s. 21(2) of </w:t>
            </w:r>
            <w:r w:rsidRPr="00C56FE1">
              <w:rPr>
                <w:rFonts w:eastAsia="Calibri"/>
                <w:i/>
                <w:sz w:val="20"/>
              </w:rPr>
              <w:t>Criminal Code</w:t>
            </w:r>
            <w:r w:rsidRPr="00C56FE1">
              <w:rPr>
                <w:rFonts w:eastAsia="Calibri"/>
                <w:sz w:val="20"/>
              </w:rPr>
              <w:t xml:space="preserve">, (4) possibility of verdict of second degree murder based on principles in s. 21(2) of </w:t>
            </w:r>
            <w:r w:rsidRPr="00C56FE1">
              <w:rPr>
                <w:rFonts w:eastAsia="Calibri"/>
                <w:i/>
                <w:sz w:val="20"/>
              </w:rPr>
              <w:t>Criminal Code</w:t>
            </w:r>
            <w:r w:rsidRPr="00C56FE1">
              <w:rPr>
                <w:rFonts w:eastAsia="Calibri"/>
                <w:sz w:val="20"/>
              </w:rPr>
              <w:t>, (5) non</w:t>
            </w:r>
            <w:r w:rsidRPr="00C56FE1">
              <w:rPr>
                <w:rFonts w:eastAsia="Calibri"/>
                <w:sz w:val="20"/>
              </w:rPr>
              <w:noBreakHyphen/>
              <w:t xml:space="preserve">application of s. 21(2) where murder raised to first degree murder under s. 231(5) of </w:t>
            </w:r>
            <w:r w:rsidRPr="00C56FE1">
              <w:rPr>
                <w:rFonts w:eastAsia="Calibri"/>
                <w:i/>
                <w:sz w:val="20"/>
              </w:rPr>
              <w:t>Criminal Code</w:t>
            </w:r>
            <w:r w:rsidRPr="00C56FE1">
              <w:rPr>
                <w:rFonts w:eastAsia="Calibri"/>
                <w:sz w:val="20"/>
              </w:rPr>
              <w:t>, (6) foreseeability of death within meaning of s. 229(</w:t>
            </w:r>
            <w:r w:rsidRPr="00C56FE1">
              <w:rPr>
                <w:rFonts w:eastAsia="Calibri"/>
                <w:i/>
                <w:sz w:val="20"/>
              </w:rPr>
              <w:t>a</w:t>
            </w:r>
            <w:r w:rsidRPr="00C56FE1">
              <w:rPr>
                <w:rFonts w:eastAsia="Calibri"/>
                <w:sz w:val="20"/>
              </w:rPr>
              <w:t xml:space="preserve">)(ii) of </w:t>
            </w:r>
            <w:r w:rsidRPr="00C56FE1">
              <w:rPr>
                <w:rFonts w:eastAsia="Calibri"/>
                <w:i/>
                <w:sz w:val="20"/>
              </w:rPr>
              <w:t>Criminal Code</w:t>
            </w:r>
            <w:r w:rsidRPr="00C56FE1">
              <w:rPr>
                <w:rFonts w:eastAsia="Calibri"/>
                <w:sz w:val="20"/>
              </w:rPr>
              <w:t xml:space="preserve">, and (7) prohibition against using accused’s criminal record to determine guilt — </w:t>
            </w:r>
            <w:r w:rsidRPr="00C56FE1">
              <w:rPr>
                <w:rFonts w:eastAsia="Calibri"/>
                <w:i/>
                <w:sz w:val="20"/>
              </w:rPr>
              <w:t>Criminal Code</w:t>
            </w:r>
            <w:r w:rsidRPr="00C56FE1">
              <w:rPr>
                <w:rFonts w:eastAsia="Calibri"/>
                <w:sz w:val="20"/>
              </w:rPr>
              <w:t>, R.S.C. 1985, c. C</w:t>
            </w:r>
            <w:r w:rsidRPr="00C56FE1">
              <w:rPr>
                <w:rFonts w:eastAsia="Calibri"/>
                <w:sz w:val="20"/>
              </w:rPr>
              <w:noBreakHyphen/>
              <w:t xml:space="preserve">46, ss. 21(2), 229, 231(5). </w:t>
            </w:r>
          </w:p>
        </w:tc>
      </w:tr>
      <w:tr w:rsidR="00F83453" w:rsidRPr="00C56FE1" w:rsidTr="009208D4">
        <w:tc>
          <w:tcPr>
            <w:tcW w:w="5000" w:type="pct"/>
            <w:gridSpan w:val="3"/>
          </w:tcPr>
          <w:p w:rsidR="00F83453" w:rsidRPr="00C56FE1" w:rsidRDefault="00F83453" w:rsidP="009208D4">
            <w:pPr>
              <w:jc w:val="both"/>
              <w:rPr>
                <w:rFonts w:eastAsia="Calibri"/>
                <w:sz w:val="20"/>
              </w:rPr>
            </w:pPr>
          </w:p>
        </w:tc>
      </w:tr>
      <w:tr w:rsidR="00F83453" w:rsidRPr="00C56FE1" w:rsidTr="009208D4">
        <w:tc>
          <w:tcPr>
            <w:tcW w:w="5000" w:type="pct"/>
            <w:gridSpan w:val="3"/>
          </w:tcPr>
          <w:p w:rsidR="00F83453" w:rsidRPr="00C56FE1" w:rsidRDefault="00F83453" w:rsidP="009208D4">
            <w:pPr>
              <w:jc w:val="both"/>
              <w:rPr>
                <w:rFonts w:eastAsia="Calibri"/>
                <w:sz w:val="20"/>
              </w:rPr>
            </w:pPr>
            <w:r w:rsidRPr="00C56FE1">
              <w:rPr>
                <w:rFonts w:eastAsia="Calibri"/>
                <w:sz w:val="20"/>
              </w:rPr>
              <w:t>This case arose out of a young man’s death in Gatineau in June 2006.  The victim got into the back seat of the vehicle of the applicant, Christopher Lill.  The rear door safety locks were engaged, which meant that the victim could not exit the vehicle without assistance.  Mr. Lill, who was accompanied by an accomplice who was a minor, drove his car on an isolated path in the country.  Mr. Lill and his accomplice took the victim to a wooded area.  Witnesses who had followed them in another car were also present.  The applicant and his accomplice allegedly punched and kicked the victim and then hit him with iron bars.  After the witnesses left the scene, the victim was allegedly also struck in the head with a hammer.  The victim was found dead in the wooded area.  Mr. Lill and his accomplice were charged with first degree murder.</w:t>
            </w:r>
          </w:p>
          <w:p w:rsidR="00F83453" w:rsidRPr="00C56FE1" w:rsidRDefault="00F83453" w:rsidP="009208D4">
            <w:pPr>
              <w:jc w:val="both"/>
              <w:rPr>
                <w:rFonts w:eastAsia="Calibri"/>
                <w:sz w:val="20"/>
              </w:rPr>
            </w:pPr>
          </w:p>
          <w:p w:rsidR="00F83453" w:rsidRPr="00C56FE1" w:rsidRDefault="00F83453" w:rsidP="009208D4">
            <w:pPr>
              <w:jc w:val="both"/>
              <w:rPr>
                <w:rFonts w:eastAsia="Calibri"/>
                <w:sz w:val="20"/>
              </w:rPr>
            </w:pPr>
            <w:r w:rsidRPr="00C56FE1">
              <w:rPr>
                <w:rFonts w:eastAsia="Calibri"/>
                <w:sz w:val="20"/>
              </w:rPr>
              <w:t>During his trial, the applicant admitted punching the victim but argued that his accomplice was responsible for the fatal injuries sustained by the victim.  A jury found Mr. Lill guilty of first degree murder.</w:t>
            </w:r>
          </w:p>
          <w:p w:rsidR="00F83453" w:rsidRPr="00C56FE1" w:rsidRDefault="00F83453" w:rsidP="009208D4">
            <w:pPr>
              <w:jc w:val="both"/>
              <w:rPr>
                <w:rFonts w:eastAsia="Calibri"/>
                <w:sz w:val="20"/>
              </w:rPr>
            </w:pPr>
          </w:p>
        </w:tc>
      </w:tr>
      <w:tr w:rsidR="00F83453" w:rsidRPr="00C56FE1" w:rsidTr="009208D4">
        <w:tc>
          <w:tcPr>
            <w:tcW w:w="2389" w:type="pct"/>
          </w:tcPr>
          <w:p w:rsidR="00F83453" w:rsidRPr="00C56FE1" w:rsidRDefault="00F83453" w:rsidP="009208D4">
            <w:pPr>
              <w:jc w:val="both"/>
              <w:rPr>
                <w:rFonts w:eastAsia="Calibri"/>
                <w:sz w:val="20"/>
              </w:rPr>
            </w:pPr>
            <w:r w:rsidRPr="00C56FE1">
              <w:rPr>
                <w:rFonts w:eastAsia="Calibri"/>
                <w:sz w:val="20"/>
              </w:rPr>
              <w:t>November 17, 2007</w:t>
            </w:r>
          </w:p>
          <w:p w:rsidR="00F83453" w:rsidRPr="00C56FE1" w:rsidRDefault="00F83453" w:rsidP="009208D4">
            <w:pPr>
              <w:jc w:val="both"/>
              <w:rPr>
                <w:rFonts w:eastAsia="Calibri"/>
                <w:sz w:val="20"/>
              </w:rPr>
            </w:pPr>
            <w:r w:rsidRPr="00C56FE1">
              <w:rPr>
                <w:rFonts w:eastAsia="Calibri"/>
                <w:sz w:val="20"/>
              </w:rPr>
              <w:t>Quebec Superior Court</w:t>
            </w:r>
          </w:p>
          <w:p w:rsidR="00F83453" w:rsidRPr="00C56FE1" w:rsidRDefault="00F83453" w:rsidP="009208D4">
            <w:pPr>
              <w:jc w:val="both"/>
              <w:rPr>
                <w:rFonts w:eastAsia="Calibri"/>
                <w:sz w:val="20"/>
              </w:rPr>
            </w:pPr>
            <w:r w:rsidRPr="00C56FE1">
              <w:rPr>
                <w:rFonts w:eastAsia="Calibri"/>
                <w:sz w:val="20"/>
              </w:rPr>
              <w:t>(Plouffe J.)</w:t>
            </w:r>
          </w:p>
          <w:p w:rsidR="00F83453" w:rsidRPr="00C56FE1" w:rsidRDefault="00F83453" w:rsidP="009208D4">
            <w:pPr>
              <w:jc w:val="both"/>
              <w:rPr>
                <w:rFonts w:eastAsia="Calibri"/>
                <w:sz w:val="20"/>
              </w:rPr>
            </w:pPr>
          </w:p>
        </w:tc>
        <w:tc>
          <w:tcPr>
            <w:tcW w:w="239" w:type="pct"/>
          </w:tcPr>
          <w:p w:rsidR="00F83453" w:rsidRPr="00C56FE1" w:rsidRDefault="00F83453" w:rsidP="009208D4">
            <w:pPr>
              <w:jc w:val="both"/>
              <w:rPr>
                <w:rFonts w:eastAsia="Calibri"/>
                <w:sz w:val="20"/>
              </w:rPr>
            </w:pPr>
          </w:p>
        </w:tc>
        <w:tc>
          <w:tcPr>
            <w:tcW w:w="2372" w:type="pct"/>
          </w:tcPr>
          <w:p w:rsidR="00F83453" w:rsidRPr="00C56FE1" w:rsidRDefault="00F83453" w:rsidP="009208D4">
            <w:pPr>
              <w:jc w:val="both"/>
              <w:rPr>
                <w:rFonts w:eastAsia="Calibri"/>
                <w:sz w:val="20"/>
              </w:rPr>
            </w:pPr>
            <w:r w:rsidRPr="00C56FE1">
              <w:rPr>
                <w:rFonts w:eastAsia="Calibri"/>
                <w:sz w:val="20"/>
              </w:rPr>
              <w:t>Applicant convicted of first degree murder</w:t>
            </w:r>
          </w:p>
          <w:p w:rsidR="00F83453" w:rsidRPr="00C56FE1" w:rsidRDefault="00F83453" w:rsidP="009208D4">
            <w:pPr>
              <w:jc w:val="both"/>
              <w:rPr>
                <w:rFonts w:eastAsia="Calibri"/>
                <w:sz w:val="20"/>
              </w:rPr>
            </w:pPr>
          </w:p>
        </w:tc>
      </w:tr>
      <w:tr w:rsidR="00F83453" w:rsidRPr="00C56FE1" w:rsidTr="009208D4">
        <w:tc>
          <w:tcPr>
            <w:tcW w:w="2389" w:type="pct"/>
          </w:tcPr>
          <w:p w:rsidR="00F83453" w:rsidRPr="00C56FE1" w:rsidRDefault="00F83453" w:rsidP="009208D4">
            <w:pPr>
              <w:jc w:val="both"/>
              <w:rPr>
                <w:rFonts w:eastAsia="Calibri"/>
                <w:sz w:val="20"/>
              </w:rPr>
            </w:pPr>
            <w:r w:rsidRPr="00C56FE1">
              <w:rPr>
                <w:rFonts w:eastAsia="Calibri"/>
                <w:sz w:val="20"/>
              </w:rPr>
              <w:t>August 7, 2012</w:t>
            </w:r>
          </w:p>
          <w:p w:rsidR="00F83453" w:rsidRPr="00C56FE1" w:rsidRDefault="00F83453" w:rsidP="009208D4">
            <w:pPr>
              <w:jc w:val="both"/>
              <w:rPr>
                <w:rFonts w:eastAsia="Calibri"/>
                <w:sz w:val="20"/>
              </w:rPr>
            </w:pPr>
            <w:r w:rsidRPr="00C56FE1">
              <w:rPr>
                <w:rFonts w:eastAsia="Calibri"/>
                <w:sz w:val="20"/>
              </w:rPr>
              <w:t>Quebec Court of Appeal (Montréal)</w:t>
            </w:r>
          </w:p>
          <w:p w:rsidR="00F83453" w:rsidRPr="00C56FE1" w:rsidRDefault="00F83453" w:rsidP="009208D4">
            <w:pPr>
              <w:jc w:val="both"/>
              <w:rPr>
                <w:rFonts w:eastAsia="Calibri"/>
                <w:sz w:val="20"/>
              </w:rPr>
            </w:pPr>
            <w:r w:rsidRPr="00C56FE1">
              <w:rPr>
                <w:rFonts w:eastAsia="Calibri"/>
                <w:sz w:val="20"/>
              </w:rPr>
              <w:t>(Duval Hesler C.J. and Hilton and Giroux JJ.A.)</w:t>
            </w:r>
          </w:p>
          <w:p w:rsidR="00F83453" w:rsidRPr="00C56FE1" w:rsidRDefault="00F83453" w:rsidP="009208D4">
            <w:pPr>
              <w:jc w:val="both"/>
              <w:rPr>
                <w:rFonts w:eastAsia="Calibri"/>
                <w:sz w:val="20"/>
              </w:rPr>
            </w:pPr>
            <w:r w:rsidRPr="00C56FE1">
              <w:rPr>
                <w:rFonts w:eastAsia="Calibri"/>
                <w:sz w:val="20"/>
              </w:rPr>
              <w:t>2012 QCCA 1418</w:t>
            </w:r>
          </w:p>
          <w:p w:rsidR="00F83453" w:rsidRPr="00C56FE1" w:rsidRDefault="00F83453" w:rsidP="009208D4">
            <w:pPr>
              <w:jc w:val="both"/>
              <w:rPr>
                <w:rFonts w:eastAsia="Calibri"/>
                <w:sz w:val="20"/>
              </w:rPr>
            </w:pPr>
          </w:p>
        </w:tc>
        <w:tc>
          <w:tcPr>
            <w:tcW w:w="239" w:type="pct"/>
          </w:tcPr>
          <w:p w:rsidR="00F83453" w:rsidRPr="00C56FE1" w:rsidRDefault="00F83453" w:rsidP="009208D4">
            <w:pPr>
              <w:jc w:val="both"/>
              <w:rPr>
                <w:rFonts w:eastAsia="Calibri"/>
                <w:sz w:val="20"/>
              </w:rPr>
            </w:pPr>
          </w:p>
        </w:tc>
        <w:tc>
          <w:tcPr>
            <w:tcW w:w="2372" w:type="pct"/>
          </w:tcPr>
          <w:p w:rsidR="00F83453" w:rsidRPr="00C56FE1" w:rsidRDefault="00F83453" w:rsidP="009208D4">
            <w:pPr>
              <w:jc w:val="both"/>
              <w:rPr>
                <w:rFonts w:eastAsia="Calibri"/>
                <w:sz w:val="20"/>
              </w:rPr>
            </w:pPr>
            <w:r w:rsidRPr="00C56FE1">
              <w:rPr>
                <w:rFonts w:eastAsia="Calibri"/>
                <w:sz w:val="20"/>
              </w:rPr>
              <w:t>Appeal from conviction dismissed</w:t>
            </w:r>
          </w:p>
          <w:p w:rsidR="00F83453" w:rsidRPr="00C56FE1" w:rsidRDefault="00F83453" w:rsidP="009208D4">
            <w:pPr>
              <w:jc w:val="both"/>
              <w:rPr>
                <w:rFonts w:eastAsia="Calibri"/>
                <w:sz w:val="20"/>
              </w:rPr>
            </w:pPr>
          </w:p>
        </w:tc>
      </w:tr>
      <w:tr w:rsidR="00F83453" w:rsidRPr="00C56FE1" w:rsidTr="009208D4">
        <w:tc>
          <w:tcPr>
            <w:tcW w:w="2389" w:type="pct"/>
          </w:tcPr>
          <w:p w:rsidR="00F83453" w:rsidRPr="00C56FE1" w:rsidRDefault="00F83453" w:rsidP="009208D4">
            <w:pPr>
              <w:jc w:val="both"/>
              <w:rPr>
                <w:rFonts w:eastAsia="Calibri"/>
                <w:sz w:val="20"/>
              </w:rPr>
            </w:pPr>
            <w:r w:rsidRPr="00C56FE1">
              <w:rPr>
                <w:rFonts w:eastAsia="Calibri"/>
                <w:sz w:val="20"/>
              </w:rPr>
              <w:t>September 27, 2012</w:t>
            </w:r>
          </w:p>
          <w:p w:rsidR="00F83453" w:rsidRPr="00C56FE1" w:rsidRDefault="00F83453" w:rsidP="009208D4">
            <w:pPr>
              <w:jc w:val="both"/>
              <w:rPr>
                <w:rFonts w:eastAsia="Calibri"/>
                <w:sz w:val="20"/>
              </w:rPr>
            </w:pPr>
            <w:r w:rsidRPr="00C56FE1">
              <w:rPr>
                <w:rFonts w:eastAsia="Calibri"/>
                <w:sz w:val="20"/>
              </w:rPr>
              <w:t>Supreme Court of Canada</w:t>
            </w:r>
          </w:p>
        </w:tc>
        <w:tc>
          <w:tcPr>
            <w:tcW w:w="239" w:type="pct"/>
          </w:tcPr>
          <w:p w:rsidR="00F83453" w:rsidRPr="00C56FE1" w:rsidRDefault="00F83453" w:rsidP="009208D4">
            <w:pPr>
              <w:jc w:val="both"/>
              <w:rPr>
                <w:rFonts w:eastAsia="Calibri"/>
                <w:sz w:val="20"/>
              </w:rPr>
            </w:pPr>
          </w:p>
        </w:tc>
        <w:tc>
          <w:tcPr>
            <w:tcW w:w="2372" w:type="pct"/>
          </w:tcPr>
          <w:p w:rsidR="00F83453" w:rsidRPr="00C56FE1" w:rsidRDefault="00F83453" w:rsidP="009208D4">
            <w:pPr>
              <w:jc w:val="both"/>
              <w:rPr>
                <w:rFonts w:eastAsia="Calibri"/>
                <w:sz w:val="20"/>
              </w:rPr>
            </w:pPr>
            <w:r w:rsidRPr="00C56FE1">
              <w:rPr>
                <w:rFonts w:eastAsia="Calibri"/>
                <w:sz w:val="20"/>
              </w:rPr>
              <w:t>Application for leave to appeal filed</w:t>
            </w:r>
          </w:p>
        </w:tc>
      </w:tr>
    </w:tbl>
    <w:p w:rsidR="00121FCA" w:rsidRDefault="00121FCA" w:rsidP="00121FCA">
      <w:pPr>
        <w:rPr>
          <w:sz w:val="20"/>
          <w:szCs w:val="20"/>
        </w:rPr>
      </w:pPr>
    </w:p>
    <w:p w:rsidR="00121FCA" w:rsidRPr="00C50A5C" w:rsidRDefault="00CD48BC" w:rsidP="00121FCA">
      <w:pPr>
        <w:rPr>
          <w:sz w:val="20"/>
          <w:szCs w:val="20"/>
        </w:rPr>
      </w:pPr>
      <w:r w:rsidRPr="00CD48BC">
        <w:rPr>
          <w:sz w:val="20"/>
          <w:szCs w:val="20"/>
          <w:lang w:val="fr-CA"/>
        </w:rPr>
        <w:pict>
          <v:rect id="_x0000_i1056" style="width:2in;height:1pt" o:hrpct="0" o:hralign="center" o:hrstd="t" o:hrnoshade="t" o:hr="t" fillcolor="black [3213]" stroked="f"/>
        </w:pict>
      </w:r>
    </w:p>
    <w:p w:rsidR="00121FCA" w:rsidRDefault="00121FCA" w:rsidP="00121FCA">
      <w:pPr>
        <w:rPr>
          <w:sz w:val="20"/>
          <w:szCs w:val="20"/>
        </w:rPr>
      </w:pPr>
    </w:p>
    <w:p w:rsidR="00121FCA" w:rsidRPr="001B157C" w:rsidRDefault="00121FCA" w:rsidP="00121FCA">
      <w:pPr>
        <w:rPr>
          <w:sz w:val="20"/>
          <w:szCs w:val="20"/>
          <w:u w:val="single"/>
          <w:lang w:val="fr-CA"/>
        </w:rPr>
      </w:pPr>
      <w:r w:rsidRPr="001B157C">
        <w:rPr>
          <w:sz w:val="20"/>
          <w:szCs w:val="20"/>
          <w:u w:val="single"/>
          <w:lang w:val="fr-CA"/>
        </w:rPr>
        <w:t>RÉSUMÉ DE L’AFFAIRE</w:t>
      </w:r>
    </w:p>
    <w:p w:rsidR="00121FCA" w:rsidRDefault="00121FCA" w:rsidP="00121FCA">
      <w:pPr>
        <w:rPr>
          <w:sz w:val="20"/>
          <w:szCs w:val="20"/>
        </w:rPr>
      </w:pPr>
    </w:p>
    <w:tbl>
      <w:tblPr>
        <w:tblW w:w="4952" w:type="pct"/>
        <w:tblLayout w:type="fixed"/>
        <w:tblCellMar>
          <w:left w:w="0" w:type="dxa"/>
          <w:bottom w:w="99" w:type="dxa"/>
          <w:right w:w="0" w:type="dxa"/>
        </w:tblCellMar>
        <w:tblLook w:val="04A0"/>
      </w:tblPr>
      <w:tblGrid>
        <w:gridCol w:w="4552"/>
        <w:gridCol w:w="455"/>
        <w:gridCol w:w="4520"/>
      </w:tblGrid>
      <w:tr w:rsidR="00F83453" w:rsidRPr="00C56FE1" w:rsidTr="009208D4">
        <w:tc>
          <w:tcPr>
            <w:tcW w:w="5000" w:type="pct"/>
            <w:gridSpan w:val="3"/>
          </w:tcPr>
          <w:p w:rsidR="00F83453" w:rsidRPr="00C56FE1" w:rsidRDefault="00F83453" w:rsidP="009208D4">
            <w:pPr>
              <w:jc w:val="both"/>
              <w:rPr>
                <w:rFonts w:eastAsia="Calibri"/>
                <w:smallCaps/>
                <w:sz w:val="20"/>
                <w:lang w:val="fr-CA"/>
              </w:rPr>
            </w:pPr>
            <w:r w:rsidRPr="00C56FE1">
              <w:rPr>
                <w:rFonts w:eastAsia="Calibri"/>
                <w:smallCaps/>
                <w:sz w:val="20"/>
                <w:lang w:val="fr-CA"/>
              </w:rPr>
              <w:t>(Ordonnance de non</w:t>
            </w:r>
            <w:r w:rsidRPr="00C56FE1">
              <w:rPr>
                <w:rFonts w:eastAsia="Calibri"/>
                <w:smallCaps/>
                <w:sz w:val="20"/>
                <w:lang w:val="fr-CA"/>
              </w:rPr>
              <w:noBreakHyphen/>
              <w:t>publication dans le dossier)</w:t>
            </w:r>
          </w:p>
          <w:p w:rsidR="00F83453" w:rsidRPr="00C56FE1" w:rsidRDefault="00F83453" w:rsidP="009208D4">
            <w:pPr>
              <w:jc w:val="both"/>
              <w:rPr>
                <w:rFonts w:eastAsia="Calibri"/>
                <w:sz w:val="20"/>
                <w:lang w:val="fr-CA"/>
              </w:rPr>
            </w:pPr>
          </w:p>
          <w:p w:rsidR="00F83453" w:rsidRPr="00C56FE1" w:rsidRDefault="00F83453" w:rsidP="009208D4">
            <w:pPr>
              <w:jc w:val="both"/>
              <w:rPr>
                <w:rFonts w:eastAsia="Calibri"/>
                <w:sz w:val="20"/>
                <w:lang w:val="fr-CA"/>
              </w:rPr>
            </w:pPr>
            <w:r w:rsidRPr="00C56FE1">
              <w:rPr>
                <w:rFonts w:eastAsia="Calibri"/>
                <w:sz w:val="20"/>
                <w:lang w:val="fr-CA"/>
              </w:rPr>
              <w:t>Droit criminel — Directives au jury — Meurtre au premier degré — Éléments constitutifs de l’infraction — Infractions moindres et incluses — Complicité — Prévisibilité de la mort — Antécédents judiciaires de l’accusé — Est</w:t>
            </w:r>
            <w:r w:rsidRPr="00C56FE1">
              <w:rPr>
                <w:rFonts w:eastAsia="Calibri"/>
                <w:sz w:val="20"/>
                <w:lang w:val="fr-CA"/>
              </w:rPr>
              <w:noBreakHyphen/>
              <w:t xml:space="preserve">ce que la Cour d’appel a errée en concluant que les directives ou l’absence de directives au jury relativement 1) à l’intention du complice, 2) à la nécessité pour le complice de posséder la prévisibilité objective de lésions corporelles qui ne sont ni de nature passagère ni sans importance, 3) au fait qu’il n’était pas nécessaire pour le jury de déterminer qui était l’auteur principal du meurtre aux fins de l’application de l’art. 21(2) du </w:t>
            </w:r>
            <w:r w:rsidRPr="00C56FE1">
              <w:rPr>
                <w:rFonts w:eastAsia="Calibri"/>
                <w:i/>
                <w:sz w:val="20"/>
                <w:lang w:val="fr-CA"/>
              </w:rPr>
              <w:t>Code criminel</w:t>
            </w:r>
            <w:r w:rsidRPr="00C56FE1">
              <w:rPr>
                <w:rFonts w:eastAsia="Calibri"/>
                <w:sz w:val="20"/>
                <w:lang w:val="fr-CA"/>
              </w:rPr>
              <w:t xml:space="preserve">, 4) à l’ouverture d’un verdict de meurtre au deuxième degré sous l’égide des principes de l’art. 21(2) du </w:t>
            </w:r>
            <w:r w:rsidRPr="00C56FE1">
              <w:rPr>
                <w:rFonts w:eastAsia="Calibri"/>
                <w:i/>
                <w:sz w:val="20"/>
                <w:lang w:val="fr-CA"/>
              </w:rPr>
              <w:t>Code criminel</w:t>
            </w:r>
            <w:r w:rsidRPr="00C56FE1">
              <w:rPr>
                <w:rFonts w:eastAsia="Calibri"/>
                <w:sz w:val="20"/>
                <w:lang w:val="fr-CA"/>
              </w:rPr>
              <w:t xml:space="preserve">, 5) à la non application de l’article 21(2) à l’infraction de meurtre au premier degré par assimilation de l’art. 231(5) du </w:t>
            </w:r>
            <w:r w:rsidRPr="00C56FE1">
              <w:rPr>
                <w:rFonts w:eastAsia="Calibri"/>
                <w:i/>
                <w:sz w:val="20"/>
                <w:lang w:val="fr-CA"/>
              </w:rPr>
              <w:t>Code criminel,</w:t>
            </w:r>
            <w:r w:rsidRPr="00C56FE1">
              <w:rPr>
                <w:rFonts w:eastAsia="Calibri"/>
                <w:sz w:val="20"/>
                <w:lang w:val="fr-CA"/>
              </w:rPr>
              <w:t xml:space="preserve"> 6) à la prévisibilité de la mort au sens de l’art. 229</w:t>
            </w:r>
            <w:r w:rsidRPr="00C56FE1">
              <w:rPr>
                <w:rFonts w:eastAsia="Calibri"/>
                <w:i/>
                <w:sz w:val="20"/>
                <w:lang w:val="fr-CA"/>
              </w:rPr>
              <w:t>a)</w:t>
            </w:r>
            <w:r w:rsidRPr="00C56FE1">
              <w:rPr>
                <w:rFonts w:eastAsia="Calibri"/>
                <w:sz w:val="20"/>
                <w:lang w:val="fr-CA"/>
              </w:rPr>
              <w:t xml:space="preserve">ii) du </w:t>
            </w:r>
            <w:r w:rsidRPr="00C56FE1">
              <w:rPr>
                <w:rFonts w:eastAsia="Calibri"/>
                <w:i/>
                <w:sz w:val="20"/>
                <w:lang w:val="fr-CA"/>
              </w:rPr>
              <w:t>Code criminel</w:t>
            </w:r>
            <w:r w:rsidRPr="00C56FE1">
              <w:rPr>
                <w:rFonts w:eastAsia="Calibri"/>
                <w:sz w:val="20"/>
                <w:lang w:val="fr-CA"/>
              </w:rPr>
              <w:t xml:space="preserve">, et 7) à l’interdiction d’utiliser les antécédents judiciaires de l’accusé pour déterminer la culpabilité, ne nécessitaient pas l’intervention de la Cour? — </w:t>
            </w:r>
            <w:r w:rsidRPr="00C56FE1">
              <w:rPr>
                <w:rFonts w:eastAsia="Calibri"/>
                <w:i/>
                <w:sz w:val="20"/>
                <w:lang w:val="fr-CA"/>
              </w:rPr>
              <w:t>Code criminel</w:t>
            </w:r>
            <w:r w:rsidRPr="00C56FE1">
              <w:rPr>
                <w:rFonts w:eastAsia="Calibri"/>
                <w:sz w:val="20"/>
                <w:lang w:val="fr-CA"/>
              </w:rPr>
              <w:t>, L.R.C. 1985, ch. C</w:t>
            </w:r>
            <w:r w:rsidRPr="00C56FE1">
              <w:rPr>
                <w:rFonts w:eastAsia="Calibri"/>
                <w:sz w:val="20"/>
                <w:lang w:val="fr-CA"/>
              </w:rPr>
              <w:noBreakHyphen/>
              <w:t xml:space="preserve">46, art. 21(2), 229, 231(5). </w:t>
            </w:r>
          </w:p>
        </w:tc>
      </w:tr>
      <w:tr w:rsidR="00F83453" w:rsidRPr="00C56FE1" w:rsidTr="009208D4">
        <w:tc>
          <w:tcPr>
            <w:tcW w:w="5000" w:type="pct"/>
            <w:gridSpan w:val="3"/>
          </w:tcPr>
          <w:p w:rsidR="00F83453" w:rsidRPr="00C56FE1" w:rsidRDefault="00F83453" w:rsidP="009208D4">
            <w:pPr>
              <w:jc w:val="both"/>
              <w:rPr>
                <w:rFonts w:eastAsia="Calibri"/>
                <w:sz w:val="20"/>
                <w:lang w:val="fr-CA"/>
              </w:rPr>
            </w:pPr>
          </w:p>
        </w:tc>
      </w:tr>
      <w:tr w:rsidR="00F83453" w:rsidRPr="00334802" w:rsidTr="009208D4">
        <w:tc>
          <w:tcPr>
            <w:tcW w:w="5000" w:type="pct"/>
            <w:gridSpan w:val="3"/>
          </w:tcPr>
          <w:p w:rsidR="00F83453" w:rsidRPr="00C56FE1" w:rsidRDefault="00F83453" w:rsidP="009208D4">
            <w:pPr>
              <w:jc w:val="both"/>
              <w:rPr>
                <w:rFonts w:eastAsia="Calibri"/>
                <w:sz w:val="20"/>
                <w:lang w:val="fr-CA"/>
              </w:rPr>
            </w:pPr>
            <w:r w:rsidRPr="00C56FE1">
              <w:rPr>
                <w:rFonts w:eastAsia="Calibri"/>
                <w:sz w:val="20"/>
                <w:lang w:val="fr-CA"/>
              </w:rPr>
              <w:t xml:space="preserve">La présente affaire découle du décès d’un jeune homme survenu à Gatineau en juin 2006.  La victime était montée à bord à l’arrière du véhicule du demandeur Christopher Lill.  Les dispositifs de sécurité des portières arrière étaient activés de sorte que la victime ne puisse pas sortir du véhicule sans aide.  M. Lill, accompagné d’un complice mineur, a conduit sa voiture dans un sentier isolé, en campagne.  M. Lill et son complice ont mené la victime dans un boisé.  Des témoins, les ayant suivis dans une autre voiture, étaient également présents.  Le demandeur et son complice auraient battu la victime à coups de poings, coups de pieds et ensuite à coups de barres de fer.  Après que les témoins eurent quitté les lieux, la victime aurait également été frappée à la tête avec un marteau.  La victime fut retrouvée décédée dans le boisé.  M. Lill et son complice furent accusés de meurtre au premier degré. </w:t>
            </w:r>
          </w:p>
          <w:p w:rsidR="00F83453" w:rsidRPr="00C56FE1" w:rsidRDefault="00F83453" w:rsidP="009208D4">
            <w:pPr>
              <w:jc w:val="both"/>
              <w:rPr>
                <w:rFonts w:eastAsia="Calibri"/>
                <w:sz w:val="20"/>
                <w:lang w:val="fr-CA"/>
              </w:rPr>
            </w:pPr>
          </w:p>
          <w:p w:rsidR="00F83453" w:rsidRPr="00C56FE1" w:rsidRDefault="00F83453" w:rsidP="009208D4">
            <w:pPr>
              <w:jc w:val="both"/>
              <w:rPr>
                <w:rFonts w:eastAsia="Calibri"/>
                <w:sz w:val="20"/>
                <w:lang w:val="fr-CA"/>
              </w:rPr>
            </w:pPr>
            <w:r w:rsidRPr="00C56FE1">
              <w:rPr>
                <w:rFonts w:eastAsia="Calibri"/>
                <w:sz w:val="20"/>
                <w:lang w:val="fr-CA"/>
              </w:rPr>
              <w:t>Dans le cadre de son procès, le demandeur avouait avoir frappé la victime à coups de poing mais prétendait que son complice était responsable des blessures mortelles subies par la victime.  Un jury a trouvé M. Lill coupable de meurtre au premier degré.</w:t>
            </w:r>
          </w:p>
          <w:p w:rsidR="00F83453" w:rsidRPr="00C56FE1" w:rsidRDefault="00F83453" w:rsidP="009208D4">
            <w:pPr>
              <w:jc w:val="both"/>
              <w:rPr>
                <w:rFonts w:eastAsia="Calibri"/>
                <w:sz w:val="20"/>
                <w:lang w:val="fr-CA"/>
              </w:rPr>
            </w:pPr>
          </w:p>
        </w:tc>
      </w:tr>
      <w:tr w:rsidR="00F83453" w:rsidRPr="00334802" w:rsidTr="009208D4">
        <w:tc>
          <w:tcPr>
            <w:tcW w:w="2389" w:type="pct"/>
          </w:tcPr>
          <w:p w:rsidR="00F83453" w:rsidRPr="00C56FE1" w:rsidRDefault="00F83453" w:rsidP="009208D4">
            <w:pPr>
              <w:jc w:val="both"/>
              <w:rPr>
                <w:rFonts w:eastAsia="Calibri"/>
                <w:sz w:val="20"/>
                <w:lang w:val="fr-CA"/>
              </w:rPr>
            </w:pPr>
            <w:r w:rsidRPr="00C56FE1">
              <w:rPr>
                <w:rFonts w:eastAsia="Calibri"/>
                <w:sz w:val="20"/>
                <w:lang w:val="fr-CA"/>
              </w:rPr>
              <w:lastRenderedPageBreak/>
              <w:t>Le 17 novembre 2007</w:t>
            </w:r>
          </w:p>
          <w:p w:rsidR="00F83453" w:rsidRPr="00C56FE1" w:rsidRDefault="00F83453" w:rsidP="009208D4">
            <w:pPr>
              <w:jc w:val="both"/>
              <w:rPr>
                <w:rFonts w:eastAsia="Calibri"/>
                <w:sz w:val="20"/>
                <w:lang w:val="fr-CA"/>
              </w:rPr>
            </w:pPr>
            <w:r w:rsidRPr="00C56FE1">
              <w:rPr>
                <w:rFonts w:eastAsia="Calibri"/>
                <w:sz w:val="20"/>
                <w:lang w:val="fr-CA"/>
              </w:rPr>
              <w:t>Cour supérieure du Québec</w:t>
            </w:r>
          </w:p>
          <w:p w:rsidR="00F83453" w:rsidRPr="00C56FE1" w:rsidRDefault="00F83453" w:rsidP="009208D4">
            <w:pPr>
              <w:jc w:val="both"/>
              <w:rPr>
                <w:rFonts w:eastAsia="Calibri"/>
                <w:sz w:val="20"/>
                <w:lang w:val="fr-CA"/>
              </w:rPr>
            </w:pPr>
            <w:r w:rsidRPr="00C56FE1">
              <w:rPr>
                <w:rFonts w:eastAsia="Calibri"/>
                <w:sz w:val="20"/>
                <w:lang w:val="fr-CA"/>
              </w:rPr>
              <w:t>(Le juge Plouffe)</w:t>
            </w:r>
          </w:p>
          <w:p w:rsidR="00F83453" w:rsidRPr="00C56FE1" w:rsidRDefault="00F83453" w:rsidP="009208D4">
            <w:pPr>
              <w:jc w:val="both"/>
              <w:rPr>
                <w:rFonts w:eastAsia="Calibri"/>
                <w:sz w:val="20"/>
              </w:rPr>
            </w:pPr>
          </w:p>
        </w:tc>
        <w:tc>
          <w:tcPr>
            <w:tcW w:w="239" w:type="pct"/>
          </w:tcPr>
          <w:p w:rsidR="00F83453" w:rsidRPr="00C56FE1" w:rsidRDefault="00F83453" w:rsidP="009208D4">
            <w:pPr>
              <w:jc w:val="both"/>
              <w:rPr>
                <w:rFonts w:eastAsia="Calibri"/>
                <w:sz w:val="20"/>
              </w:rPr>
            </w:pPr>
          </w:p>
        </w:tc>
        <w:tc>
          <w:tcPr>
            <w:tcW w:w="2372" w:type="pct"/>
          </w:tcPr>
          <w:p w:rsidR="00F83453" w:rsidRPr="00C56FE1" w:rsidRDefault="00F83453" w:rsidP="009208D4">
            <w:pPr>
              <w:jc w:val="both"/>
              <w:rPr>
                <w:rFonts w:eastAsia="Calibri"/>
                <w:sz w:val="20"/>
                <w:lang w:val="fr-CA"/>
              </w:rPr>
            </w:pPr>
            <w:r w:rsidRPr="00C56FE1">
              <w:rPr>
                <w:rFonts w:eastAsia="Calibri"/>
                <w:sz w:val="20"/>
                <w:lang w:val="fr-CA"/>
              </w:rPr>
              <w:t>Verdict de culpabilité pour meurtre au premier degré</w:t>
            </w:r>
          </w:p>
          <w:p w:rsidR="00F83453" w:rsidRPr="00C56FE1" w:rsidRDefault="00F83453" w:rsidP="009208D4">
            <w:pPr>
              <w:jc w:val="both"/>
              <w:rPr>
                <w:rFonts w:eastAsia="Calibri"/>
                <w:sz w:val="20"/>
                <w:lang w:val="fr-CA"/>
              </w:rPr>
            </w:pPr>
          </w:p>
        </w:tc>
      </w:tr>
      <w:tr w:rsidR="00F83453" w:rsidRPr="00334802" w:rsidTr="009208D4">
        <w:tc>
          <w:tcPr>
            <w:tcW w:w="2389" w:type="pct"/>
          </w:tcPr>
          <w:p w:rsidR="00F83453" w:rsidRPr="00C56FE1" w:rsidRDefault="00F83453" w:rsidP="009208D4">
            <w:pPr>
              <w:jc w:val="both"/>
              <w:rPr>
                <w:rFonts w:eastAsia="Calibri"/>
                <w:sz w:val="20"/>
                <w:lang w:val="fr-CA"/>
              </w:rPr>
            </w:pPr>
            <w:r w:rsidRPr="00C56FE1">
              <w:rPr>
                <w:rFonts w:eastAsia="Calibri"/>
                <w:sz w:val="20"/>
                <w:lang w:val="fr-CA"/>
              </w:rPr>
              <w:t>Le 7 août 2012</w:t>
            </w:r>
          </w:p>
          <w:p w:rsidR="00F83453" w:rsidRPr="00C56FE1" w:rsidRDefault="00F83453" w:rsidP="009208D4">
            <w:pPr>
              <w:jc w:val="both"/>
              <w:rPr>
                <w:rFonts w:eastAsia="Calibri"/>
                <w:sz w:val="20"/>
                <w:lang w:val="fr-CA"/>
              </w:rPr>
            </w:pPr>
            <w:r w:rsidRPr="00C56FE1">
              <w:rPr>
                <w:rFonts w:eastAsia="Calibri"/>
                <w:sz w:val="20"/>
                <w:lang w:val="fr-CA"/>
              </w:rPr>
              <w:t>Cour d’appel du Québec (Montréal)</w:t>
            </w:r>
          </w:p>
          <w:p w:rsidR="00F83453" w:rsidRPr="00C56FE1" w:rsidRDefault="00F83453" w:rsidP="009208D4">
            <w:pPr>
              <w:jc w:val="both"/>
              <w:rPr>
                <w:rFonts w:eastAsia="Calibri"/>
                <w:sz w:val="20"/>
                <w:lang w:val="fr-CA"/>
              </w:rPr>
            </w:pPr>
            <w:r w:rsidRPr="00C56FE1">
              <w:rPr>
                <w:rFonts w:eastAsia="Calibri"/>
                <w:sz w:val="20"/>
                <w:lang w:val="fr-CA"/>
              </w:rPr>
              <w:t>(La juge en chef Duval Hesler et les juges Hilton et Giroux)</w:t>
            </w:r>
          </w:p>
          <w:p w:rsidR="00F83453" w:rsidRPr="00C56FE1" w:rsidRDefault="00F83453" w:rsidP="009208D4">
            <w:pPr>
              <w:jc w:val="both"/>
              <w:rPr>
                <w:rFonts w:eastAsia="Calibri"/>
                <w:sz w:val="20"/>
                <w:lang w:val="fr-CA"/>
              </w:rPr>
            </w:pPr>
            <w:r w:rsidRPr="00C56FE1">
              <w:rPr>
                <w:rFonts w:eastAsia="Calibri"/>
                <w:sz w:val="20"/>
                <w:lang w:val="fr-CA"/>
              </w:rPr>
              <w:t>2012 QCCA 1418</w:t>
            </w:r>
          </w:p>
          <w:p w:rsidR="00F83453" w:rsidRPr="00C56FE1" w:rsidRDefault="00F83453" w:rsidP="009208D4">
            <w:pPr>
              <w:jc w:val="both"/>
              <w:rPr>
                <w:rFonts w:eastAsia="Calibri"/>
                <w:sz w:val="20"/>
              </w:rPr>
            </w:pPr>
          </w:p>
        </w:tc>
        <w:tc>
          <w:tcPr>
            <w:tcW w:w="239" w:type="pct"/>
          </w:tcPr>
          <w:p w:rsidR="00F83453" w:rsidRPr="00C56FE1" w:rsidRDefault="00F83453" w:rsidP="009208D4">
            <w:pPr>
              <w:jc w:val="both"/>
              <w:rPr>
                <w:rFonts w:eastAsia="Calibri"/>
                <w:sz w:val="20"/>
              </w:rPr>
            </w:pPr>
          </w:p>
        </w:tc>
        <w:tc>
          <w:tcPr>
            <w:tcW w:w="2372" w:type="pct"/>
          </w:tcPr>
          <w:p w:rsidR="00F83453" w:rsidRPr="00C56FE1" w:rsidRDefault="00F83453" w:rsidP="009208D4">
            <w:pPr>
              <w:jc w:val="both"/>
              <w:rPr>
                <w:rFonts w:eastAsia="Calibri"/>
                <w:sz w:val="20"/>
                <w:lang w:val="fr-CA"/>
              </w:rPr>
            </w:pPr>
            <w:r w:rsidRPr="00C56FE1">
              <w:rPr>
                <w:rFonts w:eastAsia="Calibri"/>
                <w:sz w:val="20"/>
                <w:lang w:val="fr-CA"/>
              </w:rPr>
              <w:t>Appel contre un verdict de culpabilité rejeté</w:t>
            </w:r>
          </w:p>
          <w:p w:rsidR="00F83453" w:rsidRPr="00C56FE1" w:rsidRDefault="00F83453" w:rsidP="009208D4">
            <w:pPr>
              <w:jc w:val="both"/>
              <w:rPr>
                <w:rFonts w:eastAsia="Calibri"/>
                <w:sz w:val="20"/>
                <w:lang w:val="fr-CA"/>
              </w:rPr>
            </w:pPr>
          </w:p>
        </w:tc>
      </w:tr>
      <w:tr w:rsidR="00F83453" w:rsidRPr="00C56FE1" w:rsidTr="009208D4">
        <w:tc>
          <w:tcPr>
            <w:tcW w:w="2389" w:type="pct"/>
          </w:tcPr>
          <w:p w:rsidR="00F83453" w:rsidRPr="00C56FE1" w:rsidRDefault="00F83453" w:rsidP="009208D4">
            <w:pPr>
              <w:jc w:val="both"/>
              <w:rPr>
                <w:rFonts w:eastAsia="Calibri"/>
                <w:sz w:val="20"/>
                <w:lang w:val="fr-CA"/>
              </w:rPr>
            </w:pPr>
            <w:r w:rsidRPr="00C56FE1">
              <w:rPr>
                <w:rFonts w:eastAsia="Calibri"/>
                <w:sz w:val="20"/>
                <w:lang w:val="fr-CA"/>
              </w:rPr>
              <w:t>Le 27 septembre 2012</w:t>
            </w:r>
          </w:p>
          <w:p w:rsidR="00F83453" w:rsidRPr="00C56FE1" w:rsidRDefault="00F83453" w:rsidP="009208D4">
            <w:pPr>
              <w:jc w:val="both"/>
              <w:rPr>
                <w:rFonts w:eastAsia="Calibri"/>
                <w:sz w:val="20"/>
                <w:lang w:val="fr-FR"/>
              </w:rPr>
            </w:pPr>
            <w:r w:rsidRPr="00C56FE1">
              <w:rPr>
                <w:rFonts w:eastAsia="Calibri"/>
                <w:sz w:val="20"/>
                <w:lang w:val="fr-CA"/>
              </w:rPr>
              <w:t>Cour suprême du Canada</w:t>
            </w:r>
          </w:p>
        </w:tc>
        <w:tc>
          <w:tcPr>
            <w:tcW w:w="239" w:type="pct"/>
          </w:tcPr>
          <w:p w:rsidR="00F83453" w:rsidRPr="00C56FE1" w:rsidRDefault="00F83453" w:rsidP="009208D4">
            <w:pPr>
              <w:jc w:val="both"/>
              <w:rPr>
                <w:rFonts w:eastAsia="Calibri"/>
                <w:sz w:val="20"/>
                <w:lang w:val="fr-FR"/>
              </w:rPr>
            </w:pPr>
          </w:p>
        </w:tc>
        <w:tc>
          <w:tcPr>
            <w:tcW w:w="2372" w:type="pct"/>
          </w:tcPr>
          <w:p w:rsidR="00F83453" w:rsidRPr="00C56FE1" w:rsidRDefault="00F83453" w:rsidP="009208D4">
            <w:pPr>
              <w:jc w:val="both"/>
              <w:rPr>
                <w:rFonts w:eastAsia="Calibri"/>
                <w:sz w:val="20"/>
                <w:lang w:val="fr-CA"/>
              </w:rPr>
            </w:pPr>
            <w:r w:rsidRPr="00C56FE1">
              <w:rPr>
                <w:rFonts w:eastAsia="Calibri"/>
                <w:sz w:val="20"/>
                <w:lang w:val="fr-CA"/>
              </w:rPr>
              <w:t>Demande d'autorisation d'appel déposée</w:t>
            </w:r>
          </w:p>
        </w:tc>
      </w:tr>
    </w:tbl>
    <w:p w:rsidR="00121FCA" w:rsidRDefault="00121FCA" w:rsidP="00121FCA">
      <w:pPr>
        <w:rPr>
          <w:sz w:val="20"/>
          <w:szCs w:val="20"/>
        </w:rPr>
      </w:pPr>
    </w:p>
    <w:p w:rsidR="00121FCA" w:rsidRDefault="00CD48BC" w:rsidP="00121FCA">
      <w:pPr>
        <w:rPr>
          <w:sz w:val="20"/>
          <w:szCs w:val="20"/>
          <w:lang w:val="fr-CA"/>
        </w:rPr>
      </w:pPr>
      <w:r w:rsidRPr="00CD48BC">
        <w:rPr>
          <w:sz w:val="20"/>
          <w:szCs w:val="20"/>
          <w:lang w:val="fr-CA"/>
        </w:rPr>
        <w:pict>
          <v:rect id="_x0000_i1057" style="width:2in;height:1pt" o:hrpct="0" o:hralign="center" o:hrstd="t" o:hrnoshade="t" o:hr="t" fillcolor="black [3213]" stroked="f"/>
        </w:pict>
      </w:r>
    </w:p>
    <w:p w:rsidR="00121FCA" w:rsidRDefault="00121FCA" w:rsidP="00121FC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A75E7" w:rsidRPr="00DE03BF" w:rsidTr="003B435E">
        <w:trPr>
          <w:cantSplit/>
        </w:trPr>
        <w:tc>
          <w:tcPr>
            <w:tcW w:w="1458" w:type="dxa"/>
          </w:tcPr>
          <w:p w:rsidR="000A75E7" w:rsidRPr="00DE03BF" w:rsidRDefault="000A75E7" w:rsidP="003B435E">
            <w:pPr>
              <w:rPr>
                <w:sz w:val="20"/>
                <w:szCs w:val="20"/>
              </w:rPr>
            </w:pPr>
            <w:r w:rsidRPr="00DE03BF">
              <w:rPr>
                <w:rStyle w:val="SCCFileNumberChar"/>
                <w:sz w:val="20"/>
                <w:szCs w:val="20"/>
              </w:rPr>
              <w:t>35015</w:t>
            </w:r>
          </w:p>
          <w:p w:rsidR="000A75E7" w:rsidRPr="00DE03BF" w:rsidRDefault="000A75E7" w:rsidP="003B435E">
            <w:pPr>
              <w:rPr>
                <w:b/>
                <w:sz w:val="20"/>
                <w:szCs w:val="20"/>
                <w:lang w:val="fr-CA"/>
              </w:rPr>
            </w:pPr>
          </w:p>
        </w:tc>
        <w:tc>
          <w:tcPr>
            <w:tcW w:w="8118" w:type="dxa"/>
          </w:tcPr>
          <w:p w:rsidR="000A75E7" w:rsidRPr="00DE03BF" w:rsidRDefault="000A75E7" w:rsidP="003B435E">
            <w:pPr>
              <w:rPr>
                <w:sz w:val="20"/>
                <w:szCs w:val="20"/>
              </w:rPr>
            </w:pPr>
            <w:r w:rsidRPr="000A75E7">
              <w:rPr>
                <w:rStyle w:val="SCCLsocChar"/>
                <w:sz w:val="20"/>
                <w:szCs w:val="20"/>
                <w:lang w:val="en-CA"/>
              </w:rPr>
              <w:t>Inter Pipeline Fund v. Taylor Processing Inc.</w:t>
            </w:r>
            <w:r w:rsidRPr="00DE03BF">
              <w:rPr>
                <w:sz w:val="20"/>
                <w:szCs w:val="20"/>
              </w:rPr>
              <w:t xml:space="preserve"> (Alta.) (Civil) (By Leave)</w:t>
            </w:r>
          </w:p>
          <w:p w:rsidR="000A75E7" w:rsidRPr="00DE03BF" w:rsidRDefault="000A75E7" w:rsidP="003B435E">
            <w:pPr>
              <w:rPr>
                <w:sz w:val="20"/>
                <w:szCs w:val="20"/>
              </w:rPr>
            </w:pPr>
          </w:p>
        </w:tc>
      </w:tr>
      <w:tr w:rsidR="000A75E7" w:rsidRPr="00DE03BF" w:rsidTr="003B435E">
        <w:trPr>
          <w:cantSplit/>
        </w:trPr>
        <w:tc>
          <w:tcPr>
            <w:tcW w:w="1458" w:type="dxa"/>
          </w:tcPr>
          <w:p w:rsidR="000A75E7" w:rsidRPr="00DE03BF" w:rsidRDefault="000A75E7" w:rsidP="003B435E">
            <w:pPr>
              <w:rPr>
                <w:sz w:val="20"/>
                <w:szCs w:val="20"/>
              </w:rPr>
            </w:pPr>
            <w:r w:rsidRPr="00DE03BF">
              <w:rPr>
                <w:sz w:val="20"/>
                <w:szCs w:val="20"/>
              </w:rPr>
              <w:t>Coram :</w:t>
            </w:r>
          </w:p>
        </w:tc>
        <w:tc>
          <w:tcPr>
            <w:tcW w:w="8118" w:type="dxa"/>
          </w:tcPr>
          <w:p w:rsidR="000A75E7" w:rsidRPr="00DE03BF" w:rsidRDefault="000A75E7" w:rsidP="003B435E">
            <w:pPr>
              <w:rPr>
                <w:sz w:val="20"/>
                <w:szCs w:val="20"/>
              </w:rPr>
            </w:pPr>
            <w:r w:rsidRPr="000A75E7">
              <w:rPr>
                <w:rStyle w:val="SCCCoramChar"/>
                <w:sz w:val="20"/>
                <w:szCs w:val="20"/>
                <w:lang w:val="en-CA"/>
              </w:rPr>
              <w:t>McLachlin C.J. and Abella and Cromwell JJ.</w:t>
            </w:r>
          </w:p>
          <w:p w:rsidR="000A75E7" w:rsidRPr="00DE03BF" w:rsidRDefault="000A75E7" w:rsidP="003B435E">
            <w:pPr>
              <w:rPr>
                <w:sz w:val="20"/>
                <w:szCs w:val="20"/>
                <w:u w:val="single"/>
              </w:rPr>
            </w:pPr>
          </w:p>
        </w:tc>
      </w:tr>
      <w:tr w:rsidR="000A75E7" w:rsidRPr="00334802" w:rsidTr="003B435E">
        <w:trPr>
          <w:cantSplit/>
        </w:trPr>
        <w:tc>
          <w:tcPr>
            <w:tcW w:w="9576" w:type="dxa"/>
            <w:gridSpan w:val="2"/>
          </w:tcPr>
          <w:p w:rsidR="000A75E7" w:rsidRPr="00DE03BF" w:rsidRDefault="000A75E7" w:rsidP="003B435E">
            <w:pPr>
              <w:pStyle w:val="SCCShortJudgment"/>
              <w:rPr>
                <w:szCs w:val="20"/>
              </w:rPr>
            </w:pPr>
            <w:r w:rsidRPr="00DE03BF">
              <w:rPr>
                <w:szCs w:val="20"/>
              </w:rPr>
              <w:t>The application for leave to appeal from the judgment of the Court of Appeal of Alberta (Calgary), Number 1101-0006-AC, 2012 ABCA 208, dated July 19, 2012, is dismissed with costs to the respondent.</w:t>
            </w:r>
          </w:p>
          <w:p w:rsidR="000A75E7" w:rsidRPr="00DE03BF" w:rsidRDefault="000A75E7" w:rsidP="003B435E">
            <w:pPr>
              <w:pStyle w:val="SCCShortJudgment"/>
              <w:ind w:firstLine="0"/>
              <w:rPr>
                <w:szCs w:val="20"/>
              </w:rPr>
            </w:pPr>
          </w:p>
          <w:p w:rsidR="000A75E7" w:rsidRPr="00DE03BF" w:rsidRDefault="000A75E7" w:rsidP="003B435E">
            <w:pPr>
              <w:pStyle w:val="SCCShortJudgment"/>
              <w:rPr>
                <w:szCs w:val="20"/>
                <w:lang w:val="fr-CA"/>
              </w:rPr>
            </w:pPr>
            <w:r w:rsidRPr="00DE03BF">
              <w:rPr>
                <w:szCs w:val="20"/>
                <w:lang w:val="fr-CA"/>
              </w:rPr>
              <w:t>La demande d’autorisation d’appel de l’arrêt de la Cour d'appel de l’Alberta (Calgary), numéro 1101-0006-AC, 2012 ABCA 208, daté du 19 juillet 2012, est rejetée avec dépens en faveur de l’intimée.</w:t>
            </w:r>
          </w:p>
        </w:tc>
      </w:tr>
    </w:tbl>
    <w:p w:rsidR="00121FCA" w:rsidRPr="000A75E7" w:rsidRDefault="00121FCA" w:rsidP="00121FCA">
      <w:pPr>
        <w:rPr>
          <w:sz w:val="20"/>
          <w:szCs w:val="20"/>
          <w:lang w:val="fr-CA"/>
        </w:rPr>
      </w:pPr>
    </w:p>
    <w:p w:rsidR="00121FCA" w:rsidRPr="001B157C" w:rsidRDefault="00121FCA" w:rsidP="00121FCA">
      <w:pPr>
        <w:rPr>
          <w:sz w:val="20"/>
          <w:szCs w:val="20"/>
          <w:u w:val="single"/>
        </w:rPr>
      </w:pPr>
      <w:r w:rsidRPr="001B157C">
        <w:rPr>
          <w:sz w:val="20"/>
          <w:szCs w:val="20"/>
          <w:u w:val="single"/>
        </w:rPr>
        <w:t>CASE SUMMARY</w:t>
      </w:r>
    </w:p>
    <w:p w:rsidR="00121FCA" w:rsidRDefault="00121FCA" w:rsidP="00121F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83453" w:rsidRPr="00C56FE1" w:rsidTr="009208D4">
        <w:tc>
          <w:tcPr>
            <w:tcW w:w="5000" w:type="pct"/>
            <w:gridSpan w:val="3"/>
          </w:tcPr>
          <w:p w:rsidR="00F83453" w:rsidRPr="00C56FE1" w:rsidRDefault="00F83453" w:rsidP="009208D4">
            <w:pPr>
              <w:jc w:val="both"/>
              <w:rPr>
                <w:rFonts w:eastAsia="Calibri"/>
                <w:sz w:val="20"/>
              </w:rPr>
            </w:pPr>
            <w:r w:rsidRPr="00C56FE1">
              <w:rPr>
                <w:rFonts w:eastAsia="Calibri"/>
                <w:sz w:val="20"/>
              </w:rPr>
              <w:t xml:space="preserve">Administrative law – Boards and tribunals – Adequacy of reasons – Procedural fairness – Standard of review – Energy Resources Conservation Board approving project to co-stream natural gas – Applicant attacking Board’s decision, alleging inadequate reasons and lack of procedural fairness – Court of Appeal upholding decision on appeal – Whether decision in </w:t>
            </w:r>
            <w:r w:rsidRPr="00C56FE1">
              <w:rPr>
                <w:rFonts w:eastAsia="Calibri"/>
                <w:i/>
                <w:sz w:val="20"/>
              </w:rPr>
              <w:t>Newfoundland and Labrador Nurses’ Union v. Newfoundland and Labrador (Treasury Board)</w:t>
            </w:r>
            <w:r w:rsidRPr="00C56FE1">
              <w:rPr>
                <w:rFonts w:eastAsia="Calibri"/>
                <w:sz w:val="20"/>
              </w:rPr>
              <w:t>, 2011 S.C.C. 62, [2011] 3 S.C.R. 708, was wrongly applied in this case and others where statutory tribunals are required by legislature to give reasons – Extent of duty of Court of Appeal to ensure that processes followed by regulatory tribunal are not abused in a way that causes injustice.</w:t>
            </w:r>
          </w:p>
        </w:tc>
      </w:tr>
      <w:tr w:rsidR="00F83453" w:rsidRPr="00C56FE1" w:rsidTr="009208D4">
        <w:tc>
          <w:tcPr>
            <w:tcW w:w="5000" w:type="pct"/>
            <w:gridSpan w:val="3"/>
          </w:tcPr>
          <w:p w:rsidR="00F83453" w:rsidRPr="00C56FE1" w:rsidRDefault="00F83453" w:rsidP="009208D4">
            <w:pPr>
              <w:jc w:val="both"/>
              <w:rPr>
                <w:rFonts w:eastAsia="Calibri"/>
                <w:sz w:val="20"/>
              </w:rPr>
            </w:pPr>
          </w:p>
        </w:tc>
      </w:tr>
      <w:tr w:rsidR="00F83453" w:rsidRPr="00C56FE1" w:rsidTr="009208D4">
        <w:tc>
          <w:tcPr>
            <w:tcW w:w="5000" w:type="pct"/>
            <w:gridSpan w:val="3"/>
          </w:tcPr>
          <w:p w:rsidR="00F83453" w:rsidRPr="00C56FE1" w:rsidRDefault="00F83453" w:rsidP="009208D4">
            <w:pPr>
              <w:jc w:val="both"/>
              <w:rPr>
                <w:rFonts w:eastAsia="Calibri"/>
                <w:sz w:val="20"/>
              </w:rPr>
            </w:pPr>
            <w:r w:rsidRPr="00C56FE1">
              <w:rPr>
                <w:rFonts w:eastAsia="Calibri"/>
                <w:sz w:val="20"/>
              </w:rPr>
              <w:t xml:space="preserve">The respondent, Taylor Processing Inc., sought the Energy Resources Conservation Board's approval for a proposed co-streaming project at its Harmattan plant.  It intended to alter its existing gas processing facility and then divert natural gas to it from a common stream of gas owned by a variety of parties, remove various natural gas liquids from the gas, and return the residue gas to the common stream downstream from the applicant’s straddle plant at Cochrane.  The Board approved Taylor's application.  Leave to appeal was granted on two issues.  Did the Board:  (a) give adequate reasons explaining its assessment of the critical evidence; and (b) breach its duty of procedural fairness?  In a majority ruling, the Court of Appeal upheld the Board’s decision.  </w:t>
            </w:r>
          </w:p>
          <w:p w:rsidR="00F83453" w:rsidRPr="00C56FE1" w:rsidRDefault="00F83453" w:rsidP="009208D4">
            <w:pPr>
              <w:jc w:val="both"/>
              <w:rPr>
                <w:rFonts w:eastAsia="Calibri"/>
                <w:sz w:val="20"/>
              </w:rPr>
            </w:pPr>
          </w:p>
        </w:tc>
      </w:tr>
      <w:tr w:rsidR="00F83453" w:rsidRPr="00C56FE1" w:rsidTr="000A75E7">
        <w:trPr>
          <w:cantSplit/>
        </w:trPr>
        <w:tc>
          <w:tcPr>
            <w:tcW w:w="2427" w:type="pct"/>
          </w:tcPr>
          <w:p w:rsidR="00F83453" w:rsidRPr="00C56FE1" w:rsidRDefault="00F83453" w:rsidP="009208D4">
            <w:pPr>
              <w:jc w:val="both"/>
              <w:rPr>
                <w:rFonts w:eastAsia="Calibri"/>
                <w:sz w:val="20"/>
              </w:rPr>
            </w:pPr>
            <w:r w:rsidRPr="00C56FE1">
              <w:rPr>
                <w:rFonts w:eastAsia="Calibri"/>
                <w:sz w:val="20"/>
              </w:rPr>
              <w:lastRenderedPageBreak/>
              <w:t>December 7, 2010</w:t>
            </w:r>
          </w:p>
          <w:p w:rsidR="00F83453" w:rsidRPr="00C56FE1" w:rsidRDefault="00F83453" w:rsidP="009208D4">
            <w:pPr>
              <w:jc w:val="both"/>
              <w:rPr>
                <w:rFonts w:eastAsia="Calibri"/>
                <w:sz w:val="20"/>
              </w:rPr>
            </w:pPr>
            <w:r w:rsidRPr="00C56FE1">
              <w:rPr>
                <w:rFonts w:eastAsia="Calibri"/>
                <w:sz w:val="20"/>
              </w:rPr>
              <w:t>Energy Resources Conservation Board</w:t>
            </w:r>
          </w:p>
          <w:p w:rsidR="00F83453" w:rsidRPr="00C56FE1" w:rsidRDefault="00F83453" w:rsidP="009208D4">
            <w:pPr>
              <w:jc w:val="both"/>
              <w:rPr>
                <w:rFonts w:eastAsia="Calibri"/>
                <w:sz w:val="20"/>
              </w:rPr>
            </w:pPr>
          </w:p>
        </w:tc>
        <w:tc>
          <w:tcPr>
            <w:tcW w:w="243" w:type="pct"/>
          </w:tcPr>
          <w:p w:rsidR="00F83453" w:rsidRPr="00C56FE1" w:rsidRDefault="00F83453" w:rsidP="009208D4">
            <w:pPr>
              <w:jc w:val="both"/>
              <w:rPr>
                <w:rFonts w:eastAsia="Calibri"/>
                <w:sz w:val="20"/>
              </w:rPr>
            </w:pPr>
          </w:p>
        </w:tc>
        <w:tc>
          <w:tcPr>
            <w:tcW w:w="2330" w:type="pct"/>
          </w:tcPr>
          <w:p w:rsidR="00F83453" w:rsidRPr="00C56FE1" w:rsidRDefault="00F83453" w:rsidP="009208D4">
            <w:pPr>
              <w:jc w:val="both"/>
              <w:rPr>
                <w:rFonts w:eastAsia="Calibri"/>
                <w:sz w:val="20"/>
              </w:rPr>
            </w:pPr>
            <w:r w:rsidRPr="00C56FE1">
              <w:rPr>
                <w:rFonts w:eastAsia="Calibri"/>
                <w:sz w:val="20"/>
              </w:rPr>
              <w:t>Project to co-stream natural gas approved</w:t>
            </w:r>
          </w:p>
          <w:p w:rsidR="00F83453" w:rsidRPr="00C56FE1" w:rsidRDefault="00F83453" w:rsidP="009208D4">
            <w:pPr>
              <w:jc w:val="both"/>
              <w:rPr>
                <w:rFonts w:eastAsia="Calibri"/>
                <w:sz w:val="20"/>
              </w:rPr>
            </w:pPr>
          </w:p>
        </w:tc>
      </w:tr>
      <w:tr w:rsidR="00F83453" w:rsidRPr="00C56FE1" w:rsidTr="000A75E7">
        <w:trPr>
          <w:cantSplit/>
        </w:trPr>
        <w:tc>
          <w:tcPr>
            <w:tcW w:w="2427" w:type="pct"/>
          </w:tcPr>
          <w:p w:rsidR="00F83453" w:rsidRPr="00C56FE1" w:rsidRDefault="00F83453" w:rsidP="009208D4">
            <w:pPr>
              <w:jc w:val="both"/>
              <w:rPr>
                <w:rFonts w:eastAsia="Calibri"/>
                <w:sz w:val="20"/>
              </w:rPr>
            </w:pPr>
            <w:r w:rsidRPr="00C56FE1">
              <w:rPr>
                <w:rFonts w:eastAsia="Calibri"/>
                <w:sz w:val="20"/>
              </w:rPr>
              <w:t>July 19, 2012</w:t>
            </w:r>
          </w:p>
          <w:p w:rsidR="00F83453" w:rsidRPr="00C56FE1" w:rsidRDefault="00F83453" w:rsidP="009208D4">
            <w:pPr>
              <w:jc w:val="both"/>
              <w:rPr>
                <w:rFonts w:eastAsia="Calibri"/>
                <w:sz w:val="20"/>
              </w:rPr>
            </w:pPr>
            <w:r w:rsidRPr="00C56FE1">
              <w:rPr>
                <w:rFonts w:eastAsia="Calibri"/>
                <w:sz w:val="20"/>
              </w:rPr>
              <w:t>Court of Appeal of Alberta</w:t>
            </w:r>
          </w:p>
          <w:p w:rsidR="00F83453" w:rsidRPr="00C56FE1" w:rsidRDefault="00F83453" w:rsidP="009208D4">
            <w:pPr>
              <w:jc w:val="both"/>
              <w:rPr>
                <w:rFonts w:eastAsia="Calibri"/>
                <w:sz w:val="20"/>
              </w:rPr>
            </w:pPr>
            <w:r w:rsidRPr="00C56FE1">
              <w:rPr>
                <w:rFonts w:eastAsia="Calibri"/>
                <w:sz w:val="20"/>
              </w:rPr>
              <w:t xml:space="preserve">(Hunt, Martin (dissenting) and Rowbotham </w:t>
            </w:r>
          </w:p>
          <w:p w:rsidR="00F83453" w:rsidRPr="00C56FE1" w:rsidRDefault="00F83453" w:rsidP="009208D4">
            <w:pPr>
              <w:jc w:val="both"/>
              <w:rPr>
                <w:rFonts w:eastAsia="Calibri"/>
                <w:sz w:val="20"/>
              </w:rPr>
            </w:pPr>
            <w:r w:rsidRPr="00C56FE1">
              <w:rPr>
                <w:rFonts w:eastAsia="Calibri"/>
                <w:sz w:val="20"/>
              </w:rPr>
              <w:t>JJ.A.)</w:t>
            </w:r>
          </w:p>
          <w:p w:rsidR="00F83453" w:rsidRPr="00C56FE1" w:rsidRDefault="00F83453" w:rsidP="009208D4">
            <w:pPr>
              <w:jc w:val="both"/>
              <w:rPr>
                <w:rFonts w:eastAsia="Calibri"/>
                <w:sz w:val="20"/>
              </w:rPr>
            </w:pPr>
            <w:r w:rsidRPr="00C56FE1">
              <w:rPr>
                <w:rFonts w:eastAsia="Calibri"/>
                <w:sz w:val="20"/>
              </w:rPr>
              <w:t>2012 ABCA 208</w:t>
            </w:r>
          </w:p>
          <w:p w:rsidR="00F83453" w:rsidRPr="00C56FE1" w:rsidRDefault="00F83453" w:rsidP="009208D4">
            <w:pPr>
              <w:jc w:val="both"/>
              <w:rPr>
                <w:rFonts w:eastAsia="Calibri"/>
                <w:sz w:val="20"/>
              </w:rPr>
            </w:pPr>
          </w:p>
        </w:tc>
        <w:tc>
          <w:tcPr>
            <w:tcW w:w="243" w:type="pct"/>
          </w:tcPr>
          <w:p w:rsidR="00F83453" w:rsidRPr="00C56FE1" w:rsidRDefault="00F83453" w:rsidP="009208D4">
            <w:pPr>
              <w:jc w:val="both"/>
              <w:rPr>
                <w:rFonts w:eastAsia="Calibri"/>
                <w:sz w:val="20"/>
              </w:rPr>
            </w:pPr>
          </w:p>
        </w:tc>
        <w:tc>
          <w:tcPr>
            <w:tcW w:w="2330" w:type="pct"/>
          </w:tcPr>
          <w:p w:rsidR="00F83453" w:rsidRPr="00C56FE1" w:rsidRDefault="00F83453" w:rsidP="009208D4">
            <w:pPr>
              <w:jc w:val="both"/>
              <w:rPr>
                <w:rFonts w:eastAsia="Calibri"/>
                <w:sz w:val="20"/>
              </w:rPr>
            </w:pPr>
            <w:r w:rsidRPr="00C56FE1">
              <w:rPr>
                <w:rFonts w:eastAsia="Calibri"/>
                <w:sz w:val="20"/>
              </w:rPr>
              <w:t>Appeal dismissed</w:t>
            </w:r>
          </w:p>
          <w:p w:rsidR="00F83453" w:rsidRPr="00C56FE1" w:rsidRDefault="00F83453" w:rsidP="009208D4">
            <w:pPr>
              <w:jc w:val="both"/>
              <w:rPr>
                <w:rFonts w:eastAsia="Calibri"/>
                <w:sz w:val="20"/>
              </w:rPr>
            </w:pPr>
          </w:p>
        </w:tc>
      </w:tr>
      <w:tr w:rsidR="00F83453" w:rsidRPr="00C56FE1" w:rsidTr="000A75E7">
        <w:trPr>
          <w:cantSplit/>
        </w:trPr>
        <w:tc>
          <w:tcPr>
            <w:tcW w:w="2427" w:type="pct"/>
          </w:tcPr>
          <w:p w:rsidR="00F83453" w:rsidRPr="00C56FE1" w:rsidRDefault="00F83453" w:rsidP="009208D4">
            <w:pPr>
              <w:jc w:val="both"/>
              <w:rPr>
                <w:rFonts w:eastAsia="Calibri"/>
                <w:sz w:val="20"/>
              </w:rPr>
            </w:pPr>
            <w:r w:rsidRPr="00C56FE1">
              <w:rPr>
                <w:rFonts w:eastAsia="Calibri"/>
                <w:sz w:val="20"/>
              </w:rPr>
              <w:t>October 1, 2012</w:t>
            </w:r>
          </w:p>
          <w:p w:rsidR="00F83453" w:rsidRPr="00C56FE1" w:rsidRDefault="00F83453" w:rsidP="009208D4">
            <w:pPr>
              <w:jc w:val="both"/>
              <w:rPr>
                <w:rFonts w:eastAsia="Calibri"/>
                <w:sz w:val="20"/>
              </w:rPr>
            </w:pPr>
            <w:r w:rsidRPr="00C56FE1">
              <w:rPr>
                <w:rFonts w:eastAsia="Calibri"/>
                <w:sz w:val="20"/>
              </w:rPr>
              <w:t>Supreme Court of Canada</w:t>
            </w:r>
          </w:p>
        </w:tc>
        <w:tc>
          <w:tcPr>
            <w:tcW w:w="243" w:type="pct"/>
          </w:tcPr>
          <w:p w:rsidR="00F83453" w:rsidRPr="00C56FE1" w:rsidRDefault="00F83453" w:rsidP="009208D4">
            <w:pPr>
              <w:jc w:val="both"/>
              <w:rPr>
                <w:rFonts w:eastAsia="Calibri"/>
                <w:sz w:val="20"/>
              </w:rPr>
            </w:pPr>
          </w:p>
        </w:tc>
        <w:tc>
          <w:tcPr>
            <w:tcW w:w="2330" w:type="pct"/>
          </w:tcPr>
          <w:p w:rsidR="00F83453" w:rsidRPr="00C56FE1" w:rsidRDefault="00F83453" w:rsidP="009208D4">
            <w:pPr>
              <w:jc w:val="both"/>
              <w:rPr>
                <w:rFonts w:eastAsia="Calibri"/>
                <w:sz w:val="20"/>
              </w:rPr>
            </w:pPr>
            <w:r w:rsidRPr="00C56FE1">
              <w:rPr>
                <w:rFonts w:eastAsia="Calibri"/>
                <w:sz w:val="20"/>
              </w:rPr>
              <w:t>Application for leave to appeal filed</w:t>
            </w:r>
          </w:p>
          <w:p w:rsidR="00F83453" w:rsidRPr="00C56FE1" w:rsidRDefault="00F83453" w:rsidP="009208D4">
            <w:pPr>
              <w:jc w:val="both"/>
              <w:rPr>
                <w:rFonts w:eastAsia="Calibri"/>
                <w:sz w:val="20"/>
              </w:rPr>
            </w:pPr>
          </w:p>
        </w:tc>
      </w:tr>
    </w:tbl>
    <w:p w:rsidR="00121FCA" w:rsidRDefault="00121FCA" w:rsidP="00121FCA">
      <w:pPr>
        <w:rPr>
          <w:sz w:val="20"/>
          <w:szCs w:val="20"/>
        </w:rPr>
      </w:pPr>
    </w:p>
    <w:p w:rsidR="00121FCA" w:rsidRPr="00C50A5C" w:rsidRDefault="00CD48BC" w:rsidP="00121FCA">
      <w:pPr>
        <w:rPr>
          <w:sz w:val="20"/>
          <w:szCs w:val="20"/>
        </w:rPr>
      </w:pPr>
      <w:r w:rsidRPr="00CD48BC">
        <w:rPr>
          <w:sz w:val="20"/>
          <w:szCs w:val="20"/>
          <w:lang w:val="fr-CA"/>
        </w:rPr>
        <w:pict>
          <v:rect id="_x0000_i1058" style="width:2in;height:1pt" o:hrpct="0" o:hralign="center" o:hrstd="t" o:hrnoshade="t" o:hr="t" fillcolor="black [3213]" stroked="f"/>
        </w:pict>
      </w:r>
    </w:p>
    <w:p w:rsidR="00121FCA" w:rsidRDefault="00121FCA" w:rsidP="00121FCA">
      <w:pPr>
        <w:rPr>
          <w:sz w:val="20"/>
          <w:szCs w:val="20"/>
        </w:rPr>
      </w:pPr>
    </w:p>
    <w:p w:rsidR="00121FCA" w:rsidRPr="001B157C" w:rsidRDefault="00121FCA" w:rsidP="00121FCA">
      <w:pPr>
        <w:rPr>
          <w:sz w:val="20"/>
          <w:szCs w:val="20"/>
          <w:u w:val="single"/>
          <w:lang w:val="fr-CA"/>
        </w:rPr>
      </w:pPr>
      <w:r w:rsidRPr="001B157C">
        <w:rPr>
          <w:sz w:val="20"/>
          <w:szCs w:val="20"/>
          <w:u w:val="single"/>
          <w:lang w:val="fr-CA"/>
        </w:rPr>
        <w:t>RÉSUMÉ DE L’AFFAIRE</w:t>
      </w:r>
    </w:p>
    <w:p w:rsidR="00121FCA" w:rsidRDefault="00121FCA" w:rsidP="00121FC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F83453" w:rsidRPr="00334802" w:rsidTr="009208D4">
        <w:tc>
          <w:tcPr>
            <w:tcW w:w="5000" w:type="pct"/>
            <w:gridSpan w:val="3"/>
          </w:tcPr>
          <w:p w:rsidR="00F83453" w:rsidRPr="00C56FE1" w:rsidRDefault="00F83453" w:rsidP="009208D4">
            <w:pPr>
              <w:jc w:val="both"/>
              <w:rPr>
                <w:rFonts w:eastAsia="Calibri"/>
                <w:sz w:val="20"/>
                <w:lang w:val="fr-CA"/>
              </w:rPr>
            </w:pPr>
            <w:r w:rsidRPr="00C56FE1">
              <w:rPr>
                <w:rFonts w:eastAsia="Calibri"/>
                <w:sz w:val="20"/>
                <w:lang w:val="fr-CA"/>
              </w:rPr>
              <w:t>Droit administratif — Organismes et tribunaux administratifs — Suffisance des motifs — Équité procédurale — Norme de contrôle — L’Energy Resources Conservation Board a approuvé un projet de co-transport (</w:t>
            </w:r>
            <w:r w:rsidRPr="00C56FE1">
              <w:rPr>
                <w:rFonts w:eastAsia="Calibri"/>
                <w:i/>
                <w:sz w:val="20"/>
                <w:lang w:val="fr-CA"/>
              </w:rPr>
              <w:t>co-streaming</w:t>
            </w:r>
            <w:r w:rsidRPr="00C56FE1">
              <w:rPr>
                <w:rFonts w:eastAsia="Calibri"/>
                <w:sz w:val="20"/>
                <w:lang w:val="fr-CA"/>
              </w:rPr>
              <w:t xml:space="preserve">) de gaz naturel — Le demandeur a contesté la décision de l'organisme administratif, alléguant l'insuffisance des motifs et un manque d'équité procédurale — La Cour d'appel a confirmé la décision en appel — L’arrêt </w:t>
            </w:r>
            <w:r w:rsidRPr="00C56FE1">
              <w:rPr>
                <w:rFonts w:eastAsia="Calibri"/>
                <w:i/>
                <w:sz w:val="20"/>
                <w:lang w:val="fr-CA"/>
              </w:rPr>
              <w:t>Newfoundland and Labrador Nurses’ Union c. Terre-Neuve-et-Labrador (Conseil du Trésor)</w:t>
            </w:r>
            <w:r w:rsidRPr="00C56FE1">
              <w:rPr>
                <w:rFonts w:eastAsia="Calibri"/>
                <w:sz w:val="20"/>
                <w:lang w:val="fr-CA"/>
              </w:rPr>
              <w:t>, 2011 C.S.C. 62, [2011] 3 R.C.S 708, a-t-il été mal appliqué en l'espèce et dans d'autres affaires où des tribunaux administratifs créés par la loi sont tenus par le législateur de fournir des motifs? — Portée de l'obligation de la Cour d'appel de veiller à ce que les procédures suivies par le tribunal administratif de réglementation ne fassent pas l'objet d’abus de manière à causer une injustice.</w:t>
            </w:r>
          </w:p>
        </w:tc>
      </w:tr>
      <w:tr w:rsidR="00F83453" w:rsidRPr="00334802" w:rsidTr="009208D4">
        <w:tc>
          <w:tcPr>
            <w:tcW w:w="5000" w:type="pct"/>
            <w:gridSpan w:val="3"/>
          </w:tcPr>
          <w:p w:rsidR="00F83453" w:rsidRPr="00C56FE1" w:rsidRDefault="00F83453" w:rsidP="009208D4">
            <w:pPr>
              <w:jc w:val="both"/>
              <w:rPr>
                <w:rFonts w:eastAsia="Calibri"/>
                <w:sz w:val="20"/>
                <w:lang w:val="fr-CA"/>
              </w:rPr>
            </w:pPr>
          </w:p>
        </w:tc>
      </w:tr>
      <w:tr w:rsidR="00F83453" w:rsidRPr="00334802" w:rsidTr="009208D4">
        <w:tc>
          <w:tcPr>
            <w:tcW w:w="5000" w:type="pct"/>
            <w:gridSpan w:val="3"/>
          </w:tcPr>
          <w:p w:rsidR="00F83453" w:rsidRPr="00C56FE1" w:rsidRDefault="00F83453" w:rsidP="009208D4">
            <w:pPr>
              <w:jc w:val="both"/>
              <w:rPr>
                <w:rFonts w:eastAsia="Calibri"/>
                <w:sz w:val="20"/>
                <w:lang w:val="fr-CA"/>
              </w:rPr>
            </w:pPr>
            <w:r w:rsidRPr="00C56FE1">
              <w:rPr>
                <w:rFonts w:eastAsia="Calibri"/>
                <w:sz w:val="20"/>
                <w:lang w:val="fr-CA"/>
              </w:rPr>
              <w:t xml:space="preserve">L'intimée, Taylor Processing Inc., a demandé l'approbation de l’Energy Resources Conservation Board relativement à un projet de séparation et retour en aval à son usine Harmattan.  L’intimée avait l'intention de modifier son installation de traitement du gaz existant, puis de divertir vers cette installation le gaz naturel provenant d'un flux commun de gaz appartenant à diverses parties, d'extraire du gaz divers liquides de gaz naturel et de retourner le gaz résiduel au flux commun en aval de l'usine de chevauchement du demandeur à Cochrane.  L'organisme administratif a approuvé la demande de Taylor.  Les questions en litige en l’espèce sont de savoir si l'organisme administratif a) a fourni des motifs suffisants qui expliquent son évaluation de la preuve cruciale et b) s'il a manqué à son obligation d'équité procédurale.  Dans un jugement majoritaire, la Cour d'appel a confirmé la décision de l'organisme administratif.  </w:t>
            </w:r>
          </w:p>
          <w:p w:rsidR="00F83453" w:rsidRPr="00C56FE1" w:rsidRDefault="00F83453" w:rsidP="009208D4">
            <w:pPr>
              <w:jc w:val="both"/>
              <w:rPr>
                <w:rFonts w:eastAsia="Calibri"/>
                <w:sz w:val="20"/>
                <w:lang w:val="fr-CA"/>
              </w:rPr>
            </w:pPr>
          </w:p>
        </w:tc>
      </w:tr>
      <w:tr w:rsidR="00F83453" w:rsidRPr="00334802" w:rsidTr="009208D4">
        <w:tc>
          <w:tcPr>
            <w:tcW w:w="2427" w:type="pct"/>
          </w:tcPr>
          <w:p w:rsidR="00F83453" w:rsidRPr="00C56FE1" w:rsidRDefault="00F83453" w:rsidP="009208D4">
            <w:pPr>
              <w:jc w:val="both"/>
              <w:rPr>
                <w:rFonts w:eastAsia="Calibri"/>
                <w:sz w:val="20"/>
                <w:lang w:val="fr-CA"/>
              </w:rPr>
            </w:pPr>
            <w:r w:rsidRPr="00C56FE1">
              <w:rPr>
                <w:rFonts w:eastAsia="Calibri"/>
                <w:sz w:val="20"/>
                <w:lang w:val="fr-CA"/>
              </w:rPr>
              <w:t>7 décembre 2010</w:t>
            </w:r>
          </w:p>
          <w:p w:rsidR="00F83453" w:rsidRPr="00C56FE1" w:rsidRDefault="00F83453" w:rsidP="009208D4">
            <w:pPr>
              <w:jc w:val="both"/>
              <w:rPr>
                <w:rFonts w:eastAsia="Calibri"/>
                <w:sz w:val="20"/>
                <w:lang w:val="fr-CA"/>
              </w:rPr>
            </w:pPr>
            <w:r w:rsidRPr="00C56FE1">
              <w:rPr>
                <w:rFonts w:eastAsia="Calibri"/>
                <w:sz w:val="20"/>
                <w:lang w:val="fr-CA"/>
              </w:rPr>
              <w:t>Energy Resources Conservation Board</w:t>
            </w:r>
          </w:p>
          <w:p w:rsidR="00F83453" w:rsidRPr="00C56FE1" w:rsidRDefault="00F83453" w:rsidP="009208D4">
            <w:pPr>
              <w:jc w:val="both"/>
              <w:rPr>
                <w:rFonts w:eastAsia="Calibri"/>
                <w:sz w:val="20"/>
                <w:lang w:val="fr-CA"/>
              </w:rPr>
            </w:pPr>
          </w:p>
        </w:tc>
        <w:tc>
          <w:tcPr>
            <w:tcW w:w="243" w:type="pct"/>
          </w:tcPr>
          <w:p w:rsidR="00F83453" w:rsidRPr="00C56FE1" w:rsidRDefault="00F83453" w:rsidP="009208D4">
            <w:pPr>
              <w:jc w:val="both"/>
              <w:rPr>
                <w:rFonts w:eastAsia="Calibri"/>
                <w:sz w:val="20"/>
                <w:lang w:val="fr-CA"/>
              </w:rPr>
            </w:pPr>
          </w:p>
        </w:tc>
        <w:tc>
          <w:tcPr>
            <w:tcW w:w="2330" w:type="pct"/>
          </w:tcPr>
          <w:p w:rsidR="00F83453" w:rsidRPr="00C56FE1" w:rsidRDefault="00F83453" w:rsidP="009208D4">
            <w:pPr>
              <w:jc w:val="both"/>
              <w:rPr>
                <w:rFonts w:eastAsia="Calibri"/>
                <w:sz w:val="20"/>
                <w:lang w:val="fr-CA"/>
              </w:rPr>
            </w:pPr>
            <w:r w:rsidRPr="00C56FE1">
              <w:rPr>
                <w:rFonts w:eastAsia="Calibri"/>
                <w:sz w:val="20"/>
                <w:lang w:val="fr-CA"/>
              </w:rPr>
              <w:t>Projet de séparation et retour en aval de gaz naturel, approuvé</w:t>
            </w:r>
          </w:p>
          <w:p w:rsidR="00F83453" w:rsidRPr="00C56FE1" w:rsidRDefault="00F83453" w:rsidP="009208D4">
            <w:pPr>
              <w:jc w:val="both"/>
              <w:rPr>
                <w:rFonts w:eastAsia="Calibri"/>
                <w:sz w:val="20"/>
                <w:lang w:val="fr-CA"/>
              </w:rPr>
            </w:pPr>
          </w:p>
        </w:tc>
      </w:tr>
      <w:tr w:rsidR="00F83453" w:rsidRPr="00C56FE1" w:rsidTr="009208D4">
        <w:tc>
          <w:tcPr>
            <w:tcW w:w="2427" w:type="pct"/>
          </w:tcPr>
          <w:p w:rsidR="00F83453" w:rsidRPr="00C56FE1" w:rsidRDefault="00F83453" w:rsidP="009208D4">
            <w:pPr>
              <w:jc w:val="both"/>
              <w:rPr>
                <w:rFonts w:eastAsia="Calibri"/>
                <w:sz w:val="20"/>
                <w:lang w:val="fr-CA"/>
              </w:rPr>
            </w:pPr>
            <w:r w:rsidRPr="00C56FE1">
              <w:rPr>
                <w:rFonts w:eastAsia="Calibri"/>
                <w:sz w:val="20"/>
                <w:lang w:val="fr-CA"/>
              </w:rPr>
              <w:t>19 juillet 2012</w:t>
            </w:r>
          </w:p>
          <w:p w:rsidR="00F83453" w:rsidRPr="00C56FE1" w:rsidRDefault="00F83453" w:rsidP="009208D4">
            <w:pPr>
              <w:jc w:val="both"/>
              <w:rPr>
                <w:rFonts w:eastAsia="Calibri"/>
                <w:sz w:val="20"/>
                <w:lang w:val="fr-CA"/>
              </w:rPr>
            </w:pPr>
            <w:r w:rsidRPr="00C56FE1">
              <w:rPr>
                <w:rFonts w:eastAsia="Calibri"/>
                <w:sz w:val="20"/>
                <w:lang w:val="fr-CA"/>
              </w:rPr>
              <w:t xml:space="preserve">Cour d'appel de l'Alberta </w:t>
            </w:r>
          </w:p>
          <w:p w:rsidR="00F83453" w:rsidRPr="00C56FE1" w:rsidRDefault="00F83453" w:rsidP="009208D4">
            <w:pPr>
              <w:jc w:val="both"/>
              <w:rPr>
                <w:rFonts w:eastAsia="Calibri"/>
                <w:sz w:val="20"/>
                <w:lang w:val="fr-CA"/>
              </w:rPr>
            </w:pPr>
            <w:r w:rsidRPr="00C56FE1">
              <w:rPr>
                <w:rFonts w:eastAsia="Calibri"/>
                <w:sz w:val="20"/>
                <w:lang w:val="fr-CA"/>
              </w:rPr>
              <w:t>(Juges Hunt, Martin (dissident) et Rowbotham)</w:t>
            </w:r>
          </w:p>
          <w:p w:rsidR="00F83453" w:rsidRPr="00C56FE1" w:rsidRDefault="00F83453" w:rsidP="009208D4">
            <w:pPr>
              <w:jc w:val="both"/>
              <w:rPr>
                <w:rFonts w:eastAsia="Calibri"/>
                <w:sz w:val="20"/>
                <w:lang w:val="fr-CA"/>
              </w:rPr>
            </w:pPr>
            <w:r w:rsidRPr="00C56FE1">
              <w:rPr>
                <w:rFonts w:eastAsia="Calibri"/>
                <w:sz w:val="20"/>
                <w:lang w:val="fr-CA"/>
              </w:rPr>
              <w:t>2012 ABCA 208</w:t>
            </w:r>
          </w:p>
          <w:p w:rsidR="00F83453" w:rsidRPr="00C56FE1" w:rsidRDefault="00F83453" w:rsidP="009208D4">
            <w:pPr>
              <w:jc w:val="both"/>
              <w:rPr>
                <w:rFonts w:eastAsia="Calibri"/>
                <w:sz w:val="20"/>
                <w:lang w:val="fr-CA"/>
              </w:rPr>
            </w:pPr>
          </w:p>
        </w:tc>
        <w:tc>
          <w:tcPr>
            <w:tcW w:w="243" w:type="pct"/>
          </w:tcPr>
          <w:p w:rsidR="00F83453" w:rsidRPr="00C56FE1" w:rsidRDefault="00F83453" w:rsidP="009208D4">
            <w:pPr>
              <w:jc w:val="both"/>
              <w:rPr>
                <w:rFonts w:eastAsia="Calibri"/>
                <w:sz w:val="20"/>
                <w:lang w:val="fr-CA"/>
              </w:rPr>
            </w:pPr>
          </w:p>
        </w:tc>
        <w:tc>
          <w:tcPr>
            <w:tcW w:w="2330" w:type="pct"/>
          </w:tcPr>
          <w:p w:rsidR="00F83453" w:rsidRPr="00C56FE1" w:rsidRDefault="00F83453" w:rsidP="009208D4">
            <w:pPr>
              <w:jc w:val="both"/>
              <w:rPr>
                <w:rFonts w:eastAsia="Calibri"/>
                <w:sz w:val="20"/>
                <w:lang w:val="fr-CA"/>
              </w:rPr>
            </w:pPr>
            <w:r w:rsidRPr="00C56FE1">
              <w:rPr>
                <w:rFonts w:eastAsia="Calibri"/>
                <w:sz w:val="20"/>
                <w:lang w:val="fr-CA"/>
              </w:rPr>
              <w:t>Appel rejeté</w:t>
            </w:r>
          </w:p>
          <w:p w:rsidR="00F83453" w:rsidRPr="00C56FE1" w:rsidRDefault="00F83453" w:rsidP="009208D4">
            <w:pPr>
              <w:jc w:val="both"/>
              <w:rPr>
                <w:rFonts w:eastAsia="Calibri"/>
                <w:sz w:val="20"/>
                <w:lang w:val="fr-CA"/>
              </w:rPr>
            </w:pPr>
          </w:p>
        </w:tc>
      </w:tr>
      <w:tr w:rsidR="00F83453" w:rsidRPr="00C56FE1" w:rsidTr="009208D4">
        <w:tc>
          <w:tcPr>
            <w:tcW w:w="2427" w:type="pct"/>
          </w:tcPr>
          <w:p w:rsidR="00F83453" w:rsidRPr="00C56FE1" w:rsidRDefault="00F83453" w:rsidP="009208D4">
            <w:pPr>
              <w:jc w:val="both"/>
              <w:rPr>
                <w:rFonts w:eastAsia="Calibri"/>
                <w:sz w:val="20"/>
                <w:lang w:val="fr-CA"/>
              </w:rPr>
            </w:pPr>
            <w:r w:rsidRPr="00C56FE1">
              <w:rPr>
                <w:rFonts w:eastAsia="Calibri"/>
                <w:sz w:val="20"/>
                <w:lang w:val="fr-CA"/>
              </w:rPr>
              <w:t>1</w:t>
            </w:r>
            <w:r w:rsidRPr="00C56FE1">
              <w:rPr>
                <w:rFonts w:eastAsia="Calibri"/>
                <w:sz w:val="20"/>
                <w:vertAlign w:val="superscript"/>
                <w:lang w:val="fr-CA"/>
              </w:rPr>
              <w:t>er</w:t>
            </w:r>
            <w:r w:rsidRPr="00C56FE1">
              <w:rPr>
                <w:rFonts w:eastAsia="Calibri"/>
                <w:sz w:val="20"/>
                <w:lang w:val="fr-CA"/>
              </w:rPr>
              <w:t xml:space="preserve"> octobre 2012</w:t>
            </w:r>
          </w:p>
          <w:p w:rsidR="00F83453" w:rsidRPr="00C56FE1" w:rsidRDefault="00F83453" w:rsidP="009208D4">
            <w:pPr>
              <w:jc w:val="both"/>
              <w:rPr>
                <w:rFonts w:eastAsia="Calibri"/>
                <w:sz w:val="20"/>
                <w:lang w:val="fr-CA"/>
              </w:rPr>
            </w:pPr>
            <w:r w:rsidRPr="00C56FE1">
              <w:rPr>
                <w:rFonts w:eastAsia="Calibri"/>
                <w:sz w:val="20"/>
                <w:lang w:val="fr-CA"/>
              </w:rPr>
              <w:t>Cour suprême du Canada</w:t>
            </w:r>
          </w:p>
        </w:tc>
        <w:tc>
          <w:tcPr>
            <w:tcW w:w="243" w:type="pct"/>
          </w:tcPr>
          <w:p w:rsidR="00F83453" w:rsidRPr="00C56FE1" w:rsidRDefault="00F83453" w:rsidP="009208D4">
            <w:pPr>
              <w:jc w:val="both"/>
              <w:rPr>
                <w:rFonts w:eastAsia="Calibri"/>
                <w:sz w:val="20"/>
                <w:lang w:val="fr-CA"/>
              </w:rPr>
            </w:pPr>
          </w:p>
        </w:tc>
        <w:tc>
          <w:tcPr>
            <w:tcW w:w="2330" w:type="pct"/>
          </w:tcPr>
          <w:p w:rsidR="00F83453" w:rsidRPr="00C56FE1" w:rsidRDefault="00F83453" w:rsidP="009208D4">
            <w:pPr>
              <w:jc w:val="both"/>
              <w:rPr>
                <w:rFonts w:eastAsia="Calibri"/>
                <w:sz w:val="20"/>
                <w:lang w:val="fr-CA"/>
              </w:rPr>
            </w:pPr>
            <w:r w:rsidRPr="00C56FE1">
              <w:rPr>
                <w:rFonts w:eastAsia="Calibri"/>
                <w:sz w:val="20"/>
                <w:lang w:val="fr-CA"/>
              </w:rPr>
              <w:t>Demande d'autorisation d'appel, déposée</w:t>
            </w:r>
          </w:p>
          <w:p w:rsidR="00F83453" w:rsidRPr="00C56FE1" w:rsidRDefault="00F83453" w:rsidP="009208D4">
            <w:pPr>
              <w:jc w:val="both"/>
              <w:rPr>
                <w:rFonts w:eastAsia="Calibri"/>
                <w:sz w:val="20"/>
                <w:lang w:val="fr-CA"/>
              </w:rPr>
            </w:pPr>
          </w:p>
        </w:tc>
      </w:tr>
    </w:tbl>
    <w:p w:rsidR="00121FCA" w:rsidRDefault="00121FCA" w:rsidP="00121FCA">
      <w:pPr>
        <w:rPr>
          <w:sz w:val="20"/>
          <w:szCs w:val="20"/>
        </w:rPr>
      </w:pPr>
    </w:p>
    <w:p w:rsidR="00121FCA" w:rsidRDefault="00CD48BC" w:rsidP="00121FCA">
      <w:pPr>
        <w:rPr>
          <w:sz w:val="20"/>
          <w:szCs w:val="20"/>
          <w:lang w:val="fr-CA"/>
        </w:rPr>
      </w:pPr>
      <w:r w:rsidRPr="00CD48BC">
        <w:rPr>
          <w:sz w:val="20"/>
          <w:szCs w:val="20"/>
          <w:lang w:val="fr-CA"/>
        </w:rPr>
        <w:pict>
          <v:rect id="_x0000_i1059" style="width:2in;height:1pt" o:hrpct="0" o:hralign="center" o:hrstd="t" o:hrnoshade="t" o:hr="t" fillcolor="black [3213]" stroked="f"/>
        </w:pict>
      </w:r>
    </w:p>
    <w:p w:rsidR="00121FCA" w:rsidRDefault="00121FCA" w:rsidP="00121FC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36606" w:rsidRPr="00436606" w:rsidTr="003B435E">
        <w:trPr>
          <w:cantSplit/>
        </w:trPr>
        <w:tc>
          <w:tcPr>
            <w:tcW w:w="1458" w:type="dxa"/>
          </w:tcPr>
          <w:p w:rsidR="00436606" w:rsidRPr="00436606" w:rsidRDefault="00436606" w:rsidP="003B435E">
            <w:pPr>
              <w:rPr>
                <w:sz w:val="20"/>
                <w:szCs w:val="20"/>
              </w:rPr>
            </w:pPr>
            <w:r w:rsidRPr="00436606">
              <w:rPr>
                <w:rStyle w:val="SCCFileNumberChar"/>
                <w:sz w:val="20"/>
                <w:szCs w:val="20"/>
              </w:rPr>
              <w:lastRenderedPageBreak/>
              <w:t>35017</w:t>
            </w:r>
          </w:p>
          <w:p w:rsidR="00436606" w:rsidRPr="00436606" w:rsidRDefault="00436606" w:rsidP="003B435E">
            <w:pPr>
              <w:rPr>
                <w:b/>
                <w:sz w:val="20"/>
                <w:szCs w:val="20"/>
                <w:lang w:val="fr-CA"/>
              </w:rPr>
            </w:pPr>
          </w:p>
        </w:tc>
        <w:tc>
          <w:tcPr>
            <w:tcW w:w="8118" w:type="dxa"/>
          </w:tcPr>
          <w:p w:rsidR="00436606" w:rsidRPr="00436606" w:rsidRDefault="00436606" w:rsidP="003B435E">
            <w:pPr>
              <w:jc w:val="both"/>
              <w:rPr>
                <w:sz w:val="20"/>
                <w:szCs w:val="20"/>
              </w:rPr>
            </w:pPr>
            <w:r w:rsidRPr="00436606">
              <w:rPr>
                <w:rStyle w:val="SCCLsocChar"/>
                <w:sz w:val="20"/>
                <w:szCs w:val="20"/>
              </w:rPr>
              <w:t>Alisha Hollen Koubi v. Mazda Canada Inc., 0702920 BC Ltd., dba Christensen Mazda, Kawen Holdings Ltd., dba Coastline Mazda, Komoux Valley Motors Ltd. dba Courtenay Mazda, 0399267 BC Ltd., dba Cranbrook Mazda, Freeway Imports Ltd., dba Freeway Mazda, W520 Holdings Ltd., dba Kamloops Mazda, Kelowna Motors Ltd., Inter-Town Auto Ltd., dba Metrotown Mazda, 321438 BC Ltd., dba Midway Mazda, Morrey Sales Ltd., dba Morrey Mazda of the Northshore, Morrey Auto Group Ltd., dba Morrey Mazda of Vancouver, Pacific Motors Sales &amp; Service Limited, dba Pacific Mazda, V.I.P. Sales Ltd., dba VIP Mazda, Burnaby Import Auto Sales Ltd., dba Wolfe Mazda, 328633 BC Ltd., dba Wolfe's Langley Mazda, 0764857 BC Ltd., dba Wolfe's Chilliwack Mazda, Lougheed Imports Ltd., dba West Coast Mazda</w:t>
            </w:r>
            <w:r w:rsidR="0094192E">
              <w:rPr>
                <w:rStyle w:val="SCCLsocChar"/>
                <w:sz w:val="20"/>
                <w:szCs w:val="20"/>
              </w:rPr>
              <w:t xml:space="preserve"> and</w:t>
            </w:r>
            <w:r w:rsidRPr="00436606">
              <w:rPr>
                <w:rStyle w:val="SCCLsocChar"/>
                <w:sz w:val="20"/>
                <w:szCs w:val="20"/>
              </w:rPr>
              <w:t xml:space="preserve"> Signature Automotive Group Ltd., dba Signature Mazda</w:t>
            </w:r>
            <w:r w:rsidRPr="00436606">
              <w:rPr>
                <w:sz w:val="20"/>
                <w:szCs w:val="20"/>
                <w:lang w:val="fr-CA"/>
              </w:rPr>
              <w:t xml:space="preserve"> (B.C.) </w:t>
            </w:r>
            <w:r w:rsidRPr="00436606">
              <w:rPr>
                <w:sz w:val="20"/>
                <w:szCs w:val="20"/>
              </w:rPr>
              <w:t>(Civil) (By Leave)</w:t>
            </w:r>
          </w:p>
          <w:p w:rsidR="00436606" w:rsidRPr="00436606" w:rsidRDefault="00436606" w:rsidP="003B435E">
            <w:pPr>
              <w:jc w:val="both"/>
              <w:rPr>
                <w:sz w:val="20"/>
                <w:szCs w:val="20"/>
              </w:rPr>
            </w:pPr>
          </w:p>
        </w:tc>
      </w:tr>
      <w:tr w:rsidR="00436606" w:rsidRPr="00436606" w:rsidTr="003B435E">
        <w:trPr>
          <w:cantSplit/>
        </w:trPr>
        <w:tc>
          <w:tcPr>
            <w:tcW w:w="1458" w:type="dxa"/>
          </w:tcPr>
          <w:p w:rsidR="00436606" w:rsidRPr="00436606" w:rsidRDefault="00436606" w:rsidP="003B435E">
            <w:pPr>
              <w:rPr>
                <w:sz w:val="20"/>
                <w:szCs w:val="20"/>
              </w:rPr>
            </w:pPr>
            <w:r w:rsidRPr="00436606">
              <w:rPr>
                <w:sz w:val="20"/>
                <w:szCs w:val="20"/>
              </w:rPr>
              <w:t>Coram :</w:t>
            </w:r>
          </w:p>
        </w:tc>
        <w:tc>
          <w:tcPr>
            <w:tcW w:w="8118" w:type="dxa"/>
          </w:tcPr>
          <w:p w:rsidR="00436606" w:rsidRPr="00436606" w:rsidRDefault="00436606" w:rsidP="003B435E">
            <w:pPr>
              <w:rPr>
                <w:sz w:val="20"/>
                <w:szCs w:val="20"/>
              </w:rPr>
            </w:pPr>
            <w:r w:rsidRPr="00436606">
              <w:rPr>
                <w:rStyle w:val="SCCCoramChar"/>
                <w:sz w:val="20"/>
                <w:szCs w:val="20"/>
                <w:lang w:val="en-CA"/>
              </w:rPr>
              <w:t>McLachlin C.J. and Abella and Cromwell JJ.</w:t>
            </w:r>
          </w:p>
          <w:p w:rsidR="00436606" w:rsidRPr="00436606" w:rsidRDefault="00436606" w:rsidP="003B435E">
            <w:pPr>
              <w:rPr>
                <w:sz w:val="20"/>
                <w:szCs w:val="20"/>
                <w:u w:val="single"/>
              </w:rPr>
            </w:pPr>
          </w:p>
        </w:tc>
      </w:tr>
      <w:tr w:rsidR="00436606" w:rsidRPr="00334802" w:rsidTr="003B435E">
        <w:trPr>
          <w:cantSplit/>
        </w:trPr>
        <w:tc>
          <w:tcPr>
            <w:tcW w:w="9576" w:type="dxa"/>
            <w:gridSpan w:val="2"/>
          </w:tcPr>
          <w:p w:rsidR="00436606" w:rsidRPr="00436606" w:rsidRDefault="00436606" w:rsidP="003B435E">
            <w:pPr>
              <w:pStyle w:val="SCCShortJudgment"/>
              <w:rPr>
                <w:szCs w:val="20"/>
              </w:rPr>
            </w:pPr>
            <w:r w:rsidRPr="00436606">
              <w:rPr>
                <w:szCs w:val="20"/>
              </w:rPr>
              <w:t>The application for leave to appeal from the judgment of the Court of Appeal for British Columbia (Vancouver), Number CA038143, 2012 BCCA 310, dated July 16, 2012, is dismissed with costs.</w:t>
            </w:r>
          </w:p>
          <w:p w:rsidR="00436606" w:rsidRPr="00436606" w:rsidRDefault="00436606" w:rsidP="003B435E">
            <w:pPr>
              <w:pStyle w:val="SCCShortJudgment"/>
              <w:ind w:firstLine="0"/>
              <w:rPr>
                <w:szCs w:val="20"/>
              </w:rPr>
            </w:pPr>
          </w:p>
          <w:p w:rsidR="00436606" w:rsidRPr="00436606" w:rsidRDefault="00436606" w:rsidP="003B435E">
            <w:pPr>
              <w:pStyle w:val="SCCShortJudgment"/>
              <w:rPr>
                <w:szCs w:val="20"/>
                <w:lang w:val="fr-CA"/>
              </w:rPr>
            </w:pPr>
            <w:r w:rsidRPr="00436606">
              <w:rPr>
                <w:szCs w:val="20"/>
                <w:lang w:val="fr-CA"/>
              </w:rPr>
              <w:t>La demande d’autorisation d’appel de l’arrêt de la Cour d’appel de la Colombie-Britannique (Vancouver), numéro CA038143, 2012 BCCA 310, daté du 16 juillet 2012, est rejetée avec dépens.</w:t>
            </w:r>
          </w:p>
        </w:tc>
      </w:tr>
    </w:tbl>
    <w:p w:rsidR="00121FCA" w:rsidRPr="00436606" w:rsidRDefault="00121FCA" w:rsidP="00121FCA">
      <w:pPr>
        <w:rPr>
          <w:sz w:val="20"/>
          <w:szCs w:val="20"/>
          <w:lang w:val="fr-CA"/>
        </w:rPr>
      </w:pPr>
    </w:p>
    <w:p w:rsidR="00121FCA" w:rsidRPr="001B157C" w:rsidRDefault="00121FCA" w:rsidP="00121FCA">
      <w:pPr>
        <w:rPr>
          <w:sz w:val="20"/>
          <w:szCs w:val="20"/>
          <w:u w:val="single"/>
        </w:rPr>
      </w:pPr>
      <w:r w:rsidRPr="001B157C">
        <w:rPr>
          <w:sz w:val="20"/>
          <w:szCs w:val="20"/>
          <w:u w:val="single"/>
        </w:rPr>
        <w:t>CASE SUMMARY</w:t>
      </w:r>
    </w:p>
    <w:p w:rsidR="00121FCA" w:rsidRDefault="00121FCA" w:rsidP="00121F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83453" w:rsidRPr="00C56FE1" w:rsidTr="009208D4">
        <w:tc>
          <w:tcPr>
            <w:tcW w:w="5000" w:type="pct"/>
            <w:gridSpan w:val="3"/>
          </w:tcPr>
          <w:p w:rsidR="00F83453" w:rsidRPr="00C56FE1" w:rsidRDefault="00F83453" w:rsidP="009208D4">
            <w:pPr>
              <w:jc w:val="both"/>
              <w:rPr>
                <w:rFonts w:eastAsia="Calibri"/>
                <w:sz w:val="20"/>
              </w:rPr>
            </w:pPr>
            <w:r w:rsidRPr="00C56FE1">
              <w:rPr>
                <w:rFonts w:eastAsia="Calibri"/>
                <w:sz w:val="20"/>
              </w:rPr>
              <w:t xml:space="preserve">Tort – Statutes - Consumer Protection – Application for Class Proceeding - Defect in the door lock mechanism of Mazda3 vehicles - Whether action should be certified as a class proceeding pursuant to the </w:t>
            </w:r>
            <w:r w:rsidRPr="00C56FE1">
              <w:rPr>
                <w:rFonts w:eastAsia="Calibri"/>
                <w:i/>
                <w:sz w:val="20"/>
              </w:rPr>
              <w:t>Class Proceeding Act</w:t>
            </w:r>
            <w:r w:rsidRPr="00C56FE1">
              <w:rPr>
                <w:rFonts w:eastAsia="Calibri"/>
                <w:sz w:val="20"/>
              </w:rPr>
              <w:t xml:space="preserve">, R.S.B.C. 1996, c. 50 - Whether the doctrine of waiver of tort still forms part of the principles of common law and equity which have survived the passage of consumer protection legislation, such as the </w:t>
            </w:r>
            <w:r w:rsidRPr="00C56FE1">
              <w:rPr>
                <w:rFonts w:eastAsia="Calibri"/>
                <w:i/>
                <w:sz w:val="20"/>
              </w:rPr>
              <w:t>Sale of Goods Act</w:t>
            </w:r>
            <w:r w:rsidRPr="00C56FE1">
              <w:rPr>
                <w:rFonts w:eastAsia="Calibri"/>
                <w:sz w:val="20"/>
              </w:rPr>
              <w:t xml:space="preserve">, R.S.B.C. 1996, c. 410 and </w:t>
            </w:r>
            <w:r w:rsidRPr="00C56FE1">
              <w:rPr>
                <w:rFonts w:eastAsia="Calibri"/>
                <w:i/>
                <w:sz w:val="20"/>
              </w:rPr>
              <w:t>Business Practices and Consumer Protection Act</w:t>
            </w:r>
            <w:r w:rsidRPr="00C56FE1">
              <w:rPr>
                <w:rFonts w:eastAsia="Calibri"/>
                <w:sz w:val="20"/>
              </w:rPr>
              <w:t>, S.B.C. 2004, c. 2 – Whether there are issues of public importance.</w:t>
            </w:r>
          </w:p>
        </w:tc>
      </w:tr>
      <w:tr w:rsidR="00F83453" w:rsidRPr="00C56FE1" w:rsidTr="009208D4">
        <w:tc>
          <w:tcPr>
            <w:tcW w:w="5000" w:type="pct"/>
            <w:gridSpan w:val="3"/>
          </w:tcPr>
          <w:p w:rsidR="00F83453" w:rsidRPr="00C56FE1" w:rsidRDefault="00F83453" w:rsidP="009208D4">
            <w:pPr>
              <w:jc w:val="both"/>
              <w:rPr>
                <w:rFonts w:eastAsia="Calibri"/>
                <w:sz w:val="20"/>
              </w:rPr>
            </w:pPr>
          </w:p>
        </w:tc>
      </w:tr>
      <w:tr w:rsidR="00F83453" w:rsidRPr="00C56FE1" w:rsidTr="009208D4">
        <w:tc>
          <w:tcPr>
            <w:tcW w:w="5000" w:type="pct"/>
            <w:gridSpan w:val="3"/>
          </w:tcPr>
          <w:p w:rsidR="00F83453" w:rsidRPr="00C56FE1" w:rsidRDefault="00F83453" w:rsidP="009208D4">
            <w:pPr>
              <w:jc w:val="both"/>
              <w:rPr>
                <w:rFonts w:eastAsia="Calibri"/>
                <w:sz w:val="20"/>
              </w:rPr>
            </w:pPr>
            <w:r w:rsidRPr="00C56FE1">
              <w:rPr>
                <w:rFonts w:eastAsia="Calibri"/>
                <w:sz w:val="20"/>
              </w:rPr>
              <w:t xml:space="preserve">This is an application to certify a class proceeding pursuant to the </w:t>
            </w:r>
            <w:r w:rsidRPr="00C56FE1">
              <w:rPr>
                <w:rFonts w:eastAsia="Calibri"/>
                <w:i/>
                <w:sz w:val="20"/>
              </w:rPr>
              <w:t>Class Proceeding Act</w:t>
            </w:r>
            <w:r w:rsidRPr="00C56FE1">
              <w:rPr>
                <w:rFonts w:eastAsia="Calibri"/>
                <w:sz w:val="20"/>
              </w:rPr>
              <w:t xml:space="preserve">, R.S.B.C. 1996, c. 50.  The respondents are Mazda Canada Inc. and the authorized dealers operating in B.C.  The applicant, proposed representative plaintiff, asserts that there is a defect in the door lock mechanism of the model years 2004-2007 of the Mazda3, which permits entry without the use of either a tool or a key.  The applicant claims restitutionary damages, disgorgement of profits earned by the respondents arising from waiver of tort, which arise from the statutory breaches of the </w:t>
            </w:r>
            <w:r w:rsidRPr="00C56FE1">
              <w:rPr>
                <w:rFonts w:eastAsia="Calibri"/>
                <w:i/>
                <w:sz w:val="20"/>
              </w:rPr>
              <w:t>SGA</w:t>
            </w:r>
            <w:r w:rsidRPr="00C56FE1">
              <w:rPr>
                <w:rFonts w:eastAsia="Calibri"/>
                <w:sz w:val="20"/>
              </w:rPr>
              <w:t xml:space="preserve"> and the </w:t>
            </w:r>
            <w:r w:rsidRPr="00C56FE1">
              <w:rPr>
                <w:rFonts w:eastAsia="Calibri"/>
                <w:i/>
                <w:sz w:val="20"/>
              </w:rPr>
              <w:t>BPCPA</w:t>
            </w:r>
            <w:r w:rsidRPr="00C56FE1">
              <w:rPr>
                <w:rFonts w:eastAsia="Calibri"/>
                <w:sz w:val="20"/>
              </w:rPr>
              <w:t>.  The chambers judge certified the class proceeding.  The Court of Appeal allowed the appeal and decertified the class proceeding.</w:t>
            </w:r>
          </w:p>
          <w:p w:rsidR="00F83453" w:rsidRPr="00C56FE1" w:rsidRDefault="00F83453" w:rsidP="009208D4">
            <w:pPr>
              <w:jc w:val="both"/>
              <w:rPr>
                <w:rFonts w:eastAsia="Calibri"/>
                <w:sz w:val="20"/>
              </w:rPr>
            </w:pPr>
          </w:p>
        </w:tc>
      </w:tr>
      <w:tr w:rsidR="00F83453" w:rsidRPr="00C56FE1" w:rsidTr="009208D4">
        <w:tc>
          <w:tcPr>
            <w:tcW w:w="2427" w:type="pct"/>
          </w:tcPr>
          <w:p w:rsidR="00F83453" w:rsidRPr="00C56FE1" w:rsidRDefault="00F83453" w:rsidP="009208D4">
            <w:pPr>
              <w:jc w:val="both"/>
              <w:rPr>
                <w:rFonts w:eastAsia="Calibri"/>
                <w:sz w:val="20"/>
              </w:rPr>
            </w:pPr>
            <w:r w:rsidRPr="00C56FE1">
              <w:rPr>
                <w:rFonts w:eastAsia="Calibri"/>
                <w:sz w:val="20"/>
              </w:rPr>
              <w:t>May 6, 2010</w:t>
            </w:r>
          </w:p>
          <w:p w:rsidR="00F83453" w:rsidRPr="00C56FE1" w:rsidRDefault="00F83453" w:rsidP="009208D4">
            <w:pPr>
              <w:jc w:val="both"/>
              <w:rPr>
                <w:rFonts w:eastAsia="Calibri"/>
                <w:sz w:val="20"/>
              </w:rPr>
            </w:pPr>
            <w:r w:rsidRPr="00C56FE1">
              <w:rPr>
                <w:rFonts w:eastAsia="Calibri"/>
                <w:sz w:val="20"/>
              </w:rPr>
              <w:t>Supreme Court of British Columbia</w:t>
            </w:r>
          </w:p>
          <w:p w:rsidR="00F83453" w:rsidRPr="00C56FE1" w:rsidRDefault="00F83453" w:rsidP="009208D4">
            <w:pPr>
              <w:jc w:val="both"/>
              <w:rPr>
                <w:rFonts w:eastAsia="Calibri"/>
                <w:sz w:val="20"/>
              </w:rPr>
            </w:pPr>
            <w:r w:rsidRPr="00C56FE1">
              <w:rPr>
                <w:rFonts w:eastAsia="Calibri"/>
                <w:sz w:val="20"/>
              </w:rPr>
              <w:t>(Dardi J.)</w:t>
            </w:r>
          </w:p>
          <w:p w:rsidR="00F83453" w:rsidRPr="00C56FE1" w:rsidRDefault="00F83453" w:rsidP="009208D4">
            <w:pPr>
              <w:jc w:val="both"/>
              <w:rPr>
                <w:rFonts w:eastAsia="Calibri"/>
                <w:sz w:val="20"/>
              </w:rPr>
            </w:pPr>
            <w:r w:rsidRPr="00C56FE1">
              <w:rPr>
                <w:rFonts w:eastAsia="Calibri"/>
                <w:sz w:val="20"/>
              </w:rPr>
              <w:t>Neutral citation: 2010 BCSC 650</w:t>
            </w:r>
          </w:p>
          <w:p w:rsidR="00F83453" w:rsidRPr="00C56FE1" w:rsidRDefault="00F83453" w:rsidP="009208D4">
            <w:pPr>
              <w:jc w:val="both"/>
              <w:rPr>
                <w:rFonts w:eastAsia="Calibri"/>
                <w:sz w:val="20"/>
              </w:rPr>
            </w:pPr>
          </w:p>
        </w:tc>
        <w:tc>
          <w:tcPr>
            <w:tcW w:w="243" w:type="pct"/>
          </w:tcPr>
          <w:p w:rsidR="00F83453" w:rsidRPr="00C56FE1" w:rsidRDefault="00F83453" w:rsidP="009208D4">
            <w:pPr>
              <w:jc w:val="both"/>
              <w:rPr>
                <w:rFonts w:eastAsia="Calibri"/>
                <w:sz w:val="20"/>
              </w:rPr>
            </w:pPr>
          </w:p>
        </w:tc>
        <w:tc>
          <w:tcPr>
            <w:tcW w:w="2330" w:type="pct"/>
          </w:tcPr>
          <w:p w:rsidR="00F83453" w:rsidRPr="00C56FE1" w:rsidRDefault="00F83453" w:rsidP="009208D4">
            <w:pPr>
              <w:jc w:val="both"/>
              <w:rPr>
                <w:rFonts w:eastAsia="Calibri"/>
                <w:sz w:val="20"/>
              </w:rPr>
            </w:pPr>
            <w:r w:rsidRPr="00C56FE1">
              <w:rPr>
                <w:rFonts w:eastAsia="Calibri"/>
                <w:sz w:val="20"/>
              </w:rPr>
              <w:t>Applicant’s application to certify class proceeding granted</w:t>
            </w:r>
          </w:p>
          <w:p w:rsidR="00F83453" w:rsidRPr="00C56FE1" w:rsidRDefault="00F83453" w:rsidP="009208D4">
            <w:pPr>
              <w:jc w:val="both"/>
              <w:rPr>
                <w:rFonts w:eastAsia="Calibri"/>
                <w:sz w:val="20"/>
              </w:rPr>
            </w:pPr>
          </w:p>
        </w:tc>
      </w:tr>
      <w:tr w:rsidR="00F83453" w:rsidRPr="00C56FE1" w:rsidTr="009208D4">
        <w:tc>
          <w:tcPr>
            <w:tcW w:w="2427" w:type="pct"/>
          </w:tcPr>
          <w:p w:rsidR="00F83453" w:rsidRPr="00C56FE1" w:rsidRDefault="00F83453" w:rsidP="009208D4">
            <w:pPr>
              <w:jc w:val="both"/>
              <w:rPr>
                <w:rFonts w:eastAsia="Calibri"/>
                <w:sz w:val="20"/>
              </w:rPr>
            </w:pPr>
            <w:r w:rsidRPr="00C56FE1">
              <w:rPr>
                <w:rFonts w:eastAsia="Calibri"/>
                <w:sz w:val="20"/>
              </w:rPr>
              <w:t>January 20, 2011</w:t>
            </w:r>
          </w:p>
          <w:p w:rsidR="00F83453" w:rsidRPr="00C56FE1" w:rsidRDefault="00F83453" w:rsidP="009208D4">
            <w:pPr>
              <w:jc w:val="both"/>
              <w:rPr>
                <w:rFonts w:eastAsia="Calibri"/>
                <w:sz w:val="20"/>
              </w:rPr>
            </w:pPr>
            <w:r w:rsidRPr="00C56FE1">
              <w:rPr>
                <w:rFonts w:eastAsia="Calibri"/>
                <w:sz w:val="20"/>
              </w:rPr>
              <w:t>Supreme Court of British Columbia</w:t>
            </w:r>
          </w:p>
          <w:p w:rsidR="00F83453" w:rsidRPr="00C56FE1" w:rsidRDefault="00F83453" w:rsidP="009208D4">
            <w:pPr>
              <w:jc w:val="both"/>
              <w:rPr>
                <w:rFonts w:eastAsia="Calibri"/>
                <w:sz w:val="20"/>
              </w:rPr>
            </w:pPr>
            <w:r w:rsidRPr="00C56FE1">
              <w:rPr>
                <w:rFonts w:eastAsia="Calibri"/>
                <w:sz w:val="20"/>
              </w:rPr>
              <w:t>(Dardi J.)</w:t>
            </w:r>
          </w:p>
          <w:p w:rsidR="00F83453" w:rsidRPr="00C56FE1" w:rsidRDefault="00F83453" w:rsidP="009208D4">
            <w:pPr>
              <w:jc w:val="both"/>
              <w:rPr>
                <w:rFonts w:eastAsia="Calibri"/>
                <w:sz w:val="20"/>
              </w:rPr>
            </w:pPr>
            <w:r w:rsidRPr="00C56FE1">
              <w:rPr>
                <w:rFonts w:eastAsia="Calibri"/>
                <w:sz w:val="20"/>
              </w:rPr>
              <w:t>Neutral citation: 2011 BCSC 59</w:t>
            </w:r>
          </w:p>
          <w:p w:rsidR="00F83453" w:rsidRPr="00C56FE1" w:rsidRDefault="00F83453" w:rsidP="009208D4">
            <w:pPr>
              <w:jc w:val="both"/>
              <w:rPr>
                <w:rFonts w:eastAsia="Calibri"/>
                <w:sz w:val="20"/>
              </w:rPr>
            </w:pPr>
          </w:p>
        </w:tc>
        <w:tc>
          <w:tcPr>
            <w:tcW w:w="243" w:type="pct"/>
          </w:tcPr>
          <w:p w:rsidR="00F83453" w:rsidRPr="00C56FE1" w:rsidRDefault="00F83453" w:rsidP="009208D4">
            <w:pPr>
              <w:jc w:val="both"/>
              <w:rPr>
                <w:rFonts w:eastAsia="Calibri"/>
                <w:sz w:val="20"/>
              </w:rPr>
            </w:pPr>
          </w:p>
        </w:tc>
        <w:tc>
          <w:tcPr>
            <w:tcW w:w="2330" w:type="pct"/>
          </w:tcPr>
          <w:p w:rsidR="00F83453" w:rsidRPr="00C56FE1" w:rsidRDefault="00F83453" w:rsidP="009208D4">
            <w:pPr>
              <w:jc w:val="both"/>
              <w:rPr>
                <w:rFonts w:eastAsia="Calibri"/>
                <w:sz w:val="20"/>
              </w:rPr>
            </w:pPr>
            <w:r w:rsidRPr="00C56FE1">
              <w:rPr>
                <w:rFonts w:eastAsia="Calibri"/>
                <w:sz w:val="20"/>
              </w:rPr>
              <w:t>Applicant permitted to amend her pleadings; common issues regarding waiver of tort finalized</w:t>
            </w:r>
          </w:p>
          <w:p w:rsidR="00F83453" w:rsidRPr="00C56FE1" w:rsidRDefault="00F83453" w:rsidP="009208D4">
            <w:pPr>
              <w:jc w:val="both"/>
              <w:rPr>
                <w:rFonts w:eastAsia="Calibri"/>
                <w:sz w:val="20"/>
              </w:rPr>
            </w:pPr>
          </w:p>
        </w:tc>
      </w:tr>
      <w:tr w:rsidR="00F83453" w:rsidRPr="00C56FE1" w:rsidTr="009208D4">
        <w:trPr>
          <w:trHeight w:val="1098"/>
        </w:trPr>
        <w:tc>
          <w:tcPr>
            <w:tcW w:w="2427" w:type="pct"/>
          </w:tcPr>
          <w:p w:rsidR="00F83453" w:rsidRPr="00C56FE1" w:rsidRDefault="00F83453" w:rsidP="009208D4">
            <w:pPr>
              <w:jc w:val="both"/>
              <w:rPr>
                <w:rFonts w:eastAsia="Calibri"/>
                <w:sz w:val="20"/>
              </w:rPr>
            </w:pPr>
            <w:r w:rsidRPr="00C56FE1">
              <w:rPr>
                <w:rFonts w:eastAsia="Calibri"/>
                <w:sz w:val="20"/>
              </w:rPr>
              <w:lastRenderedPageBreak/>
              <w:t>July 16, 2012</w:t>
            </w:r>
          </w:p>
          <w:p w:rsidR="00F83453" w:rsidRPr="00C56FE1" w:rsidRDefault="00F83453" w:rsidP="009208D4">
            <w:pPr>
              <w:jc w:val="both"/>
              <w:rPr>
                <w:rFonts w:eastAsia="Calibri"/>
                <w:sz w:val="20"/>
              </w:rPr>
            </w:pPr>
            <w:r w:rsidRPr="00C56FE1">
              <w:rPr>
                <w:rFonts w:eastAsia="Calibri"/>
                <w:sz w:val="20"/>
              </w:rPr>
              <w:t xml:space="preserve">Court of Appeal for British Columbia </w:t>
            </w:r>
          </w:p>
          <w:p w:rsidR="00F83453" w:rsidRPr="00C56FE1" w:rsidRDefault="00F83453" w:rsidP="009208D4">
            <w:pPr>
              <w:jc w:val="both"/>
              <w:rPr>
                <w:rFonts w:eastAsia="Calibri"/>
                <w:sz w:val="20"/>
              </w:rPr>
            </w:pPr>
            <w:r w:rsidRPr="00C56FE1">
              <w:rPr>
                <w:rFonts w:eastAsia="Calibri"/>
                <w:sz w:val="20"/>
              </w:rPr>
              <w:t>(Vancouver)</w:t>
            </w:r>
          </w:p>
          <w:p w:rsidR="00F83453" w:rsidRPr="00C56FE1" w:rsidRDefault="00F83453" w:rsidP="009208D4">
            <w:pPr>
              <w:jc w:val="both"/>
              <w:rPr>
                <w:rFonts w:eastAsia="Calibri"/>
                <w:sz w:val="20"/>
              </w:rPr>
            </w:pPr>
            <w:r w:rsidRPr="00C56FE1">
              <w:rPr>
                <w:rFonts w:eastAsia="Calibri"/>
                <w:sz w:val="20"/>
              </w:rPr>
              <w:t>(Lowry, Frankel, Neilson JJ.A.)</w:t>
            </w:r>
          </w:p>
          <w:p w:rsidR="00F83453" w:rsidRPr="00C56FE1" w:rsidRDefault="00F83453" w:rsidP="009208D4">
            <w:pPr>
              <w:jc w:val="both"/>
              <w:rPr>
                <w:rFonts w:eastAsia="Calibri"/>
                <w:sz w:val="20"/>
              </w:rPr>
            </w:pPr>
          </w:p>
        </w:tc>
        <w:tc>
          <w:tcPr>
            <w:tcW w:w="243" w:type="pct"/>
          </w:tcPr>
          <w:p w:rsidR="00F83453" w:rsidRPr="00C56FE1" w:rsidRDefault="00F83453" w:rsidP="009208D4">
            <w:pPr>
              <w:jc w:val="both"/>
              <w:rPr>
                <w:rFonts w:eastAsia="Calibri"/>
                <w:sz w:val="20"/>
              </w:rPr>
            </w:pPr>
          </w:p>
        </w:tc>
        <w:tc>
          <w:tcPr>
            <w:tcW w:w="2330" w:type="pct"/>
          </w:tcPr>
          <w:p w:rsidR="00F83453" w:rsidRPr="00C56FE1" w:rsidRDefault="00F83453" w:rsidP="009208D4">
            <w:pPr>
              <w:jc w:val="both"/>
              <w:rPr>
                <w:rFonts w:eastAsia="Calibri"/>
                <w:sz w:val="20"/>
              </w:rPr>
            </w:pPr>
            <w:r w:rsidRPr="00C56FE1">
              <w:rPr>
                <w:rFonts w:eastAsia="Calibri"/>
                <w:sz w:val="20"/>
              </w:rPr>
              <w:t>Appeal allowed: order for certification of class proceeding set aside</w:t>
            </w:r>
          </w:p>
          <w:p w:rsidR="00F83453" w:rsidRPr="00C56FE1" w:rsidRDefault="00F83453" w:rsidP="009208D4">
            <w:pPr>
              <w:jc w:val="both"/>
              <w:rPr>
                <w:rFonts w:eastAsia="Calibri"/>
                <w:sz w:val="20"/>
              </w:rPr>
            </w:pPr>
          </w:p>
        </w:tc>
      </w:tr>
      <w:tr w:rsidR="00F83453" w:rsidRPr="00C56FE1" w:rsidTr="009208D4">
        <w:tc>
          <w:tcPr>
            <w:tcW w:w="2427" w:type="pct"/>
          </w:tcPr>
          <w:p w:rsidR="00F83453" w:rsidRPr="00C56FE1" w:rsidRDefault="00F83453" w:rsidP="009208D4">
            <w:pPr>
              <w:jc w:val="both"/>
              <w:rPr>
                <w:rFonts w:eastAsia="Calibri"/>
                <w:sz w:val="20"/>
              </w:rPr>
            </w:pPr>
            <w:r w:rsidRPr="00C56FE1">
              <w:rPr>
                <w:rFonts w:eastAsia="Calibri"/>
                <w:sz w:val="20"/>
              </w:rPr>
              <w:t>October 1, 2012</w:t>
            </w:r>
          </w:p>
          <w:p w:rsidR="00F83453" w:rsidRPr="00C56FE1" w:rsidRDefault="00F83453" w:rsidP="009208D4">
            <w:pPr>
              <w:jc w:val="both"/>
              <w:rPr>
                <w:rFonts w:eastAsia="Calibri"/>
                <w:sz w:val="20"/>
              </w:rPr>
            </w:pPr>
            <w:r w:rsidRPr="00C56FE1">
              <w:rPr>
                <w:rFonts w:eastAsia="Calibri"/>
                <w:sz w:val="20"/>
              </w:rPr>
              <w:t>Supreme Court of Canada</w:t>
            </w:r>
          </w:p>
        </w:tc>
        <w:tc>
          <w:tcPr>
            <w:tcW w:w="243" w:type="pct"/>
          </w:tcPr>
          <w:p w:rsidR="00F83453" w:rsidRPr="00C56FE1" w:rsidRDefault="00F83453" w:rsidP="009208D4">
            <w:pPr>
              <w:jc w:val="both"/>
              <w:rPr>
                <w:rFonts w:eastAsia="Calibri"/>
                <w:sz w:val="20"/>
              </w:rPr>
            </w:pPr>
          </w:p>
        </w:tc>
        <w:tc>
          <w:tcPr>
            <w:tcW w:w="2330" w:type="pct"/>
          </w:tcPr>
          <w:p w:rsidR="00F83453" w:rsidRPr="00C56FE1" w:rsidRDefault="00F83453" w:rsidP="009208D4">
            <w:pPr>
              <w:jc w:val="both"/>
              <w:rPr>
                <w:rFonts w:eastAsia="Calibri"/>
                <w:sz w:val="20"/>
              </w:rPr>
            </w:pPr>
            <w:r w:rsidRPr="00C56FE1">
              <w:rPr>
                <w:rFonts w:eastAsia="Calibri"/>
                <w:sz w:val="20"/>
              </w:rPr>
              <w:t>Application for leave to appeal filed</w:t>
            </w:r>
          </w:p>
        </w:tc>
      </w:tr>
    </w:tbl>
    <w:p w:rsidR="00121FCA" w:rsidRDefault="00121FCA" w:rsidP="00121FCA">
      <w:pPr>
        <w:rPr>
          <w:sz w:val="20"/>
          <w:szCs w:val="20"/>
        </w:rPr>
      </w:pPr>
    </w:p>
    <w:p w:rsidR="00121FCA" w:rsidRPr="00C50A5C" w:rsidRDefault="00CD48BC" w:rsidP="00121FCA">
      <w:pPr>
        <w:rPr>
          <w:sz w:val="20"/>
          <w:szCs w:val="20"/>
        </w:rPr>
      </w:pPr>
      <w:r w:rsidRPr="00CD48BC">
        <w:rPr>
          <w:sz w:val="20"/>
          <w:szCs w:val="20"/>
          <w:lang w:val="fr-CA"/>
        </w:rPr>
        <w:pict>
          <v:rect id="_x0000_i1060" style="width:2in;height:1pt" o:hrpct="0" o:hralign="center" o:hrstd="t" o:hrnoshade="t" o:hr="t" fillcolor="black [3213]" stroked="f"/>
        </w:pict>
      </w:r>
    </w:p>
    <w:p w:rsidR="00121FCA" w:rsidRDefault="00121FCA" w:rsidP="00121FCA">
      <w:pPr>
        <w:rPr>
          <w:sz w:val="20"/>
          <w:szCs w:val="20"/>
        </w:rPr>
      </w:pPr>
    </w:p>
    <w:p w:rsidR="00121FCA" w:rsidRPr="001B157C" w:rsidRDefault="00121FCA" w:rsidP="00121FCA">
      <w:pPr>
        <w:rPr>
          <w:sz w:val="20"/>
          <w:szCs w:val="20"/>
          <w:u w:val="single"/>
          <w:lang w:val="fr-CA"/>
        </w:rPr>
      </w:pPr>
      <w:r w:rsidRPr="001B157C">
        <w:rPr>
          <w:sz w:val="20"/>
          <w:szCs w:val="20"/>
          <w:u w:val="single"/>
          <w:lang w:val="fr-CA"/>
        </w:rPr>
        <w:t>RÉSUMÉ DE L’AFFAIRE</w:t>
      </w:r>
    </w:p>
    <w:p w:rsidR="00121FCA" w:rsidRDefault="00121FCA" w:rsidP="00121FC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F83453" w:rsidRPr="00334802" w:rsidTr="009208D4">
        <w:tc>
          <w:tcPr>
            <w:tcW w:w="5000" w:type="pct"/>
            <w:gridSpan w:val="3"/>
          </w:tcPr>
          <w:p w:rsidR="00F83453" w:rsidRPr="00C56FE1" w:rsidRDefault="00F83453" w:rsidP="009208D4">
            <w:pPr>
              <w:jc w:val="both"/>
              <w:rPr>
                <w:rFonts w:eastAsia="Calibri"/>
                <w:sz w:val="20"/>
                <w:lang w:val="fr-CA"/>
              </w:rPr>
            </w:pPr>
            <w:r w:rsidRPr="00C56FE1">
              <w:rPr>
                <w:rFonts w:eastAsia="Calibri"/>
                <w:sz w:val="20"/>
                <w:lang w:val="fr-CA"/>
              </w:rPr>
              <w:t xml:space="preserve">Responsabilité délictuelle — Lois — Protection du consommateur — Demande de recours collectif — Défectuosité dans le mécanisme de verrouillage des portières de véhicules Mazda3 — L'action devrait-elle être certifiée en tant que recours collectif en vertu de la </w:t>
            </w:r>
            <w:r w:rsidRPr="00C56FE1">
              <w:rPr>
                <w:rFonts w:eastAsia="Calibri"/>
                <w:i/>
                <w:sz w:val="20"/>
                <w:lang w:val="fr-CA"/>
              </w:rPr>
              <w:t>Class Proceeding Act</w:t>
            </w:r>
            <w:r w:rsidRPr="00C56FE1">
              <w:rPr>
                <w:rFonts w:eastAsia="Calibri"/>
                <w:sz w:val="20"/>
                <w:lang w:val="fr-CA"/>
              </w:rPr>
              <w:t xml:space="preserve">, R.S.B.C. 1996, ch. 50? — La théorie de la renonciation à un recours délictuel fait-elle encore partie des principes de common law et d'équité qui ont survécu à l'adoption des lois sur la protection du consommateur, par exemple la </w:t>
            </w:r>
            <w:r w:rsidRPr="00C56FE1">
              <w:rPr>
                <w:rFonts w:eastAsia="Calibri"/>
                <w:i/>
                <w:sz w:val="20"/>
                <w:lang w:val="fr-CA"/>
              </w:rPr>
              <w:t>Sale of Goods Act</w:t>
            </w:r>
            <w:r w:rsidRPr="00C56FE1">
              <w:rPr>
                <w:rFonts w:eastAsia="Calibri"/>
                <w:sz w:val="20"/>
                <w:lang w:val="fr-CA"/>
              </w:rPr>
              <w:t xml:space="preserve">, R.S.B.C. 1996, ch. 410 et la </w:t>
            </w:r>
            <w:r w:rsidRPr="00C56FE1">
              <w:rPr>
                <w:rFonts w:eastAsia="Calibri"/>
                <w:i/>
                <w:sz w:val="20"/>
                <w:lang w:val="fr-CA"/>
              </w:rPr>
              <w:t>Business Practices and Consumer Protection Act</w:t>
            </w:r>
            <w:r w:rsidRPr="00C56FE1">
              <w:rPr>
                <w:rFonts w:eastAsia="Calibri"/>
                <w:sz w:val="20"/>
                <w:lang w:val="fr-CA"/>
              </w:rPr>
              <w:t>, S.B.C. 2004, ch. 2? — L'affaire soulève-t-elle des questions d'importance pour le public?</w:t>
            </w:r>
          </w:p>
        </w:tc>
      </w:tr>
      <w:tr w:rsidR="00F83453" w:rsidRPr="00334802" w:rsidTr="009208D4">
        <w:tc>
          <w:tcPr>
            <w:tcW w:w="5000" w:type="pct"/>
            <w:gridSpan w:val="3"/>
          </w:tcPr>
          <w:p w:rsidR="00F83453" w:rsidRPr="00C56FE1" w:rsidRDefault="00F83453" w:rsidP="009208D4">
            <w:pPr>
              <w:jc w:val="both"/>
              <w:rPr>
                <w:rFonts w:eastAsia="Calibri"/>
                <w:sz w:val="20"/>
                <w:lang w:val="fr-CA"/>
              </w:rPr>
            </w:pPr>
          </w:p>
        </w:tc>
      </w:tr>
      <w:tr w:rsidR="00F83453" w:rsidRPr="00334802" w:rsidTr="009208D4">
        <w:tc>
          <w:tcPr>
            <w:tcW w:w="5000" w:type="pct"/>
            <w:gridSpan w:val="3"/>
          </w:tcPr>
          <w:p w:rsidR="00F83453" w:rsidRPr="00C56FE1" w:rsidRDefault="00F83453" w:rsidP="009208D4">
            <w:pPr>
              <w:jc w:val="both"/>
              <w:rPr>
                <w:rFonts w:eastAsia="Calibri"/>
                <w:sz w:val="20"/>
                <w:lang w:val="fr-CA"/>
              </w:rPr>
            </w:pPr>
            <w:r w:rsidRPr="00C56FE1">
              <w:rPr>
                <w:rFonts w:eastAsia="Calibri"/>
                <w:sz w:val="20"/>
                <w:lang w:val="fr-CA"/>
              </w:rPr>
              <w:t xml:space="preserve">Il s'agit d'une demande de certification de recours collectif en vertu de la </w:t>
            </w:r>
            <w:r w:rsidRPr="00C56FE1">
              <w:rPr>
                <w:rFonts w:eastAsia="Calibri"/>
                <w:i/>
                <w:sz w:val="20"/>
                <w:lang w:val="fr-CA"/>
              </w:rPr>
              <w:t>Class Proceeding Act</w:t>
            </w:r>
            <w:r w:rsidRPr="00C56FE1">
              <w:rPr>
                <w:rFonts w:eastAsia="Calibri"/>
                <w:sz w:val="20"/>
                <w:lang w:val="fr-CA"/>
              </w:rPr>
              <w:t xml:space="preserve">, R.S.B.C. 1996, ch. 50.  Les intimées sont Mazda Canada Inc. et les concessionnaires autorisés qui exercent leurs activités en Colombie-Britannique.  La demanderesse, la représentante proposée des demandeurs, allègue qu'il y a une défectuosité dans le mécanisme de verrouillage des portières pour les années modèle 2004-2007 de la Mazda3, qui permet l'entrée sans utilisation d'outil ou de clé.  La demanderesse réclame des dommages-intérêts de restitution, la restitution des profits touchés par les intimées en raison de la renonciation à un recours délictuel, découlant des infractions à la </w:t>
            </w:r>
            <w:r w:rsidRPr="00C56FE1">
              <w:rPr>
                <w:rFonts w:eastAsia="Calibri"/>
                <w:i/>
                <w:sz w:val="20"/>
                <w:lang w:val="fr-CA"/>
              </w:rPr>
              <w:t>SGA</w:t>
            </w:r>
            <w:r w:rsidRPr="00C56FE1">
              <w:rPr>
                <w:rFonts w:eastAsia="Calibri"/>
                <w:sz w:val="20"/>
                <w:lang w:val="fr-CA"/>
              </w:rPr>
              <w:t xml:space="preserve"> et à la </w:t>
            </w:r>
            <w:r w:rsidRPr="00C56FE1">
              <w:rPr>
                <w:rFonts w:eastAsia="Calibri"/>
                <w:i/>
                <w:sz w:val="20"/>
                <w:lang w:val="fr-CA"/>
              </w:rPr>
              <w:t>BPCPA</w:t>
            </w:r>
            <w:r w:rsidRPr="00C56FE1">
              <w:rPr>
                <w:rFonts w:eastAsia="Calibri"/>
                <w:sz w:val="20"/>
                <w:lang w:val="fr-CA"/>
              </w:rPr>
              <w:t>.  Le juge en chambre a certifié le recours collectif.  La Cour d'appel a accueilli l'appel et annulé la certification de recours collectif.</w:t>
            </w:r>
          </w:p>
          <w:p w:rsidR="00F83453" w:rsidRPr="00C56FE1" w:rsidRDefault="00F83453" w:rsidP="009208D4">
            <w:pPr>
              <w:jc w:val="both"/>
              <w:rPr>
                <w:rFonts w:eastAsia="Calibri"/>
                <w:sz w:val="20"/>
                <w:lang w:val="fr-CA"/>
              </w:rPr>
            </w:pPr>
          </w:p>
        </w:tc>
      </w:tr>
      <w:tr w:rsidR="00F83453" w:rsidRPr="00334802" w:rsidTr="009208D4">
        <w:tc>
          <w:tcPr>
            <w:tcW w:w="2427" w:type="pct"/>
          </w:tcPr>
          <w:p w:rsidR="00F83453" w:rsidRPr="00C56FE1" w:rsidRDefault="00F83453" w:rsidP="009208D4">
            <w:pPr>
              <w:jc w:val="both"/>
              <w:rPr>
                <w:rFonts w:eastAsia="Calibri"/>
                <w:sz w:val="20"/>
                <w:lang w:val="fr-CA"/>
              </w:rPr>
            </w:pPr>
            <w:r w:rsidRPr="00C56FE1">
              <w:rPr>
                <w:rFonts w:eastAsia="Calibri"/>
                <w:sz w:val="20"/>
                <w:lang w:val="fr-CA"/>
              </w:rPr>
              <w:t>6 mai  2010</w:t>
            </w:r>
          </w:p>
          <w:p w:rsidR="00F83453" w:rsidRPr="00C56FE1" w:rsidRDefault="00F83453" w:rsidP="009208D4">
            <w:pPr>
              <w:jc w:val="both"/>
              <w:rPr>
                <w:rFonts w:eastAsia="Calibri"/>
                <w:sz w:val="20"/>
                <w:lang w:val="fr-CA"/>
              </w:rPr>
            </w:pPr>
            <w:r w:rsidRPr="00C56FE1">
              <w:rPr>
                <w:rFonts w:eastAsia="Calibri"/>
                <w:sz w:val="20"/>
                <w:lang w:val="fr-CA"/>
              </w:rPr>
              <w:t>Cour suprême de la Colombie-Britannique</w:t>
            </w:r>
          </w:p>
          <w:p w:rsidR="00F83453" w:rsidRPr="00C56FE1" w:rsidRDefault="00F83453" w:rsidP="009208D4">
            <w:pPr>
              <w:jc w:val="both"/>
              <w:rPr>
                <w:rFonts w:eastAsia="Calibri"/>
                <w:sz w:val="20"/>
                <w:lang w:val="fr-CA"/>
              </w:rPr>
            </w:pPr>
            <w:r w:rsidRPr="00C56FE1">
              <w:rPr>
                <w:rFonts w:eastAsia="Calibri"/>
                <w:sz w:val="20"/>
                <w:lang w:val="fr-CA"/>
              </w:rPr>
              <w:t>(Juge Dardi)</w:t>
            </w:r>
          </w:p>
          <w:p w:rsidR="00F83453" w:rsidRPr="00C56FE1" w:rsidRDefault="00F83453" w:rsidP="009208D4">
            <w:pPr>
              <w:jc w:val="both"/>
              <w:rPr>
                <w:rFonts w:eastAsia="Calibri"/>
                <w:sz w:val="20"/>
                <w:lang w:val="fr-CA"/>
              </w:rPr>
            </w:pPr>
            <w:r w:rsidRPr="00C56FE1">
              <w:rPr>
                <w:rFonts w:eastAsia="Calibri"/>
                <w:sz w:val="20"/>
                <w:lang w:val="fr-CA"/>
              </w:rPr>
              <w:t>Référence neutre : 2010 BCSC 650</w:t>
            </w:r>
          </w:p>
          <w:p w:rsidR="00F83453" w:rsidRPr="00C56FE1" w:rsidRDefault="00F83453" w:rsidP="009208D4">
            <w:pPr>
              <w:jc w:val="both"/>
              <w:rPr>
                <w:rFonts w:eastAsia="Calibri"/>
                <w:sz w:val="20"/>
                <w:lang w:val="fr-CA"/>
              </w:rPr>
            </w:pPr>
          </w:p>
        </w:tc>
        <w:tc>
          <w:tcPr>
            <w:tcW w:w="243" w:type="pct"/>
          </w:tcPr>
          <w:p w:rsidR="00F83453" w:rsidRPr="00C56FE1" w:rsidRDefault="00F83453" w:rsidP="009208D4">
            <w:pPr>
              <w:jc w:val="both"/>
              <w:rPr>
                <w:rFonts w:eastAsia="Calibri"/>
                <w:sz w:val="20"/>
                <w:lang w:val="fr-CA"/>
              </w:rPr>
            </w:pPr>
          </w:p>
        </w:tc>
        <w:tc>
          <w:tcPr>
            <w:tcW w:w="2330" w:type="pct"/>
          </w:tcPr>
          <w:p w:rsidR="00F83453" w:rsidRPr="00C56FE1" w:rsidRDefault="00F83453" w:rsidP="009208D4">
            <w:pPr>
              <w:jc w:val="both"/>
              <w:rPr>
                <w:rFonts w:eastAsia="Calibri"/>
                <w:sz w:val="20"/>
                <w:lang w:val="fr-CA"/>
              </w:rPr>
            </w:pPr>
            <w:r w:rsidRPr="00C56FE1">
              <w:rPr>
                <w:rFonts w:eastAsia="Calibri"/>
                <w:sz w:val="20"/>
                <w:lang w:val="fr-CA"/>
              </w:rPr>
              <w:t xml:space="preserve">Demande de la demanderesse en certification de recours collectif, accueillie </w:t>
            </w:r>
          </w:p>
          <w:p w:rsidR="00F83453" w:rsidRPr="00C56FE1" w:rsidRDefault="00F83453" w:rsidP="009208D4">
            <w:pPr>
              <w:jc w:val="both"/>
              <w:rPr>
                <w:rFonts w:eastAsia="Calibri"/>
                <w:sz w:val="20"/>
                <w:lang w:val="fr-CA"/>
              </w:rPr>
            </w:pPr>
          </w:p>
          <w:p w:rsidR="00F83453" w:rsidRPr="00C56FE1" w:rsidRDefault="00F83453" w:rsidP="009208D4">
            <w:pPr>
              <w:jc w:val="both"/>
              <w:rPr>
                <w:rFonts w:eastAsia="Calibri"/>
                <w:sz w:val="20"/>
                <w:lang w:val="fr-CA"/>
              </w:rPr>
            </w:pPr>
          </w:p>
        </w:tc>
      </w:tr>
      <w:tr w:rsidR="00F83453" w:rsidRPr="00334802" w:rsidTr="009208D4">
        <w:tc>
          <w:tcPr>
            <w:tcW w:w="2427" w:type="pct"/>
          </w:tcPr>
          <w:p w:rsidR="00F83453" w:rsidRPr="00C56FE1" w:rsidRDefault="00F83453" w:rsidP="009208D4">
            <w:pPr>
              <w:jc w:val="both"/>
              <w:rPr>
                <w:rFonts w:eastAsia="Calibri"/>
                <w:sz w:val="20"/>
                <w:lang w:val="fr-CA"/>
              </w:rPr>
            </w:pPr>
            <w:r w:rsidRPr="00C56FE1">
              <w:rPr>
                <w:rFonts w:eastAsia="Calibri"/>
                <w:sz w:val="20"/>
                <w:lang w:val="fr-CA"/>
              </w:rPr>
              <w:t>20 janvier 2011</w:t>
            </w:r>
          </w:p>
          <w:p w:rsidR="00F83453" w:rsidRPr="00C56FE1" w:rsidRDefault="00F83453" w:rsidP="009208D4">
            <w:pPr>
              <w:jc w:val="both"/>
              <w:rPr>
                <w:rFonts w:eastAsia="Calibri"/>
                <w:sz w:val="20"/>
                <w:lang w:val="fr-CA"/>
              </w:rPr>
            </w:pPr>
            <w:r w:rsidRPr="00C56FE1">
              <w:rPr>
                <w:rFonts w:eastAsia="Calibri"/>
                <w:sz w:val="20"/>
                <w:lang w:val="fr-CA"/>
              </w:rPr>
              <w:t xml:space="preserve">Cour suprême de la Colombie-Britannique </w:t>
            </w:r>
          </w:p>
          <w:p w:rsidR="00F83453" w:rsidRPr="00C56FE1" w:rsidRDefault="00F83453" w:rsidP="009208D4">
            <w:pPr>
              <w:jc w:val="both"/>
              <w:rPr>
                <w:rFonts w:eastAsia="Calibri"/>
                <w:sz w:val="20"/>
                <w:lang w:val="fr-CA"/>
              </w:rPr>
            </w:pPr>
            <w:r w:rsidRPr="00C56FE1">
              <w:rPr>
                <w:rFonts w:eastAsia="Calibri"/>
                <w:sz w:val="20"/>
                <w:lang w:val="fr-CA"/>
              </w:rPr>
              <w:t>(Juge Dardi)</w:t>
            </w:r>
          </w:p>
          <w:p w:rsidR="00F83453" w:rsidRPr="00C56FE1" w:rsidRDefault="00F83453" w:rsidP="009208D4">
            <w:pPr>
              <w:jc w:val="both"/>
              <w:rPr>
                <w:rFonts w:eastAsia="Calibri"/>
                <w:sz w:val="20"/>
                <w:lang w:val="fr-CA"/>
              </w:rPr>
            </w:pPr>
            <w:r w:rsidRPr="00C56FE1">
              <w:rPr>
                <w:rFonts w:eastAsia="Calibri"/>
                <w:sz w:val="20"/>
                <w:lang w:val="fr-CA"/>
              </w:rPr>
              <w:t>Référence neutre : 2011 BCSC 59</w:t>
            </w:r>
          </w:p>
          <w:p w:rsidR="00F83453" w:rsidRPr="00C56FE1" w:rsidRDefault="00F83453" w:rsidP="009208D4">
            <w:pPr>
              <w:jc w:val="both"/>
              <w:rPr>
                <w:rFonts w:eastAsia="Calibri"/>
                <w:sz w:val="20"/>
                <w:lang w:val="fr-CA"/>
              </w:rPr>
            </w:pPr>
          </w:p>
        </w:tc>
        <w:tc>
          <w:tcPr>
            <w:tcW w:w="243" w:type="pct"/>
          </w:tcPr>
          <w:p w:rsidR="00F83453" w:rsidRPr="00C56FE1" w:rsidRDefault="00F83453" w:rsidP="009208D4">
            <w:pPr>
              <w:jc w:val="both"/>
              <w:rPr>
                <w:rFonts w:eastAsia="Calibri"/>
                <w:sz w:val="20"/>
                <w:lang w:val="fr-CA"/>
              </w:rPr>
            </w:pPr>
          </w:p>
        </w:tc>
        <w:tc>
          <w:tcPr>
            <w:tcW w:w="2330" w:type="pct"/>
          </w:tcPr>
          <w:p w:rsidR="00F83453" w:rsidRPr="00C56FE1" w:rsidRDefault="00F83453" w:rsidP="009208D4">
            <w:pPr>
              <w:jc w:val="both"/>
              <w:rPr>
                <w:rFonts w:eastAsia="Calibri"/>
                <w:sz w:val="20"/>
                <w:lang w:val="fr-CA"/>
              </w:rPr>
            </w:pPr>
            <w:r w:rsidRPr="00C56FE1">
              <w:rPr>
                <w:rFonts w:eastAsia="Calibri"/>
                <w:sz w:val="20"/>
                <w:lang w:val="fr-CA"/>
              </w:rPr>
              <w:t>Demanderesse autorisée à modifier ses actes de procédure; questions communes relatives à la renonciation à un recours délictuel, finalisées</w:t>
            </w:r>
          </w:p>
          <w:p w:rsidR="00F83453" w:rsidRPr="00C56FE1" w:rsidRDefault="00F83453" w:rsidP="009208D4">
            <w:pPr>
              <w:jc w:val="both"/>
              <w:rPr>
                <w:rFonts w:eastAsia="Calibri"/>
                <w:sz w:val="20"/>
                <w:lang w:val="fr-CA"/>
              </w:rPr>
            </w:pPr>
          </w:p>
        </w:tc>
      </w:tr>
      <w:tr w:rsidR="00F83453" w:rsidRPr="00334802" w:rsidTr="009208D4">
        <w:trPr>
          <w:trHeight w:val="1098"/>
        </w:trPr>
        <w:tc>
          <w:tcPr>
            <w:tcW w:w="2427" w:type="pct"/>
          </w:tcPr>
          <w:p w:rsidR="00F83453" w:rsidRPr="00C56FE1" w:rsidRDefault="00F83453" w:rsidP="009208D4">
            <w:pPr>
              <w:jc w:val="both"/>
              <w:rPr>
                <w:rFonts w:eastAsia="Calibri"/>
                <w:sz w:val="20"/>
                <w:lang w:val="fr-CA"/>
              </w:rPr>
            </w:pPr>
            <w:r w:rsidRPr="00C56FE1">
              <w:rPr>
                <w:rFonts w:eastAsia="Calibri"/>
                <w:sz w:val="20"/>
                <w:lang w:val="fr-CA"/>
              </w:rPr>
              <w:t>16 juillet 2012</w:t>
            </w:r>
          </w:p>
          <w:p w:rsidR="00F83453" w:rsidRPr="00C56FE1" w:rsidRDefault="00F83453" w:rsidP="009208D4">
            <w:pPr>
              <w:jc w:val="both"/>
              <w:rPr>
                <w:rFonts w:eastAsia="Calibri"/>
                <w:sz w:val="20"/>
                <w:lang w:val="fr-CA"/>
              </w:rPr>
            </w:pPr>
            <w:r w:rsidRPr="00C56FE1">
              <w:rPr>
                <w:rFonts w:eastAsia="Calibri"/>
                <w:sz w:val="20"/>
                <w:lang w:val="fr-CA"/>
              </w:rPr>
              <w:t xml:space="preserve">Cour d'appel de la Colombie-Britannique </w:t>
            </w:r>
          </w:p>
          <w:p w:rsidR="00F83453" w:rsidRPr="00C56FE1" w:rsidRDefault="00F83453" w:rsidP="009208D4">
            <w:pPr>
              <w:jc w:val="both"/>
              <w:rPr>
                <w:rFonts w:eastAsia="Calibri"/>
                <w:sz w:val="20"/>
                <w:lang w:val="fr-CA"/>
              </w:rPr>
            </w:pPr>
            <w:r w:rsidRPr="00C56FE1">
              <w:rPr>
                <w:rFonts w:eastAsia="Calibri"/>
                <w:sz w:val="20"/>
                <w:lang w:val="fr-CA"/>
              </w:rPr>
              <w:t>(Vancouver)</w:t>
            </w:r>
          </w:p>
          <w:p w:rsidR="00F83453" w:rsidRPr="00C56FE1" w:rsidRDefault="00F83453" w:rsidP="009208D4">
            <w:pPr>
              <w:jc w:val="both"/>
              <w:rPr>
                <w:rFonts w:eastAsia="Calibri"/>
                <w:sz w:val="20"/>
                <w:lang w:val="fr-CA"/>
              </w:rPr>
            </w:pPr>
            <w:r w:rsidRPr="00C56FE1">
              <w:rPr>
                <w:rFonts w:eastAsia="Calibri"/>
                <w:sz w:val="20"/>
                <w:lang w:val="fr-CA"/>
              </w:rPr>
              <w:t>(Juges Lowry, Frankel et Neilson)</w:t>
            </w:r>
          </w:p>
          <w:p w:rsidR="00F83453" w:rsidRPr="00C56FE1" w:rsidRDefault="00F83453" w:rsidP="009208D4">
            <w:pPr>
              <w:jc w:val="both"/>
              <w:rPr>
                <w:rFonts w:eastAsia="Calibri"/>
                <w:sz w:val="20"/>
                <w:lang w:val="fr-CA"/>
              </w:rPr>
            </w:pPr>
          </w:p>
        </w:tc>
        <w:tc>
          <w:tcPr>
            <w:tcW w:w="243" w:type="pct"/>
          </w:tcPr>
          <w:p w:rsidR="00F83453" w:rsidRPr="00C56FE1" w:rsidRDefault="00F83453" w:rsidP="009208D4">
            <w:pPr>
              <w:jc w:val="both"/>
              <w:rPr>
                <w:rFonts w:eastAsia="Calibri"/>
                <w:sz w:val="20"/>
                <w:lang w:val="fr-CA"/>
              </w:rPr>
            </w:pPr>
          </w:p>
        </w:tc>
        <w:tc>
          <w:tcPr>
            <w:tcW w:w="2330" w:type="pct"/>
          </w:tcPr>
          <w:p w:rsidR="00F83453" w:rsidRPr="00C56FE1" w:rsidRDefault="00F83453" w:rsidP="009208D4">
            <w:pPr>
              <w:jc w:val="both"/>
              <w:rPr>
                <w:rFonts w:eastAsia="Calibri"/>
                <w:sz w:val="20"/>
                <w:lang w:val="fr-CA"/>
              </w:rPr>
            </w:pPr>
            <w:r w:rsidRPr="00C56FE1">
              <w:rPr>
                <w:rFonts w:eastAsia="Calibri"/>
                <w:sz w:val="20"/>
                <w:lang w:val="fr-CA"/>
              </w:rPr>
              <w:t>Appel accueilli : ordonnance de certification de recours collectif, annulée</w:t>
            </w:r>
          </w:p>
          <w:p w:rsidR="00F83453" w:rsidRPr="00C56FE1" w:rsidRDefault="00F83453" w:rsidP="009208D4">
            <w:pPr>
              <w:jc w:val="both"/>
              <w:rPr>
                <w:rFonts w:eastAsia="Calibri"/>
                <w:sz w:val="20"/>
                <w:lang w:val="fr-CA"/>
              </w:rPr>
            </w:pPr>
          </w:p>
          <w:p w:rsidR="00F83453" w:rsidRPr="00C56FE1" w:rsidRDefault="00F83453" w:rsidP="009208D4">
            <w:pPr>
              <w:jc w:val="both"/>
              <w:rPr>
                <w:rFonts w:eastAsia="Calibri"/>
                <w:sz w:val="20"/>
                <w:lang w:val="fr-CA"/>
              </w:rPr>
            </w:pPr>
          </w:p>
        </w:tc>
      </w:tr>
      <w:tr w:rsidR="00F83453" w:rsidRPr="00C56FE1" w:rsidTr="009208D4">
        <w:tc>
          <w:tcPr>
            <w:tcW w:w="2427" w:type="pct"/>
          </w:tcPr>
          <w:p w:rsidR="00F83453" w:rsidRPr="00C56FE1" w:rsidRDefault="00F83453" w:rsidP="009208D4">
            <w:pPr>
              <w:jc w:val="both"/>
              <w:rPr>
                <w:rFonts w:eastAsia="Calibri"/>
                <w:sz w:val="20"/>
                <w:lang w:val="fr-CA"/>
              </w:rPr>
            </w:pPr>
            <w:r w:rsidRPr="00C56FE1">
              <w:rPr>
                <w:rFonts w:eastAsia="Calibri"/>
                <w:sz w:val="20"/>
                <w:lang w:val="fr-CA"/>
              </w:rPr>
              <w:t>1</w:t>
            </w:r>
            <w:r w:rsidRPr="00C56FE1">
              <w:rPr>
                <w:rFonts w:eastAsia="Calibri"/>
                <w:sz w:val="20"/>
                <w:vertAlign w:val="superscript"/>
                <w:lang w:val="fr-CA"/>
              </w:rPr>
              <w:t>er</w:t>
            </w:r>
            <w:r w:rsidRPr="00C56FE1">
              <w:rPr>
                <w:rFonts w:eastAsia="Calibri"/>
                <w:sz w:val="20"/>
                <w:lang w:val="fr-CA"/>
              </w:rPr>
              <w:t xml:space="preserve"> octobre 2012</w:t>
            </w:r>
          </w:p>
          <w:p w:rsidR="00F83453" w:rsidRPr="00C56FE1" w:rsidRDefault="00F83453" w:rsidP="009208D4">
            <w:pPr>
              <w:jc w:val="both"/>
              <w:rPr>
                <w:rFonts w:eastAsia="Calibri"/>
                <w:sz w:val="20"/>
                <w:lang w:val="fr-CA"/>
              </w:rPr>
            </w:pPr>
            <w:r w:rsidRPr="00C56FE1">
              <w:rPr>
                <w:rFonts w:eastAsia="Calibri"/>
                <w:sz w:val="20"/>
                <w:lang w:val="fr-CA"/>
              </w:rPr>
              <w:t>Cour suprême du Canada</w:t>
            </w:r>
          </w:p>
        </w:tc>
        <w:tc>
          <w:tcPr>
            <w:tcW w:w="243" w:type="pct"/>
          </w:tcPr>
          <w:p w:rsidR="00F83453" w:rsidRPr="00C56FE1" w:rsidRDefault="00F83453" w:rsidP="009208D4">
            <w:pPr>
              <w:jc w:val="both"/>
              <w:rPr>
                <w:rFonts w:eastAsia="Calibri"/>
                <w:sz w:val="20"/>
                <w:lang w:val="fr-CA"/>
              </w:rPr>
            </w:pPr>
          </w:p>
        </w:tc>
        <w:tc>
          <w:tcPr>
            <w:tcW w:w="2330" w:type="pct"/>
          </w:tcPr>
          <w:p w:rsidR="00F83453" w:rsidRPr="00C56FE1" w:rsidRDefault="00F83453" w:rsidP="009208D4">
            <w:pPr>
              <w:jc w:val="both"/>
              <w:rPr>
                <w:rFonts w:eastAsia="Calibri"/>
                <w:sz w:val="20"/>
                <w:lang w:val="fr-CA"/>
              </w:rPr>
            </w:pPr>
            <w:r w:rsidRPr="00C56FE1">
              <w:rPr>
                <w:rFonts w:eastAsia="Calibri"/>
                <w:sz w:val="20"/>
                <w:lang w:val="fr-CA"/>
              </w:rPr>
              <w:t>Demande d'autorisation d'appel, déposée</w:t>
            </w:r>
          </w:p>
        </w:tc>
      </w:tr>
    </w:tbl>
    <w:p w:rsidR="00121FCA" w:rsidRDefault="00121FCA" w:rsidP="00121FCA">
      <w:pPr>
        <w:rPr>
          <w:sz w:val="20"/>
          <w:szCs w:val="20"/>
        </w:rPr>
      </w:pPr>
    </w:p>
    <w:p w:rsidR="00121FCA" w:rsidRDefault="00CD48BC" w:rsidP="00121FCA">
      <w:pPr>
        <w:rPr>
          <w:sz w:val="20"/>
          <w:szCs w:val="20"/>
          <w:lang w:val="fr-CA"/>
        </w:rPr>
      </w:pPr>
      <w:r w:rsidRPr="00CD48BC">
        <w:rPr>
          <w:sz w:val="20"/>
          <w:szCs w:val="20"/>
          <w:lang w:val="fr-CA"/>
        </w:rPr>
        <w:pict>
          <v:rect id="_x0000_i1061" style="width:2in;height:1pt" o:hrpct="0" o:hralign="center" o:hrstd="t" o:hrnoshade="t" o:hr="t" fillcolor="black [3213]" stroked="f"/>
        </w:pict>
      </w:r>
    </w:p>
    <w:p w:rsidR="00121FCA" w:rsidRDefault="00121FCA" w:rsidP="00121FC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B13BE" w:rsidRPr="00F93BCB" w:rsidTr="003B435E">
        <w:trPr>
          <w:cantSplit/>
        </w:trPr>
        <w:tc>
          <w:tcPr>
            <w:tcW w:w="1458" w:type="dxa"/>
          </w:tcPr>
          <w:p w:rsidR="004B13BE" w:rsidRPr="00F93BCB" w:rsidRDefault="004B13BE" w:rsidP="003B435E">
            <w:pPr>
              <w:rPr>
                <w:sz w:val="20"/>
                <w:szCs w:val="20"/>
              </w:rPr>
            </w:pPr>
            <w:r w:rsidRPr="00F93BCB">
              <w:rPr>
                <w:rStyle w:val="SCCFileNumberChar"/>
                <w:sz w:val="20"/>
                <w:szCs w:val="20"/>
              </w:rPr>
              <w:lastRenderedPageBreak/>
              <w:t>35038</w:t>
            </w:r>
          </w:p>
          <w:p w:rsidR="004B13BE" w:rsidRPr="00F93BCB" w:rsidRDefault="004B13BE" w:rsidP="003B435E">
            <w:pPr>
              <w:rPr>
                <w:b/>
                <w:sz w:val="20"/>
                <w:szCs w:val="20"/>
                <w:lang w:val="fr-CA"/>
              </w:rPr>
            </w:pPr>
          </w:p>
        </w:tc>
        <w:tc>
          <w:tcPr>
            <w:tcW w:w="8118" w:type="dxa"/>
          </w:tcPr>
          <w:p w:rsidR="004B13BE" w:rsidRPr="00F93BCB" w:rsidRDefault="004B13BE" w:rsidP="003B435E">
            <w:pPr>
              <w:rPr>
                <w:sz w:val="20"/>
                <w:szCs w:val="20"/>
              </w:rPr>
            </w:pPr>
            <w:r w:rsidRPr="004B13BE">
              <w:rPr>
                <w:rStyle w:val="SCCLsocChar"/>
                <w:sz w:val="20"/>
                <w:szCs w:val="20"/>
                <w:lang w:val="en-CA"/>
              </w:rPr>
              <w:t>Michael Cunningham v. Her Majesty the Queen</w:t>
            </w:r>
            <w:r w:rsidRPr="00F93BCB">
              <w:rPr>
                <w:sz w:val="20"/>
                <w:szCs w:val="20"/>
              </w:rPr>
              <w:t xml:space="preserve"> (B.C.) (Criminal) (By Leave)</w:t>
            </w:r>
          </w:p>
          <w:p w:rsidR="004B13BE" w:rsidRPr="00F93BCB" w:rsidRDefault="004B13BE" w:rsidP="003B435E">
            <w:pPr>
              <w:rPr>
                <w:sz w:val="20"/>
                <w:szCs w:val="20"/>
              </w:rPr>
            </w:pPr>
          </w:p>
        </w:tc>
      </w:tr>
      <w:tr w:rsidR="004B13BE" w:rsidRPr="00F93BCB" w:rsidTr="003B435E">
        <w:trPr>
          <w:cantSplit/>
        </w:trPr>
        <w:tc>
          <w:tcPr>
            <w:tcW w:w="1458" w:type="dxa"/>
          </w:tcPr>
          <w:p w:rsidR="004B13BE" w:rsidRPr="00F93BCB" w:rsidRDefault="004B13BE" w:rsidP="003B435E">
            <w:pPr>
              <w:rPr>
                <w:sz w:val="20"/>
                <w:szCs w:val="20"/>
              </w:rPr>
            </w:pPr>
            <w:r w:rsidRPr="00F93BCB">
              <w:rPr>
                <w:sz w:val="20"/>
                <w:szCs w:val="20"/>
              </w:rPr>
              <w:t>Coram :</w:t>
            </w:r>
          </w:p>
        </w:tc>
        <w:tc>
          <w:tcPr>
            <w:tcW w:w="8118" w:type="dxa"/>
          </w:tcPr>
          <w:p w:rsidR="004B13BE" w:rsidRPr="00F93BCB" w:rsidRDefault="004B13BE" w:rsidP="003B435E">
            <w:pPr>
              <w:rPr>
                <w:sz w:val="20"/>
                <w:szCs w:val="20"/>
              </w:rPr>
            </w:pPr>
            <w:r w:rsidRPr="004B13BE">
              <w:rPr>
                <w:rStyle w:val="SCCCoramChar"/>
                <w:sz w:val="20"/>
                <w:szCs w:val="20"/>
                <w:lang w:val="en-CA"/>
              </w:rPr>
              <w:t>McLachlin C.J. and Abella and Cromwell JJ.</w:t>
            </w:r>
          </w:p>
          <w:p w:rsidR="004B13BE" w:rsidRPr="00F93BCB" w:rsidRDefault="004B13BE" w:rsidP="003B435E">
            <w:pPr>
              <w:rPr>
                <w:sz w:val="20"/>
                <w:szCs w:val="20"/>
                <w:u w:val="single"/>
              </w:rPr>
            </w:pPr>
          </w:p>
        </w:tc>
      </w:tr>
      <w:tr w:rsidR="004B13BE" w:rsidRPr="00334802" w:rsidTr="003B435E">
        <w:trPr>
          <w:cantSplit/>
        </w:trPr>
        <w:tc>
          <w:tcPr>
            <w:tcW w:w="9576" w:type="dxa"/>
            <w:gridSpan w:val="2"/>
          </w:tcPr>
          <w:p w:rsidR="004B13BE" w:rsidRPr="00F93BCB" w:rsidRDefault="004B13BE" w:rsidP="003B435E">
            <w:pPr>
              <w:pStyle w:val="SCCShortJudgment"/>
              <w:rPr>
                <w:szCs w:val="20"/>
              </w:rPr>
            </w:pPr>
            <w:r w:rsidRPr="00F93BCB">
              <w:rPr>
                <w:szCs w:val="20"/>
              </w:rPr>
              <w:t>The motion for an extension of time to serve and file the application for leave to appeal is granted. The application for leave to appeal from the judgment of the Court of Appeal for British Columbia (Vancouver), Number CA037966, 2012 BCCA 76, dated February 17, 2012, is dismissed without costs.</w:t>
            </w:r>
          </w:p>
          <w:p w:rsidR="004B13BE" w:rsidRPr="00F93BCB" w:rsidRDefault="004B13BE" w:rsidP="003B435E">
            <w:pPr>
              <w:pStyle w:val="SCCShortJudgment"/>
              <w:ind w:firstLine="0"/>
              <w:rPr>
                <w:szCs w:val="20"/>
              </w:rPr>
            </w:pPr>
          </w:p>
          <w:p w:rsidR="004B13BE" w:rsidRPr="00F93BCB" w:rsidRDefault="004B13BE" w:rsidP="003B435E">
            <w:pPr>
              <w:pStyle w:val="SCCShortJudgment"/>
              <w:rPr>
                <w:szCs w:val="20"/>
                <w:lang w:val="fr-CA"/>
              </w:rPr>
            </w:pPr>
            <w:r w:rsidRPr="00F93BCB">
              <w:rPr>
                <w:szCs w:val="20"/>
                <w:lang w:val="fr-CA"/>
              </w:rPr>
              <w:t>La requête en prorogation du délai de signification et dépôt de la demande d’autorisation d’appel est accueillie. La demande d’autorisation d’appel de l’arrêt de la Cour d’appel de la Colombie-Britannique (Vancouver), numéro CA037966, 2012 BCCA 76, daté du 17 février 2012, est rejetée sans dépens.</w:t>
            </w:r>
          </w:p>
        </w:tc>
      </w:tr>
    </w:tbl>
    <w:p w:rsidR="00121FCA" w:rsidRPr="004B13BE" w:rsidRDefault="00121FCA" w:rsidP="00121FCA">
      <w:pPr>
        <w:rPr>
          <w:sz w:val="20"/>
          <w:szCs w:val="20"/>
          <w:lang w:val="fr-CA"/>
        </w:rPr>
      </w:pPr>
    </w:p>
    <w:p w:rsidR="00121FCA" w:rsidRPr="001B157C" w:rsidRDefault="00121FCA" w:rsidP="00121FCA">
      <w:pPr>
        <w:rPr>
          <w:sz w:val="20"/>
          <w:szCs w:val="20"/>
          <w:u w:val="single"/>
        </w:rPr>
      </w:pPr>
      <w:r w:rsidRPr="001B157C">
        <w:rPr>
          <w:sz w:val="20"/>
          <w:szCs w:val="20"/>
          <w:u w:val="single"/>
        </w:rPr>
        <w:t>CASE SUMMARY</w:t>
      </w:r>
    </w:p>
    <w:p w:rsidR="00121FCA" w:rsidRDefault="00121FCA" w:rsidP="00121F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C0770" w:rsidRPr="00C56FE1" w:rsidTr="009208D4">
        <w:tc>
          <w:tcPr>
            <w:tcW w:w="5000" w:type="pct"/>
            <w:gridSpan w:val="3"/>
          </w:tcPr>
          <w:p w:rsidR="00DC0770" w:rsidRPr="00C56FE1" w:rsidRDefault="00DC0770" w:rsidP="009208D4">
            <w:pPr>
              <w:jc w:val="both"/>
              <w:rPr>
                <w:rFonts w:eastAsia="Calibri"/>
                <w:smallCaps/>
                <w:sz w:val="20"/>
              </w:rPr>
            </w:pPr>
            <w:r w:rsidRPr="00C56FE1">
              <w:rPr>
                <w:rFonts w:eastAsia="Calibri"/>
                <w:sz w:val="20"/>
              </w:rPr>
              <w:t xml:space="preserve">Criminal law – Jury trial – Second degree murder – Whether the British Columbia Court of Appeal erred in finding that the trial judge did not abuse his discretion by refusing to order disclosure – Whether the British Columbia Court of Appeal should have insisted that the trial judge apply a </w:t>
            </w:r>
            <w:r w:rsidRPr="00C56FE1">
              <w:rPr>
                <w:rFonts w:eastAsia="Calibri"/>
                <w:i/>
                <w:sz w:val="20"/>
              </w:rPr>
              <w:t>de novo</w:t>
            </w:r>
            <w:r w:rsidRPr="00C56FE1">
              <w:rPr>
                <w:rFonts w:eastAsia="Calibri"/>
                <w:sz w:val="20"/>
              </w:rPr>
              <w:t xml:space="preserve"> review of all the jurors when there was a misapprehension of the evidence – Whether the British Columbia Court of Appeal erred in its review of the trial judge’s dismissal of the application for mistrial without further inquiry of a specific juror.</w:t>
            </w:r>
          </w:p>
        </w:tc>
      </w:tr>
      <w:tr w:rsidR="00DC0770" w:rsidRPr="00C56FE1" w:rsidTr="009208D4">
        <w:tc>
          <w:tcPr>
            <w:tcW w:w="5000" w:type="pct"/>
            <w:gridSpan w:val="3"/>
          </w:tcPr>
          <w:p w:rsidR="00DC0770" w:rsidRPr="00C56FE1" w:rsidRDefault="00DC0770" w:rsidP="009208D4">
            <w:pPr>
              <w:jc w:val="both"/>
              <w:rPr>
                <w:rFonts w:eastAsia="Calibri"/>
                <w:sz w:val="20"/>
              </w:rPr>
            </w:pPr>
          </w:p>
        </w:tc>
      </w:tr>
      <w:tr w:rsidR="00DC0770" w:rsidRPr="00C56FE1" w:rsidTr="009208D4">
        <w:tc>
          <w:tcPr>
            <w:tcW w:w="5000" w:type="pct"/>
            <w:gridSpan w:val="3"/>
          </w:tcPr>
          <w:p w:rsidR="00DC0770" w:rsidRPr="00C56FE1" w:rsidRDefault="00DC0770" w:rsidP="009208D4">
            <w:pPr>
              <w:jc w:val="both"/>
              <w:rPr>
                <w:rFonts w:eastAsia="Calibri"/>
                <w:sz w:val="20"/>
              </w:rPr>
            </w:pPr>
            <w:r w:rsidRPr="00C56FE1">
              <w:rPr>
                <w:rFonts w:eastAsia="Calibri"/>
                <w:sz w:val="20"/>
              </w:rPr>
              <w:t>Mr. Cunningham was charged with second degree murder in the stabbing of a young man during a conflict among mostly First Nations youth.  The event and legal proceedings gave rise to public displays of anger from certain members of the local community.</w:t>
            </w:r>
          </w:p>
          <w:p w:rsidR="00DC0770" w:rsidRPr="00C56FE1" w:rsidRDefault="00DC0770" w:rsidP="009208D4">
            <w:pPr>
              <w:jc w:val="both"/>
              <w:rPr>
                <w:rFonts w:eastAsia="Calibri"/>
                <w:sz w:val="20"/>
              </w:rPr>
            </w:pPr>
          </w:p>
          <w:p w:rsidR="00DC0770" w:rsidRPr="00C56FE1" w:rsidRDefault="00DC0770" w:rsidP="009208D4">
            <w:pPr>
              <w:jc w:val="both"/>
              <w:rPr>
                <w:rFonts w:eastAsia="Calibri"/>
                <w:sz w:val="20"/>
              </w:rPr>
            </w:pPr>
            <w:r w:rsidRPr="00C56FE1">
              <w:rPr>
                <w:rFonts w:eastAsia="Calibri"/>
                <w:sz w:val="20"/>
              </w:rPr>
              <w:t>After court adjourned for the day on a Friday, the sheriff informed the trial judge that prior to the start of court that day, a juror told them that she had observed a blue van with a First Nations man behind the wheel parked on the road where she lived.  The sheriff had also provided Crown counsel with this information, who in turn asked a police officer to speak to the sheriff.  On the Monday, the juror delivered a note to the sheriff asking to be discharged from the jury.  When court convened at 2:00pm that day, in the absence of the jury, the trial judge read the juror’s letter to counsel and advised them that since delivering the letter, the juror had met with police and had withdrawn her request to be released from jury duty.  The juror had in casual conversation with one or two other jurors mentioned the van because it struck her as odd, but this was the extent of what she said about the matter.  She had not spoken to any jurors about the observation of trash or the discovery of bullet casings.</w:t>
            </w:r>
          </w:p>
          <w:p w:rsidR="00DC0770" w:rsidRPr="00C56FE1" w:rsidRDefault="00DC0770" w:rsidP="009208D4">
            <w:pPr>
              <w:jc w:val="both"/>
              <w:rPr>
                <w:rFonts w:eastAsia="Calibri"/>
                <w:sz w:val="20"/>
              </w:rPr>
            </w:pPr>
          </w:p>
          <w:p w:rsidR="00DC0770" w:rsidRPr="00C56FE1" w:rsidRDefault="00DC0770" w:rsidP="009208D4">
            <w:pPr>
              <w:jc w:val="both"/>
              <w:rPr>
                <w:rFonts w:eastAsia="Calibri"/>
                <w:sz w:val="20"/>
              </w:rPr>
            </w:pPr>
            <w:r w:rsidRPr="00C56FE1">
              <w:rPr>
                <w:rFonts w:eastAsia="Calibri"/>
                <w:sz w:val="20"/>
              </w:rPr>
              <w:t>Defence counsel sought disclosure of the police notes, reports and statements relating to their dealings with the juror, discharge of the juror and a mistrial.  Defence counsel argued that the juror should be discharged because her concern about the van and its driver gave rise to a reasonable apprehension that she was biased about Aboriginal people and her discussions with police may have biased her in favour of a conviction.</w:t>
            </w:r>
          </w:p>
          <w:p w:rsidR="00DC0770" w:rsidRPr="00C56FE1" w:rsidRDefault="00DC0770" w:rsidP="009208D4">
            <w:pPr>
              <w:jc w:val="both"/>
              <w:rPr>
                <w:rFonts w:eastAsia="Calibri"/>
                <w:sz w:val="20"/>
              </w:rPr>
            </w:pPr>
          </w:p>
          <w:p w:rsidR="00DC0770" w:rsidRPr="00C56FE1" w:rsidRDefault="00DC0770" w:rsidP="009208D4">
            <w:pPr>
              <w:jc w:val="both"/>
              <w:rPr>
                <w:rFonts w:eastAsia="Calibri"/>
                <w:sz w:val="20"/>
              </w:rPr>
            </w:pPr>
            <w:r w:rsidRPr="00C56FE1">
              <w:rPr>
                <w:rFonts w:eastAsia="Calibri"/>
                <w:sz w:val="20"/>
              </w:rPr>
              <w:t>The trial judge found that the matter reported by the juror was neither linked to the trial, nor linked or attributed directly or indirectly, to either the accused or the survivors of the deceased.  The various observations such as the van and the bullet casings were only linked by mere speculation and suspicion.  The trial judge was also not persuaded that there was a rational basis for concluding that the incident in question affected the impartiality of the juror.  He was also not persuaded that there was a rational basis for concluding that the juror, in her brief conversation with one or two jurors had tainted other members of the jury.  However, the trial judge discharged the juror as there was a reasonable apprehension of bias in relation to the juror in question.  The jury was then instructed not to draw any inferences or speculate about the absence of the juror for the remainder of the trial.  The request for a mistrial was denied.</w:t>
            </w:r>
          </w:p>
          <w:p w:rsidR="00DC0770" w:rsidRPr="00C56FE1" w:rsidRDefault="00DC0770" w:rsidP="009208D4">
            <w:pPr>
              <w:jc w:val="both"/>
              <w:rPr>
                <w:rFonts w:eastAsia="Calibri"/>
                <w:sz w:val="20"/>
              </w:rPr>
            </w:pPr>
          </w:p>
          <w:p w:rsidR="00DC0770" w:rsidRPr="00C56FE1" w:rsidRDefault="00DC0770" w:rsidP="009208D4">
            <w:pPr>
              <w:jc w:val="both"/>
              <w:rPr>
                <w:rFonts w:eastAsia="Calibri"/>
                <w:sz w:val="20"/>
              </w:rPr>
            </w:pPr>
            <w:r w:rsidRPr="00C56FE1">
              <w:rPr>
                <w:rFonts w:eastAsia="Calibri"/>
                <w:sz w:val="20"/>
              </w:rPr>
              <w:t>Mr. Cunningham was convicted by a judge and jury of second degree murder.  His appeal was dismissed.</w:t>
            </w:r>
          </w:p>
          <w:p w:rsidR="00DC0770" w:rsidRPr="00C56FE1" w:rsidRDefault="00DC0770" w:rsidP="009208D4">
            <w:pPr>
              <w:jc w:val="both"/>
              <w:rPr>
                <w:rFonts w:eastAsia="Calibri"/>
                <w:sz w:val="20"/>
              </w:rPr>
            </w:pPr>
          </w:p>
        </w:tc>
      </w:tr>
      <w:tr w:rsidR="00DC0770" w:rsidRPr="00C56FE1" w:rsidTr="009208D4">
        <w:tc>
          <w:tcPr>
            <w:tcW w:w="2427" w:type="pct"/>
          </w:tcPr>
          <w:p w:rsidR="00DC0770" w:rsidRPr="00C56FE1" w:rsidRDefault="00DC0770" w:rsidP="009208D4">
            <w:pPr>
              <w:jc w:val="both"/>
              <w:rPr>
                <w:rFonts w:eastAsia="Calibri"/>
                <w:sz w:val="20"/>
              </w:rPr>
            </w:pPr>
            <w:r w:rsidRPr="00C56FE1">
              <w:rPr>
                <w:rFonts w:eastAsia="Calibri"/>
                <w:sz w:val="20"/>
              </w:rPr>
              <w:lastRenderedPageBreak/>
              <w:t>March 5, 2008</w:t>
            </w:r>
          </w:p>
          <w:p w:rsidR="00DC0770" w:rsidRPr="00C56FE1" w:rsidRDefault="00DC0770" w:rsidP="009208D4">
            <w:pPr>
              <w:jc w:val="both"/>
              <w:rPr>
                <w:rFonts w:eastAsia="Calibri"/>
                <w:sz w:val="20"/>
              </w:rPr>
            </w:pPr>
            <w:r w:rsidRPr="00C56FE1">
              <w:rPr>
                <w:rFonts w:eastAsia="Calibri"/>
                <w:sz w:val="20"/>
              </w:rPr>
              <w:t>Supreme Court of British Columbia</w:t>
            </w:r>
          </w:p>
          <w:p w:rsidR="00DC0770" w:rsidRPr="00C56FE1" w:rsidRDefault="00DC0770" w:rsidP="009208D4">
            <w:pPr>
              <w:jc w:val="both"/>
              <w:rPr>
                <w:rFonts w:eastAsia="Calibri"/>
                <w:sz w:val="20"/>
              </w:rPr>
            </w:pPr>
            <w:r w:rsidRPr="00C56FE1">
              <w:rPr>
                <w:rFonts w:eastAsia="Calibri"/>
                <w:sz w:val="20"/>
              </w:rPr>
              <w:t>(Bernard J.)</w:t>
            </w:r>
          </w:p>
          <w:p w:rsidR="00DC0770" w:rsidRPr="00C56FE1" w:rsidRDefault="00DC0770" w:rsidP="009208D4">
            <w:pPr>
              <w:jc w:val="both"/>
              <w:rPr>
                <w:rFonts w:eastAsia="Calibri"/>
                <w:sz w:val="20"/>
              </w:rPr>
            </w:pPr>
          </w:p>
        </w:tc>
        <w:tc>
          <w:tcPr>
            <w:tcW w:w="243" w:type="pct"/>
          </w:tcPr>
          <w:p w:rsidR="00DC0770" w:rsidRPr="00C56FE1" w:rsidRDefault="00DC0770" w:rsidP="009208D4">
            <w:pPr>
              <w:jc w:val="both"/>
              <w:rPr>
                <w:rFonts w:eastAsia="Calibri"/>
                <w:sz w:val="20"/>
              </w:rPr>
            </w:pPr>
          </w:p>
        </w:tc>
        <w:tc>
          <w:tcPr>
            <w:tcW w:w="2330" w:type="pct"/>
          </w:tcPr>
          <w:p w:rsidR="00DC0770" w:rsidRPr="00C56FE1" w:rsidRDefault="00DC0770" w:rsidP="009208D4">
            <w:pPr>
              <w:jc w:val="both"/>
              <w:rPr>
                <w:rFonts w:eastAsia="Calibri"/>
                <w:sz w:val="20"/>
              </w:rPr>
            </w:pPr>
            <w:r w:rsidRPr="00C56FE1">
              <w:rPr>
                <w:rFonts w:eastAsia="Calibri"/>
                <w:sz w:val="20"/>
              </w:rPr>
              <w:t>Applicant convicted of second degree murder</w:t>
            </w:r>
          </w:p>
        </w:tc>
      </w:tr>
      <w:tr w:rsidR="00DC0770" w:rsidRPr="00C56FE1" w:rsidTr="009208D4">
        <w:tc>
          <w:tcPr>
            <w:tcW w:w="2427" w:type="pct"/>
          </w:tcPr>
          <w:p w:rsidR="00DC0770" w:rsidRPr="00C56FE1" w:rsidRDefault="00DC0770" w:rsidP="009208D4">
            <w:pPr>
              <w:jc w:val="both"/>
              <w:rPr>
                <w:rFonts w:eastAsia="Calibri"/>
                <w:sz w:val="20"/>
              </w:rPr>
            </w:pPr>
            <w:r w:rsidRPr="00C56FE1">
              <w:rPr>
                <w:rFonts w:eastAsia="Calibri"/>
                <w:sz w:val="20"/>
              </w:rPr>
              <w:t>February 17, 2012</w:t>
            </w:r>
          </w:p>
          <w:p w:rsidR="00DC0770" w:rsidRPr="00C56FE1" w:rsidRDefault="00DC0770" w:rsidP="009208D4">
            <w:pPr>
              <w:jc w:val="both"/>
              <w:rPr>
                <w:rFonts w:eastAsia="Calibri"/>
                <w:sz w:val="20"/>
              </w:rPr>
            </w:pPr>
            <w:r w:rsidRPr="00C56FE1">
              <w:rPr>
                <w:rFonts w:eastAsia="Calibri"/>
                <w:sz w:val="20"/>
              </w:rPr>
              <w:t>Court of Appeal for British Columbia (Vancouver)</w:t>
            </w:r>
          </w:p>
          <w:p w:rsidR="00DC0770" w:rsidRPr="00C56FE1" w:rsidRDefault="00DC0770" w:rsidP="009208D4">
            <w:pPr>
              <w:jc w:val="both"/>
              <w:rPr>
                <w:rFonts w:eastAsia="Calibri"/>
                <w:sz w:val="20"/>
              </w:rPr>
            </w:pPr>
            <w:r w:rsidRPr="00C56FE1">
              <w:rPr>
                <w:rFonts w:eastAsia="Calibri"/>
                <w:sz w:val="20"/>
              </w:rPr>
              <w:t>(Levine, Kirkpatrick and Neilson JJ.A.)</w:t>
            </w:r>
          </w:p>
          <w:p w:rsidR="00DC0770" w:rsidRPr="00C56FE1" w:rsidRDefault="00DC0770" w:rsidP="009208D4">
            <w:pPr>
              <w:jc w:val="both"/>
              <w:rPr>
                <w:rFonts w:eastAsia="Calibri"/>
                <w:sz w:val="20"/>
              </w:rPr>
            </w:pPr>
            <w:r w:rsidRPr="00C56FE1">
              <w:rPr>
                <w:rFonts w:eastAsia="Calibri"/>
                <w:sz w:val="20"/>
              </w:rPr>
              <w:t>2012 BCCA 76; CA037966</w:t>
            </w:r>
          </w:p>
          <w:p w:rsidR="00DC0770" w:rsidRPr="00C56FE1" w:rsidRDefault="00DC0770" w:rsidP="009208D4">
            <w:pPr>
              <w:jc w:val="both"/>
              <w:rPr>
                <w:rFonts w:eastAsia="Calibri"/>
                <w:sz w:val="20"/>
              </w:rPr>
            </w:pPr>
          </w:p>
        </w:tc>
        <w:tc>
          <w:tcPr>
            <w:tcW w:w="243" w:type="pct"/>
          </w:tcPr>
          <w:p w:rsidR="00DC0770" w:rsidRPr="00C56FE1" w:rsidRDefault="00DC0770" w:rsidP="009208D4">
            <w:pPr>
              <w:jc w:val="both"/>
              <w:rPr>
                <w:rFonts w:eastAsia="Calibri"/>
                <w:sz w:val="20"/>
              </w:rPr>
            </w:pPr>
          </w:p>
        </w:tc>
        <w:tc>
          <w:tcPr>
            <w:tcW w:w="2330" w:type="pct"/>
          </w:tcPr>
          <w:p w:rsidR="00DC0770" w:rsidRPr="00C56FE1" w:rsidRDefault="00DC0770" w:rsidP="009208D4">
            <w:pPr>
              <w:jc w:val="both"/>
              <w:rPr>
                <w:rFonts w:eastAsia="Calibri"/>
                <w:sz w:val="20"/>
              </w:rPr>
            </w:pPr>
            <w:r w:rsidRPr="00C56FE1">
              <w:rPr>
                <w:rFonts w:eastAsia="Calibri"/>
                <w:sz w:val="20"/>
              </w:rPr>
              <w:t>Appeal dismissed</w:t>
            </w:r>
          </w:p>
          <w:p w:rsidR="00DC0770" w:rsidRPr="00C56FE1" w:rsidRDefault="00DC0770" w:rsidP="009208D4">
            <w:pPr>
              <w:jc w:val="both"/>
              <w:rPr>
                <w:rFonts w:eastAsia="Calibri"/>
                <w:sz w:val="20"/>
              </w:rPr>
            </w:pPr>
          </w:p>
        </w:tc>
      </w:tr>
      <w:tr w:rsidR="00DC0770" w:rsidRPr="00C56FE1" w:rsidTr="009208D4">
        <w:tc>
          <w:tcPr>
            <w:tcW w:w="2427" w:type="pct"/>
          </w:tcPr>
          <w:p w:rsidR="00DC0770" w:rsidRPr="00C56FE1" w:rsidRDefault="00DC0770" w:rsidP="009208D4">
            <w:pPr>
              <w:jc w:val="both"/>
              <w:rPr>
                <w:rFonts w:eastAsia="Calibri"/>
                <w:sz w:val="20"/>
              </w:rPr>
            </w:pPr>
            <w:r w:rsidRPr="00C56FE1">
              <w:rPr>
                <w:rFonts w:eastAsia="Calibri"/>
                <w:sz w:val="20"/>
              </w:rPr>
              <w:t>October 2, 2012</w:t>
            </w:r>
          </w:p>
          <w:p w:rsidR="00DC0770" w:rsidRPr="00C56FE1" w:rsidRDefault="00DC0770" w:rsidP="009208D4">
            <w:pPr>
              <w:jc w:val="both"/>
              <w:rPr>
                <w:rFonts w:eastAsia="Calibri"/>
                <w:sz w:val="20"/>
              </w:rPr>
            </w:pPr>
            <w:r w:rsidRPr="00C56FE1">
              <w:rPr>
                <w:rFonts w:eastAsia="Calibri"/>
                <w:sz w:val="20"/>
              </w:rPr>
              <w:t>Supreme Court of Canada</w:t>
            </w:r>
          </w:p>
        </w:tc>
        <w:tc>
          <w:tcPr>
            <w:tcW w:w="243" w:type="pct"/>
          </w:tcPr>
          <w:p w:rsidR="00DC0770" w:rsidRPr="00C56FE1" w:rsidRDefault="00DC0770" w:rsidP="009208D4">
            <w:pPr>
              <w:jc w:val="both"/>
              <w:rPr>
                <w:rFonts w:eastAsia="Calibri"/>
                <w:sz w:val="20"/>
              </w:rPr>
            </w:pPr>
          </w:p>
        </w:tc>
        <w:tc>
          <w:tcPr>
            <w:tcW w:w="2330" w:type="pct"/>
          </w:tcPr>
          <w:p w:rsidR="00DC0770" w:rsidRPr="00C56FE1" w:rsidRDefault="00DC0770" w:rsidP="009208D4">
            <w:pPr>
              <w:jc w:val="both"/>
              <w:rPr>
                <w:rFonts w:eastAsia="Calibri"/>
                <w:sz w:val="20"/>
              </w:rPr>
            </w:pPr>
            <w:r w:rsidRPr="00C56FE1">
              <w:rPr>
                <w:rFonts w:eastAsia="Calibri"/>
                <w:sz w:val="20"/>
              </w:rPr>
              <w:t>Motion for extension of time and Application for leave to appeal filed</w:t>
            </w:r>
          </w:p>
        </w:tc>
      </w:tr>
    </w:tbl>
    <w:p w:rsidR="00121FCA" w:rsidRDefault="00121FCA" w:rsidP="00121FCA">
      <w:pPr>
        <w:rPr>
          <w:sz w:val="20"/>
          <w:szCs w:val="20"/>
        </w:rPr>
      </w:pPr>
    </w:p>
    <w:p w:rsidR="00121FCA" w:rsidRPr="00C50A5C" w:rsidRDefault="00CD48BC" w:rsidP="00121FCA">
      <w:pPr>
        <w:rPr>
          <w:sz w:val="20"/>
          <w:szCs w:val="20"/>
        </w:rPr>
      </w:pPr>
      <w:r w:rsidRPr="00CD48BC">
        <w:rPr>
          <w:sz w:val="20"/>
          <w:szCs w:val="20"/>
          <w:lang w:val="fr-CA"/>
        </w:rPr>
        <w:pict>
          <v:rect id="_x0000_i1062" style="width:2in;height:1pt" o:hrpct="0" o:hralign="center" o:hrstd="t" o:hrnoshade="t" o:hr="t" fillcolor="black [3213]" stroked="f"/>
        </w:pict>
      </w:r>
    </w:p>
    <w:p w:rsidR="00121FCA" w:rsidRDefault="00121FCA" w:rsidP="00121FCA">
      <w:pPr>
        <w:rPr>
          <w:sz w:val="20"/>
          <w:szCs w:val="20"/>
        </w:rPr>
      </w:pPr>
    </w:p>
    <w:p w:rsidR="00121FCA" w:rsidRPr="001B157C" w:rsidRDefault="00121FCA" w:rsidP="00121FCA">
      <w:pPr>
        <w:rPr>
          <w:sz w:val="20"/>
          <w:szCs w:val="20"/>
          <w:u w:val="single"/>
          <w:lang w:val="fr-CA"/>
        </w:rPr>
      </w:pPr>
      <w:r w:rsidRPr="001B157C">
        <w:rPr>
          <w:sz w:val="20"/>
          <w:szCs w:val="20"/>
          <w:u w:val="single"/>
          <w:lang w:val="fr-CA"/>
        </w:rPr>
        <w:t>RÉSUMÉ DE L’AFFAIRE</w:t>
      </w:r>
    </w:p>
    <w:p w:rsidR="00121FCA" w:rsidRDefault="00121FCA" w:rsidP="00121FC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DC0770" w:rsidRPr="00334802" w:rsidTr="009208D4">
        <w:tc>
          <w:tcPr>
            <w:tcW w:w="5000" w:type="pct"/>
            <w:gridSpan w:val="3"/>
          </w:tcPr>
          <w:p w:rsidR="00DC0770" w:rsidRPr="00C56FE1" w:rsidRDefault="00DC0770" w:rsidP="009208D4">
            <w:pPr>
              <w:jc w:val="both"/>
              <w:rPr>
                <w:rFonts w:eastAsia="Calibri"/>
                <w:smallCaps/>
                <w:sz w:val="20"/>
                <w:lang w:val="fr-CA"/>
              </w:rPr>
            </w:pPr>
            <w:r w:rsidRPr="00C56FE1">
              <w:rPr>
                <w:rFonts w:eastAsia="Calibri"/>
                <w:sz w:val="20"/>
                <w:lang w:val="fr-CA"/>
              </w:rPr>
              <w:t xml:space="preserve">Droit criminel — Procès devant jury — Meurtre au deuxième degré — La Cour d'appel de la Colombie-Britannique a-t-elle eu tort de conclure que le juge du procès n'avait pas abusé de son pouvoir discrétionnaire en refusant d'ordonner la communication? — La Cour d'appel de la Colombie-Britannique aurait-elle dû insister que le juge du procès fasse un examen </w:t>
            </w:r>
            <w:r w:rsidRPr="00C56FE1">
              <w:rPr>
                <w:rFonts w:eastAsia="Calibri"/>
                <w:i/>
                <w:sz w:val="20"/>
                <w:lang w:val="fr-CA"/>
              </w:rPr>
              <w:t>de novo</w:t>
            </w:r>
            <w:r w:rsidRPr="00C56FE1">
              <w:rPr>
                <w:rFonts w:eastAsia="Calibri"/>
                <w:sz w:val="20"/>
                <w:lang w:val="fr-CA"/>
              </w:rPr>
              <w:t xml:space="preserve"> de tous les jurés lorsqu'il y avait eu interprétation erronée de la preuve? — La Cour d'appel de la Colombie-Britannique a-t-elle commis une erreur dans son examen du rejet, par le juge du procès, de la demande de nullité du procès sans examen supplémentaire d’un juré en particulier?</w:t>
            </w:r>
          </w:p>
        </w:tc>
      </w:tr>
      <w:tr w:rsidR="00DC0770" w:rsidRPr="00334802" w:rsidTr="009208D4">
        <w:tc>
          <w:tcPr>
            <w:tcW w:w="5000" w:type="pct"/>
            <w:gridSpan w:val="3"/>
          </w:tcPr>
          <w:p w:rsidR="00DC0770" w:rsidRPr="00C56FE1" w:rsidRDefault="00DC0770" w:rsidP="009208D4">
            <w:pPr>
              <w:jc w:val="both"/>
              <w:rPr>
                <w:rFonts w:eastAsia="Calibri"/>
                <w:sz w:val="20"/>
                <w:lang w:val="fr-CA"/>
              </w:rPr>
            </w:pPr>
          </w:p>
        </w:tc>
      </w:tr>
      <w:tr w:rsidR="00DC0770" w:rsidRPr="00C56FE1" w:rsidTr="009208D4">
        <w:tc>
          <w:tcPr>
            <w:tcW w:w="5000" w:type="pct"/>
            <w:gridSpan w:val="3"/>
          </w:tcPr>
          <w:p w:rsidR="00DC0770" w:rsidRPr="00C56FE1" w:rsidRDefault="00DC0770" w:rsidP="009208D4">
            <w:pPr>
              <w:jc w:val="both"/>
              <w:rPr>
                <w:rFonts w:eastAsia="Calibri"/>
                <w:sz w:val="20"/>
                <w:lang w:val="fr-CA"/>
              </w:rPr>
            </w:pPr>
            <w:r w:rsidRPr="00C56FE1">
              <w:rPr>
                <w:rFonts w:eastAsia="Calibri"/>
                <w:sz w:val="20"/>
                <w:lang w:val="fr-CA"/>
              </w:rPr>
              <w:t>Monsieur Cunningham a été accusé de meurtre au deuxième degré pour avoir poignardé un jeune homme au cours d'un conflit impliquant surtout de jeunes Autochtones.  L'événement et les procédures judiciaires ont donné naissance à des manifestations publiques de colère de la part de certains membres de la communauté locale.</w:t>
            </w:r>
          </w:p>
          <w:p w:rsidR="00DC0770" w:rsidRPr="00C56FE1" w:rsidRDefault="00DC0770" w:rsidP="009208D4">
            <w:pPr>
              <w:jc w:val="both"/>
              <w:rPr>
                <w:rFonts w:eastAsia="Calibri"/>
                <w:sz w:val="20"/>
                <w:lang w:val="fr-CA"/>
              </w:rPr>
            </w:pPr>
          </w:p>
          <w:p w:rsidR="00DC0770" w:rsidRPr="00C56FE1" w:rsidRDefault="00DC0770" w:rsidP="009208D4">
            <w:pPr>
              <w:jc w:val="both"/>
              <w:rPr>
                <w:rFonts w:eastAsia="Calibri"/>
                <w:sz w:val="20"/>
                <w:lang w:val="fr-CA"/>
              </w:rPr>
            </w:pPr>
            <w:r w:rsidRPr="00C56FE1">
              <w:rPr>
                <w:rFonts w:eastAsia="Calibri"/>
                <w:sz w:val="20"/>
                <w:lang w:val="fr-CA"/>
              </w:rPr>
              <w:t>Après que le tribunal a ajourné pour la journée du vendredi, le shérif a informé le juge du procès qu'avant le commencement de l'audience ce jour-là, une jurée lui aurait dit qu'elle avait observé une fourgonnette bleue avec Autochtone au volant stationnée sur la route où elle habitait.  Le shérif avait également donné cette information à l'avocat de la Couronne qui a demandé à son tour à un policier de parler au shérif.  Le lundi, la jurée a remis une note au shérif lui demandant d'être libérée du jury.  Lorsque l'audience à repris à 14 heures ce jour-là, en l'absence du jury, le juge du procès a lu la lettre de la jurée aux avocats et les a informés que depuis que la jurée avait remis la lettre, elle avait rencontré des policiers et avait retiré sa demande d'être libérée du jury.  La jurée avait mentionné la fourgonnette au cours d'une conversation ordinaire avec un ou deux autres jurés par ce qu'elle la trouvait bizarre, mais c'est tout ce qu'elle a dit à ce sujet.  Elle n'avait pas dit à d'autres jurés qu’elle avait observé des déchets ou découvert des douilles de balles.</w:t>
            </w:r>
          </w:p>
          <w:p w:rsidR="00DC0770" w:rsidRPr="00C56FE1" w:rsidRDefault="00DC0770" w:rsidP="009208D4">
            <w:pPr>
              <w:jc w:val="both"/>
              <w:rPr>
                <w:rFonts w:eastAsia="Calibri"/>
                <w:sz w:val="20"/>
                <w:lang w:val="fr-CA"/>
              </w:rPr>
            </w:pPr>
          </w:p>
          <w:p w:rsidR="00DC0770" w:rsidRPr="00C56FE1" w:rsidRDefault="00DC0770" w:rsidP="009208D4">
            <w:pPr>
              <w:jc w:val="both"/>
              <w:rPr>
                <w:rFonts w:eastAsia="Calibri"/>
                <w:sz w:val="20"/>
                <w:lang w:val="fr-CA"/>
              </w:rPr>
            </w:pPr>
            <w:r w:rsidRPr="00C56FE1">
              <w:rPr>
                <w:rFonts w:eastAsia="Calibri"/>
                <w:sz w:val="20"/>
                <w:lang w:val="fr-CA"/>
              </w:rPr>
              <w:t>L'avocat de la défense a demandé la communication des notes, rapports et déclarations de la police relativement à ses communications avec la jurée, la libération de cette dernière et la nullité du procès.  L'avocat de la défense a plaidé que la jurée devait être libérée, puisque ses inquiétudes au sujet de la fourgonnette et de son conducteur donnait naissance à une crainte raisonnable de sa partialité à l'égard des Autochtones et que ses discussions avec la police auraient pu engendrer chez-elle un parti-pris en faveur d'un verdict de culpabilité.</w:t>
            </w:r>
          </w:p>
          <w:p w:rsidR="00DC0770" w:rsidRPr="00C56FE1" w:rsidRDefault="00DC0770" w:rsidP="009208D4">
            <w:pPr>
              <w:jc w:val="both"/>
              <w:rPr>
                <w:rFonts w:eastAsia="Calibri"/>
                <w:sz w:val="20"/>
                <w:lang w:val="fr-CA"/>
              </w:rPr>
            </w:pPr>
          </w:p>
          <w:p w:rsidR="00DC0770" w:rsidRPr="00C56FE1" w:rsidRDefault="00DC0770" w:rsidP="009208D4">
            <w:pPr>
              <w:jc w:val="both"/>
              <w:rPr>
                <w:rFonts w:eastAsia="Calibri"/>
                <w:sz w:val="20"/>
                <w:lang w:val="fr-CA"/>
              </w:rPr>
            </w:pPr>
            <w:r w:rsidRPr="00C56FE1">
              <w:rPr>
                <w:rFonts w:eastAsia="Calibri"/>
                <w:sz w:val="20"/>
                <w:lang w:val="fr-CA"/>
              </w:rPr>
              <w:t>Le juge du procès a conclu que la question signalée par la jurée n'était pas liée au procès ni liée ou attribuée directement ou indirectement à l'accusé ou aux survivants du défunt.  Les diverses  observations, notamment en lien avec la fourgonnette et les douilles de balles, n'étaient liées que par pure conjecture et soupçon.  En outre, le juge du procès n'était pas convaincu que l’on pouvait logiquement conclure que l'incident en question touchait l'impartialité de la jurée.  Qui plus est, il n'était pas convaincu que l’on pouvait logiquement conclure que la jurée, dans sa brève conversation avec un ou deux jurés, avait indûment influencé les autres membres du jury.  Le jury a alors reçu la directive de ne pas tirer de conclusions ou de se livrer à des conjectures au sujet de l'absence de la jurée pour le reste du procès.  La demande d'annulation du procès a été rejetée.</w:t>
            </w:r>
          </w:p>
          <w:p w:rsidR="00DC0770" w:rsidRPr="00C56FE1" w:rsidRDefault="00DC0770" w:rsidP="009208D4">
            <w:pPr>
              <w:jc w:val="both"/>
              <w:rPr>
                <w:rFonts w:eastAsia="Calibri"/>
                <w:sz w:val="20"/>
                <w:lang w:val="fr-CA"/>
              </w:rPr>
            </w:pPr>
          </w:p>
          <w:p w:rsidR="00DC0770" w:rsidRPr="00C56FE1" w:rsidRDefault="00DC0770" w:rsidP="009208D4">
            <w:pPr>
              <w:jc w:val="both"/>
              <w:rPr>
                <w:rFonts w:eastAsia="Calibri"/>
                <w:sz w:val="20"/>
                <w:lang w:val="fr-CA"/>
              </w:rPr>
            </w:pPr>
            <w:r w:rsidRPr="00C56FE1">
              <w:rPr>
                <w:rFonts w:eastAsia="Calibri"/>
                <w:sz w:val="20"/>
                <w:lang w:val="fr-CA"/>
              </w:rPr>
              <w:t>Monsieur Cunningham a été déclaré coupable par un juge et jury de meurtre au deuxième degré.  Son appel a été rejeté.</w:t>
            </w:r>
          </w:p>
          <w:p w:rsidR="00DC0770" w:rsidRPr="00C56FE1" w:rsidRDefault="00DC0770" w:rsidP="009208D4">
            <w:pPr>
              <w:jc w:val="both"/>
              <w:rPr>
                <w:rFonts w:eastAsia="Calibri"/>
                <w:sz w:val="20"/>
                <w:lang w:val="fr-CA"/>
              </w:rPr>
            </w:pPr>
          </w:p>
        </w:tc>
      </w:tr>
      <w:tr w:rsidR="00DC0770" w:rsidRPr="00334802" w:rsidTr="009208D4">
        <w:tc>
          <w:tcPr>
            <w:tcW w:w="2427" w:type="pct"/>
          </w:tcPr>
          <w:p w:rsidR="00DC0770" w:rsidRPr="00C56FE1" w:rsidRDefault="00DC0770" w:rsidP="009208D4">
            <w:pPr>
              <w:jc w:val="both"/>
              <w:rPr>
                <w:rFonts w:eastAsia="Calibri"/>
                <w:sz w:val="20"/>
                <w:lang w:val="fr-CA"/>
              </w:rPr>
            </w:pPr>
            <w:r w:rsidRPr="00C56FE1">
              <w:rPr>
                <w:rFonts w:eastAsia="Calibri"/>
                <w:sz w:val="20"/>
                <w:lang w:val="fr-CA"/>
              </w:rPr>
              <w:lastRenderedPageBreak/>
              <w:t>5 mars 2008</w:t>
            </w:r>
          </w:p>
          <w:p w:rsidR="00DC0770" w:rsidRPr="00C56FE1" w:rsidRDefault="00DC0770" w:rsidP="009208D4">
            <w:pPr>
              <w:jc w:val="both"/>
              <w:rPr>
                <w:rFonts w:eastAsia="Calibri"/>
                <w:sz w:val="20"/>
                <w:lang w:val="fr-CA"/>
              </w:rPr>
            </w:pPr>
            <w:r w:rsidRPr="00C56FE1">
              <w:rPr>
                <w:rFonts w:eastAsia="Calibri"/>
                <w:sz w:val="20"/>
                <w:lang w:val="fr-CA"/>
              </w:rPr>
              <w:t xml:space="preserve">Cour suprême de la Colombie-Britannique </w:t>
            </w:r>
          </w:p>
          <w:p w:rsidR="00DC0770" w:rsidRPr="00C56FE1" w:rsidRDefault="00DC0770" w:rsidP="009208D4">
            <w:pPr>
              <w:jc w:val="both"/>
              <w:rPr>
                <w:rFonts w:eastAsia="Calibri"/>
                <w:sz w:val="20"/>
                <w:lang w:val="fr-CA"/>
              </w:rPr>
            </w:pPr>
            <w:r w:rsidRPr="00C56FE1">
              <w:rPr>
                <w:rFonts w:eastAsia="Calibri"/>
                <w:sz w:val="20"/>
                <w:lang w:val="fr-CA"/>
              </w:rPr>
              <w:t>(Juge Bernard)</w:t>
            </w:r>
          </w:p>
          <w:p w:rsidR="00DC0770" w:rsidRPr="00C56FE1" w:rsidRDefault="00DC0770" w:rsidP="009208D4">
            <w:pPr>
              <w:jc w:val="both"/>
              <w:rPr>
                <w:rFonts w:eastAsia="Calibri"/>
                <w:sz w:val="20"/>
                <w:lang w:val="fr-CA"/>
              </w:rPr>
            </w:pPr>
          </w:p>
        </w:tc>
        <w:tc>
          <w:tcPr>
            <w:tcW w:w="243" w:type="pct"/>
          </w:tcPr>
          <w:p w:rsidR="00DC0770" w:rsidRPr="00C56FE1" w:rsidRDefault="00DC0770" w:rsidP="009208D4">
            <w:pPr>
              <w:jc w:val="both"/>
              <w:rPr>
                <w:rFonts w:eastAsia="Calibri"/>
                <w:sz w:val="20"/>
                <w:lang w:val="fr-CA"/>
              </w:rPr>
            </w:pPr>
          </w:p>
        </w:tc>
        <w:tc>
          <w:tcPr>
            <w:tcW w:w="2330" w:type="pct"/>
          </w:tcPr>
          <w:p w:rsidR="00DC0770" w:rsidRPr="00C56FE1" w:rsidRDefault="00DC0770" w:rsidP="009208D4">
            <w:pPr>
              <w:jc w:val="both"/>
              <w:rPr>
                <w:rFonts w:eastAsia="Calibri"/>
                <w:sz w:val="20"/>
                <w:lang w:val="fr-CA"/>
              </w:rPr>
            </w:pPr>
            <w:r w:rsidRPr="00C56FE1">
              <w:rPr>
                <w:rFonts w:eastAsia="Calibri"/>
                <w:sz w:val="20"/>
                <w:lang w:val="fr-CA"/>
              </w:rPr>
              <w:t>Demandeur déclaré coupable de meurtre au deuxième degré</w:t>
            </w:r>
          </w:p>
        </w:tc>
      </w:tr>
      <w:tr w:rsidR="00DC0770" w:rsidRPr="00C56FE1" w:rsidTr="009208D4">
        <w:tc>
          <w:tcPr>
            <w:tcW w:w="2427" w:type="pct"/>
          </w:tcPr>
          <w:p w:rsidR="00DC0770" w:rsidRPr="00C56FE1" w:rsidRDefault="00DC0770" w:rsidP="009208D4">
            <w:pPr>
              <w:jc w:val="both"/>
              <w:rPr>
                <w:rFonts w:eastAsia="Calibri"/>
                <w:sz w:val="20"/>
                <w:lang w:val="fr-CA"/>
              </w:rPr>
            </w:pPr>
            <w:r w:rsidRPr="00C56FE1">
              <w:rPr>
                <w:rFonts w:eastAsia="Calibri"/>
                <w:sz w:val="20"/>
                <w:lang w:val="fr-CA"/>
              </w:rPr>
              <w:t>17 février 2012</w:t>
            </w:r>
          </w:p>
          <w:p w:rsidR="00DC0770" w:rsidRPr="00C56FE1" w:rsidRDefault="00DC0770" w:rsidP="009208D4">
            <w:pPr>
              <w:jc w:val="both"/>
              <w:rPr>
                <w:rFonts w:eastAsia="Calibri"/>
                <w:sz w:val="20"/>
                <w:lang w:val="fr-CA"/>
              </w:rPr>
            </w:pPr>
            <w:r w:rsidRPr="00C56FE1">
              <w:rPr>
                <w:rFonts w:eastAsia="Calibri"/>
                <w:sz w:val="20"/>
                <w:lang w:val="fr-CA"/>
              </w:rPr>
              <w:t>Cour d'appel de la Colombie-Britannique (Vancouver)</w:t>
            </w:r>
          </w:p>
          <w:p w:rsidR="00DC0770" w:rsidRPr="00C56FE1" w:rsidRDefault="00DC0770" w:rsidP="009208D4">
            <w:pPr>
              <w:jc w:val="both"/>
              <w:rPr>
                <w:rFonts w:eastAsia="Calibri"/>
                <w:sz w:val="20"/>
                <w:lang w:val="fr-CA"/>
              </w:rPr>
            </w:pPr>
            <w:r w:rsidRPr="00C56FE1">
              <w:rPr>
                <w:rFonts w:eastAsia="Calibri"/>
                <w:sz w:val="20"/>
                <w:lang w:val="fr-CA"/>
              </w:rPr>
              <w:t>(Juges Levine, Kirkpatrick et Neilson)</w:t>
            </w:r>
          </w:p>
          <w:p w:rsidR="00DC0770" w:rsidRPr="00C56FE1" w:rsidRDefault="00DC0770" w:rsidP="009208D4">
            <w:pPr>
              <w:jc w:val="both"/>
              <w:rPr>
                <w:rFonts w:eastAsia="Calibri"/>
                <w:sz w:val="20"/>
                <w:lang w:val="fr-CA"/>
              </w:rPr>
            </w:pPr>
            <w:r w:rsidRPr="00C56FE1">
              <w:rPr>
                <w:rFonts w:eastAsia="Calibri"/>
                <w:sz w:val="20"/>
                <w:lang w:val="fr-CA"/>
              </w:rPr>
              <w:t>2012 BCCA 76; CA037966</w:t>
            </w:r>
          </w:p>
          <w:p w:rsidR="00DC0770" w:rsidRPr="00C56FE1" w:rsidRDefault="00DC0770" w:rsidP="009208D4">
            <w:pPr>
              <w:jc w:val="both"/>
              <w:rPr>
                <w:rFonts w:eastAsia="Calibri"/>
                <w:sz w:val="20"/>
                <w:lang w:val="fr-CA"/>
              </w:rPr>
            </w:pPr>
          </w:p>
        </w:tc>
        <w:tc>
          <w:tcPr>
            <w:tcW w:w="243" w:type="pct"/>
          </w:tcPr>
          <w:p w:rsidR="00DC0770" w:rsidRPr="00C56FE1" w:rsidRDefault="00DC0770" w:rsidP="009208D4">
            <w:pPr>
              <w:jc w:val="both"/>
              <w:rPr>
                <w:rFonts w:eastAsia="Calibri"/>
                <w:sz w:val="20"/>
                <w:lang w:val="fr-CA"/>
              </w:rPr>
            </w:pPr>
          </w:p>
        </w:tc>
        <w:tc>
          <w:tcPr>
            <w:tcW w:w="2330" w:type="pct"/>
          </w:tcPr>
          <w:p w:rsidR="00DC0770" w:rsidRPr="00C56FE1" w:rsidRDefault="00DC0770" w:rsidP="009208D4">
            <w:pPr>
              <w:jc w:val="both"/>
              <w:rPr>
                <w:rFonts w:eastAsia="Calibri"/>
                <w:sz w:val="20"/>
                <w:lang w:val="fr-CA"/>
              </w:rPr>
            </w:pPr>
            <w:r w:rsidRPr="00C56FE1">
              <w:rPr>
                <w:rFonts w:eastAsia="Calibri"/>
                <w:sz w:val="20"/>
                <w:lang w:val="fr-CA"/>
              </w:rPr>
              <w:t>Appel rejeté</w:t>
            </w:r>
          </w:p>
          <w:p w:rsidR="00DC0770" w:rsidRPr="00C56FE1" w:rsidRDefault="00DC0770" w:rsidP="009208D4">
            <w:pPr>
              <w:jc w:val="both"/>
              <w:rPr>
                <w:rFonts w:eastAsia="Calibri"/>
                <w:sz w:val="20"/>
                <w:lang w:val="fr-CA"/>
              </w:rPr>
            </w:pPr>
          </w:p>
        </w:tc>
      </w:tr>
      <w:tr w:rsidR="00DC0770" w:rsidRPr="00334802" w:rsidTr="009208D4">
        <w:tc>
          <w:tcPr>
            <w:tcW w:w="2427" w:type="pct"/>
          </w:tcPr>
          <w:p w:rsidR="00DC0770" w:rsidRPr="00C56FE1" w:rsidRDefault="00DC0770" w:rsidP="009208D4">
            <w:pPr>
              <w:jc w:val="both"/>
              <w:rPr>
                <w:rFonts w:eastAsia="Calibri"/>
                <w:sz w:val="20"/>
                <w:lang w:val="fr-CA"/>
              </w:rPr>
            </w:pPr>
            <w:r w:rsidRPr="00C56FE1">
              <w:rPr>
                <w:rFonts w:eastAsia="Calibri"/>
                <w:sz w:val="20"/>
                <w:lang w:val="fr-CA"/>
              </w:rPr>
              <w:t>2 octobre 2012</w:t>
            </w:r>
          </w:p>
          <w:p w:rsidR="00DC0770" w:rsidRPr="00C56FE1" w:rsidRDefault="00DC0770" w:rsidP="009208D4">
            <w:pPr>
              <w:jc w:val="both"/>
              <w:rPr>
                <w:rFonts w:eastAsia="Calibri"/>
                <w:sz w:val="20"/>
                <w:lang w:val="fr-CA"/>
              </w:rPr>
            </w:pPr>
            <w:r w:rsidRPr="00C56FE1">
              <w:rPr>
                <w:rFonts w:eastAsia="Calibri"/>
                <w:sz w:val="20"/>
                <w:lang w:val="fr-CA"/>
              </w:rPr>
              <w:t>Cour suprême du Canada</w:t>
            </w:r>
          </w:p>
        </w:tc>
        <w:tc>
          <w:tcPr>
            <w:tcW w:w="243" w:type="pct"/>
          </w:tcPr>
          <w:p w:rsidR="00DC0770" w:rsidRPr="00C56FE1" w:rsidRDefault="00DC0770" w:rsidP="009208D4">
            <w:pPr>
              <w:jc w:val="both"/>
              <w:rPr>
                <w:rFonts w:eastAsia="Calibri"/>
                <w:sz w:val="20"/>
                <w:lang w:val="fr-CA"/>
              </w:rPr>
            </w:pPr>
          </w:p>
        </w:tc>
        <w:tc>
          <w:tcPr>
            <w:tcW w:w="2330" w:type="pct"/>
          </w:tcPr>
          <w:p w:rsidR="00DC0770" w:rsidRPr="00C56FE1" w:rsidRDefault="00DC0770" w:rsidP="009208D4">
            <w:pPr>
              <w:jc w:val="both"/>
              <w:rPr>
                <w:rFonts w:eastAsia="Calibri"/>
                <w:sz w:val="20"/>
                <w:lang w:val="fr-CA"/>
              </w:rPr>
            </w:pPr>
            <w:r w:rsidRPr="00C56FE1">
              <w:rPr>
                <w:rFonts w:eastAsia="Calibri"/>
                <w:sz w:val="20"/>
                <w:lang w:val="fr-CA"/>
              </w:rPr>
              <w:t>Requête en prorogation de délai et demande d'autorisation d'appel, déposées</w:t>
            </w:r>
          </w:p>
        </w:tc>
      </w:tr>
    </w:tbl>
    <w:p w:rsidR="00121FCA" w:rsidRPr="00DC0770" w:rsidRDefault="00121FCA" w:rsidP="00121FCA">
      <w:pPr>
        <w:rPr>
          <w:sz w:val="20"/>
          <w:szCs w:val="20"/>
          <w:lang w:val="fr-CA"/>
        </w:rPr>
      </w:pPr>
    </w:p>
    <w:p w:rsidR="00121FCA" w:rsidRDefault="00CD48BC" w:rsidP="00121FCA">
      <w:pPr>
        <w:rPr>
          <w:sz w:val="20"/>
          <w:szCs w:val="20"/>
          <w:lang w:val="fr-CA"/>
        </w:rPr>
      </w:pPr>
      <w:r w:rsidRPr="00CD48BC">
        <w:rPr>
          <w:sz w:val="20"/>
          <w:szCs w:val="20"/>
          <w:lang w:val="fr-CA"/>
        </w:rPr>
        <w:pict>
          <v:rect id="_x0000_i1063" style="width:2in;height:1pt" o:hrpct="0" o:hralign="center" o:hrstd="t" o:hrnoshade="t" o:hr="t" fillcolor="black [3213]" stroked="f"/>
        </w:pict>
      </w:r>
    </w:p>
    <w:p w:rsidR="00121FCA" w:rsidRDefault="00121FCA" w:rsidP="00121FC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B13BE" w:rsidRPr="00F93BCB" w:rsidTr="003B435E">
        <w:trPr>
          <w:cantSplit/>
        </w:trPr>
        <w:tc>
          <w:tcPr>
            <w:tcW w:w="1458" w:type="dxa"/>
          </w:tcPr>
          <w:p w:rsidR="004B13BE" w:rsidRPr="00F93BCB" w:rsidRDefault="004B13BE" w:rsidP="003B435E">
            <w:pPr>
              <w:rPr>
                <w:sz w:val="20"/>
                <w:szCs w:val="20"/>
              </w:rPr>
            </w:pPr>
            <w:r w:rsidRPr="00F93BCB">
              <w:rPr>
                <w:rStyle w:val="SCCFileNumberChar"/>
                <w:sz w:val="20"/>
                <w:szCs w:val="20"/>
              </w:rPr>
              <w:t>35040</w:t>
            </w:r>
          </w:p>
          <w:p w:rsidR="004B13BE" w:rsidRPr="00F93BCB" w:rsidRDefault="004B13BE" w:rsidP="003B435E">
            <w:pPr>
              <w:rPr>
                <w:b/>
                <w:sz w:val="20"/>
                <w:szCs w:val="20"/>
                <w:lang w:val="fr-CA"/>
              </w:rPr>
            </w:pPr>
          </w:p>
        </w:tc>
        <w:tc>
          <w:tcPr>
            <w:tcW w:w="8118" w:type="dxa"/>
          </w:tcPr>
          <w:p w:rsidR="004B13BE" w:rsidRPr="00F93BCB" w:rsidRDefault="004B13BE" w:rsidP="003B435E">
            <w:pPr>
              <w:rPr>
                <w:sz w:val="20"/>
                <w:szCs w:val="20"/>
              </w:rPr>
            </w:pPr>
            <w:r w:rsidRPr="004B13BE">
              <w:rPr>
                <w:rStyle w:val="SCCLsocChar"/>
                <w:sz w:val="20"/>
                <w:szCs w:val="20"/>
                <w:lang w:val="en-CA"/>
              </w:rPr>
              <w:t>Seong Yun Ko v. Hillview Homes Ltd.</w:t>
            </w:r>
            <w:r w:rsidRPr="00F93BCB">
              <w:rPr>
                <w:sz w:val="20"/>
                <w:szCs w:val="20"/>
              </w:rPr>
              <w:t xml:space="preserve"> (Alta.) (Civil) (By Leave)</w:t>
            </w:r>
          </w:p>
          <w:p w:rsidR="004B13BE" w:rsidRPr="00F93BCB" w:rsidRDefault="004B13BE" w:rsidP="003B435E">
            <w:pPr>
              <w:rPr>
                <w:sz w:val="20"/>
                <w:szCs w:val="20"/>
              </w:rPr>
            </w:pPr>
          </w:p>
        </w:tc>
      </w:tr>
      <w:tr w:rsidR="004B13BE" w:rsidRPr="00F93BCB" w:rsidTr="003B435E">
        <w:trPr>
          <w:cantSplit/>
        </w:trPr>
        <w:tc>
          <w:tcPr>
            <w:tcW w:w="1458" w:type="dxa"/>
          </w:tcPr>
          <w:p w:rsidR="004B13BE" w:rsidRPr="00F93BCB" w:rsidRDefault="004B13BE" w:rsidP="003B435E">
            <w:pPr>
              <w:rPr>
                <w:sz w:val="20"/>
                <w:szCs w:val="20"/>
              </w:rPr>
            </w:pPr>
            <w:r w:rsidRPr="00F93BCB">
              <w:rPr>
                <w:sz w:val="20"/>
                <w:szCs w:val="20"/>
              </w:rPr>
              <w:t>Coram :</w:t>
            </w:r>
          </w:p>
        </w:tc>
        <w:tc>
          <w:tcPr>
            <w:tcW w:w="8118" w:type="dxa"/>
          </w:tcPr>
          <w:p w:rsidR="004B13BE" w:rsidRPr="00F93BCB" w:rsidRDefault="004B13BE" w:rsidP="003B435E">
            <w:pPr>
              <w:rPr>
                <w:sz w:val="20"/>
                <w:szCs w:val="20"/>
              </w:rPr>
            </w:pPr>
            <w:r w:rsidRPr="004B13BE">
              <w:rPr>
                <w:rStyle w:val="SCCCoramChar"/>
                <w:sz w:val="20"/>
                <w:szCs w:val="20"/>
                <w:lang w:val="en-CA"/>
              </w:rPr>
              <w:t>McLachlin C.J. and Abella and Cromwell JJ.</w:t>
            </w:r>
          </w:p>
          <w:p w:rsidR="004B13BE" w:rsidRPr="00F93BCB" w:rsidRDefault="004B13BE" w:rsidP="003B435E">
            <w:pPr>
              <w:rPr>
                <w:sz w:val="20"/>
                <w:szCs w:val="20"/>
                <w:u w:val="single"/>
              </w:rPr>
            </w:pPr>
          </w:p>
        </w:tc>
      </w:tr>
      <w:tr w:rsidR="004B13BE" w:rsidRPr="00334802" w:rsidTr="003B435E">
        <w:trPr>
          <w:cantSplit/>
        </w:trPr>
        <w:tc>
          <w:tcPr>
            <w:tcW w:w="9576" w:type="dxa"/>
            <w:gridSpan w:val="2"/>
          </w:tcPr>
          <w:p w:rsidR="004B13BE" w:rsidRPr="00F93BCB" w:rsidRDefault="004B13BE" w:rsidP="003B435E">
            <w:pPr>
              <w:pStyle w:val="SCCShortJudgment"/>
              <w:rPr>
                <w:szCs w:val="20"/>
              </w:rPr>
            </w:pPr>
            <w:r w:rsidRPr="00F93BCB">
              <w:rPr>
                <w:szCs w:val="20"/>
              </w:rPr>
              <w:t>The application for leave to appeal from the judgment of the Court of Appeal of Alberta (Edmonton), Number 0803-0212-AC, 2012 ABCA 245, dated August 22, 2012, is dismissed with costs.</w:t>
            </w:r>
          </w:p>
          <w:p w:rsidR="004B13BE" w:rsidRPr="00F93BCB" w:rsidRDefault="004B13BE" w:rsidP="003B435E">
            <w:pPr>
              <w:pStyle w:val="SCCShortJudgment"/>
              <w:ind w:firstLine="0"/>
              <w:rPr>
                <w:szCs w:val="20"/>
              </w:rPr>
            </w:pPr>
          </w:p>
          <w:p w:rsidR="004B13BE" w:rsidRPr="00F93BCB" w:rsidRDefault="004B13BE" w:rsidP="003B435E">
            <w:pPr>
              <w:pStyle w:val="SCCShortJudgment"/>
              <w:rPr>
                <w:szCs w:val="20"/>
                <w:lang w:val="fr-CA"/>
              </w:rPr>
            </w:pPr>
            <w:r w:rsidRPr="00F93BCB">
              <w:rPr>
                <w:szCs w:val="20"/>
                <w:lang w:val="fr-CA"/>
              </w:rPr>
              <w:t>La demande d’autorisation d’appel de l’arrêt de la Cour d'appel de l’Alberta (Edmonton), numéro 0803-0212-AC, 2012 ABCA 245, daté du 22 août 2012, est rejetée avec dépens.</w:t>
            </w:r>
          </w:p>
        </w:tc>
      </w:tr>
    </w:tbl>
    <w:p w:rsidR="00121FCA" w:rsidRPr="004B13BE" w:rsidRDefault="00121FCA" w:rsidP="00121FCA">
      <w:pPr>
        <w:rPr>
          <w:sz w:val="20"/>
          <w:szCs w:val="20"/>
          <w:lang w:val="fr-CA"/>
        </w:rPr>
      </w:pPr>
    </w:p>
    <w:p w:rsidR="00121FCA" w:rsidRPr="001B157C" w:rsidRDefault="00121FCA" w:rsidP="00121FCA">
      <w:pPr>
        <w:rPr>
          <w:sz w:val="20"/>
          <w:szCs w:val="20"/>
          <w:u w:val="single"/>
        </w:rPr>
      </w:pPr>
      <w:r w:rsidRPr="001B157C">
        <w:rPr>
          <w:sz w:val="20"/>
          <w:szCs w:val="20"/>
          <w:u w:val="single"/>
        </w:rPr>
        <w:t>CASE SUMMARY</w:t>
      </w:r>
    </w:p>
    <w:p w:rsidR="00121FCA" w:rsidRDefault="00121FCA" w:rsidP="00121F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208D4" w:rsidRPr="00C56FE1" w:rsidTr="009208D4">
        <w:tc>
          <w:tcPr>
            <w:tcW w:w="5000" w:type="pct"/>
            <w:gridSpan w:val="3"/>
          </w:tcPr>
          <w:p w:rsidR="009208D4" w:rsidRPr="00C56FE1" w:rsidRDefault="009208D4" w:rsidP="009208D4">
            <w:pPr>
              <w:jc w:val="both"/>
              <w:rPr>
                <w:rFonts w:eastAsia="Calibri"/>
                <w:sz w:val="20"/>
              </w:rPr>
            </w:pPr>
            <w:r w:rsidRPr="00C56FE1">
              <w:rPr>
                <w:rFonts w:eastAsia="Calibri"/>
                <w:sz w:val="20"/>
              </w:rPr>
              <w:t xml:space="preserve">Contracts – Validity – Formation – Certainty of terms – Remedies – Specific performance – Whether the sale agreement was valid – Whether the law warrants a strict test for certainty of terms or whether the law strives to enforce agreements pursuant to the reasonable expectations of the parties – Whether there is a duty of good faith in every commercial contract, or at least inherent in “relationship” contracts – If so, what is the nature of that duty? – Whether partial specific performance should have been ordered in the circumstances. </w:t>
            </w:r>
          </w:p>
        </w:tc>
      </w:tr>
      <w:tr w:rsidR="009208D4" w:rsidRPr="00C56FE1" w:rsidTr="009208D4">
        <w:tc>
          <w:tcPr>
            <w:tcW w:w="5000" w:type="pct"/>
            <w:gridSpan w:val="3"/>
          </w:tcPr>
          <w:p w:rsidR="009208D4" w:rsidRPr="00C56FE1" w:rsidRDefault="009208D4" w:rsidP="009208D4">
            <w:pPr>
              <w:jc w:val="both"/>
              <w:rPr>
                <w:rFonts w:eastAsia="Calibri"/>
                <w:sz w:val="20"/>
              </w:rPr>
            </w:pPr>
          </w:p>
        </w:tc>
      </w:tr>
      <w:tr w:rsidR="009208D4" w:rsidRPr="00C56FE1" w:rsidTr="009208D4">
        <w:tc>
          <w:tcPr>
            <w:tcW w:w="5000" w:type="pct"/>
            <w:gridSpan w:val="3"/>
          </w:tcPr>
          <w:p w:rsidR="009208D4" w:rsidRPr="00C56FE1" w:rsidRDefault="009208D4" w:rsidP="009208D4">
            <w:pPr>
              <w:jc w:val="both"/>
              <w:rPr>
                <w:rFonts w:eastAsia="Calibri"/>
                <w:sz w:val="20"/>
              </w:rPr>
            </w:pPr>
            <w:r w:rsidRPr="00C56FE1">
              <w:rPr>
                <w:rFonts w:eastAsia="Calibri"/>
                <w:sz w:val="20"/>
              </w:rPr>
              <w:t>The applicant is a licensed realtor and the respondent is a registered home builder.  They signed a sale agreement to build a house and convey a lot.  The home to be built was a standard model home plus an additional 1666 square feet requested by the applicant and confirmed in an addendum to the agreement.  No part of that agreement, however, contained any details regarding the nature or location of the extra square footage, and neither party had prepared plans or sketches for it.  No part of the agreement was ever performed, and eventually the respondent returned the applicant’s deposit, provided him with the design plans and assigned the lot to another customer.  The applicant sued the respondent for breach of contract.  The trial judge concluded among other things that the question of where the additional footage was to be added was not an essential term of the agreement, and noted that there was a design element to the contract, that the contract allowed for additions, removals, corrections or variations to the designs and that it contemplated price changes should modifications be made.  The trial judge concluded that the agreement was a binding and enforceable contract and ordered specific performance of part of the contract by directing the respondent to sell the lot to the applicant.  The Court of Appeal allowed the appeal.</w:t>
            </w:r>
          </w:p>
          <w:p w:rsidR="009208D4" w:rsidRPr="00C56FE1" w:rsidRDefault="009208D4" w:rsidP="009208D4">
            <w:pPr>
              <w:jc w:val="both"/>
              <w:rPr>
                <w:rFonts w:eastAsia="Calibri"/>
                <w:sz w:val="20"/>
              </w:rPr>
            </w:pPr>
          </w:p>
        </w:tc>
      </w:tr>
      <w:tr w:rsidR="009208D4" w:rsidRPr="00C56FE1" w:rsidTr="009208D4">
        <w:tc>
          <w:tcPr>
            <w:tcW w:w="2427" w:type="pct"/>
          </w:tcPr>
          <w:p w:rsidR="009208D4" w:rsidRPr="00C56FE1" w:rsidRDefault="009208D4" w:rsidP="009208D4">
            <w:pPr>
              <w:jc w:val="both"/>
              <w:rPr>
                <w:rFonts w:eastAsia="Calibri"/>
                <w:sz w:val="20"/>
              </w:rPr>
            </w:pPr>
            <w:r w:rsidRPr="00C56FE1">
              <w:rPr>
                <w:rFonts w:eastAsia="Calibri"/>
                <w:sz w:val="20"/>
              </w:rPr>
              <w:lastRenderedPageBreak/>
              <w:t>April 28, 2008</w:t>
            </w:r>
          </w:p>
          <w:p w:rsidR="009208D4" w:rsidRPr="00C56FE1" w:rsidRDefault="009208D4" w:rsidP="009208D4">
            <w:pPr>
              <w:jc w:val="both"/>
              <w:rPr>
                <w:rFonts w:eastAsia="Calibri"/>
                <w:sz w:val="20"/>
              </w:rPr>
            </w:pPr>
            <w:r w:rsidRPr="00C56FE1">
              <w:rPr>
                <w:rFonts w:eastAsia="Calibri"/>
                <w:sz w:val="20"/>
              </w:rPr>
              <w:t>Court of Queen’s Bench of Alberta</w:t>
            </w:r>
          </w:p>
          <w:p w:rsidR="009208D4" w:rsidRPr="00C56FE1" w:rsidRDefault="009208D4" w:rsidP="009208D4">
            <w:pPr>
              <w:jc w:val="both"/>
              <w:rPr>
                <w:rFonts w:eastAsia="Calibri"/>
                <w:sz w:val="20"/>
              </w:rPr>
            </w:pPr>
            <w:r w:rsidRPr="00C56FE1">
              <w:rPr>
                <w:rFonts w:eastAsia="Calibri"/>
                <w:sz w:val="20"/>
              </w:rPr>
              <w:t>(Sulyma J.)</w:t>
            </w:r>
          </w:p>
          <w:p w:rsidR="009208D4" w:rsidRPr="00C56FE1" w:rsidRDefault="009208D4" w:rsidP="009208D4">
            <w:pPr>
              <w:jc w:val="both"/>
              <w:rPr>
                <w:rFonts w:eastAsia="Calibri"/>
                <w:sz w:val="20"/>
              </w:rPr>
            </w:pPr>
          </w:p>
        </w:tc>
        <w:tc>
          <w:tcPr>
            <w:tcW w:w="243" w:type="pct"/>
          </w:tcPr>
          <w:p w:rsidR="009208D4" w:rsidRPr="00C56FE1" w:rsidRDefault="009208D4" w:rsidP="009208D4">
            <w:pPr>
              <w:jc w:val="both"/>
              <w:rPr>
                <w:rFonts w:eastAsia="Calibri"/>
                <w:sz w:val="20"/>
              </w:rPr>
            </w:pPr>
          </w:p>
        </w:tc>
        <w:tc>
          <w:tcPr>
            <w:tcW w:w="2330" w:type="pct"/>
          </w:tcPr>
          <w:p w:rsidR="009208D4" w:rsidRPr="00C56FE1" w:rsidRDefault="009208D4" w:rsidP="009208D4">
            <w:pPr>
              <w:jc w:val="both"/>
              <w:rPr>
                <w:rFonts w:eastAsia="Calibri"/>
                <w:sz w:val="20"/>
              </w:rPr>
            </w:pPr>
            <w:r w:rsidRPr="00C56FE1">
              <w:rPr>
                <w:rFonts w:eastAsia="Calibri"/>
                <w:sz w:val="20"/>
              </w:rPr>
              <w:t>Sale agreement deemed valid and enforceable; specific performance of part of contract ordered</w:t>
            </w:r>
          </w:p>
          <w:p w:rsidR="009208D4" w:rsidRPr="00C56FE1" w:rsidRDefault="009208D4" w:rsidP="009208D4">
            <w:pPr>
              <w:jc w:val="both"/>
              <w:rPr>
                <w:rFonts w:eastAsia="Calibri"/>
                <w:sz w:val="20"/>
              </w:rPr>
            </w:pPr>
          </w:p>
        </w:tc>
      </w:tr>
      <w:tr w:rsidR="009208D4" w:rsidRPr="00C56FE1" w:rsidTr="009208D4">
        <w:tc>
          <w:tcPr>
            <w:tcW w:w="2427" w:type="pct"/>
          </w:tcPr>
          <w:p w:rsidR="009208D4" w:rsidRPr="00C56FE1" w:rsidRDefault="009208D4" w:rsidP="009208D4">
            <w:pPr>
              <w:jc w:val="both"/>
              <w:rPr>
                <w:rFonts w:eastAsia="Calibri"/>
                <w:sz w:val="20"/>
              </w:rPr>
            </w:pPr>
            <w:r w:rsidRPr="00C56FE1">
              <w:rPr>
                <w:rFonts w:eastAsia="Calibri"/>
                <w:sz w:val="20"/>
              </w:rPr>
              <w:t>August 22, 2012</w:t>
            </w:r>
          </w:p>
          <w:p w:rsidR="009208D4" w:rsidRPr="00C56FE1" w:rsidRDefault="009208D4" w:rsidP="009208D4">
            <w:pPr>
              <w:jc w:val="both"/>
              <w:rPr>
                <w:rFonts w:eastAsia="Calibri"/>
                <w:sz w:val="20"/>
              </w:rPr>
            </w:pPr>
            <w:r w:rsidRPr="00C56FE1">
              <w:rPr>
                <w:rFonts w:eastAsia="Calibri"/>
                <w:sz w:val="20"/>
              </w:rPr>
              <w:t>Court of Appeal of Alberta (Edmonton)</w:t>
            </w:r>
          </w:p>
          <w:p w:rsidR="009208D4" w:rsidRPr="00C56FE1" w:rsidRDefault="009208D4" w:rsidP="009208D4">
            <w:pPr>
              <w:jc w:val="both"/>
              <w:rPr>
                <w:rFonts w:eastAsia="Calibri"/>
                <w:sz w:val="20"/>
              </w:rPr>
            </w:pPr>
            <w:r w:rsidRPr="00C56FE1">
              <w:rPr>
                <w:rFonts w:eastAsia="Calibri"/>
                <w:sz w:val="20"/>
              </w:rPr>
              <w:t>(Côté, Rowbotham and McDonald JJ.A.)</w:t>
            </w:r>
          </w:p>
          <w:p w:rsidR="009208D4" w:rsidRPr="00C56FE1" w:rsidRDefault="009208D4" w:rsidP="009208D4">
            <w:pPr>
              <w:jc w:val="both"/>
              <w:rPr>
                <w:rFonts w:eastAsia="Calibri"/>
                <w:sz w:val="20"/>
              </w:rPr>
            </w:pPr>
            <w:r w:rsidRPr="00C56FE1">
              <w:rPr>
                <w:rFonts w:eastAsia="Calibri"/>
                <w:sz w:val="20"/>
              </w:rPr>
              <w:t>2012 ABCA 245</w:t>
            </w:r>
          </w:p>
          <w:p w:rsidR="009208D4" w:rsidRPr="00C56FE1" w:rsidRDefault="009208D4" w:rsidP="009208D4">
            <w:pPr>
              <w:jc w:val="both"/>
              <w:rPr>
                <w:rFonts w:eastAsia="Calibri"/>
                <w:sz w:val="20"/>
              </w:rPr>
            </w:pPr>
          </w:p>
        </w:tc>
        <w:tc>
          <w:tcPr>
            <w:tcW w:w="243" w:type="pct"/>
          </w:tcPr>
          <w:p w:rsidR="009208D4" w:rsidRPr="00C56FE1" w:rsidRDefault="009208D4" w:rsidP="009208D4">
            <w:pPr>
              <w:jc w:val="both"/>
              <w:rPr>
                <w:rFonts w:eastAsia="Calibri"/>
                <w:sz w:val="20"/>
              </w:rPr>
            </w:pPr>
          </w:p>
        </w:tc>
        <w:tc>
          <w:tcPr>
            <w:tcW w:w="2330" w:type="pct"/>
          </w:tcPr>
          <w:p w:rsidR="009208D4" w:rsidRPr="00C56FE1" w:rsidRDefault="009208D4" w:rsidP="009208D4">
            <w:pPr>
              <w:jc w:val="both"/>
              <w:rPr>
                <w:rFonts w:eastAsia="Calibri"/>
                <w:sz w:val="20"/>
              </w:rPr>
            </w:pPr>
            <w:r w:rsidRPr="00C56FE1">
              <w:rPr>
                <w:rFonts w:eastAsia="Calibri"/>
                <w:sz w:val="20"/>
              </w:rPr>
              <w:t>Appeal allowed; sale agreement deemed invalid</w:t>
            </w:r>
          </w:p>
          <w:p w:rsidR="009208D4" w:rsidRPr="00C56FE1" w:rsidRDefault="009208D4" w:rsidP="009208D4">
            <w:pPr>
              <w:jc w:val="both"/>
              <w:rPr>
                <w:rFonts w:eastAsia="Calibri"/>
                <w:sz w:val="20"/>
              </w:rPr>
            </w:pPr>
          </w:p>
        </w:tc>
      </w:tr>
      <w:tr w:rsidR="009208D4" w:rsidRPr="00C56FE1" w:rsidTr="009208D4">
        <w:tc>
          <w:tcPr>
            <w:tcW w:w="2427" w:type="pct"/>
          </w:tcPr>
          <w:p w:rsidR="009208D4" w:rsidRPr="00C56FE1" w:rsidRDefault="009208D4" w:rsidP="009208D4">
            <w:pPr>
              <w:jc w:val="both"/>
              <w:rPr>
                <w:rFonts w:eastAsia="Calibri"/>
                <w:sz w:val="20"/>
              </w:rPr>
            </w:pPr>
            <w:r w:rsidRPr="00C56FE1">
              <w:rPr>
                <w:rFonts w:eastAsia="Calibri"/>
                <w:sz w:val="20"/>
              </w:rPr>
              <w:t>October 19, 2012</w:t>
            </w:r>
          </w:p>
          <w:p w:rsidR="009208D4" w:rsidRPr="00C56FE1" w:rsidRDefault="009208D4" w:rsidP="009208D4">
            <w:pPr>
              <w:jc w:val="both"/>
              <w:rPr>
                <w:rFonts w:eastAsia="Calibri"/>
                <w:sz w:val="20"/>
              </w:rPr>
            </w:pPr>
            <w:r w:rsidRPr="00C56FE1">
              <w:rPr>
                <w:rFonts w:eastAsia="Calibri"/>
                <w:sz w:val="20"/>
              </w:rPr>
              <w:t>Supreme Court of Canada</w:t>
            </w:r>
          </w:p>
          <w:p w:rsidR="009208D4" w:rsidRPr="00C56FE1" w:rsidRDefault="009208D4" w:rsidP="009208D4">
            <w:pPr>
              <w:jc w:val="both"/>
              <w:rPr>
                <w:rFonts w:eastAsia="Calibri"/>
                <w:sz w:val="20"/>
              </w:rPr>
            </w:pPr>
          </w:p>
        </w:tc>
        <w:tc>
          <w:tcPr>
            <w:tcW w:w="243" w:type="pct"/>
          </w:tcPr>
          <w:p w:rsidR="009208D4" w:rsidRPr="00C56FE1" w:rsidRDefault="009208D4" w:rsidP="009208D4">
            <w:pPr>
              <w:jc w:val="both"/>
              <w:rPr>
                <w:rFonts w:eastAsia="Calibri"/>
                <w:sz w:val="20"/>
              </w:rPr>
            </w:pPr>
          </w:p>
        </w:tc>
        <w:tc>
          <w:tcPr>
            <w:tcW w:w="2330" w:type="pct"/>
          </w:tcPr>
          <w:p w:rsidR="009208D4" w:rsidRPr="00C56FE1" w:rsidRDefault="009208D4" w:rsidP="009208D4">
            <w:pPr>
              <w:jc w:val="both"/>
              <w:rPr>
                <w:rFonts w:eastAsia="Calibri"/>
                <w:sz w:val="20"/>
              </w:rPr>
            </w:pPr>
            <w:r w:rsidRPr="00C56FE1">
              <w:rPr>
                <w:rFonts w:eastAsia="Calibri"/>
                <w:sz w:val="20"/>
              </w:rPr>
              <w:t>Application for leave to appeal filed</w:t>
            </w:r>
          </w:p>
          <w:p w:rsidR="009208D4" w:rsidRPr="00C56FE1" w:rsidRDefault="009208D4" w:rsidP="009208D4">
            <w:pPr>
              <w:jc w:val="both"/>
              <w:rPr>
                <w:rFonts w:eastAsia="Calibri"/>
                <w:sz w:val="20"/>
              </w:rPr>
            </w:pPr>
          </w:p>
        </w:tc>
      </w:tr>
      <w:tr w:rsidR="009208D4" w:rsidRPr="00C56FE1" w:rsidTr="009208D4">
        <w:tc>
          <w:tcPr>
            <w:tcW w:w="2427" w:type="pct"/>
          </w:tcPr>
          <w:p w:rsidR="009208D4" w:rsidRPr="00C56FE1" w:rsidRDefault="009208D4" w:rsidP="009208D4">
            <w:pPr>
              <w:jc w:val="both"/>
              <w:rPr>
                <w:rFonts w:eastAsia="Calibri"/>
                <w:sz w:val="20"/>
              </w:rPr>
            </w:pPr>
            <w:r w:rsidRPr="00C56FE1">
              <w:rPr>
                <w:rFonts w:eastAsia="Calibri"/>
                <w:sz w:val="20"/>
              </w:rPr>
              <w:t>November 19, 2012</w:t>
            </w:r>
          </w:p>
          <w:p w:rsidR="009208D4" w:rsidRPr="00C56FE1" w:rsidRDefault="009208D4" w:rsidP="009208D4">
            <w:pPr>
              <w:jc w:val="both"/>
              <w:rPr>
                <w:rFonts w:eastAsia="Calibri"/>
                <w:sz w:val="20"/>
              </w:rPr>
            </w:pPr>
            <w:r w:rsidRPr="00C56FE1">
              <w:rPr>
                <w:rFonts w:eastAsia="Calibri"/>
                <w:sz w:val="20"/>
              </w:rPr>
              <w:t>Supreme Court of Canada</w:t>
            </w:r>
          </w:p>
        </w:tc>
        <w:tc>
          <w:tcPr>
            <w:tcW w:w="243" w:type="pct"/>
          </w:tcPr>
          <w:p w:rsidR="009208D4" w:rsidRPr="00C56FE1" w:rsidRDefault="009208D4" w:rsidP="009208D4">
            <w:pPr>
              <w:jc w:val="both"/>
              <w:rPr>
                <w:rFonts w:eastAsia="Calibri"/>
                <w:sz w:val="20"/>
              </w:rPr>
            </w:pPr>
          </w:p>
        </w:tc>
        <w:tc>
          <w:tcPr>
            <w:tcW w:w="2330" w:type="pct"/>
          </w:tcPr>
          <w:p w:rsidR="009208D4" w:rsidRPr="00C56FE1" w:rsidRDefault="009208D4" w:rsidP="009208D4">
            <w:pPr>
              <w:jc w:val="both"/>
              <w:rPr>
                <w:rFonts w:eastAsia="Calibri"/>
                <w:sz w:val="20"/>
              </w:rPr>
            </w:pPr>
            <w:r w:rsidRPr="00C56FE1">
              <w:rPr>
                <w:rFonts w:eastAsia="Calibri"/>
                <w:sz w:val="20"/>
              </w:rPr>
              <w:t>Conditional application for leave to cross-appeal filed</w:t>
            </w:r>
          </w:p>
        </w:tc>
      </w:tr>
    </w:tbl>
    <w:p w:rsidR="00121FCA" w:rsidRDefault="00121FCA" w:rsidP="00121FCA">
      <w:pPr>
        <w:rPr>
          <w:sz w:val="20"/>
          <w:szCs w:val="20"/>
        </w:rPr>
      </w:pPr>
    </w:p>
    <w:p w:rsidR="00121FCA" w:rsidRPr="00C50A5C" w:rsidRDefault="00CD48BC" w:rsidP="00121FCA">
      <w:pPr>
        <w:rPr>
          <w:sz w:val="20"/>
          <w:szCs w:val="20"/>
        </w:rPr>
      </w:pPr>
      <w:r w:rsidRPr="00CD48BC">
        <w:rPr>
          <w:sz w:val="20"/>
          <w:szCs w:val="20"/>
          <w:lang w:val="fr-CA"/>
        </w:rPr>
        <w:pict>
          <v:rect id="_x0000_i1064" style="width:2in;height:1pt" o:hrpct="0" o:hralign="center" o:hrstd="t" o:hrnoshade="t" o:hr="t" fillcolor="black [3213]" stroked="f"/>
        </w:pict>
      </w:r>
    </w:p>
    <w:p w:rsidR="00121FCA" w:rsidRDefault="00121FCA" w:rsidP="00121FCA">
      <w:pPr>
        <w:rPr>
          <w:sz w:val="20"/>
          <w:szCs w:val="20"/>
        </w:rPr>
      </w:pPr>
    </w:p>
    <w:p w:rsidR="00121FCA" w:rsidRPr="001B157C" w:rsidRDefault="00121FCA" w:rsidP="00121FCA">
      <w:pPr>
        <w:rPr>
          <w:sz w:val="20"/>
          <w:szCs w:val="20"/>
          <w:u w:val="single"/>
          <w:lang w:val="fr-CA"/>
        </w:rPr>
      </w:pPr>
      <w:r w:rsidRPr="001B157C">
        <w:rPr>
          <w:sz w:val="20"/>
          <w:szCs w:val="20"/>
          <w:u w:val="single"/>
          <w:lang w:val="fr-CA"/>
        </w:rPr>
        <w:t>RÉSUMÉ DE L’AFFAIRE</w:t>
      </w:r>
    </w:p>
    <w:p w:rsidR="00121FCA" w:rsidRDefault="00121FCA" w:rsidP="00121FC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9208D4" w:rsidRPr="00334802" w:rsidTr="009208D4">
        <w:tc>
          <w:tcPr>
            <w:tcW w:w="5000" w:type="pct"/>
            <w:gridSpan w:val="3"/>
          </w:tcPr>
          <w:p w:rsidR="009208D4" w:rsidRPr="00C56FE1" w:rsidRDefault="009208D4" w:rsidP="009208D4">
            <w:pPr>
              <w:jc w:val="both"/>
              <w:rPr>
                <w:rFonts w:eastAsia="Calibri"/>
                <w:sz w:val="20"/>
                <w:lang w:val="fr-CA"/>
              </w:rPr>
            </w:pPr>
            <w:r w:rsidRPr="00C56FE1">
              <w:rPr>
                <w:rFonts w:eastAsia="Calibri"/>
                <w:sz w:val="20"/>
                <w:lang w:val="fr-CA"/>
              </w:rPr>
              <w:t xml:space="preserve">Contrats — Validité — Formation — Certitude des conditions — Recours — Exécution en nature — Le contrat de vente était-il valide? — Le droit autorise-t-il l’application d’un critère strict de certitude des conditions ou vise-t-il plutôt l’exécution des contrats conformément aux attentes raisonnables des parties? — Y a-t-il une obligation de bonne foi dans tout contrat commercial ou qui soit au moins inhérent dans les contrats « de relations »? — Dans l'affirmative, quelle est la nature de cette obligation? — Le tribunal aurait-il dû ordonner l'exécution en nature partielle en l’espèce? </w:t>
            </w:r>
          </w:p>
        </w:tc>
      </w:tr>
      <w:tr w:rsidR="009208D4" w:rsidRPr="00334802" w:rsidTr="009208D4">
        <w:tc>
          <w:tcPr>
            <w:tcW w:w="5000" w:type="pct"/>
            <w:gridSpan w:val="3"/>
          </w:tcPr>
          <w:p w:rsidR="009208D4" w:rsidRPr="00C56FE1" w:rsidRDefault="009208D4" w:rsidP="009208D4">
            <w:pPr>
              <w:jc w:val="both"/>
              <w:rPr>
                <w:rFonts w:eastAsia="Calibri"/>
                <w:sz w:val="20"/>
                <w:lang w:val="fr-CA"/>
              </w:rPr>
            </w:pPr>
          </w:p>
        </w:tc>
      </w:tr>
      <w:tr w:rsidR="009208D4" w:rsidRPr="00C56FE1" w:rsidTr="009208D4">
        <w:tc>
          <w:tcPr>
            <w:tcW w:w="5000" w:type="pct"/>
            <w:gridSpan w:val="3"/>
          </w:tcPr>
          <w:p w:rsidR="009208D4" w:rsidRPr="00C56FE1" w:rsidRDefault="009208D4" w:rsidP="009208D4">
            <w:pPr>
              <w:jc w:val="both"/>
              <w:rPr>
                <w:rFonts w:eastAsia="Calibri"/>
                <w:sz w:val="20"/>
                <w:lang w:val="fr-CA"/>
              </w:rPr>
            </w:pPr>
            <w:r w:rsidRPr="00C56FE1">
              <w:rPr>
                <w:rFonts w:eastAsia="Calibri"/>
                <w:sz w:val="20"/>
                <w:lang w:val="fr-CA"/>
              </w:rPr>
              <w:t>Le demandeur est un courtier en immeuble accrédité et l'intimée est un constructeur de résidences inscrit. Ils ont signé un contrat de vente pour la construction d'une maison et le transfert d'un lot. La maison à construire était un modèle standard auquel s'ajoutait une superficie supplémentaire de 1 666 pieds carrés demandée par le demandeur et confirmée dans un avenant au contrat. Toutefois, aucune partie de ce contrat ne précisait la nature ou l'emplacement de la superficie supplémentaire, et ni l'une ni l’autre des parties n'avait établi de plan ou de croquis à cet égard. Aucune partie du contrat n'a été exécutée et l'intimée a fini par rembourser l'acompte du demandeur, lui fournir les plans et attribuer le lot à un autre client. Le demandeur a poursuivi l'intimée pour violation de contrat. La juge de première instance a conclu entre autres que la question de savoir où allait se trouver la superficie supplémentaire à ajouter n'était pas une condition essentielle du contrat et elle a noté qu'il y avait un élément de conception au contrat et que le contrat autorisait des ajouts, des suppressions, des corrections ou des modifications aux plans et qu'il prévoyait des changements de prix si des modifications étaient apportées. La juge a conclu que le contrat liait les parties et qu'il était exécutoire et elle a ordonné l'exécution en nature de certaines parties du contrat en ordonnant à l’intimée de vendre le lot au demandeur. La Cour d'appel a accueilli l'appel.</w:t>
            </w:r>
          </w:p>
          <w:p w:rsidR="009208D4" w:rsidRPr="00C56FE1" w:rsidRDefault="009208D4" w:rsidP="009208D4">
            <w:pPr>
              <w:jc w:val="both"/>
              <w:rPr>
                <w:rFonts w:eastAsia="Calibri"/>
                <w:sz w:val="20"/>
                <w:lang w:val="fr-CA"/>
              </w:rPr>
            </w:pPr>
          </w:p>
        </w:tc>
      </w:tr>
      <w:tr w:rsidR="009208D4" w:rsidRPr="00334802" w:rsidTr="009208D4">
        <w:tc>
          <w:tcPr>
            <w:tcW w:w="2427" w:type="pct"/>
          </w:tcPr>
          <w:p w:rsidR="009208D4" w:rsidRPr="00C56FE1" w:rsidRDefault="009208D4" w:rsidP="009208D4">
            <w:pPr>
              <w:jc w:val="both"/>
              <w:rPr>
                <w:rFonts w:eastAsia="Calibri"/>
                <w:sz w:val="20"/>
                <w:lang w:val="fr-CA"/>
              </w:rPr>
            </w:pPr>
            <w:r w:rsidRPr="00C56FE1">
              <w:rPr>
                <w:rFonts w:eastAsia="Calibri"/>
                <w:sz w:val="20"/>
                <w:lang w:val="fr-CA"/>
              </w:rPr>
              <w:t>28 avril 2008</w:t>
            </w:r>
          </w:p>
          <w:p w:rsidR="009208D4" w:rsidRPr="00C56FE1" w:rsidRDefault="009208D4" w:rsidP="009208D4">
            <w:pPr>
              <w:jc w:val="both"/>
              <w:rPr>
                <w:rFonts w:eastAsia="Calibri"/>
                <w:sz w:val="20"/>
                <w:lang w:val="fr-CA"/>
              </w:rPr>
            </w:pPr>
            <w:r w:rsidRPr="00C56FE1">
              <w:rPr>
                <w:rFonts w:eastAsia="Calibri"/>
                <w:sz w:val="20"/>
                <w:lang w:val="fr-CA"/>
              </w:rPr>
              <w:t xml:space="preserve">Cour du Banc de la Reine de l'Alberta </w:t>
            </w:r>
          </w:p>
          <w:p w:rsidR="009208D4" w:rsidRPr="00C56FE1" w:rsidRDefault="009208D4" w:rsidP="009208D4">
            <w:pPr>
              <w:jc w:val="both"/>
              <w:rPr>
                <w:rFonts w:eastAsia="Calibri"/>
                <w:sz w:val="20"/>
                <w:lang w:val="fr-CA"/>
              </w:rPr>
            </w:pPr>
            <w:r w:rsidRPr="00C56FE1">
              <w:rPr>
                <w:rFonts w:eastAsia="Calibri"/>
                <w:sz w:val="20"/>
                <w:lang w:val="fr-CA"/>
              </w:rPr>
              <w:t>(Juge Sulyma)</w:t>
            </w:r>
          </w:p>
          <w:p w:rsidR="009208D4" w:rsidRPr="00C56FE1" w:rsidRDefault="009208D4" w:rsidP="009208D4">
            <w:pPr>
              <w:jc w:val="both"/>
              <w:rPr>
                <w:rFonts w:eastAsia="Calibri"/>
                <w:sz w:val="20"/>
                <w:lang w:val="fr-CA"/>
              </w:rPr>
            </w:pPr>
          </w:p>
        </w:tc>
        <w:tc>
          <w:tcPr>
            <w:tcW w:w="243" w:type="pct"/>
          </w:tcPr>
          <w:p w:rsidR="009208D4" w:rsidRPr="00C56FE1" w:rsidRDefault="009208D4" w:rsidP="009208D4">
            <w:pPr>
              <w:jc w:val="both"/>
              <w:rPr>
                <w:rFonts w:eastAsia="Calibri"/>
                <w:sz w:val="20"/>
                <w:lang w:val="fr-CA"/>
              </w:rPr>
            </w:pPr>
          </w:p>
        </w:tc>
        <w:tc>
          <w:tcPr>
            <w:tcW w:w="2330" w:type="pct"/>
          </w:tcPr>
          <w:p w:rsidR="009208D4" w:rsidRPr="00C56FE1" w:rsidRDefault="009208D4" w:rsidP="009208D4">
            <w:pPr>
              <w:jc w:val="both"/>
              <w:rPr>
                <w:rFonts w:eastAsia="Calibri"/>
                <w:sz w:val="20"/>
                <w:lang w:val="fr-CA"/>
              </w:rPr>
            </w:pPr>
            <w:r w:rsidRPr="00C56FE1">
              <w:rPr>
                <w:rFonts w:eastAsia="Calibri"/>
                <w:sz w:val="20"/>
                <w:lang w:val="fr-CA"/>
              </w:rPr>
              <w:t>Contrat de vente jugée valide et exécutoire; exécution en nature de certaines parties du contrat ordonnée</w:t>
            </w:r>
          </w:p>
          <w:p w:rsidR="009208D4" w:rsidRPr="00C56FE1" w:rsidRDefault="009208D4" w:rsidP="009208D4">
            <w:pPr>
              <w:jc w:val="both"/>
              <w:rPr>
                <w:rFonts w:eastAsia="Calibri"/>
                <w:sz w:val="20"/>
                <w:lang w:val="fr-CA"/>
              </w:rPr>
            </w:pPr>
          </w:p>
        </w:tc>
      </w:tr>
      <w:tr w:rsidR="009208D4" w:rsidRPr="00334802" w:rsidTr="009208D4">
        <w:tc>
          <w:tcPr>
            <w:tcW w:w="2427" w:type="pct"/>
          </w:tcPr>
          <w:p w:rsidR="009208D4" w:rsidRPr="00C56FE1" w:rsidRDefault="009208D4" w:rsidP="009208D4">
            <w:pPr>
              <w:jc w:val="both"/>
              <w:rPr>
                <w:rFonts w:eastAsia="Calibri"/>
                <w:sz w:val="20"/>
                <w:lang w:val="fr-CA"/>
              </w:rPr>
            </w:pPr>
            <w:r w:rsidRPr="00C56FE1">
              <w:rPr>
                <w:rFonts w:eastAsia="Calibri"/>
                <w:sz w:val="20"/>
                <w:lang w:val="fr-CA"/>
              </w:rPr>
              <w:t>22 août 2012</w:t>
            </w:r>
          </w:p>
          <w:p w:rsidR="009208D4" w:rsidRPr="00C56FE1" w:rsidRDefault="009208D4" w:rsidP="009208D4">
            <w:pPr>
              <w:jc w:val="both"/>
              <w:rPr>
                <w:rFonts w:eastAsia="Calibri"/>
                <w:sz w:val="20"/>
                <w:lang w:val="fr-CA"/>
              </w:rPr>
            </w:pPr>
            <w:r w:rsidRPr="00C56FE1">
              <w:rPr>
                <w:rFonts w:eastAsia="Calibri"/>
                <w:sz w:val="20"/>
                <w:lang w:val="fr-CA"/>
              </w:rPr>
              <w:t>Cour d'appel de l'Alberta (Edmonton)</w:t>
            </w:r>
          </w:p>
          <w:p w:rsidR="009208D4" w:rsidRPr="00C56FE1" w:rsidRDefault="009208D4" w:rsidP="009208D4">
            <w:pPr>
              <w:jc w:val="both"/>
              <w:rPr>
                <w:rFonts w:eastAsia="Calibri"/>
                <w:sz w:val="20"/>
                <w:lang w:val="fr-CA"/>
              </w:rPr>
            </w:pPr>
            <w:r w:rsidRPr="00C56FE1">
              <w:rPr>
                <w:rFonts w:eastAsia="Calibri"/>
                <w:sz w:val="20"/>
                <w:lang w:val="fr-CA"/>
              </w:rPr>
              <w:t>(Juges Côté, Rowbotham et McDonald)</w:t>
            </w:r>
          </w:p>
          <w:p w:rsidR="009208D4" w:rsidRPr="00C56FE1" w:rsidRDefault="009208D4" w:rsidP="009208D4">
            <w:pPr>
              <w:jc w:val="both"/>
              <w:rPr>
                <w:rFonts w:eastAsia="Calibri"/>
                <w:sz w:val="20"/>
                <w:lang w:val="fr-CA"/>
              </w:rPr>
            </w:pPr>
            <w:r w:rsidRPr="00C56FE1">
              <w:rPr>
                <w:rFonts w:eastAsia="Calibri"/>
                <w:sz w:val="20"/>
                <w:lang w:val="fr-CA"/>
              </w:rPr>
              <w:t>2012 ABCA 245</w:t>
            </w:r>
          </w:p>
          <w:p w:rsidR="009208D4" w:rsidRPr="00C56FE1" w:rsidRDefault="009208D4" w:rsidP="009208D4">
            <w:pPr>
              <w:jc w:val="both"/>
              <w:rPr>
                <w:rFonts w:eastAsia="Calibri"/>
                <w:sz w:val="20"/>
                <w:lang w:val="fr-CA"/>
              </w:rPr>
            </w:pPr>
          </w:p>
        </w:tc>
        <w:tc>
          <w:tcPr>
            <w:tcW w:w="243" w:type="pct"/>
          </w:tcPr>
          <w:p w:rsidR="009208D4" w:rsidRPr="00C56FE1" w:rsidRDefault="009208D4" w:rsidP="009208D4">
            <w:pPr>
              <w:jc w:val="both"/>
              <w:rPr>
                <w:rFonts w:eastAsia="Calibri"/>
                <w:sz w:val="20"/>
                <w:lang w:val="fr-CA"/>
              </w:rPr>
            </w:pPr>
          </w:p>
        </w:tc>
        <w:tc>
          <w:tcPr>
            <w:tcW w:w="2330" w:type="pct"/>
          </w:tcPr>
          <w:p w:rsidR="009208D4" w:rsidRPr="00C56FE1" w:rsidRDefault="009208D4" w:rsidP="009208D4">
            <w:pPr>
              <w:jc w:val="both"/>
              <w:rPr>
                <w:rFonts w:eastAsia="Calibri"/>
                <w:sz w:val="20"/>
                <w:lang w:val="fr-CA"/>
              </w:rPr>
            </w:pPr>
            <w:r w:rsidRPr="00C56FE1">
              <w:rPr>
                <w:rFonts w:eastAsia="Calibri"/>
                <w:sz w:val="20"/>
                <w:lang w:val="fr-CA"/>
              </w:rPr>
              <w:t>Appel accueilli; contrat de vente jugée invalide</w:t>
            </w:r>
          </w:p>
          <w:p w:rsidR="009208D4" w:rsidRPr="00C56FE1" w:rsidRDefault="009208D4" w:rsidP="009208D4">
            <w:pPr>
              <w:jc w:val="both"/>
              <w:rPr>
                <w:rFonts w:eastAsia="Calibri"/>
                <w:sz w:val="20"/>
                <w:lang w:val="fr-CA"/>
              </w:rPr>
            </w:pPr>
          </w:p>
        </w:tc>
      </w:tr>
      <w:tr w:rsidR="009208D4" w:rsidRPr="00C56FE1" w:rsidTr="004B13BE">
        <w:trPr>
          <w:cantSplit/>
        </w:trPr>
        <w:tc>
          <w:tcPr>
            <w:tcW w:w="2427" w:type="pct"/>
          </w:tcPr>
          <w:p w:rsidR="009208D4" w:rsidRPr="00C56FE1" w:rsidRDefault="009208D4" w:rsidP="009208D4">
            <w:pPr>
              <w:jc w:val="both"/>
              <w:rPr>
                <w:rFonts w:eastAsia="Calibri"/>
                <w:sz w:val="20"/>
                <w:lang w:val="fr-CA"/>
              </w:rPr>
            </w:pPr>
            <w:r w:rsidRPr="00C56FE1">
              <w:rPr>
                <w:rFonts w:eastAsia="Calibri"/>
                <w:sz w:val="20"/>
                <w:lang w:val="fr-CA"/>
              </w:rPr>
              <w:lastRenderedPageBreak/>
              <w:t>19 octobre 2012</w:t>
            </w:r>
          </w:p>
          <w:p w:rsidR="009208D4" w:rsidRPr="00C56FE1" w:rsidRDefault="009208D4" w:rsidP="009208D4">
            <w:pPr>
              <w:jc w:val="both"/>
              <w:rPr>
                <w:rFonts w:eastAsia="Calibri"/>
                <w:sz w:val="20"/>
                <w:lang w:val="fr-CA"/>
              </w:rPr>
            </w:pPr>
            <w:r w:rsidRPr="00C56FE1">
              <w:rPr>
                <w:rFonts w:eastAsia="Calibri"/>
                <w:sz w:val="20"/>
                <w:lang w:val="fr-CA"/>
              </w:rPr>
              <w:t>Cour suprême du Canada</w:t>
            </w:r>
          </w:p>
          <w:p w:rsidR="009208D4" w:rsidRPr="00C56FE1" w:rsidRDefault="009208D4" w:rsidP="009208D4">
            <w:pPr>
              <w:jc w:val="both"/>
              <w:rPr>
                <w:rFonts w:eastAsia="Calibri"/>
                <w:sz w:val="20"/>
                <w:lang w:val="fr-CA"/>
              </w:rPr>
            </w:pPr>
          </w:p>
        </w:tc>
        <w:tc>
          <w:tcPr>
            <w:tcW w:w="243" w:type="pct"/>
          </w:tcPr>
          <w:p w:rsidR="009208D4" w:rsidRPr="00C56FE1" w:rsidRDefault="009208D4" w:rsidP="009208D4">
            <w:pPr>
              <w:jc w:val="both"/>
              <w:rPr>
                <w:rFonts w:eastAsia="Calibri"/>
                <w:sz w:val="20"/>
                <w:lang w:val="fr-CA"/>
              </w:rPr>
            </w:pPr>
          </w:p>
        </w:tc>
        <w:tc>
          <w:tcPr>
            <w:tcW w:w="2330" w:type="pct"/>
          </w:tcPr>
          <w:p w:rsidR="009208D4" w:rsidRPr="00C56FE1" w:rsidRDefault="009208D4" w:rsidP="009208D4">
            <w:pPr>
              <w:jc w:val="both"/>
              <w:rPr>
                <w:rFonts w:eastAsia="Calibri"/>
                <w:sz w:val="20"/>
                <w:lang w:val="fr-CA"/>
              </w:rPr>
            </w:pPr>
            <w:r w:rsidRPr="00C56FE1">
              <w:rPr>
                <w:rFonts w:eastAsia="Calibri"/>
                <w:sz w:val="20"/>
                <w:lang w:val="fr-CA"/>
              </w:rPr>
              <w:t>Demande d'autorisation d'appel, déposée</w:t>
            </w:r>
          </w:p>
          <w:p w:rsidR="009208D4" w:rsidRPr="00C56FE1" w:rsidRDefault="009208D4" w:rsidP="009208D4">
            <w:pPr>
              <w:jc w:val="both"/>
              <w:rPr>
                <w:rFonts w:eastAsia="Calibri"/>
                <w:sz w:val="20"/>
                <w:lang w:val="fr-CA"/>
              </w:rPr>
            </w:pPr>
          </w:p>
        </w:tc>
      </w:tr>
      <w:tr w:rsidR="009208D4" w:rsidRPr="00334802" w:rsidTr="004B13BE">
        <w:trPr>
          <w:cantSplit/>
        </w:trPr>
        <w:tc>
          <w:tcPr>
            <w:tcW w:w="2427" w:type="pct"/>
          </w:tcPr>
          <w:p w:rsidR="009208D4" w:rsidRPr="00C56FE1" w:rsidRDefault="009208D4" w:rsidP="009208D4">
            <w:pPr>
              <w:jc w:val="both"/>
              <w:rPr>
                <w:rFonts w:eastAsia="Calibri"/>
                <w:sz w:val="20"/>
                <w:lang w:val="fr-CA"/>
              </w:rPr>
            </w:pPr>
            <w:r w:rsidRPr="00C56FE1">
              <w:rPr>
                <w:rFonts w:eastAsia="Calibri"/>
                <w:sz w:val="20"/>
                <w:lang w:val="fr-CA"/>
              </w:rPr>
              <w:t xml:space="preserve">19 novembre 2012 </w:t>
            </w:r>
          </w:p>
          <w:p w:rsidR="009208D4" w:rsidRPr="00C56FE1" w:rsidRDefault="009208D4" w:rsidP="009208D4">
            <w:pPr>
              <w:jc w:val="both"/>
              <w:rPr>
                <w:rFonts w:eastAsia="Calibri"/>
                <w:sz w:val="20"/>
                <w:lang w:val="fr-CA"/>
              </w:rPr>
            </w:pPr>
            <w:r w:rsidRPr="00C56FE1">
              <w:rPr>
                <w:rFonts w:eastAsia="Calibri"/>
                <w:sz w:val="20"/>
                <w:lang w:val="fr-CA"/>
              </w:rPr>
              <w:t>Cour suprême du Canada</w:t>
            </w:r>
          </w:p>
        </w:tc>
        <w:tc>
          <w:tcPr>
            <w:tcW w:w="243" w:type="pct"/>
          </w:tcPr>
          <w:p w:rsidR="009208D4" w:rsidRPr="00C56FE1" w:rsidRDefault="009208D4" w:rsidP="009208D4">
            <w:pPr>
              <w:jc w:val="both"/>
              <w:rPr>
                <w:rFonts w:eastAsia="Calibri"/>
                <w:sz w:val="20"/>
                <w:lang w:val="fr-CA"/>
              </w:rPr>
            </w:pPr>
          </w:p>
        </w:tc>
        <w:tc>
          <w:tcPr>
            <w:tcW w:w="2330" w:type="pct"/>
          </w:tcPr>
          <w:p w:rsidR="009208D4" w:rsidRPr="00C56FE1" w:rsidRDefault="009208D4" w:rsidP="009208D4">
            <w:pPr>
              <w:jc w:val="both"/>
              <w:rPr>
                <w:rFonts w:eastAsia="Calibri"/>
                <w:sz w:val="20"/>
                <w:lang w:val="fr-CA"/>
              </w:rPr>
            </w:pPr>
            <w:r w:rsidRPr="00C56FE1">
              <w:rPr>
                <w:rFonts w:eastAsia="Calibri"/>
                <w:sz w:val="20"/>
                <w:lang w:val="fr-CA"/>
              </w:rPr>
              <w:t>Demande conditionnelle d'autorisation d'appel incident, déposée</w:t>
            </w:r>
          </w:p>
        </w:tc>
      </w:tr>
    </w:tbl>
    <w:p w:rsidR="00121FCA" w:rsidRPr="009208D4" w:rsidRDefault="00121FCA" w:rsidP="00121FCA">
      <w:pPr>
        <w:rPr>
          <w:sz w:val="20"/>
          <w:szCs w:val="20"/>
          <w:lang w:val="fr-CA"/>
        </w:rPr>
      </w:pPr>
    </w:p>
    <w:p w:rsidR="00121FCA" w:rsidRDefault="00CD48BC" w:rsidP="00121FCA">
      <w:pPr>
        <w:rPr>
          <w:sz w:val="20"/>
          <w:szCs w:val="20"/>
          <w:lang w:val="fr-CA"/>
        </w:rPr>
      </w:pPr>
      <w:r w:rsidRPr="00CD48BC">
        <w:rPr>
          <w:sz w:val="20"/>
          <w:szCs w:val="20"/>
          <w:lang w:val="fr-CA"/>
        </w:rPr>
        <w:pict>
          <v:rect id="_x0000_i1065" style="width:2in;height:1pt" o:hrpct="0" o:hralign="center" o:hrstd="t" o:hrnoshade="t" o:hr="t" fillcolor="black [3213]" stroked="f"/>
        </w:pict>
      </w:r>
    </w:p>
    <w:p w:rsidR="00121FCA" w:rsidRDefault="00121FCA" w:rsidP="00121FC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B13BE" w:rsidRPr="00F93BCB" w:rsidTr="003B435E">
        <w:trPr>
          <w:cantSplit/>
        </w:trPr>
        <w:tc>
          <w:tcPr>
            <w:tcW w:w="1458" w:type="dxa"/>
          </w:tcPr>
          <w:p w:rsidR="004B13BE" w:rsidRPr="00F93BCB" w:rsidRDefault="004B13BE" w:rsidP="003B435E">
            <w:pPr>
              <w:rPr>
                <w:sz w:val="20"/>
                <w:szCs w:val="20"/>
              </w:rPr>
            </w:pPr>
            <w:r w:rsidRPr="00F93BCB">
              <w:rPr>
                <w:rStyle w:val="SCCFileNumberChar"/>
                <w:sz w:val="20"/>
                <w:szCs w:val="20"/>
              </w:rPr>
              <w:t>35062</w:t>
            </w:r>
          </w:p>
          <w:p w:rsidR="004B13BE" w:rsidRPr="00F93BCB" w:rsidRDefault="004B13BE" w:rsidP="003B435E">
            <w:pPr>
              <w:rPr>
                <w:b/>
                <w:sz w:val="20"/>
                <w:szCs w:val="20"/>
                <w:lang w:val="fr-CA"/>
              </w:rPr>
            </w:pPr>
          </w:p>
        </w:tc>
        <w:tc>
          <w:tcPr>
            <w:tcW w:w="8118" w:type="dxa"/>
          </w:tcPr>
          <w:p w:rsidR="004B13BE" w:rsidRPr="00F93BCB" w:rsidRDefault="004B13BE" w:rsidP="003B435E">
            <w:pPr>
              <w:jc w:val="both"/>
              <w:rPr>
                <w:sz w:val="20"/>
                <w:szCs w:val="20"/>
              </w:rPr>
            </w:pPr>
            <w:r w:rsidRPr="004B13BE">
              <w:rPr>
                <w:rStyle w:val="SCCLsocChar"/>
                <w:sz w:val="20"/>
                <w:szCs w:val="20"/>
                <w:lang w:val="en-CA"/>
              </w:rPr>
              <w:t>Terry Piersanti, also known as Terry Scatcherd, Christian Piersanti, Piersanti and Co. Barristers and Solicitors, Piersanti and Co. Professional Corporation, 1269906 Ontario Limited, 1281111 Ontario Limited, 1281038 Ontario Limited, 1314112 Ontario Limited, 1281633 Ontario Limited, 1281632 Ontario Limited, 1466556 Ontario Limited, 3957331 Canada Inc., 3964400 Canada Inc., 3968626 Canada Inc., 4002598 Canada Inc., 4011902 Canada Inc., 6051685 Canada Inc., 6060439 Canada Inc., 6260365 Canada Inc., 6292470 Canada Inc., 6306560 Canada Inc., 6324223 Canada Inc., 6792715 Canada Inc., Yonge Centre Properties Inc., 6335144 Canada Inc., TMJ Investments, Tara Piersanti also Known as Tara Piersanti-Blake, Justin Piersanti and Morgan Piersanti v. Bertina Alfano, Trustee of the Carmen Alfano Family Trust, Bertina Alfano, Italo Alfano, Trustee of the Italo Alfano Family Trust, Italo Alfano, Ulti Alfano, Trustee of the Ulti Alfano Family Trust and Ulti Alfano</w:t>
            </w:r>
            <w:r w:rsidRPr="00F93BCB">
              <w:rPr>
                <w:sz w:val="20"/>
                <w:szCs w:val="20"/>
              </w:rPr>
              <w:t xml:space="preserve"> (Ont.) (Civil) (By Leave)</w:t>
            </w:r>
          </w:p>
          <w:p w:rsidR="004B13BE" w:rsidRPr="00F93BCB" w:rsidRDefault="004B13BE" w:rsidP="003B435E">
            <w:pPr>
              <w:jc w:val="both"/>
              <w:rPr>
                <w:sz w:val="20"/>
                <w:szCs w:val="20"/>
              </w:rPr>
            </w:pPr>
          </w:p>
        </w:tc>
      </w:tr>
      <w:tr w:rsidR="004B13BE" w:rsidRPr="00F93BCB" w:rsidTr="003B435E">
        <w:trPr>
          <w:cantSplit/>
        </w:trPr>
        <w:tc>
          <w:tcPr>
            <w:tcW w:w="1458" w:type="dxa"/>
          </w:tcPr>
          <w:p w:rsidR="004B13BE" w:rsidRPr="00F93BCB" w:rsidRDefault="004B13BE" w:rsidP="003B435E">
            <w:pPr>
              <w:rPr>
                <w:sz w:val="20"/>
                <w:szCs w:val="20"/>
              </w:rPr>
            </w:pPr>
            <w:r w:rsidRPr="00F93BCB">
              <w:rPr>
                <w:sz w:val="20"/>
                <w:szCs w:val="20"/>
              </w:rPr>
              <w:t>Coram :</w:t>
            </w:r>
          </w:p>
        </w:tc>
        <w:tc>
          <w:tcPr>
            <w:tcW w:w="8118" w:type="dxa"/>
          </w:tcPr>
          <w:p w:rsidR="004B13BE" w:rsidRPr="00F93BCB" w:rsidRDefault="004B13BE" w:rsidP="003B435E">
            <w:pPr>
              <w:rPr>
                <w:sz w:val="20"/>
                <w:szCs w:val="20"/>
              </w:rPr>
            </w:pPr>
            <w:r w:rsidRPr="004B13BE">
              <w:rPr>
                <w:rStyle w:val="SCCCoramChar"/>
                <w:sz w:val="20"/>
                <w:szCs w:val="20"/>
                <w:lang w:val="en-CA"/>
              </w:rPr>
              <w:t>LeBel, Karakatsanis and Wagner JJ.</w:t>
            </w:r>
          </w:p>
          <w:p w:rsidR="004B13BE" w:rsidRPr="00F93BCB" w:rsidRDefault="004B13BE" w:rsidP="003B435E">
            <w:pPr>
              <w:rPr>
                <w:sz w:val="20"/>
                <w:szCs w:val="20"/>
                <w:u w:val="single"/>
              </w:rPr>
            </w:pPr>
          </w:p>
        </w:tc>
      </w:tr>
      <w:tr w:rsidR="004B13BE" w:rsidRPr="00334802" w:rsidTr="003B435E">
        <w:trPr>
          <w:cantSplit/>
        </w:trPr>
        <w:tc>
          <w:tcPr>
            <w:tcW w:w="9576" w:type="dxa"/>
            <w:gridSpan w:val="2"/>
          </w:tcPr>
          <w:p w:rsidR="004B13BE" w:rsidRPr="00F93BCB" w:rsidRDefault="004B13BE" w:rsidP="003B435E">
            <w:pPr>
              <w:pStyle w:val="SCCShortJudgment"/>
              <w:rPr>
                <w:szCs w:val="20"/>
              </w:rPr>
            </w:pPr>
            <w:r w:rsidRPr="00F93BCB">
              <w:rPr>
                <w:szCs w:val="20"/>
              </w:rPr>
              <w:t>The application for leave to appeal from the judgment of the Court of Appeal for Ontario, Number C54547, 2012 ONCA 612, dated September 18, 2012, is dismissed with costs.</w:t>
            </w:r>
          </w:p>
          <w:p w:rsidR="004B13BE" w:rsidRPr="00F93BCB" w:rsidRDefault="004B13BE" w:rsidP="003B435E">
            <w:pPr>
              <w:pStyle w:val="SCCShortJudgment"/>
              <w:ind w:firstLine="0"/>
              <w:rPr>
                <w:szCs w:val="20"/>
              </w:rPr>
            </w:pPr>
          </w:p>
          <w:p w:rsidR="004B13BE" w:rsidRPr="00F93BCB" w:rsidRDefault="004B13BE" w:rsidP="003B435E">
            <w:pPr>
              <w:pStyle w:val="SCCShortJudgment"/>
              <w:rPr>
                <w:szCs w:val="20"/>
                <w:lang w:val="fr-CA"/>
              </w:rPr>
            </w:pPr>
            <w:r w:rsidRPr="00F93BCB">
              <w:rPr>
                <w:szCs w:val="20"/>
                <w:lang w:val="fr-CA"/>
              </w:rPr>
              <w:t>La demande d’autorisation d’appel de l’arrêt de la Cour d’appel de l’Ontario, numéro C54547, 2012 ONCA 612, daté du 18 septembre 2012, est rejetée avec dépens.</w:t>
            </w:r>
          </w:p>
        </w:tc>
      </w:tr>
    </w:tbl>
    <w:p w:rsidR="00121FCA" w:rsidRPr="004B13BE" w:rsidRDefault="00121FCA" w:rsidP="00121FCA">
      <w:pPr>
        <w:rPr>
          <w:sz w:val="20"/>
          <w:szCs w:val="20"/>
          <w:lang w:val="fr-CA"/>
        </w:rPr>
      </w:pPr>
    </w:p>
    <w:p w:rsidR="00121FCA" w:rsidRPr="001B157C" w:rsidRDefault="00121FCA" w:rsidP="00121FCA">
      <w:pPr>
        <w:rPr>
          <w:sz w:val="20"/>
          <w:szCs w:val="20"/>
          <w:u w:val="single"/>
        </w:rPr>
      </w:pPr>
      <w:r w:rsidRPr="001B157C">
        <w:rPr>
          <w:sz w:val="20"/>
          <w:szCs w:val="20"/>
          <w:u w:val="single"/>
        </w:rPr>
        <w:t>CASE SUMMARY</w:t>
      </w:r>
    </w:p>
    <w:p w:rsidR="00121FCA" w:rsidRDefault="00121FCA" w:rsidP="00121F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208D4" w:rsidRPr="00C56FE1" w:rsidTr="009208D4">
        <w:tc>
          <w:tcPr>
            <w:tcW w:w="5000" w:type="pct"/>
            <w:gridSpan w:val="3"/>
          </w:tcPr>
          <w:p w:rsidR="009208D4" w:rsidRPr="00C56FE1" w:rsidRDefault="009208D4" w:rsidP="009208D4">
            <w:pPr>
              <w:jc w:val="both"/>
              <w:rPr>
                <w:rFonts w:eastAsia="Calibri"/>
                <w:smallCaps/>
                <w:sz w:val="20"/>
              </w:rPr>
            </w:pPr>
            <w:r w:rsidRPr="00C56FE1">
              <w:rPr>
                <w:rFonts w:eastAsia="Calibri"/>
                <w:sz w:val="20"/>
              </w:rPr>
              <w:t xml:space="preserve">Civil procedure — Jurisdiction to issue a </w:t>
            </w:r>
            <w:r w:rsidRPr="00C56FE1">
              <w:rPr>
                <w:rFonts w:eastAsia="Calibri"/>
                <w:i/>
                <w:sz w:val="20"/>
              </w:rPr>
              <w:t>Mareva</w:t>
            </w:r>
            <w:r w:rsidRPr="00C56FE1">
              <w:rPr>
                <w:rFonts w:eastAsia="Calibri"/>
                <w:sz w:val="20"/>
              </w:rPr>
              <w:t xml:space="preserve"> injunction or a receivership order — Stay of execution pending appeal in another action — Where a second action has been commenced for the purpose of enforcing an Order for the payment of money made in the first action, and where the Order has been stayed by the delivery of a Notice of Appeal, whether the second action is a step taken under the Order or for its enforcement? — Where a second action has been commenced for the purpose of collecting on a monetary judgment which was granted in the first action, and where the monetary judgment has been stayed by the delivery of a Notice of Appeal, whether a </w:t>
            </w:r>
            <w:r w:rsidRPr="00C56FE1">
              <w:rPr>
                <w:rFonts w:eastAsia="Calibri"/>
                <w:i/>
                <w:sz w:val="20"/>
              </w:rPr>
              <w:t>Mareva</w:t>
            </w:r>
            <w:r w:rsidRPr="00C56FE1">
              <w:rPr>
                <w:rFonts w:eastAsia="Calibri"/>
                <w:sz w:val="20"/>
              </w:rPr>
              <w:t xml:space="preserve"> Injunction/Receivership Order made in the second action constitute steps taken under the Order or for its enforcement — Whether the Superior Court of Justice has jurisdiction to order that steps be taken under the Order or for its enforcement or whether such jurisdiction lies exclusively with the Court of Appeal for Ontario — </w:t>
            </w:r>
            <w:r w:rsidRPr="00C56FE1">
              <w:rPr>
                <w:rFonts w:eastAsia="Calibri"/>
                <w:i/>
                <w:sz w:val="20"/>
              </w:rPr>
              <w:t>Rules of Civil Procedure</w:t>
            </w:r>
            <w:r w:rsidRPr="00C56FE1">
              <w:rPr>
                <w:rFonts w:eastAsia="Calibri"/>
                <w:sz w:val="20"/>
              </w:rPr>
              <w:t>, R.R.O. 1990, Reg. 194, Rule 63.03(1).</w:t>
            </w:r>
          </w:p>
        </w:tc>
      </w:tr>
      <w:tr w:rsidR="009208D4" w:rsidRPr="00C56FE1" w:rsidTr="009208D4">
        <w:tc>
          <w:tcPr>
            <w:tcW w:w="5000" w:type="pct"/>
            <w:gridSpan w:val="3"/>
          </w:tcPr>
          <w:p w:rsidR="009208D4" w:rsidRPr="00C56FE1" w:rsidRDefault="009208D4" w:rsidP="009208D4">
            <w:pPr>
              <w:jc w:val="both"/>
              <w:rPr>
                <w:rFonts w:eastAsia="Calibri"/>
                <w:sz w:val="20"/>
              </w:rPr>
            </w:pPr>
          </w:p>
        </w:tc>
      </w:tr>
      <w:tr w:rsidR="009208D4" w:rsidRPr="00C56FE1" w:rsidTr="009208D4">
        <w:tc>
          <w:tcPr>
            <w:tcW w:w="5000" w:type="pct"/>
            <w:gridSpan w:val="3"/>
          </w:tcPr>
          <w:p w:rsidR="009208D4" w:rsidRPr="00C56FE1" w:rsidRDefault="009208D4" w:rsidP="009208D4">
            <w:pPr>
              <w:jc w:val="both"/>
              <w:rPr>
                <w:rFonts w:eastAsia="Calibri"/>
                <w:sz w:val="20"/>
              </w:rPr>
            </w:pPr>
            <w:r w:rsidRPr="00C56FE1">
              <w:rPr>
                <w:rFonts w:eastAsia="Calibri"/>
                <w:sz w:val="20"/>
              </w:rPr>
              <w:t xml:space="preserve">The Alfanos and Piersantis were involved in an earlier action in which Christian and Terry Piersanti were found, through a complicated fraudulent scheme involving numbered companies controlled by them, to have fraudulently acquired certain corporate interests of the Alfanos.  A judgment was granted in favour of the Alfanos for $20 million, plus $250 000 in punitive damages. </w:t>
            </w:r>
          </w:p>
          <w:p w:rsidR="009208D4" w:rsidRPr="00C56FE1" w:rsidRDefault="009208D4" w:rsidP="009208D4">
            <w:pPr>
              <w:jc w:val="both"/>
              <w:rPr>
                <w:rFonts w:eastAsia="Calibri"/>
                <w:sz w:val="20"/>
              </w:rPr>
            </w:pPr>
          </w:p>
          <w:p w:rsidR="009208D4" w:rsidRPr="00C56FE1" w:rsidRDefault="009208D4" w:rsidP="009208D4">
            <w:pPr>
              <w:jc w:val="both"/>
              <w:rPr>
                <w:rFonts w:eastAsia="Calibri"/>
                <w:sz w:val="20"/>
              </w:rPr>
            </w:pPr>
            <w:r w:rsidRPr="00C56FE1">
              <w:rPr>
                <w:rFonts w:eastAsia="Calibri"/>
                <w:sz w:val="20"/>
              </w:rPr>
              <w:t xml:space="preserve">Shortly before the Court of Appeal heard the appeal in the above-mentioned case, the Alfanos filed a second action.  This action was filed pursuant to the </w:t>
            </w:r>
            <w:r w:rsidRPr="00C56FE1">
              <w:rPr>
                <w:rFonts w:eastAsia="Calibri"/>
                <w:i/>
                <w:sz w:val="20"/>
              </w:rPr>
              <w:t>Fraudulent Conveyances Act,</w:t>
            </w:r>
            <w:r w:rsidRPr="00C56FE1">
              <w:rPr>
                <w:rFonts w:eastAsia="Calibri"/>
                <w:sz w:val="20"/>
              </w:rPr>
              <w:t xml:space="preserve"> R.S.O. 1990, c. F.29 and the </w:t>
            </w:r>
            <w:r w:rsidRPr="00C56FE1">
              <w:rPr>
                <w:rFonts w:eastAsia="Calibri"/>
                <w:i/>
                <w:sz w:val="20"/>
              </w:rPr>
              <w:t>Assignments and Preferences Act</w:t>
            </w:r>
            <w:r w:rsidRPr="00C56FE1">
              <w:rPr>
                <w:rFonts w:eastAsia="Calibri"/>
                <w:sz w:val="20"/>
              </w:rPr>
              <w:t xml:space="preserve">, R.S.O. 1990, c. A.33 and alleged that Christian and Terry Piersanti had fraudulently created a corporate veil and sham mortgages to shield themselves from the Alfanos and other potential creditors.  Although this </w:t>
            </w:r>
            <w:r w:rsidRPr="00C56FE1">
              <w:rPr>
                <w:rFonts w:eastAsia="Calibri"/>
                <w:sz w:val="20"/>
              </w:rPr>
              <w:lastRenderedPageBreak/>
              <w:t xml:space="preserve">action named the same defendants as in the first action, numerous additional defendants were added including the Piersantis’ three adult children and numerous corporate defendants for whom the Piersanti children were listed as officers or directors. </w:t>
            </w:r>
          </w:p>
          <w:p w:rsidR="009208D4" w:rsidRPr="00C56FE1" w:rsidRDefault="009208D4" w:rsidP="009208D4">
            <w:pPr>
              <w:jc w:val="both"/>
              <w:rPr>
                <w:rFonts w:eastAsia="Calibri"/>
                <w:sz w:val="20"/>
              </w:rPr>
            </w:pPr>
          </w:p>
          <w:p w:rsidR="009208D4" w:rsidRPr="00C56FE1" w:rsidRDefault="009208D4" w:rsidP="009208D4">
            <w:pPr>
              <w:jc w:val="both"/>
              <w:rPr>
                <w:rFonts w:eastAsia="Calibri"/>
                <w:sz w:val="20"/>
              </w:rPr>
            </w:pPr>
            <w:r w:rsidRPr="00C56FE1">
              <w:rPr>
                <w:rFonts w:eastAsia="Calibri"/>
                <w:sz w:val="20"/>
              </w:rPr>
              <w:t xml:space="preserve">The Alfanos subsequently filed an </w:t>
            </w:r>
            <w:r w:rsidRPr="00C56FE1">
              <w:rPr>
                <w:rFonts w:eastAsia="Calibri"/>
                <w:i/>
                <w:sz w:val="20"/>
              </w:rPr>
              <w:t>ex parte</w:t>
            </w:r>
            <w:r w:rsidRPr="00C56FE1">
              <w:rPr>
                <w:rFonts w:eastAsia="Calibri"/>
                <w:sz w:val="20"/>
              </w:rPr>
              <w:t xml:space="preserve"> motion seeking a </w:t>
            </w:r>
            <w:r w:rsidRPr="00C56FE1">
              <w:rPr>
                <w:rFonts w:eastAsia="Calibri"/>
                <w:i/>
                <w:sz w:val="20"/>
              </w:rPr>
              <w:t>Mareva</w:t>
            </w:r>
            <w:r w:rsidRPr="00C56FE1">
              <w:rPr>
                <w:rFonts w:eastAsia="Calibri"/>
                <w:sz w:val="20"/>
              </w:rPr>
              <w:t xml:space="preserve"> injunction against the Piersantis et al. as well as an order appointing a receiver over the assets of all companies controlled by or for the benefit of Christian and Terry Piersanti.  </w:t>
            </w:r>
          </w:p>
          <w:p w:rsidR="009208D4" w:rsidRPr="00C56FE1" w:rsidRDefault="009208D4" w:rsidP="009208D4">
            <w:pPr>
              <w:jc w:val="both"/>
              <w:rPr>
                <w:rFonts w:eastAsia="Calibri"/>
                <w:sz w:val="20"/>
              </w:rPr>
            </w:pPr>
          </w:p>
        </w:tc>
      </w:tr>
      <w:tr w:rsidR="009208D4" w:rsidRPr="00C56FE1" w:rsidTr="009208D4">
        <w:tc>
          <w:tcPr>
            <w:tcW w:w="2427" w:type="pct"/>
          </w:tcPr>
          <w:p w:rsidR="009208D4" w:rsidRPr="00C56FE1" w:rsidRDefault="009208D4" w:rsidP="009208D4">
            <w:pPr>
              <w:jc w:val="both"/>
              <w:rPr>
                <w:rFonts w:eastAsia="Calibri"/>
                <w:sz w:val="20"/>
              </w:rPr>
            </w:pPr>
            <w:r w:rsidRPr="00C56FE1">
              <w:rPr>
                <w:rFonts w:eastAsia="Calibri"/>
                <w:sz w:val="20"/>
              </w:rPr>
              <w:lastRenderedPageBreak/>
              <w:t>August 22, 2011</w:t>
            </w:r>
          </w:p>
          <w:p w:rsidR="009208D4" w:rsidRPr="00C56FE1" w:rsidRDefault="009208D4" w:rsidP="009208D4">
            <w:pPr>
              <w:jc w:val="both"/>
              <w:rPr>
                <w:rFonts w:eastAsia="Calibri"/>
                <w:sz w:val="20"/>
              </w:rPr>
            </w:pPr>
            <w:r w:rsidRPr="00C56FE1">
              <w:rPr>
                <w:rFonts w:eastAsia="Calibri"/>
                <w:sz w:val="20"/>
              </w:rPr>
              <w:t>Ontario Superior Court of Justice</w:t>
            </w:r>
          </w:p>
          <w:p w:rsidR="009208D4" w:rsidRPr="00C56FE1" w:rsidRDefault="009208D4" w:rsidP="009208D4">
            <w:pPr>
              <w:jc w:val="both"/>
              <w:rPr>
                <w:rFonts w:eastAsia="Calibri"/>
                <w:sz w:val="20"/>
              </w:rPr>
            </w:pPr>
            <w:r w:rsidRPr="00C56FE1">
              <w:rPr>
                <w:rFonts w:eastAsia="Calibri"/>
                <w:sz w:val="20"/>
              </w:rPr>
              <w:t>(Newbould J.)</w:t>
            </w:r>
          </w:p>
          <w:p w:rsidR="009208D4" w:rsidRPr="00C56FE1" w:rsidRDefault="009208D4" w:rsidP="009208D4">
            <w:pPr>
              <w:jc w:val="both"/>
              <w:rPr>
                <w:rFonts w:eastAsia="Calibri"/>
                <w:sz w:val="20"/>
              </w:rPr>
            </w:pPr>
            <w:r w:rsidRPr="00C56FE1">
              <w:rPr>
                <w:rFonts w:eastAsia="Calibri"/>
                <w:sz w:val="20"/>
              </w:rPr>
              <w:t>2011 ONSC 4971</w:t>
            </w:r>
          </w:p>
          <w:p w:rsidR="009208D4" w:rsidRPr="00C56FE1" w:rsidRDefault="009208D4" w:rsidP="009208D4">
            <w:pPr>
              <w:jc w:val="both"/>
              <w:rPr>
                <w:rFonts w:eastAsia="Calibri"/>
                <w:sz w:val="20"/>
              </w:rPr>
            </w:pPr>
          </w:p>
        </w:tc>
        <w:tc>
          <w:tcPr>
            <w:tcW w:w="243" w:type="pct"/>
          </w:tcPr>
          <w:p w:rsidR="009208D4" w:rsidRPr="00C56FE1" w:rsidRDefault="009208D4" w:rsidP="009208D4">
            <w:pPr>
              <w:jc w:val="both"/>
              <w:rPr>
                <w:rFonts w:eastAsia="Calibri"/>
                <w:sz w:val="20"/>
              </w:rPr>
            </w:pPr>
          </w:p>
        </w:tc>
        <w:tc>
          <w:tcPr>
            <w:tcW w:w="2330" w:type="pct"/>
          </w:tcPr>
          <w:p w:rsidR="009208D4" w:rsidRPr="00C56FE1" w:rsidRDefault="009208D4" w:rsidP="009208D4">
            <w:pPr>
              <w:jc w:val="both"/>
              <w:rPr>
                <w:rFonts w:eastAsia="Calibri"/>
                <w:sz w:val="20"/>
              </w:rPr>
            </w:pPr>
            <w:r w:rsidRPr="00C56FE1">
              <w:rPr>
                <w:rFonts w:eastAsia="Calibri"/>
                <w:sz w:val="20"/>
              </w:rPr>
              <w:t xml:space="preserve">Order for a </w:t>
            </w:r>
            <w:r w:rsidRPr="00C56FE1">
              <w:rPr>
                <w:rFonts w:eastAsia="Calibri"/>
                <w:i/>
                <w:sz w:val="20"/>
              </w:rPr>
              <w:t>Mareva</w:t>
            </w:r>
            <w:r w:rsidRPr="00C56FE1">
              <w:rPr>
                <w:rFonts w:eastAsia="Calibri"/>
                <w:sz w:val="20"/>
              </w:rPr>
              <w:t xml:space="preserve"> injunction and appointing a receiver over all of the assets of the applicant corporations, granted  </w:t>
            </w:r>
            <w:r w:rsidRPr="00C56FE1">
              <w:rPr>
                <w:rFonts w:eastAsia="Calibri"/>
                <w:i/>
                <w:sz w:val="20"/>
              </w:rPr>
              <w:t>ex parte</w:t>
            </w:r>
          </w:p>
        </w:tc>
      </w:tr>
      <w:tr w:rsidR="009208D4" w:rsidRPr="00C56FE1" w:rsidTr="009208D4">
        <w:tc>
          <w:tcPr>
            <w:tcW w:w="2427" w:type="pct"/>
          </w:tcPr>
          <w:p w:rsidR="009208D4" w:rsidRPr="00C56FE1" w:rsidRDefault="009208D4" w:rsidP="009208D4">
            <w:pPr>
              <w:jc w:val="both"/>
              <w:rPr>
                <w:rFonts w:eastAsia="Calibri"/>
                <w:sz w:val="20"/>
              </w:rPr>
            </w:pPr>
            <w:r w:rsidRPr="00C56FE1">
              <w:rPr>
                <w:rFonts w:eastAsia="Calibri"/>
                <w:sz w:val="20"/>
              </w:rPr>
              <w:t>October 18, 2011</w:t>
            </w:r>
          </w:p>
          <w:p w:rsidR="009208D4" w:rsidRPr="00C56FE1" w:rsidRDefault="009208D4" w:rsidP="009208D4">
            <w:pPr>
              <w:jc w:val="both"/>
              <w:rPr>
                <w:rFonts w:eastAsia="Calibri"/>
                <w:sz w:val="20"/>
              </w:rPr>
            </w:pPr>
            <w:r w:rsidRPr="00C56FE1">
              <w:rPr>
                <w:rFonts w:eastAsia="Calibri"/>
                <w:sz w:val="20"/>
              </w:rPr>
              <w:t>Ontario Superior Court of Justice</w:t>
            </w:r>
          </w:p>
          <w:p w:rsidR="009208D4" w:rsidRPr="00C56FE1" w:rsidRDefault="009208D4" w:rsidP="009208D4">
            <w:pPr>
              <w:jc w:val="both"/>
              <w:rPr>
                <w:rFonts w:eastAsia="Calibri"/>
                <w:sz w:val="20"/>
              </w:rPr>
            </w:pPr>
            <w:r w:rsidRPr="00C56FE1">
              <w:rPr>
                <w:rFonts w:eastAsia="Calibri"/>
                <w:sz w:val="20"/>
              </w:rPr>
              <w:t>(Cumming J.)</w:t>
            </w:r>
          </w:p>
          <w:p w:rsidR="009208D4" w:rsidRPr="00C56FE1" w:rsidRDefault="009208D4" w:rsidP="009208D4">
            <w:pPr>
              <w:jc w:val="both"/>
              <w:rPr>
                <w:rFonts w:eastAsia="Calibri"/>
                <w:sz w:val="20"/>
              </w:rPr>
            </w:pPr>
            <w:r w:rsidRPr="00C56FE1">
              <w:rPr>
                <w:rFonts w:eastAsia="Calibri"/>
                <w:sz w:val="20"/>
              </w:rPr>
              <w:t xml:space="preserve">2011 ONSC 6155 </w:t>
            </w:r>
          </w:p>
          <w:p w:rsidR="009208D4" w:rsidRPr="00C56FE1" w:rsidRDefault="009208D4" w:rsidP="009208D4">
            <w:pPr>
              <w:jc w:val="both"/>
              <w:rPr>
                <w:rFonts w:eastAsia="Calibri"/>
                <w:sz w:val="20"/>
              </w:rPr>
            </w:pPr>
          </w:p>
        </w:tc>
        <w:tc>
          <w:tcPr>
            <w:tcW w:w="243" w:type="pct"/>
          </w:tcPr>
          <w:p w:rsidR="009208D4" w:rsidRPr="00C56FE1" w:rsidRDefault="009208D4" w:rsidP="009208D4">
            <w:pPr>
              <w:jc w:val="both"/>
              <w:rPr>
                <w:rFonts w:eastAsia="Calibri"/>
                <w:sz w:val="20"/>
              </w:rPr>
            </w:pPr>
          </w:p>
        </w:tc>
        <w:tc>
          <w:tcPr>
            <w:tcW w:w="2330" w:type="pct"/>
          </w:tcPr>
          <w:p w:rsidR="009208D4" w:rsidRPr="00C56FE1" w:rsidRDefault="009208D4" w:rsidP="009208D4">
            <w:pPr>
              <w:jc w:val="both"/>
              <w:rPr>
                <w:rFonts w:eastAsia="Calibri"/>
                <w:sz w:val="20"/>
              </w:rPr>
            </w:pPr>
            <w:r w:rsidRPr="00C56FE1">
              <w:rPr>
                <w:rFonts w:eastAsia="Calibri"/>
                <w:sz w:val="20"/>
              </w:rPr>
              <w:t>Motion to set aside order dismissed; Motion for an order striking Alfano et al.’s statement of claim, dismissed</w:t>
            </w:r>
          </w:p>
          <w:p w:rsidR="009208D4" w:rsidRPr="00C56FE1" w:rsidRDefault="009208D4" w:rsidP="009208D4">
            <w:pPr>
              <w:jc w:val="both"/>
              <w:rPr>
                <w:rFonts w:eastAsia="Calibri"/>
                <w:sz w:val="20"/>
              </w:rPr>
            </w:pPr>
          </w:p>
        </w:tc>
      </w:tr>
      <w:tr w:rsidR="009208D4" w:rsidRPr="00C56FE1" w:rsidTr="009208D4">
        <w:tc>
          <w:tcPr>
            <w:tcW w:w="2427" w:type="pct"/>
          </w:tcPr>
          <w:p w:rsidR="009208D4" w:rsidRPr="00C56FE1" w:rsidRDefault="009208D4" w:rsidP="009208D4">
            <w:pPr>
              <w:jc w:val="both"/>
              <w:rPr>
                <w:rFonts w:eastAsia="Calibri"/>
                <w:sz w:val="20"/>
              </w:rPr>
            </w:pPr>
            <w:r w:rsidRPr="00C56FE1">
              <w:rPr>
                <w:rFonts w:eastAsia="Calibri"/>
                <w:sz w:val="20"/>
              </w:rPr>
              <w:t>September 18, 2012</w:t>
            </w:r>
          </w:p>
          <w:p w:rsidR="009208D4" w:rsidRPr="00C56FE1" w:rsidRDefault="009208D4" w:rsidP="009208D4">
            <w:pPr>
              <w:jc w:val="both"/>
              <w:rPr>
                <w:rFonts w:eastAsia="Calibri"/>
                <w:sz w:val="20"/>
              </w:rPr>
            </w:pPr>
            <w:r w:rsidRPr="00C56FE1">
              <w:rPr>
                <w:rFonts w:eastAsia="Calibri"/>
                <w:sz w:val="20"/>
              </w:rPr>
              <w:t>Court of Appeal for Ontario</w:t>
            </w:r>
          </w:p>
          <w:p w:rsidR="009208D4" w:rsidRPr="00C56FE1" w:rsidRDefault="009208D4" w:rsidP="009208D4">
            <w:pPr>
              <w:jc w:val="both"/>
              <w:rPr>
                <w:rFonts w:eastAsia="Calibri"/>
                <w:sz w:val="20"/>
              </w:rPr>
            </w:pPr>
            <w:r w:rsidRPr="00C56FE1">
              <w:rPr>
                <w:rFonts w:eastAsia="Calibri"/>
                <w:sz w:val="20"/>
              </w:rPr>
              <w:t>(Cronk, Epstein and Pepall JJ.A.)</w:t>
            </w:r>
          </w:p>
          <w:p w:rsidR="009208D4" w:rsidRPr="00C56FE1" w:rsidRDefault="009208D4" w:rsidP="009208D4">
            <w:pPr>
              <w:jc w:val="both"/>
              <w:rPr>
                <w:rFonts w:eastAsia="Calibri"/>
                <w:sz w:val="20"/>
              </w:rPr>
            </w:pPr>
            <w:r w:rsidRPr="00C56FE1">
              <w:rPr>
                <w:rFonts w:eastAsia="Calibri"/>
                <w:sz w:val="20"/>
              </w:rPr>
              <w:t>2012 ONCA 612</w:t>
            </w:r>
          </w:p>
          <w:p w:rsidR="009208D4" w:rsidRPr="00C56FE1" w:rsidRDefault="009208D4" w:rsidP="009208D4">
            <w:pPr>
              <w:jc w:val="both"/>
              <w:rPr>
                <w:rFonts w:eastAsia="Calibri"/>
                <w:sz w:val="20"/>
              </w:rPr>
            </w:pPr>
          </w:p>
        </w:tc>
        <w:tc>
          <w:tcPr>
            <w:tcW w:w="243" w:type="pct"/>
          </w:tcPr>
          <w:p w:rsidR="009208D4" w:rsidRPr="00C56FE1" w:rsidRDefault="009208D4" w:rsidP="009208D4">
            <w:pPr>
              <w:jc w:val="both"/>
              <w:rPr>
                <w:rFonts w:eastAsia="Calibri"/>
                <w:sz w:val="20"/>
              </w:rPr>
            </w:pPr>
          </w:p>
        </w:tc>
        <w:tc>
          <w:tcPr>
            <w:tcW w:w="2330" w:type="pct"/>
          </w:tcPr>
          <w:p w:rsidR="009208D4" w:rsidRPr="00C56FE1" w:rsidRDefault="009208D4" w:rsidP="009208D4">
            <w:pPr>
              <w:jc w:val="both"/>
              <w:rPr>
                <w:rFonts w:eastAsia="Calibri"/>
                <w:sz w:val="20"/>
              </w:rPr>
            </w:pPr>
            <w:r w:rsidRPr="00C56FE1">
              <w:rPr>
                <w:rFonts w:eastAsia="Calibri"/>
                <w:sz w:val="20"/>
              </w:rPr>
              <w:t>Appeal dismissed</w:t>
            </w:r>
          </w:p>
          <w:p w:rsidR="009208D4" w:rsidRPr="00C56FE1" w:rsidRDefault="009208D4" w:rsidP="009208D4">
            <w:pPr>
              <w:jc w:val="both"/>
              <w:rPr>
                <w:rFonts w:eastAsia="Calibri"/>
                <w:sz w:val="20"/>
              </w:rPr>
            </w:pPr>
          </w:p>
        </w:tc>
      </w:tr>
      <w:tr w:rsidR="009208D4" w:rsidRPr="00C56FE1" w:rsidTr="009208D4">
        <w:tc>
          <w:tcPr>
            <w:tcW w:w="2427" w:type="pct"/>
          </w:tcPr>
          <w:p w:rsidR="009208D4" w:rsidRPr="00C56FE1" w:rsidRDefault="009208D4" w:rsidP="009208D4">
            <w:pPr>
              <w:jc w:val="both"/>
              <w:rPr>
                <w:rFonts w:eastAsia="Calibri"/>
                <w:sz w:val="20"/>
              </w:rPr>
            </w:pPr>
            <w:r w:rsidRPr="00C56FE1">
              <w:rPr>
                <w:rFonts w:eastAsia="Calibri"/>
                <w:sz w:val="20"/>
              </w:rPr>
              <w:t>November 2, 2012</w:t>
            </w:r>
          </w:p>
          <w:p w:rsidR="009208D4" w:rsidRPr="00C56FE1" w:rsidRDefault="009208D4" w:rsidP="009208D4">
            <w:pPr>
              <w:jc w:val="both"/>
              <w:rPr>
                <w:rFonts w:eastAsia="Calibri"/>
                <w:sz w:val="20"/>
              </w:rPr>
            </w:pPr>
            <w:r w:rsidRPr="00C56FE1">
              <w:rPr>
                <w:rFonts w:eastAsia="Calibri"/>
                <w:sz w:val="20"/>
              </w:rPr>
              <w:t>Supreme Court of Canada</w:t>
            </w:r>
          </w:p>
        </w:tc>
        <w:tc>
          <w:tcPr>
            <w:tcW w:w="243" w:type="pct"/>
          </w:tcPr>
          <w:p w:rsidR="009208D4" w:rsidRPr="00C56FE1" w:rsidRDefault="009208D4" w:rsidP="009208D4">
            <w:pPr>
              <w:jc w:val="both"/>
              <w:rPr>
                <w:rFonts w:eastAsia="Calibri"/>
                <w:sz w:val="20"/>
              </w:rPr>
            </w:pPr>
          </w:p>
        </w:tc>
        <w:tc>
          <w:tcPr>
            <w:tcW w:w="2330" w:type="pct"/>
          </w:tcPr>
          <w:p w:rsidR="009208D4" w:rsidRPr="00C56FE1" w:rsidRDefault="009208D4" w:rsidP="009208D4">
            <w:pPr>
              <w:jc w:val="both"/>
              <w:rPr>
                <w:rFonts w:eastAsia="Calibri"/>
                <w:sz w:val="20"/>
              </w:rPr>
            </w:pPr>
            <w:r w:rsidRPr="00C56FE1">
              <w:rPr>
                <w:rFonts w:eastAsia="Calibri"/>
                <w:sz w:val="20"/>
              </w:rPr>
              <w:t>Application for leave to appeal filed</w:t>
            </w:r>
          </w:p>
        </w:tc>
      </w:tr>
    </w:tbl>
    <w:p w:rsidR="00121FCA" w:rsidRDefault="00121FCA" w:rsidP="00121FCA">
      <w:pPr>
        <w:rPr>
          <w:sz w:val="20"/>
          <w:szCs w:val="20"/>
        </w:rPr>
      </w:pPr>
    </w:p>
    <w:p w:rsidR="00121FCA" w:rsidRPr="00C50A5C" w:rsidRDefault="00CD48BC" w:rsidP="00121FCA">
      <w:pPr>
        <w:rPr>
          <w:sz w:val="20"/>
          <w:szCs w:val="20"/>
        </w:rPr>
      </w:pPr>
      <w:r w:rsidRPr="00CD48BC">
        <w:rPr>
          <w:sz w:val="20"/>
          <w:szCs w:val="20"/>
          <w:lang w:val="fr-CA"/>
        </w:rPr>
        <w:pict>
          <v:rect id="_x0000_i1066" style="width:2in;height:1pt" o:hrpct="0" o:hralign="center" o:hrstd="t" o:hrnoshade="t" o:hr="t" fillcolor="black [3213]" stroked="f"/>
        </w:pict>
      </w:r>
    </w:p>
    <w:p w:rsidR="00121FCA" w:rsidRDefault="00121FCA" w:rsidP="00121FCA">
      <w:pPr>
        <w:rPr>
          <w:sz w:val="20"/>
          <w:szCs w:val="20"/>
        </w:rPr>
      </w:pPr>
    </w:p>
    <w:p w:rsidR="00121FCA" w:rsidRPr="001B157C" w:rsidRDefault="00121FCA" w:rsidP="00121FCA">
      <w:pPr>
        <w:rPr>
          <w:sz w:val="20"/>
          <w:szCs w:val="20"/>
          <w:u w:val="single"/>
          <w:lang w:val="fr-CA"/>
        </w:rPr>
      </w:pPr>
      <w:r w:rsidRPr="001B157C">
        <w:rPr>
          <w:sz w:val="20"/>
          <w:szCs w:val="20"/>
          <w:u w:val="single"/>
          <w:lang w:val="fr-CA"/>
        </w:rPr>
        <w:t>RÉSUMÉ DE L’AFFAIRE</w:t>
      </w:r>
    </w:p>
    <w:p w:rsidR="00121FCA" w:rsidRDefault="00121FCA" w:rsidP="00121FC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9208D4" w:rsidRPr="006307F5" w:rsidTr="009208D4">
        <w:tc>
          <w:tcPr>
            <w:tcW w:w="5000" w:type="pct"/>
            <w:gridSpan w:val="3"/>
          </w:tcPr>
          <w:p w:rsidR="009208D4" w:rsidRPr="00C56FE1" w:rsidRDefault="009208D4" w:rsidP="009208D4">
            <w:pPr>
              <w:jc w:val="both"/>
              <w:rPr>
                <w:rFonts w:eastAsia="Calibri"/>
                <w:smallCaps/>
                <w:sz w:val="20"/>
                <w:lang w:val="fr-CA"/>
              </w:rPr>
            </w:pPr>
            <w:r w:rsidRPr="00C56FE1">
              <w:rPr>
                <w:rFonts w:eastAsia="Calibri"/>
                <w:sz w:val="20"/>
                <w:lang w:val="fr-CA"/>
              </w:rPr>
              <w:t xml:space="preserve">Procédure civile — Compétence pour prononcer une injonction </w:t>
            </w:r>
            <w:r w:rsidRPr="00C56FE1">
              <w:rPr>
                <w:rFonts w:eastAsia="Calibri"/>
                <w:i/>
                <w:sz w:val="20"/>
                <w:lang w:val="fr-CA"/>
              </w:rPr>
              <w:t>Mareva</w:t>
            </w:r>
            <w:r w:rsidRPr="00C56FE1">
              <w:rPr>
                <w:rFonts w:eastAsia="Calibri"/>
                <w:sz w:val="20"/>
                <w:lang w:val="fr-CA"/>
              </w:rPr>
              <w:t xml:space="preserve"> ou une ordonnance désignant un séquestre — Sursis d’exécution en attendant qu’il soit statué sur l’appel dans une autre action — Lorsqu’une deuxième action a été intentée pour exécuter l’ordonnance de paiement d’une somme d’argent accordée dans la première action, et lorsque l’ordonnance a été suspendue par la remise d’un avis d’appel, la deuxième action se trouve-t-elle à être une mesure prise pour son application ou son exécution forcée? — Lorsqu’une deuxième action a été intentée pour recouvrer une somme d’argent accordée par un jugement rendu dans la première action, et lorsque ce jugement a été suspendu par la remise d’un avis d’appel, une injonction </w:t>
            </w:r>
            <w:r w:rsidRPr="00C56FE1">
              <w:rPr>
                <w:rFonts w:eastAsia="Calibri"/>
                <w:i/>
                <w:sz w:val="20"/>
                <w:lang w:val="fr-CA"/>
              </w:rPr>
              <w:t>Mareva</w:t>
            </w:r>
            <w:r w:rsidRPr="00C56FE1">
              <w:rPr>
                <w:rFonts w:eastAsia="Calibri"/>
                <w:sz w:val="20"/>
                <w:lang w:val="fr-CA"/>
              </w:rPr>
              <w:t xml:space="preserve"> et l’ordonnance désignant un séquestre rendues dans la deuxième actions constituent-elles des mesures prises pour son application ou son exécution forcée? — La Cour supérieure de justice a-t-elle compétence pour ordonner que des mesures soient prises pour l’application de l’ordonnance ou pour son exécution forcée ou bien est-ce que cette compétence appartient exclusivement à la Cour d’appel de l’Ontario? — </w:t>
            </w:r>
            <w:r w:rsidRPr="00C56FE1">
              <w:rPr>
                <w:rFonts w:eastAsia="Calibri"/>
                <w:i/>
                <w:sz w:val="20"/>
                <w:lang w:val="fr-CA"/>
              </w:rPr>
              <w:t>Règles de procédure civile</w:t>
            </w:r>
            <w:r w:rsidRPr="00C56FE1">
              <w:rPr>
                <w:rFonts w:eastAsia="Calibri"/>
                <w:sz w:val="20"/>
                <w:lang w:val="fr-CA"/>
              </w:rPr>
              <w:t>, R.R.O. 1990, règl. 194, règle 63.03(1).</w:t>
            </w:r>
          </w:p>
        </w:tc>
      </w:tr>
      <w:tr w:rsidR="009208D4" w:rsidRPr="006307F5" w:rsidTr="009208D4">
        <w:tc>
          <w:tcPr>
            <w:tcW w:w="5000" w:type="pct"/>
            <w:gridSpan w:val="3"/>
          </w:tcPr>
          <w:p w:rsidR="009208D4" w:rsidRPr="00C56FE1" w:rsidRDefault="009208D4" w:rsidP="009208D4">
            <w:pPr>
              <w:jc w:val="both"/>
              <w:rPr>
                <w:rFonts w:eastAsia="Calibri"/>
                <w:sz w:val="20"/>
                <w:lang w:val="fr-CA"/>
              </w:rPr>
            </w:pPr>
          </w:p>
        </w:tc>
      </w:tr>
      <w:tr w:rsidR="009208D4" w:rsidRPr="00334802" w:rsidTr="009208D4">
        <w:tc>
          <w:tcPr>
            <w:tcW w:w="5000" w:type="pct"/>
            <w:gridSpan w:val="3"/>
          </w:tcPr>
          <w:p w:rsidR="009208D4" w:rsidRPr="00C56FE1" w:rsidRDefault="009208D4" w:rsidP="009208D4">
            <w:pPr>
              <w:jc w:val="both"/>
              <w:rPr>
                <w:rFonts w:eastAsia="Calibri"/>
                <w:sz w:val="20"/>
                <w:lang w:val="fr-CA"/>
              </w:rPr>
            </w:pPr>
            <w:r w:rsidRPr="00C56FE1">
              <w:rPr>
                <w:rFonts w:eastAsia="Calibri"/>
                <w:sz w:val="20"/>
                <w:lang w:val="fr-CA"/>
              </w:rPr>
              <w:t xml:space="preserve">Les Alfano et les Piersanti étaient parties à une action antérieure dans laquelle le tribunal a conclu que Christian et Terry Piersanti, par un stratagème frauduleux complexe impliquant des sociétés à numéro contrôlées par eux, avaient frauduleusement acquis certains intérêts d’entreprise des Alfano.  Un jugement a été rendu en faveur des Alfano pour la somme de 20 millions de dollars, plus la somme de 250 000 $ en dommages-intérêts punitifs. </w:t>
            </w:r>
          </w:p>
          <w:p w:rsidR="009208D4" w:rsidRPr="00C56FE1" w:rsidRDefault="009208D4" w:rsidP="009208D4">
            <w:pPr>
              <w:jc w:val="both"/>
              <w:rPr>
                <w:rFonts w:eastAsia="Calibri"/>
                <w:sz w:val="20"/>
                <w:lang w:val="fr-CA"/>
              </w:rPr>
            </w:pPr>
          </w:p>
          <w:p w:rsidR="009208D4" w:rsidRPr="00C56FE1" w:rsidRDefault="009208D4" w:rsidP="009208D4">
            <w:pPr>
              <w:jc w:val="both"/>
              <w:rPr>
                <w:rFonts w:eastAsia="Calibri"/>
                <w:sz w:val="20"/>
                <w:lang w:val="fr-CA"/>
              </w:rPr>
            </w:pPr>
            <w:r w:rsidRPr="00C56FE1">
              <w:rPr>
                <w:rFonts w:eastAsia="Calibri"/>
                <w:sz w:val="20"/>
                <w:lang w:val="fr-CA"/>
              </w:rPr>
              <w:t xml:space="preserve">Peu de temps avant que la Cour d’appel instruise l’appel dans le dossier susmentionné, les Alfano ont déposé une deuxième action. Cette action a été intentée en vertu de la </w:t>
            </w:r>
            <w:r w:rsidRPr="00C56FE1">
              <w:rPr>
                <w:rFonts w:eastAsia="Calibri"/>
                <w:i/>
                <w:sz w:val="20"/>
                <w:lang w:val="fr-CA"/>
              </w:rPr>
              <w:t>Loi sur les cessions en fraude des droits des créanciers,</w:t>
            </w:r>
            <w:r w:rsidRPr="00C56FE1">
              <w:rPr>
                <w:rFonts w:eastAsia="Calibri"/>
                <w:sz w:val="20"/>
                <w:lang w:val="fr-CA"/>
              </w:rPr>
              <w:t xml:space="preserve"> L.R.O. 1990, ch. F.29 et de la </w:t>
            </w:r>
            <w:r w:rsidRPr="00C56FE1">
              <w:rPr>
                <w:rFonts w:eastAsia="Calibri"/>
                <w:i/>
                <w:sz w:val="20"/>
                <w:lang w:val="fr-CA"/>
              </w:rPr>
              <w:t>Loi sur les cessions et préférences</w:t>
            </w:r>
            <w:r w:rsidRPr="00C56FE1">
              <w:rPr>
                <w:rFonts w:eastAsia="Calibri"/>
                <w:sz w:val="20"/>
                <w:lang w:val="fr-CA"/>
              </w:rPr>
              <w:t xml:space="preserve">, L.R.O. 1990, c. A.33 et il y était allégué que Christian et Terry Piersanti avaient frauduleusement créé un voile de la personnalité juridique et des hypothèques </w:t>
            </w:r>
            <w:r w:rsidRPr="00C56FE1">
              <w:rPr>
                <w:rFonts w:eastAsia="Calibri"/>
                <w:sz w:val="20"/>
                <w:lang w:val="fr-CA"/>
              </w:rPr>
              <w:lastRenderedPageBreak/>
              <w:t xml:space="preserve">fictives pour se mettre à l’abri des Alfano et d’autres créanciers éventuels.  Même si, dans cette action, les mêmes défendeurs que dans la première action étaient désignés, de nombreux défendeurs additionnels ont été ajoutés, y compris les trois enfants adultes des Piersanti et de nombreux défendeurs dotés de la personnalité morale pour lesquels les enfants Piersanti étaient énumérés comme dirigeants ou administrateurs. </w:t>
            </w:r>
          </w:p>
          <w:p w:rsidR="009208D4" w:rsidRPr="00C56FE1" w:rsidRDefault="009208D4" w:rsidP="009208D4">
            <w:pPr>
              <w:jc w:val="both"/>
              <w:rPr>
                <w:rFonts w:eastAsia="Calibri"/>
                <w:sz w:val="20"/>
                <w:lang w:val="fr-CA"/>
              </w:rPr>
            </w:pPr>
          </w:p>
          <w:p w:rsidR="009208D4" w:rsidRPr="00C56FE1" w:rsidRDefault="009208D4" w:rsidP="009208D4">
            <w:pPr>
              <w:jc w:val="both"/>
              <w:rPr>
                <w:rFonts w:eastAsia="Calibri"/>
                <w:sz w:val="20"/>
                <w:lang w:val="fr-CA"/>
              </w:rPr>
            </w:pPr>
            <w:r w:rsidRPr="00C56FE1">
              <w:rPr>
                <w:rFonts w:eastAsia="Calibri"/>
                <w:sz w:val="20"/>
                <w:lang w:val="fr-CA"/>
              </w:rPr>
              <w:t xml:space="preserve">Les Alfano ont par la suite déposé une motion </w:t>
            </w:r>
            <w:r w:rsidRPr="00C56FE1">
              <w:rPr>
                <w:rFonts w:eastAsia="Calibri"/>
                <w:i/>
                <w:sz w:val="20"/>
                <w:lang w:val="fr-CA"/>
              </w:rPr>
              <w:t>ex parte</w:t>
            </w:r>
            <w:r w:rsidRPr="00C56FE1">
              <w:rPr>
                <w:rFonts w:eastAsia="Calibri"/>
                <w:sz w:val="20"/>
                <w:lang w:val="fr-CA"/>
              </w:rPr>
              <w:t xml:space="preserve"> pour obtenir une injonction </w:t>
            </w:r>
            <w:r w:rsidRPr="00C56FE1">
              <w:rPr>
                <w:rFonts w:eastAsia="Calibri"/>
                <w:i/>
                <w:sz w:val="20"/>
                <w:lang w:val="fr-CA"/>
              </w:rPr>
              <w:t>Mareva</w:t>
            </w:r>
            <w:r w:rsidRPr="00C56FE1">
              <w:rPr>
                <w:rFonts w:eastAsia="Calibri"/>
                <w:sz w:val="20"/>
                <w:lang w:val="fr-CA"/>
              </w:rPr>
              <w:t xml:space="preserve"> contre les Piersanti et al. ainsi qu’une ordonnance désignant un séquestre à l’égard des biens de toutes les sociétés contrôlées par Christian et Terry Piersanti ou à leur avantage.  </w:t>
            </w:r>
          </w:p>
          <w:p w:rsidR="009208D4" w:rsidRPr="00C56FE1" w:rsidRDefault="009208D4" w:rsidP="009208D4">
            <w:pPr>
              <w:jc w:val="both"/>
              <w:rPr>
                <w:rFonts w:eastAsia="Calibri"/>
                <w:sz w:val="20"/>
                <w:lang w:val="fr-CA"/>
              </w:rPr>
            </w:pPr>
          </w:p>
        </w:tc>
      </w:tr>
      <w:tr w:rsidR="009208D4" w:rsidRPr="00334802" w:rsidTr="009208D4">
        <w:tc>
          <w:tcPr>
            <w:tcW w:w="2427" w:type="pct"/>
          </w:tcPr>
          <w:p w:rsidR="009208D4" w:rsidRPr="00C56FE1" w:rsidRDefault="009208D4" w:rsidP="009208D4">
            <w:pPr>
              <w:jc w:val="both"/>
              <w:rPr>
                <w:rFonts w:eastAsia="Calibri"/>
                <w:sz w:val="20"/>
                <w:lang w:val="fr-CA"/>
              </w:rPr>
            </w:pPr>
            <w:r w:rsidRPr="00C56FE1">
              <w:rPr>
                <w:rFonts w:eastAsia="Calibri"/>
                <w:sz w:val="20"/>
                <w:lang w:val="fr-CA"/>
              </w:rPr>
              <w:lastRenderedPageBreak/>
              <w:t>22 août 2011</w:t>
            </w:r>
          </w:p>
          <w:p w:rsidR="009208D4" w:rsidRPr="00C56FE1" w:rsidRDefault="009208D4" w:rsidP="009208D4">
            <w:pPr>
              <w:jc w:val="both"/>
              <w:rPr>
                <w:rFonts w:eastAsia="Calibri"/>
                <w:sz w:val="20"/>
                <w:lang w:val="fr-CA"/>
              </w:rPr>
            </w:pPr>
            <w:r w:rsidRPr="00C56FE1">
              <w:rPr>
                <w:rFonts w:eastAsia="Calibri"/>
                <w:sz w:val="20"/>
                <w:lang w:val="fr-CA"/>
              </w:rPr>
              <w:t>Cour supérieure de justice de l’Ontario</w:t>
            </w:r>
          </w:p>
          <w:p w:rsidR="009208D4" w:rsidRPr="00C56FE1" w:rsidRDefault="009208D4" w:rsidP="009208D4">
            <w:pPr>
              <w:jc w:val="both"/>
              <w:rPr>
                <w:rFonts w:eastAsia="Calibri"/>
                <w:sz w:val="20"/>
                <w:lang w:val="fr-CA"/>
              </w:rPr>
            </w:pPr>
            <w:r w:rsidRPr="00C56FE1">
              <w:rPr>
                <w:rFonts w:eastAsia="Calibri"/>
                <w:sz w:val="20"/>
                <w:lang w:val="fr-CA"/>
              </w:rPr>
              <w:t>(Juge Newbould)</w:t>
            </w:r>
          </w:p>
          <w:p w:rsidR="009208D4" w:rsidRPr="00C56FE1" w:rsidRDefault="009208D4" w:rsidP="009208D4">
            <w:pPr>
              <w:jc w:val="both"/>
              <w:rPr>
                <w:rFonts w:eastAsia="Calibri"/>
                <w:sz w:val="20"/>
                <w:lang w:val="fr-CA"/>
              </w:rPr>
            </w:pPr>
            <w:r w:rsidRPr="00C56FE1">
              <w:rPr>
                <w:rFonts w:eastAsia="Calibri"/>
                <w:sz w:val="20"/>
                <w:lang w:val="fr-CA"/>
              </w:rPr>
              <w:t>2011 ONSC 4971</w:t>
            </w:r>
          </w:p>
          <w:p w:rsidR="009208D4" w:rsidRPr="00C56FE1" w:rsidRDefault="009208D4" w:rsidP="009208D4">
            <w:pPr>
              <w:jc w:val="both"/>
              <w:rPr>
                <w:rFonts w:eastAsia="Calibri"/>
                <w:sz w:val="20"/>
                <w:lang w:val="fr-CA"/>
              </w:rPr>
            </w:pPr>
          </w:p>
        </w:tc>
        <w:tc>
          <w:tcPr>
            <w:tcW w:w="243" w:type="pct"/>
          </w:tcPr>
          <w:p w:rsidR="009208D4" w:rsidRPr="00C56FE1" w:rsidRDefault="009208D4" w:rsidP="009208D4">
            <w:pPr>
              <w:jc w:val="both"/>
              <w:rPr>
                <w:rFonts w:eastAsia="Calibri"/>
                <w:sz w:val="20"/>
                <w:lang w:val="fr-CA"/>
              </w:rPr>
            </w:pPr>
          </w:p>
        </w:tc>
        <w:tc>
          <w:tcPr>
            <w:tcW w:w="2330" w:type="pct"/>
          </w:tcPr>
          <w:p w:rsidR="009208D4" w:rsidRPr="00C56FE1" w:rsidRDefault="009208D4" w:rsidP="009208D4">
            <w:pPr>
              <w:jc w:val="both"/>
              <w:rPr>
                <w:rFonts w:eastAsia="Calibri"/>
                <w:sz w:val="20"/>
                <w:lang w:val="fr-CA"/>
              </w:rPr>
            </w:pPr>
            <w:r w:rsidRPr="00C56FE1">
              <w:rPr>
                <w:rFonts w:eastAsia="Calibri"/>
                <w:sz w:val="20"/>
                <w:lang w:val="fr-CA"/>
              </w:rPr>
              <w:t xml:space="preserve">Ordonnance </w:t>
            </w:r>
            <w:r w:rsidRPr="00C56FE1">
              <w:rPr>
                <w:rFonts w:eastAsia="Calibri"/>
                <w:i/>
                <w:sz w:val="20"/>
                <w:lang w:val="fr-CA"/>
              </w:rPr>
              <w:t>Mareva</w:t>
            </w:r>
            <w:r w:rsidRPr="00C56FE1">
              <w:rPr>
                <w:rFonts w:eastAsia="Calibri"/>
                <w:sz w:val="20"/>
                <w:lang w:val="fr-CA"/>
              </w:rPr>
              <w:t xml:space="preserve"> et désignant un séquestre à l’égard de tous les biens des personnes morales demanderesses, accordée </w:t>
            </w:r>
            <w:r w:rsidRPr="00C56FE1">
              <w:rPr>
                <w:rFonts w:eastAsia="Calibri"/>
                <w:i/>
                <w:sz w:val="20"/>
                <w:lang w:val="fr-CA"/>
              </w:rPr>
              <w:t>ex parte</w:t>
            </w:r>
          </w:p>
        </w:tc>
      </w:tr>
      <w:tr w:rsidR="009208D4" w:rsidRPr="001A42F3" w:rsidTr="009208D4">
        <w:tc>
          <w:tcPr>
            <w:tcW w:w="2427" w:type="pct"/>
          </w:tcPr>
          <w:p w:rsidR="009208D4" w:rsidRPr="00C56FE1" w:rsidRDefault="009208D4" w:rsidP="009208D4">
            <w:pPr>
              <w:jc w:val="both"/>
              <w:rPr>
                <w:rFonts w:eastAsia="Calibri"/>
                <w:sz w:val="20"/>
                <w:lang w:val="fr-CA"/>
              </w:rPr>
            </w:pPr>
            <w:r w:rsidRPr="00C56FE1">
              <w:rPr>
                <w:rFonts w:eastAsia="Calibri"/>
                <w:sz w:val="20"/>
                <w:lang w:val="fr-CA"/>
              </w:rPr>
              <w:t>18 octobre 2011</w:t>
            </w:r>
          </w:p>
          <w:p w:rsidR="009208D4" w:rsidRPr="00C56FE1" w:rsidRDefault="009208D4" w:rsidP="009208D4">
            <w:pPr>
              <w:jc w:val="both"/>
              <w:rPr>
                <w:rFonts w:eastAsia="Calibri"/>
                <w:sz w:val="20"/>
                <w:lang w:val="fr-CA"/>
              </w:rPr>
            </w:pPr>
            <w:r w:rsidRPr="00C56FE1">
              <w:rPr>
                <w:rFonts w:eastAsia="Calibri"/>
                <w:sz w:val="20"/>
                <w:lang w:val="fr-CA"/>
              </w:rPr>
              <w:t>Cour supérieure de justice de l’Ontario</w:t>
            </w:r>
          </w:p>
          <w:p w:rsidR="009208D4" w:rsidRPr="00C56FE1" w:rsidRDefault="009208D4" w:rsidP="009208D4">
            <w:pPr>
              <w:jc w:val="both"/>
              <w:rPr>
                <w:rFonts w:eastAsia="Calibri"/>
                <w:sz w:val="20"/>
                <w:lang w:val="fr-CA"/>
              </w:rPr>
            </w:pPr>
            <w:r w:rsidRPr="00C56FE1">
              <w:rPr>
                <w:rFonts w:eastAsia="Calibri"/>
                <w:sz w:val="20"/>
                <w:lang w:val="fr-CA"/>
              </w:rPr>
              <w:t>(Juge Cumming)</w:t>
            </w:r>
          </w:p>
          <w:p w:rsidR="009208D4" w:rsidRPr="00C56FE1" w:rsidRDefault="009208D4" w:rsidP="009208D4">
            <w:pPr>
              <w:jc w:val="both"/>
              <w:rPr>
                <w:rFonts w:eastAsia="Calibri"/>
                <w:sz w:val="20"/>
                <w:lang w:val="fr-CA"/>
              </w:rPr>
            </w:pPr>
            <w:r w:rsidRPr="00C56FE1">
              <w:rPr>
                <w:rFonts w:eastAsia="Calibri"/>
                <w:sz w:val="20"/>
                <w:lang w:val="fr-CA"/>
              </w:rPr>
              <w:t xml:space="preserve">2011 ONSC 6155 </w:t>
            </w:r>
          </w:p>
          <w:p w:rsidR="009208D4" w:rsidRPr="00C56FE1" w:rsidRDefault="009208D4" w:rsidP="009208D4">
            <w:pPr>
              <w:jc w:val="both"/>
              <w:rPr>
                <w:rFonts w:eastAsia="Calibri"/>
                <w:sz w:val="20"/>
                <w:lang w:val="fr-CA"/>
              </w:rPr>
            </w:pPr>
          </w:p>
        </w:tc>
        <w:tc>
          <w:tcPr>
            <w:tcW w:w="243" w:type="pct"/>
          </w:tcPr>
          <w:p w:rsidR="009208D4" w:rsidRPr="00C56FE1" w:rsidRDefault="009208D4" w:rsidP="009208D4">
            <w:pPr>
              <w:jc w:val="both"/>
              <w:rPr>
                <w:rFonts w:eastAsia="Calibri"/>
                <w:sz w:val="20"/>
                <w:lang w:val="fr-CA"/>
              </w:rPr>
            </w:pPr>
          </w:p>
        </w:tc>
        <w:tc>
          <w:tcPr>
            <w:tcW w:w="2330" w:type="pct"/>
          </w:tcPr>
          <w:p w:rsidR="009208D4" w:rsidRPr="00C56FE1" w:rsidRDefault="009208D4" w:rsidP="009208D4">
            <w:pPr>
              <w:jc w:val="both"/>
              <w:rPr>
                <w:rFonts w:eastAsia="Calibri"/>
                <w:sz w:val="20"/>
                <w:lang w:val="fr-CA"/>
              </w:rPr>
            </w:pPr>
            <w:r w:rsidRPr="00C56FE1">
              <w:rPr>
                <w:rFonts w:eastAsia="Calibri"/>
                <w:sz w:val="20"/>
                <w:lang w:val="fr-CA"/>
              </w:rPr>
              <w:t>Motion en annulation de l’ordonnance, rejetée; motion en radiation de la déclaration des Alfano et</w:t>
            </w:r>
            <w:r>
              <w:rPr>
                <w:rFonts w:eastAsia="Calibri"/>
                <w:sz w:val="20"/>
                <w:lang w:val="fr-CA"/>
              </w:rPr>
              <w:t> </w:t>
            </w:r>
            <w:r w:rsidRPr="00C56FE1">
              <w:rPr>
                <w:rFonts w:eastAsia="Calibri"/>
                <w:sz w:val="20"/>
                <w:lang w:val="fr-CA"/>
              </w:rPr>
              <w:t>al., rejetée</w:t>
            </w:r>
          </w:p>
          <w:p w:rsidR="009208D4" w:rsidRPr="00C56FE1" w:rsidRDefault="009208D4" w:rsidP="009208D4">
            <w:pPr>
              <w:jc w:val="both"/>
              <w:rPr>
                <w:rFonts w:eastAsia="Calibri"/>
                <w:sz w:val="20"/>
                <w:lang w:val="fr-CA"/>
              </w:rPr>
            </w:pPr>
          </w:p>
        </w:tc>
      </w:tr>
      <w:tr w:rsidR="009208D4" w:rsidRPr="006307F5" w:rsidTr="009208D4">
        <w:tc>
          <w:tcPr>
            <w:tcW w:w="2427" w:type="pct"/>
          </w:tcPr>
          <w:p w:rsidR="009208D4" w:rsidRPr="00C56FE1" w:rsidRDefault="009208D4" w:rsidP="009208D4">
            <w:pPr>
              <w:jc w:val="both"/>
              <w:rPr>
                <w:rFonts w:eastAsia="Calibri"/>
                <w:sz w:val="20"/>
                <w:lang w:val="fr-CA"/>
              </w:rPr>
            </w:pPr>
            <w:r w:rsidRPr="00C56FE1">
              <w:rPr>
                <w:rFonts w:eastAsia="Calibri"/>
                <w:sz w:val="20"/>
                <w:lang w:val="fr-CA"/>
              </w:rPr>
              <w:t>18 septembre 2012</w:t>
            </w:r>
          </w:p>
          <w:p w:rsidR="009208D4" w:rsidRPr="00C56FE1" w:rsidRDefault="009208D4" w:rsidP="009208D4">
            <w:pPr>
              <w:jc w:val="both"/>
              <w:rPr>
                <w:rFonts w:eastAsia="Calibri"/>
                <w:sz w:val="20"/>
                <w:lang w:val="fr-CA"/>
              </w:rPr>
            </w:pPr>
            <w:r w:rsidRPr="00C56FE1">
              <w:rPr>
                <w:rFonts w:eastAsia="Calibri"/>
                <w:sz w:val="20"/>
                <w:lang w:val="fr-CA"/>
              </w:rPr>
              <w:t>Cour d’appel de l’Ontario</w:t>
            </w:r>
          </w:p>
          <w:p w:rsidR="009208D4" w:rsidRPr="00C56FE1" w:rsidRDefault="009208D4" w:rsidP="009208D4">
            <w:pPr>
              <w:jc w:val="both"/>
              <w:rPr>
                <w:rFonts w:eastAsia="Calibri"/>
                <w:sz w:val="20"/>
                <w:lang w:val="fr-CA"/>
              </w:rPr>
            </w:pPr>
            <w:r w:rsidRPr="00C56FE1">
              <w:rPr>
                <w:rFonts w:eastAsia="Calibri"/>
                <w:sz w:val="20"/>
                <w:lang w:val="fr-CA"/>
              </w:rPr>
              <w:t>(Juges Cronk, Epstein et Pepall)</w:t>
            </w:r>
          </w:p>
          <w:p w:rsidR="009208D4" w:rsidRPr="00C56FE1" w:rsidRDefault="009208D4" w:rsidP="009208D4">
            <w:pPr>
              <w:jc w:val="both"/>
              <w:rPr>
                <w:rFonts w:eastAsia="Calibri"/>
                <w:sz w:val="20"/>
                <w:lang w:val="fr-CA"/>
              </w:rPr>
            </w:pPr>
            <w:r w:rsidRPr="00C56FE1">
              <w:rPr>
                <w:rFonts w:eastAsia="Calibri"/>
                <w:sz w:val="20"/>
                <w:lang w:val="fr-CA"/>
              </w:rPr>
              <w:t>2012 ONCA 612</w:t>
            </w:r>
          </w:p>
          <w:p w:rsidR="009208D4" w:rsidRPr="00C56FE1" w:rsidRDefault="009208D4" w:rsidP="009208D4">
            <w:pPr>
              <w:jc w:val="both"/>
              <w:rPr>
                <w:rFonts w:eastAsia="Calibri"/>
                <w:sz w:val="20"/>
                <w:lang w:val="fr-CA"/>
              </w:rPr>
            </w:pPr>
          </w:p>
        </w:tc>
        <w:tc>
          <w:tcPr>
            <w:tcW w:w="243" w:type="pct"/>
          </w:tcPr>
          <w:p w:rsidR="009208D4" w:rsidRPr="00C56FE1" w:rsidRDefault="009208D4" w:rsidP="009208D4">
            <w:pPr>
              <w:jc w:val="both"/>
              <w:rPr>
                <w:rFonts w:eastAsia="Calibri"/>
                <w:sz w:val="20"/>
                <w:lang w:val="fr-CA"/>
              </w:rPr>
            </w:pPr>
          </w:p>
        </w:tc>
        <w:tc>
          <w:tcPr>
            <w:tcW w:w="2330" w:type="pct"/>
          </w:tcPr>
          <w:p w:rsidR="009208D4" w:rsidRPr="00C56FE1" w:rsidRDefault="009208D4" w:rsidP="009208D4">
            <w:pPr>
              <w:jc w:val="both"/>
              <w:rPr>
                <w:rFonts w:eastAsia="Calibri"/>
                <w:sz w:val="20"/>
                <w:lang w:val="fr-CA"/>
              </w:rPr>
            </w:pPr>
            <w:r w:rsidRPr="00C56FE1">
              <w:rPr>
                <w:rFonts w:eastAsia="Calibri"/>
                <w:sz w:val="20"/>
                <w:lang w:val="fr-CA"/>
              </w:rPr>
              <w:t>Appel rejeté</w:t>
            </w:r>
          </w:p>
          <w:p w:rsidR="009208D4" w:rsidRPr="00C56FE1" w:rsidRDefault="009208D4" w:rsidP="009208D4">
            <w:pPr>
              <w:jc w:val="both"/>
              <w:rPr>
                <w:rFonts w:eastAsia="Calibri"/>
                <w:sz w:val="20"/>
                <w:lang w:val="fr-CA"/>
              </w:rPr>
            </w:pPr>
          </w:p>
        </w:tc>
      </w:tr>
      <w:tr w:rsidR="009208D4" w:rsidRPr="00C56FE1" w:rsidTr="009208D4">
        <w:tc>
          <w:tcPr>
            <w:tcW w:w="2427" w:type="pct"/>
          </w:tcPr>
          <w:p w:rsidR="009208D4" w:rsidRPr="00C56FE1" w:rsidRDefault="009208D4" w:rsidP="009208D4">
            <w:pPr>
              <w:jc w:val="both"/>
              <w:rPr>
                <w:rFonts w:eastAsia="Calibri"/>
                <w:sz w:val="20"/>
                <w:lang w:val="fr-CA"/>
              </w:rPr>
            </w:pPr>
            <w:r w:rsidRPr="00C56FE1">
              <w:rPr>
                <w:rFonts w:eastAsia="Calibri"/>
                <w:sz w:val="20"/>
                <w:lang w:val="fr-CA"/>
              </w:rPr>
              <w:t>2 novembre 2012</w:t>
            </w:r>
          </w:p>
          <w:p w:rsidR="009208D4" w:rsidRPr="00C56FE1" w:rsidRDefault="009208D4" w:rsidP="009208D4">
            <w:pPr>
              <w:jc w:val="both"/>
              <w:rPr>
                <w:rFonts w:eastAsia="Calibri"/>
                <w:sz w:val="20"/>
                <w:lang w:val="fr-CA"/>
              </w:rPr>
            </w:pPr>
            <w:r w:rsidRPr="00C56FE1">
              <w:rPr>
                <w:rFonts w:eastAsia="Calibri"/>
                <w:sz w:val="20"/>
                <w:lang w:val="fr-CA"/>
              </w:rPr>
              <w:t>Cour suprême du Canada</w:t>
            </w:r>
          </w:p>
        </w:tc>
        <w:tc>
          <w:tcPr>
            <w:tcW w:w="243" w:type="pct"/>
          </w:tcPr>
          <w:p w:rsidR="009208D4" w:rsidRPr="00C56FE1" w:rsidRDefault="009208D4" w:rsidP="009208D4">
            <w:pPr>
              <w:jc w:val="both"/>
              <w:rPr>
                <w:rFonts w:eastAsia="Calibri"/>
                <w:sz w:val="20"/>
                <w:lang w:val="fr-CA"/>
              </w:rPr>
            </w:pPr>
          </w:p>
        </w:tc>
        <w:tc>
          <w:tcPr>
            <w:tcW w:w="2330" w:type="pct"/>
          </w:tcPr>
          <w:p w:rsidR="009208D4" w:rsidRPr="00C56FE1" w:rsidRDefault="009208D4" w:rsidP="009208D4">
            <w:pPr>
              <w:jc w:val="both"/>
              <w:rPr>
                <w:rFonts w:eastAsia="Calibri"/>
                <w:sz w:val="20"/>
                <w:lang w:val="fr-CA"/>
              </w:rPr>
            </w:pPr>
            <w:r w:rsidRPr="00C56FE1">
              <w:rPr>
                <w:rFonts w:eastAsia="Calibri"/>
                <w:sz w:val="20"/>
                <w:lang w:val="fr-CA"/>
              </w:rPr>
              <w:t>Demande d’autorisation d’appel, déposée</w:t>
            </w:r>
          </w:p>
        </w:tc>
      </w:tr>
    </w:tbl>
    <w:p w:rsidR="00121FCA" w:rsidRDefault="00121FCA" w:rsidP="00121FCA">
      <w:pPr>
        <w:rPr>
          <w:sz w:val="20"/>
          <w:szCs w:val="20"/>
        </w:rPr>
      </w:pPr>
    </w:p>
    <w:p w:rsidR="00121FCA" w:rsidRDefault="00CD48BC" w:rsidP="00121FCA">
      <w:pPr>
        <w:rPr>
          <w:sz w:val="20"/>
          <w:szCs w:val="20"/>
          <w:lang w:val="fr-CA"/>
        </w:rPr>
      </w:pPr>
      <w:r w:rsidRPr="00CD48BC">
        <w:rPr>
          <w:sz w:val="20"/>
          <w:szCs w:val="20"/>
          <w:lang w:val="fr-CA"/>
        </w:rPr>
        <w:pict>
          <v:rect id="_x0000_i1067" style="width:2in;height:1pt" o:hrpct="0" o:hralign="center" o:hrstd="t" o:hrnoshade="t" o:hr="t" fillcolor="black [3213]" stroked="f"/>
        </w:pict>
      </w:r>
    </w:p>
    <w:p w:rsidR="00121FCA" w:rsidRDefault="00121FCA" w:rsidP="00121FCA">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A34615" w:rsidRPr="00A34615" w:rsidRDefault="00A34615" w:rsidP="00A34615">
      <w:pPr>
        <w:tabs>
          <w:tab w:val="left" w:pos="-1440"/>
          <w:tab w:val="left" w:pos="-720"/>
        </w:tabs>
        <w:jc w:val="both"/>
        <w:rPr>
          <w:rFonts w:eastAsia="Times New Roman" w:cs="Times New Roman"/>
          <w:sz w:val="20"/>
          <w:szCs w:val="20"/>
          <w:lang w:eastAsia="en-CA"/>
        </w:rPr>
      </w:pPr>
      <w:r w:rsidRPr="00A34615">
        <w:rPr>
          <w:rFonts w:eastAsia="Times New Roman" w:cs="Times New Roman"/>
          <w:sz w:val="20"/>
          <w:szCs w:val="20"/>
          <w:lang w:eastAsia="en-CA"/>
        </w:rPr>
        <w:t>04.01.2013</w:t>
      </w:r>
    </w:p>
    <w:p w:rsidR="00A34615" w:rsidRPr="00A34615" w:rsidRDefault="00A34615" w:rsidP="00A34615">
      <w:pPr>
        <w:tabs>
          <w:tab w:val="left" w:pos="-1440"/>
          <w:tab w:val="left" w:pos="-720"/>
        </w:tabs>
        <w:jc w:val="both"/>
        <w:rPr>
          <w:rFonts w:eastAsia="Times New Roman" w:cs="Times New Roman"/>
          <w:sz w:val="20"/>
          <w:szCs w:val="20"/>
          <w:lang w:eastAsia="en-CA"/>
        </w:rPr>
      </w:pPr>
    </w:p>
    <w:p w:rsidR="00A34615" w:rsidRPr="00A34615" w:rsidRDefault="00A34615" w:rsidP="00A34615">
      <w:pPr>
        <w:tabs>
          <w:tab w:val="left" w:pos="-1440"/>
          <w:tab w:val="left" w:pos="-720"/>
        </w:tabs>
        <w:jc w:val="both"/>
        <w:rPr>
          <w:rFonts w:eastAsia="Times New Roman" w:cs="Times New Roman"/>
          <w:sz w:val="20"/>
          <w:szCs w:val="20"/>
          <w:lang w:eastAsia="en-CA"/>
        </w:rPr>
      </w:pPr>
      <w:r w:rsidRPr="00A34615">
        <w:rPr>
          <w:rFonts w:eastAsia="Times New Roman" w:cs="Times New Roman"/>
          <w:sz w:val="20"/>
          <w:szCs w:val="20"/>
          <w:lang w:eastAsia="en-CA"/>
        </w:rPr>
        <w:t>Before / Devant :   THE REGISTRAR / LE REGISTRAIRE</w:t>
      </w:r>
    </w:p>
    <w:p w:rsidR="00A34615" w:rsidRPr="00A34615" w:rsidRDefault="00A34615" w:rsidP="00A34615">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34615" w:rsidRPr="00334802" w:rsidTr="003B435E">
        <w:tc>
          <w:tcPr>
            <w:tcW w:w="4338" w:type="dxa"/>
          </w:tcPr>
          <w:p w:rsidR="00A34615" w:rsidRPr="00A34615" w:rsidRDefault="00CD48BC" w:rsidP="00A34615">
            <w:pPr>
              <w:tabs>
                <w:tab w:val="left" w:pos="-1440"/>
                <w:tab w:val="left" w:pos="-720"/>
              </w:tabs>
              <w:jc w:val="both"/>
              <w:rPr>
                <w:b/>
              </w:rPr>
            </w:pPr>
            <w:r w:rsidRPr="00A34615">
              <w:rPr>
                <w:lang w:val="en-US"/>
              </w:rPr>
              <w:fldChar w:fldCharType="begin"/>
            </w:r>
            <w:r w:rsidR="00A34615" w:rsidRPr="00A34615">
              <w:rPr>
                <w:lang w:val="en-US"/>
              </w:rPr>
              <w:instrText xml:space="preserve"> SEQ CHAPTER \h \r 1</w:instrText>
            </w:r>
            <w:r w:rsidRPr="00A34615">
              <w:rPr>
                <w:lang w:val="en-US"/>
              </w:rPr>
              <w:fldChar w:fldCharType="end"/>
            </w:r>
            <w:r w:rsidR="00A34615" w:rsidRPr="00A34615">
              <w:rPr>
                <w:b/>
                <w:bCs/>
                <w:lang w:val="en-US"/>
              </w:rPr>
              <w:t>Motion to extend the time to serve and file the respondent’s response to December 11, 2012</w:t>
            </w:r>
            <w:r w:rsidR="00A34615" w:rsidRPr="00A34615">
              <w:rPr>
                <w:lang w:val="en-US"/>
              </w:rPr>
              <w:t xml:space="preserve"> </w:t>
            </w:r>
            <w:r w:rsidRPr="00A34615">
              <w:rPr>
                <w:lang w:val="en-US"/>
              </w:rPr>
              <w:fldChar w:fldCharType="begin"/>
            </w:r>
            <w:r w:rsidR="00A34615" w:rsidRPr="00A34615">
              <w:rPr>
                <w:lang w:val="en-US"/>
              </w:rPr>
              <w:instrText xml:space="preserve"> SEQ CHAPTER \h \r 1</w:instrText>
            </w:r>
            <w:r w:rsidRPr="00A34615">
              <w:rPr>
                <w:lang w:val="en-US"/>
              </w:rPr>
              <w:fldChar w:fldCharType="end"/>
            </w:r>
          </w:p>
        </w:tc>
        <w:tc>
          <w:tcPr>
            <w:tcW w:w="1170" w:type="dxa"/>
          </w:tcPr>
          <w:p w:rsidR="00A34615" w:rsidRPr="00A34615" w:rsidRDefault="00A34615" w:rsidP="00A34615">
            <w:pPr>
              <w:tabs>
                <w:tab w:val="left" w:pos="-1440"/>
                <w:tab w:val="left" w:pos="-720"/>
              </w:tabs>
              <w:jc w:val="both"/>
            </w:pPr>
          </w:p>
          <w:p w:rsidR="00A34615" w:rsidRPr="00A34615" w:rsidRDefault="00A34615" w:rsidP="00A34615">
            <w:pPr>
              <w:tabs>
                <w:tab w:val="left" w:pos="-1440"/>
                <w:tab w:val="left" w:pos="-720"/>
              </w:tabs>
              <w:jc w:val="both"/>
            </w:pPr>
          </w:p>
          <w:p w:rsidR="00A34615" w:rsidRPr="00A34615" w:rsidRDefault="00A34615" w:rsidP="00A34615">
            <w:pPr>
              <w:tabs>
                <w:tab w:val="left" w:pos="-1440"/>
                <w:tab w:val="left" w:pos="-720"/>
              </w:tabs>
              <w:jc w:val="both"/>
            </w:pPr>
          </w:p>
          <w:p w:rsidR="00A34615" w:rsidRPr="00A34615" w:rsidRDefault="00A34615" w:rsidP="00A34615">
            <w:pPr>
              <w:tabs>
                <w:tab w:val="left" w:pos="-1440"/>
                <w:tab w:val="left" w:pos="-720"/>
              </w:tabs>
              <w:jc w:val="both"/>
            </w:pPr>
          </w:p>
        </w:tc>
        <w:tc>
          <w:tcPr>
            <w:tcW w:w="4327" w:type="dxa"/>
          </w:tcPr>
          <w:p w:rsidR="00A34615" w:rsidRPr="00A34615" w:rsidRDefault="00CD48BC" w:rsidP="00A34615">
            <w:pPr>
              <w:tabs>
                <w:tab w:val="left" w:pos="-1440"/>
                <w:tab w:val="left" w:pos="-720"/>
              </w:tabs>
              <w:jc w:val="both"/>
              <w:rPr>
                <w:lang w:val="fr-CA"/>
              </w:rPr>
            </w:pPr>
            <w:r w:rsidRPr="00A34615">
              <w:rPr>
                <w:lang w:val="en-US"/>
              </w:rPr>
              <w:fldChar w:fldCharType="begin"/>
            </w:r>
            <w:r w:rsidR="00A34615" w:rsidRPr="00A34615">
              <w:rPr>
                <w:lang w:val="fr-CA"/>
              </w:rPr>
              <w:instrText xml:space="preserve"> SEQ CHAPTER \h \r 1</w:instrText>
            </w:r>
            <w:r w:rsidRPr="00A34615">
              <w:rPr>
                <w:lang w:val="en-US"/>
              </w:rPr>
              <w:fldChar w:fldCharType="end"/>
            </w:r>
            <w:r w:rsidR="00A34615" w:rsidRPr="00A34615">
              <w:rPr>
                <w:b/>
                <w:bCs/>
                <w:lang w:val="fr-CA"/>
              </w:rPr>
              <w:t>Requête en prorogation du délai de signification et de dépôt de la réponse de l’intimée jusqu’au 11 décembre 2012</w:t>
            </w:r>
            <w:r w:rsidRPr="00A34615">
              <w:rPr>
                <w:lang w:val="en-US"/>
              </w:rPr>
              <w:fldChar w:fldCharType="begin"/>
            </w:r>
            <w:r w:rsidR="00A34615" w:rsidRPr="00A34615">
              <w:rPr>
                <w:lang w:val="fr-CA"/>
              </w:rPr>
              <w:instrText xml:space="preserve"> SEQ CHAPTER \h \r 1</w:instrText>
            </w:r>
            <w:r w:rsidRPr="00A34615">
              <w:rPr>
                <w:lang w:val="en-US"/>
              </w:rPr>
              <w:fldChar w:fldCharType="end"/>
            </w:r>
            <w:r w:rsidRPr="00A34615">
              <w:rPr>
                <w:lang w:val="en-US"/>
              </w:rPr>
              <w:fldChar w:fldCharType="begin"/>
            </w:r>
            <w:r w:rsidR="00A34615" w:rsidRPr="00A34615">
              <w:rPr>
                <w:lang w:val="fr-CA"/>
              </w:rPr>
              <w:instrText xml:space="preserve"> SEQ CHAPTER \h \r 1</w:instrText>
            </w:r>
            <w:r w:rsidRPr="00A34615">
              <w:rPr>
                <w:lang w:val="en-US"/>
              </w:rPr>
              <w:fldChar w:fldCharType="end"/>
            </w:r>
            <w:r w:rsidRPr="00A34615">
              <w:rPr>
                <w:lang w:val="en-US"/>
              </w:rPr>
              <w:fldChar w:fldCharType="begin"/>
            </w:r>
            <w:r w:rsidR="00A34615" w:rsidRPr="00A34615">
              <w:rPr>
                <w:lang w:val="fr-CA"/>
              </w:rPr>
              <w:instrText xml:space="preserve"> SEQ CHAPTER \h \r 1</w:instrText>
            </w:r>
            <w:r w:rsidRPr="00A34615">
              <w:rPr>
                <w:lang w:val="en-US"/>
              </w:rPr>
              <w:fldChar w:fldCharType="end"/>
            </w:r>
          </w:p>
        </w:tc>
      </w:tr>
      <w:tr w:rsidR="00A34615" w:rsidRPr="00A34615" w:rsidTr="003B435E">
        <w:tc>
          <w:tcPr>
            <w:tcW w:w="4338" w:type="dxa"/>
          </w:tcPr>
          <w:p w:rsidR="00A34615" w:rsidRPr="00A34615" w:rsidRDefault="00A34615" w:rsidP="00A34615">
            <w:pPr>
              <w:tabs>
                <w:tab w:val="left" w:pos="-1440"/>
                <w:tab w:val="left" w:pos="-720"/>
              </w:tabs>
              <w:jc w:val="both"/>
            </w:pPr>
            <w:r w:rsidRPr="00A34615">
              <w:t>Kerry Wong</w:t>
            </w:r>
          </w:p>
          <w:p w:rsidR="00A34615" w:rsidRPr="00A34615" w:rsidRDefault="00A34615" w:rsidP="00A34615">
            <w:pPr>
              <w:tabs>
                <w:tab w:val="left" w:pos="-1440"/>
                <w:tab w:val="left" w:pos="-720"/>
              </w:tabs>
              <w:jc w:val="both"/>
            </w:pPr>
          </w:p>
          <w:p w:rsidR="00A34615" w:rsidRPr="00A34615" w:rsidRDefault="00A34615" w:rsidP="00A34615">
            <w:pPr>
              <w:tabs>
                <w:tab w:val="left" w:pos="-1440"/>
                <w:tab w:val="left" w:pos="-720"/>
              </w:tabs>
              <w:jc w:val="both"/>
            </w:pPr>
            <w:r w:rsidRPr="00A34615">
              <w:tab/>
              <w:t>v. (34966)</w:t>
            </w:r>
          </w:p>
          <w:p w:rsidR="00A34615" w:rsidRPr="00A34615" w:rsidRDefault="00A34615" w:rsidP="00A34615">
            <w:pPr>
              <w:tabs>
                <w:tab w:val="left" w:pos="-1440"/>
                <w:tab w:val="left" w:pos="-720"/>
              </w:tabs>
              <w:jc w:val="both"/>
            </w:pPr>
          </w:p>
          <w:p w:rsidR="00A34615" w:rsidRPr="00A34615" w:rsidRDefault="00A34615" w:rsidP="00A34615">
            <w:pPr>
              <w:tabs>
                <w:tab w:val="left" w:pos="-1440"/>
                <w:tab w:val="left" w:pos="-720"/>
              </w:tabs>
              <w:jc w:val="both"/>
            </w:pPr>
            <w:r w:rsidRPr="00A34615">
              <w:t>Her Majesty the Queen (Crim.) (Ont.)</w:t>
            </w:r>
          </w:p>
        </w:tc>
        <w:tc>
          <w:tcPr>
            <w:tcW w:w="1170" w:type="dxa"/>
          </w:tcPr>
          <w:p w:rsidR="00A34615" w:rsidRPr="00A34615" w:rsidRDefault="00A34615" w:rsidP="00A34615">
            <w:pPr>
              <w:tabs>
                <w:tab w:val="left" w:pos="-1440"/>
                <w:tab w:val="left" w:pos="-720"/>
              </w:tabs>
              <w:jc w:val="both"/>
            </w:pPr>
          </w:p>
        </w:tc>
        <w:tc>
          <w:tcPr>
            <w:tcW w:w="4327" w:type="dxa"/>
          </w:tcPr>
          <w:p w:rsidR="00A34615" w:rsidRPr="00A34615" w:rsidRDefault="00A34615" w:rsidP="00A34615">
            <w:pPr>
              <w:tabs>
                <w:tab w:val="left" w:pos="-1440"/>
                <w:tab w:val="left" w:pos="-720"/>
              </w:tabs>
              <w:jc w:val="both"/>
            </w:pPr>
          </w:p>
        </w:tc>
      </w:tr>
    </w:tbl>
    <w:p w:rsidR="00A34615" w:rsidRPr="00A34615" w:rsidRDefault="00A34615" w:rsidP="00A34615">
      <w:pPr>
        <w:tabs>
          <w:tab w:val="left" w:pos="-1440"/>
          <w:tab w:val="left" w:pos="-720"/>
        </w:tabs>
        <w:jc w:val="both"/>
        <w:rPr>
          <w:rFonts w:eastAsia="Times New Roman" w:cs="Times New Roman"/>
          <w:sz w:val="20"/>
          <w:szCs w:val="20"/>
          <w:lang w:eastAsia="en-CA"/>
        </w:rPr>
      </w:pPr>
    </w:p>
    <w:p w:rsidR="00A34615" w:rsidRPr="00A34615" w:rsidRDefault="00A34615" w:rsidP="00A34615">
      <w:pPr>
        <w:tabs>
          <w:tab w:val="left" w:pos="-1440"/>
          <w:tab w:val="left" w:pos="-720"/>
        </w:tabs>
        <w:jc w:val="both"/>
        <w:rPr>
          <w:rFonts w:eastAsia="Times New Roman" w:cs="Times New Roman"/>
          <w:b/>
          <w:sz w:val="20"/>
          <w:szCs w:val="20"/>
          <w:lang w:eastAsia="en-CA"/>
        </w:rPr>
      </w:pPr>
      <w:r w:rsidRPr="00A34615">
        <w:rPr>
          <w:rFonts w:eastAsia="Times New Roman" w:cs="Times New Roman"/>
          <w:b/>
          <w:sz w:val="20"/>
          <w:szCs w:val="20"/>
          <w:lang w:eastAsia="en-CA"/>
        </w:rPr>
        <w:t>GRANTED / ACCORDÉE</w:t>
      </w:r>
    </w:p>
    <w:p w:rsidR="00A34615" w:rsidRPr="00A34615" w:rsidRDefault="00A34615" w:rsidP="00A34615">
      <w:pPr>
        <w:tabs>
          <w:tab w:val="left" w:pos="-1440"/>
          <w:tab w:val="left" w:pos="-720"/>
        </w:tabs>
        <w:jc w:val="both"/>
        <w:rPr>
          <w:rFonts w:eastAsia="Times New Roman" w:cs="Times New Roman"/>
          <w:sz w:val="20"/>
          <w:szCs w:val="20"/>
          <w:lang w:eastAsia="en-CA"/>
        </w:rPr>
      </w:pPr>
    </w:p>
    <w:p w:rsidR="00A34615" w:rsidRPr="00A34615" w:rsidRDefault="00CD48BC" w:rsidP="00A34615">
      <w:pPr>
        <w:tabs>
          <w:tab w:val="left" w:pos="-1440"/>
          <w:tab w:val="left" w:pos="-720"/>
        </w:tabs>
        <w:jc w:val="both"/>
        <w:rPr>
          <w:rFonts w:eastAsia="Times New Roman" w:cs="Times New Roman"/>
          <w:sz w:val="20"/>
          <w:szCs w:val="20"/>
          <w:lang w:eastAsia="en-CA"/>
        </w:rPr>
      </w:pPr>
      <w:r w:rsidRPr="00CD48BC">
        <w:rPr>
          <w:rFonts w:eastAsia="Times New Roman" w:cs="Times New Roman"/>
          <w:sz w:val="20"/>
          <w:szCs w:val="20"/>
          <w:lang w:val="fr-CA" w:eastAsia="en-CA"/>
        </w:rPr>
        <w:pict>
          <v:rect id="_x0000_i1070" style="width:2in;height:1pt" o:hrpct="0" o:hralign="center" o:hrstd="t" o:hrnoshade="t" o:hr="t" fillcolor="black [3213]" stroked="f"/>
        </w:pict>
      </w:r>
    </w:p>
    <w:p w:rsidR="00A34615" w:rsidRPr="00A34615" w:rsidRDefault="00A34615" w:rsidP="00A34615">
      <w:pPr>
        <w:tabs>
          <w:tab w:val="left" w:pos="-1440"/>
          <w:tab w:val="left" w:pos="-720"/>
        </w:tabs>
        <w:jc w:val="both"/>
        <w:rPr>
          <w:rFonts w:eastAsia="Times New Roman" w:cs="Times New Roman"/>
          <w:sz w:val="20"/>
          <w:szCs w:val="20"/>
          <w:lang w:eastAsia="en-CA"/>
        </w:rPr>
      </w:pPr>
    </w:p>
    <w:p w:rsidR="00A34615" w:rsidRPr="00A34615" w:rsidRDefault="00A34615" w:rsidP="00A34615">
      <w:pPr>
        <w:tabs>
          <w:tab w:val="left" w:pos="-1440"/>
          <w:tab w:val="left" w:pos="-720"/>
        </w:tabs>
        <w:jc w:val="both"/>
        <w:rPr>
          <w:rFonts w:eastAsia="Times New Roman" w:cs="Times New Roman"/>
          <w:sz w:val="20"/>
          <w:szCs w:val="20"/>
          <w:lang w:val="fr-CA" w:eastAsia="en-CA"/>
        </w:rPr>
      </w:pPr>
      <w:r w:rsidRPr="00A34615">
        <w:rPr>
          <w:rFonts w:eastAsia="Times New Roman" w:cs="Times New Roman"/>
          <w:sz w:val="20"/>
          <w:szCs w:val="20"/>
          <w:lang w:val="fr-CA" w:eastAsia="en-CA"/>
        </w:rPr>
        <w:t>07.01.2013</w:t>
      </w:r>
    </w:p>
    <w:p w:rsidR="00A34615" w:rsidRPr="00A34615" w:rsidRDefault="00A34615" w:rsidP="00A34615">
      <w:pPr>
        <w:tabs>
          <w:tab w:val="left" w:pos="-1440"/>
          <w:tab w:val="left" w:pos="-720"/>
        </w:tabs>
        <w:jc w:val="both"/>
        <w:rPr>
          <w:rFonts w:eastAsia="Times New Roman" w:cs="Times New Roman"/>
          <w:sz w:val="20"/>
          <w:szCs w:val="20"/>
          <w:lang w:val="fr-CA" w:eastAsia="en-CA"/>
        </w:rPr>
      </w:pPr>
    </w:p>
    <w:p w:rsidR="00A34615" w:rsidRPr="00A34615" w:rsidRDefault="00A34615" w:rsidP="00A34615">
      <w:pPr>
        <w:tabs>
          <w:tab w:val="left" w:pos="-1440"/>
          <w:tab w:val="left" w:pos="-720"/>
        </w:tabs>
        <w:jc w:val="both"/>
        <w:rPr>
          <w:rFonts w:eastAsia="Times New Roman" w:cs="Times New Roman"/>
          <w:sz w:val="20"/>
          <w:szCs w:val="20"/>
          <w:lang w:val="fr-CA" w:eastAsia="en-CA"/>
        </w:rPr>
      </w:pPr>
      <w:r w:rsidRPr="00A34615">
        <w:rPr>
          <w:rFonts w:eastAsia="Times New Roman" w:cs="Times New Roman"/>
          <w:sz w:val="20"/>
          <w:szCs w:val="20"/>
          <w:lang w:val="fr-CA" w:eastAsia="en-CA"/>
        </w:rPr>
        <w:t>Before / Devant :   LEBEL J. / LE JUGE LEBEL</w:t>
      </w:r>
    </w:p>
    <w:p w:rsidR="00A34615" w:rsidRPr="00A34615" w:rsidRDefault="00A34615" w:rsidP="00A34615">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3060"/>
        <w:gridCol w:w="1170"/>
        <w:gridCol w:w="4327"/>
      </w:tblGrid>
      <w:tr w:rsidR="00A34615" w:rsidRPr="00334802" w:rsidTr="003B435E">
        <w:tc>
          <w:tcPr>
            <w:tcW w:w="4338" w:type="dxa"/>
            <w:gridSpan w:val="2"/>
          </w:tcPr>
          <w:p w:rsidR="00A34615" w:rsidRPr="00A34615" w:rsidRDefault="00CD48BC" w:rsidP="00A34615">
            <w:pPr>
              <w:rPr>
                <w:b/>
              </w:rPr>
            </w:pPr>
            <w:r w:rsidRPr="00A34615">
              <w:rPr>
                <w:lang w:val="en-US"/>
              </w:rPr>
              <w:fldChar w:fldCharType="begin"/>
            </w:r>
            <w:r w:rsidR="00A34615" w:rsidRPr="00A34615">
              <w:rPr>
                <w:lang w:val="en-US"/>
              </w:rPr>
              <w:instrText xml:space="preserve"> SEQ CHAPTER \h \r 1</w:instrText>
            </w:r>
            <w:r w:rsidRPr="00A34615">
              <w:rPr>
                <w:lang w:val="en-US"/>
              </w:rPr>
              <w:fldChar w:fldCharType="end"/>
            </w:r>
            <w:r w:rsidR="00A34615" w:rsidRPr="00A34615">
              <w:rPr>
                <w:b/>
                <w:bCs/>
                <w:lang w:val="en-US"/>
              </w:rPr>
              <w:t>Motion for an extension of time and for leave to intervene</w:t>
            </w:r>
            <w:r w:rsidRPr="00A34615">
              <w:rPr>
                <w:lang w:val="en-US"/>
              </w:rPr>
              <w:fldChar w:fldCharType="begin"/>
            </w:r>
            <w:r w:rsidR="00A34615" w:rsidRPr="00A34615">
              <w:instrText xml:space="preserve"> SEQ CHAPTER \h \r 1</w:instrText>
            </w:r>
            <w:r w:rsidRPr="00A34615">
              <w:rPr>
                <w:lang w:val="en-US"/>
              </w:rPr>
              <w:fldChar w:fldCharType="end"/>
            </w:r>
          </w:p>
        </w:tc>
        <w:tc>
          <w:tcPr>
            <w:tcW w:w="1170" w:type="dxa"/>
          </w:tcPr>
          <w:p w:rsidR="00A34615" w:rsidRPr="00A34615" w:rsidRDefault="00A34615" w:rsidP="00A34615"/>
          <w:p w:rsidR="00A34615" w:rsidRPr="00A34615" w:rsidRDefault="00A34615" w:rsidP="00A34615"/>
          <w:p w:rsidR="00A34615" w:rsidRPr="00A34615" w:rsidRDefault="00A34615" w:rsidP="00A34615"/>
        </w:tc>
        <w:tc>
          <w:tcPr>
            <w:tcW w:w="4327" w:type="dxa"/>
          </w:tcPr>
          <w:p w:rsidR="00A34615" w:rsidRPr="00A34615" w:rsidRDefault="00CD48BC" w:rsidP="00A34615">
            <w:pPr>
              <w:jc w:val="both"/>
              <w:rPr>
                <w:b/>
                <w:lang w:val="fr-CA"/>
              </w:rPr>
            </w:pPr>
            <w:r w:rsidRPr="00A34615">
              <w:rPr>
                <w:lang w:val="en-US"/>
              </w:rPr>
              <w:fldChar w:fldCharType="begin"/>
            </w:r>
            <w:r w:rsidR="00A34615" w:rsidRPr="00A34615">
              <w:rPr>
                <w:lang w:val="fr-CA"/>
              </w:rPr>
              <w:instrText xml:space="preserve"> SEQ CHAPTER \h \r 1</w:instrText>
            </w:r>
            <w:r w:rsidRPr="00A34615">
              <w:rPr>
                <w:lang w:val="en-US"/>
              </w:rPr>
              <w:fldChar w:fldCharType="end"/>
            </w:r>
            <w:r w:rsidR="00A34615" w:rsidRPr="00A34615">
              <w:rPr>
                <w:b/>
                <w:bCs/>
                <w:lang w:val="fr-CA"/>
              </w:rPr>
              <w:t>Requête en prorogation de délai et en autorisation d’intervenir</w:t>
            </w:r>
            <w:r w:rsidRPr="00A34615">
              <w:rPr>
                <w:lang w:val="en-US"/>
              </w:rPr>
              <w:fldChar w:fldCharType="begin"/>
            </w:r>
            <w:r w:rsidR="00A34615" w:rsidRPr="00A34615">
              <w:rPr>
                <w:lang w:val="fr-CA"/>
              </w:rPr>
              <w:instrText xml:space="preserve"> SEQ CHAPTER \h \r 1</w:instrText>
            </w:r>
            <w:r w:rsidRPr="00A34615">
              <w:rPr>
                <w:lang w:val="en-US"/>
              </w:rPr>
              <w:fldChar w:fldCharType="end"/>
            </w:r>
          </w:p>
        </w:tc>
      </w:tr>
      <w:tr w:rsidR="00A34615" w:rsidRPr="00A34615" w:rsidTr="003B435E">
        <w:tc>
          <w:tcPr>
            <w:tcW w:w="1278" w:type="dxa"/>
          </w:tcPr>
          <w:p w:rsidR="00A34615" w:rsidRPr="00A34615" w:rsidRDefault="00A34615" w:rsidP="00A34615">
            <w:r w:rsidRPr="00A34615">
              <w:t>BY / PAR</w:t>
            </w:r>
          </w:p>
        </w:tc>
        <w:tc>
          <w:tcPr>
            <w:tcW w:w="3060" w:type="dxa"/>
          </w:tcPr>
          <w:p w:rsidR="00A34615" w:rsidRPr="00A34615" w:rsidRDefault="00A34615" w:rsidP="00A34615">
            <w:r w:rsidRPr="00A34615">
              <w:rPr>
                <w:lang w:val="en-US"/>
              </w:rPr>
              <w:t>Her Majesty the Queen in Right of Alberta;</w:t>
            </w:r>
          </w:p>
        </w:tc>
        <w:tc>
          <w:tcPr>
            <w:tcW w:w="1170" w:type="dxa"/>
          </w:tcPr>
          <w:p w:rsidR="00A34615" w:rsidRPr="00A34615" w:rsidRDefault="00A34615" w:rsidP="00A34615"/>
        </w:tc>
        <w:tc>
          <w:tcPr>
            <w:tcW w:w="4327" w:type="dxa"/>
          </w:tcPr>
          <w:p w:rsidR="00A34615" w:rsidRPr="00A34615" w:rsidRDefault="00A34615" w:rsidP="00A34615"/>
        </w:tc>
      </w:tr>
      <w:tr w:rsidR="00A34615" w:rsidRPr="00A34615" w:rsidTr="003B435E">
        <w:tc>
          <w:tcPr>
            <w:tcW w:w="1278" w:type="dxa"/>
          </w:tcPr>
          <w:p w:rsidR="00A34615" w:rsidRPr="00A34615" w:rsidRDefault="00A34615" w:rsidP="00A34615"/>
        </w:tc>
        <w:tc>
          <w:tcPr>
            <w:tcW w:w="3060" w:type="dxa"/>
          </w:tcPr>
          <w:p w:rsidR="00A34615" w:rsidRPr="00A34615" w:rsidRDefault="00A34615" w:rsidP="00A34615">
            <w:pPr>
              <w:rPr>
                <w:lang w:val="en-US"/>
              </w:rPr>
            </w:pPr>
            <w:r w:rsidRPr="00A34615">
              <w:rPr>
                <w:lang w:val="en-US"/>
              </w:rPr>
              <w:t>Tolko Industries Ltd., International Forest Products Limited, West Fraser Timber Co. Ltd. and Canfor Corporation;</w:t>
            </w:r>
          </w:p>
        </w:tc>
        <w:tc>
          <w:tcPr>
            <w:tcW w:w="1170" w:type="dxa"/>
          </w:tcPr>
          <w:p w:rsidR="00A34615" w:rsidRPr="00A34615" w:rsidRDefault="00A34615" w:rsidP="00A34615"/>
        </w:tc>
        <w:tc>
          <w:tcPr>
            <w:tcW w:w="4327" w:type="dxa"/>
          </w:tcPr>
          <w:p w:rsidR="00A34615" w:rsidRPr="00A34615" w:rsidRDefault="00A34615" w:rsidP="00A34615"/>
        </w:tc>
      </w:tr>
      <w:tr w:rsidR="00A34615" w:rsidRPr="00A34615" w:rsidTr="003B435E">
        <w:tc>
          <w:tcPr>
            <w:tcW w:w="1278" w:type="dxa"/>
          </w:tcPr>
          <w:p w:rsidR="00A34615" w:rsidRPr="00A34615" w:rsidRDefault="00A34615" w:rsidP="00A34615"/>
        </w:tc>
        <w:tc>
          <w:tcPr>
            <w:tcW w:w="3060" w:type="dxa"/>
          </w:tcPr>
          <w:p w:rsidR="00A34615" w:rsidRPr="00A34615" w:rsidRDefault="00A34615" w:rsidP="00A34615">
            <w:pPr>
              <w:rPr>
                <w:lang w:val="en-US"/>
              </w:rPr>
            </w:pPr>
            <w:r w:rsidRPr="00A34615">
              <w:rPr>
                <w:lang w:val="en-US"/>
              </w:rPr>
              <w:t>Canadian Association of Petroleum Producers</w:t>
            </w:r>
          </w:p>
        </w:tc>
        <w:tc>
          <w:tcPr>
            <w:tcW w:w="1170" w:type="dxa"/>
          </w:tcPr>
          <w:p w:rsidR="00A34615" w:rsidRPr="00A34615" w:rsidRDefault="00A34615" w:rsidP="00A34615"/>
        </w:tc>
        <w:tc>
          <w:tcPr>
            <w:tcW w:w="4327" w:type="dxa"/>
          </w:tcPr>
          <w:p w:rsidR="00A34615" w:rsidRPr="00A34615" w:rsidRDefault="00A34615" w:rsidP="00A34615"/>
        </w:tc>
      </w:tr>
      <w:tr w:rsidR="00A34615" w:rsidRPr="00A34615" w:rsidTr="003B435E">
        <w:tc>
          <w:tcPr>
            <w:tcW w:w="1278" w:type="dxa"/>
          </w:tcPr>
          <w:p w:rsidR="00A34615" w:rsidRPr="00A34615" w:rsidRDefault="00A34615" w:rsidP="00A34615"/>
        </w:tc>
        <w:tc>
          <w:tcPr>
            <w:tcW w:w="3060" w:type="dxa"/>
          </w:tcPr>
          <w:p w:rsidR="00A34615" w:rsidRPr="00A34615" w:rsidRDefault="00A34615" w:rsidP="00A34615">
            <w:pPr>
              <w:rPr>
                <w:lang w:val="en-US"/>
              </w:rPr>
            </w:pPr>
          </w:p>
        </w:tc>
        <w:tc>
          <w:tcPr>
            <w:tcW w:w="1170" w:type="dxa"/>
          </w:tcPr>
          <w:p w:rsidR="00A34615" w:rsidRPr="00A34615" w:rsidRDefault="00A34615" w:rsidP="00A34615"/>
        </w:tc>
        <w:tc>
          <w:tcPr>
            <w:tcW w:w="4327" w:type="dxa"/>
          </w:tcPr>
          <w:p w:rsidR="00A34615" w:rsidRPr="00A34615" w:rsidRDefault="00A34615" w:rsidP="00A34615"/>
        </w:tc>
      </w:tr>
      <w:tr w:rsidR="00A34615" w:rsidRPr="00A34615" w:rsidTr="003B435E">
        <w:tc>
          <w:tcPr>
            <w:tcW w:w="1278" w:type="dxa"/>
          </w:tcPr>
          <w:p w:rsidR="00A34615" w:rsidRPr="00A34615" w:rsidRDefault="00A34615" w:rsidP="00A34615">
            <w:r w:rsidRPr="00A34615">
              <w:t>IN / DANS :</w:t>
            </w:r>
          </w:p>
        </w:tc>
        <w:tc>
          <w:tcPr>
            <w:tcW w:w="3060" w:type="dxa"/>
          </w:tcPr>
          <w:p w:rsidR="00A34615" w:rsidRPr="00A34615" w:rsidRDefault="00A34615" w:rsidP="00A34615">
            <w:r w:rsidRPr="00A34615">
              <w:t>Daishowa-Marubeni International Ltd.</w:t>
            </w:r>
          </w:p>
          <w:p w:rsidR="00A34615" w:rsidRPr="00A34615" w:rsidRDefault="00A34615" w:rsidP="00A34615"/>
        </w:tc>
        <w:tc>
          <w:tcPr>
            <w:tcW w:w="1170" w:type="dxa"/>
          </w:tcPr>
          <w:p w:rsidR="00A34615" w:rsidRPr="00A34615" w:rsidRDefault="00A34615" w:rsidP="00A34615"/>
        </w:tc>
        <w:tc>
          <w:tcPr>
            <w:tcW w:w="4327" w:type="dxa"/>
          </w:tcPr>
          <w:p w:rsidR="00A34615" w:rsidRPr="00A34615" w:rsidRDefault="00A34615" w:rsidP="00A34615"/>
        </w:tc>
      </w:tr>
      <w:tr w:rsidR="00A34615" w:rsidRPr="00A34615" w:rsidTr="003B435E">
        <w:tc>
          <w:tcPr>
            <w:tcW w:w="1278" w:type="dxa"/>
          </w:tcPr>
          <w:p w:rsidR="00A34615" w:rsidRPr="00A34615" w:rsidRDefault="00A34615" w:rsidP="00A34615"/>
        </w:tc>
        <w:tc>
          <w:tcPr>
            <w:tcW w:w="3060" w:type="dxa"/>
          </w:tcPr>
          <w:p w:rsidR="00A34615" w:rsidRPr="00A34615" w:rsidRDefault="00A34615" w:rsidP="00A34615">
            <w:r w:rsidRPr="00A34615">
              <w:tab/>
              <w:t>v. (34534)</w:t>
            </w:r>
          </w:p>
          <w:p w:rsidR="00A34615" w:rsidRPr="00A34615" w:rsidRDefault="00A34615" w:rsidP="00A34615"/>
        </w:tc>
        <w:tc>
          <w:tcPr>
            <w:tcW w:w="1170" w:type="dxa"/>
          </w:tcPr>
          <w:p w:rsidR="00A34615" w:rsidRPr="00A34615" w:rsidRDefault="00A34615" w:rsidP="00A34615"/>
        </w:tc>
        <w:tc>
          <w:tcPr>
            <w:tcW w:w="4327" w:type="dxa"/>
          </w:tcPr>
          <w:p w:rsidR="00A34615" w:rsidRPr="00A34615" w:rsidRDefault="00A34615" w:rsidP="00A34615"/>
        </w:tc>
      </w:tr>
      <w:tr w:rsidR="00A34615" w:rsidRPr="00A34615" w:rsidTr="003B435E">
        <w:tc>
          <w:tcPr>
            <w:tcW w:w="1278" w:type="dxa"/>
          </w:tcPr>
          <w:p w:rsidR="00A34615" w:rsidRPr="00A34615" w:rsidRDefault="00A34615" w:rsidP="00A34615"/>
        </w:tc>
        <w:tc>
          <w:tcPr>
            <w:tcW w:w="3060" w:type="dxa"/>
          </w:tcPr>
          <w:p w:rsidR="00A34615" w:rsidRPr="00A34615" w:rsidRDefault="00A34615" w:rsidP="00A34615">
            <w:pPr>
              <w:jc w:val="both"/>
            </w:pPr>
            <w:r w:rsidRPr="00A34615">
              <w:t>Her Majesty the Queen (F.C.)</w:t>
            </w:r>
          </w:p>
        </w:tc>
        <w:tc>
          <w:tcPr>
            <w:tcW w:w="1170" w:type="dxa"/>
          </w:tcPr>
          <w:p w:rsidR="00A34615" w:rsidRPr="00A34615" w:rsidRDefault="00A34615" w:rsidP="00A34615"/>
        </w:tc>
        <w:tc>
          <w:tcPr>
            <w:tcW w:w="4327" w:type="dxa"/>
          </w:tcPr>
          <w:p w:rsidR="00A34615" w:rsidRPr="00A34615" w:rsidRDefault="00A34615" w:rsidP="00A34615"/>
        </w:tc>
      </w:tr>
    </w:tbl>
    <w:p w:rsidR="00A34615" w:rsidRPr="00A34615" w:rsidRDefault="00A34615" w:rsidP="00A34615">
      <w:pPr>
        <w:tabs>
          <w:tab w:val="left" w:pos="-1440"/>
          <w:tab w:val="left" w:pos="-720"/>
        </w:tabs>
        <w:jc w:val="both"/>
        <w:rPr>
          <w:rFonts w:eastAsia="Times New Roman" w:cs="Times New Roman"/>
          <w:sz w:val="20"/>
          <w:szCs w:val="20"/>
          <w:lang w:eastAsia="en-CA"/>
        </w:rPr>
      </w:pPr>
    </w:p>
    <w:p w:rsidR="00A34615" w:rsidRPr="00A34615" w:rsidRDefault="00A34615" w:rsidP="00A34615">
      <w:pPr>
        <w:tabs>
          <w:tab w:val="left" w:pos="-1440"/>
          <w:tab w:val="left" w:pos="-720"/>
        </w:tabs>
        <w:jc w:val="both"/>
        <w:rPr>
          <w:rFonts w:eastAsia="Times New Roman" w:cs="Times New Roman"/>
          <w:sz w:val="20"/>
          <w:szCs w:val="20"/>
          <w:lang w:eastAsia="en-CA"/>
        </w:rPr>
      </w:pPr>
      <w:r w:rsidRPr="00A34615">
        <w:rPr>
          <w:rFonts w:eastAsia="Times New Roman" w:cs="Times New Roman"/>
          <w:b/>
          <w:sz w:val="20"/>
          <w:szCs w:val="20"/>
          <w:lang w:eastAsia="en-CA"/>
        </w:rPr>
        <w:t>GRANTED / ACCORDÉES</w:t>
      </w:r>
    </w:p>
    <w:p w:rsidR="00A34615" w:rsidRPr="00A34615" w:rsidRDefault="00A34615" w:rsidP="00A34615">
      <w:pPr>
        <w:tabs>
          <w:tab w:val="left" w:pos="-1440"/>
          <w:tab w:val="left" w:pos="-720"/>
        </w:tabs>
        <w:jc w:val="both"/>
        <w:rPr>
          <w:rFonts w:eastAsia="Times New Roman" w:cs="Times New Roman"/>
          <w:sz w:val="20"/>
          <w:szCs w:val="20"/>
          <w:lang w:eastAsia="en-CA"/>
        </w:rPr>
      </w:pPr>
    </w:p>
    <w:p w:rsidR="00A34615" w:rsidRPr="00A34615" w:rsidRDefault="00A34615" w:rsidP="00A34615">
      <w:pPr>
        <w:spacing w:line="233" w:lineRule="auto"/>
        <w:jc w:val="both"/>
        <w:rPr>
          <w:rFonts w:eastAsia="Times New Roman" w:cs="Times New Roman"/>
          <w:sz w:val="20"/>
          <w:szCs w:val="20"/>
          <w:lang w:eastAsia="en-CA"/>
        </w:rPr>
      </w:pPr>
      <w:r w:rsidRPr="00A34615">
        <w:rPr>
          <w:rFonts w:eastAsia="Times New Roman" w:cs="Times New Roman"/>
          <w:b/>
          <w:bCs/>
          <w:sz w:val="20"/>
          <w:szCs w:val="20"/>
          <w:lang w:val="en-US" w:eastAsia="en-CA"/>
        </w:rPr>
        <w:t xml:space="preserve">UPON APPLICATION </w:t>
      </w:r>
      <w:r w:rsidRPr="00A34615">
        <w:rPr>
          <w:rFonts w:eastAsia="Times New Roman" w:cs="Times New Roman"/>
          <w:sz w:val="20"/>
          <w:szCs w:val="20"/>
          <w:lang w:val="en-US" w:eastAsia="en-CA"/>
        </w:rPr>
        <w:t>by Her Majesty the Queen in Right of Alberta</w:t>
      </w:r>
      <w:r w:rsidRPr="00A34615">
        <w:rPr>
          <w:rFonts w:eastAsia="Times New Roman" w:cs="Times New Roman"/>
          <w:sz w:val="20"/>
          <w:szCs w:val="20"/>
          <w:lang w:eastAsia="en-CA"/>
        </w:rPr>
        <w:t xml:space="preserve"> for an extension of time to apply for leave to intervene and </w:t>
      </w:r>
      <w:r w:rsidRPr="00A34615">
        <w:rPr>
          <w:rFonts w:eastAsia="Times New Roman" w:cs="Times New Roman"/>
          <w:sz w:val="20"/>
          <w:szCs w:val="20"/>
          <w:lang w:val="en-US" w:eastAsia="en-CA"/>
        </w:rPr>
        <w:t>for leave to intervene in the above appeal;</w:t>
      </w:r>
    </w:p>
    <w:p w:rsidR="00A34615" w:rsidRPr="00A34615" w:rsidRDefault="00A34615" w:rsidP="00A34615">
      <w:pPr>
        <w:spacing w:line="233" w:lineRule="auto"/>
        <w:jc w:val="both"/>
        <w:rPr>
          <w:rFonts w:eastAsia="Times New Roman" w:cs="Times New Roman"/>
          <w:b/>
          <w:sz w:val="20"/>
          <w:szCs w:val="20"/>
          <w:lang w:eastAsia="en-CA"/>
        </w:rPr>
      </w:pPr>
    </w:p>
    <w:p w:rsidR="00A34615" w:rsidRPr="00A34615" w:rsidRDefault="00A34615" w:rsidP="00A34615">
      <w:pPr>
        <w:spacing w:line="233" w:lineRule="auto"/>
        <w:jc w:val="both"/>
        <w:rPr>
          <w:rFonts w:eastAsia="Times New Roman" w:cs="Times New Roman"/>
          <w:sz w:val="20"/>
          <w:szCs w:val="20"/>
          <w:lang w:eastAsia="en-CA"/>
        </w:rPr>
      </w:pPr>
      <w:r w:rsidRPr="00A34615">
        <w:rPr>
          <w:rFonts w:eastAsia="Times New Roman" w:cs="Times New Roman"/>
          <w:b/>
          <w:sz w:val="20"/>
          <w:szCs w:val="20"/>
          <w:lang w:eastAsia="en-CA"/>
        </w:rPr>
        <w:t xml:space="preserve">AND </w:t>
      </w:r>
      <w:r w:rsidRPr="00A34615">
        <w:rPr>
          <w:rFonts w:eastAsia="Times New Roman" w:cs="Times New Roman"/>
          <w:b/>
          <w:sz w:val="20"/>
          <w:szCs w:val="20"/>
          <w:lang w:val="en-US" w:eastAsia="en-CA"/>
        </w:rPr>
        <w:t xml:space="preserve">UPON APPLICATIONS </w:t>
      </w:r>
      <w:r w:rsidRPr="00A34615">
        <w:rPr>
          <w:rFonts w:eastAsia="Times New Roman" w:cs="Times New Roman"/>
          <w:sz w:val="20"/>
          <w:szCs w:val="20"/>
          <w:lang w:val="en-US" w:eastAsia="en-CA"/>
        </w:rPr>
        <w:t>by the Tolko Industries Ltd., International Forest Products Limited, West Fraser Timber Co. Ltd. and Canfor Corporation and the Canadian Association of Petroleum Producers</w:t>
      </w:r>
      <w:r w:rsidRPr="00A34615">
        <w:rPr>
          <w:rFonts w:eastAsia="Times New Roman" w:cs="Times New Roman"/>
          <w:sz w:val="20"/>
          <w:szCs w:val="20"/>
          <w:lang w:eastAsia="en-CA"/>
        </w:rPr>
        <w:t xml:space="preserve"> </w:t>
      </w:r>
      <w:r w:rsidRPr="00A34615">
        <w:rPr>
          <w:rFonts w:eastAsia="Times New Roman" w:cs="Times New Roman"/>
          <w:sz w:val="20"/>
          <w:szCs w:val="20"/>
          <w:lang w:val="en-US" w:eastAsia="en-CA"/>
        </w:rPr>
        <w:t>for leave to intervene in the above appeal;</w:t>
      </w:r>
    </w:p>
    <w:p w:rsidR="00A34615" w:rsidRPr="00A34615" w:rsidRDefault="00A34615" w:rsidP="00A34615">
      <w:pPr>
        <w:spacing w:line="233" w:lineRule="auto"/>
        <w:jc w:val="both"/>
        <w:rPr>
          <w:rFonts w:eastAsia="Times New Roman" w:cs="Times New Roman"/>
          <w:sz w:val="20"/>
          <w:szCs w:val="20"/>
          <w:lang w:eastAsia="en-CA"/>
        </w:rPr>
      </w:pPr>
    </w:p>
    <w:p w:rsidR="00A34615" w:rsidRDefault="00A34615" w:rsidP="00A34615">
      <w:pPr>
        <w:spacing w:line="233" w:lineRule="auto"/>
        <w:jc w:val="both"/>
        <w:rPr>
          <w:rFonts w:eastAsia="Times New Roman" w:cs="Times New Roman"/>
          <w:sz w:val="20"/>
          <w:szCs w:val="20"/>
          <w:lang w:val="en-US" w:eastAsia="en-CA"/>
        </w:rPr>
      </w:pPr>
      <w:r w:rsidRPr="00A34615">
        <w:rPr>
          <w:rFonts w:eastAsia="Times New Roman" w:cs="Times New Roman"/>
          <w:b/>
          <w:bCs/>
          <w:sz w:val="20"/>
          <w:szCs w:val="20"/>
          <w:lang w:val="en-US" w:eastAsia="en-CA"/>
        </w:rPr>
        <w:t>AND THE MATERIAL FILED</w:t>
      </w:r>
      <w:r w:rsidRPr="00A34615">
        <w:rPr>
          <w:rFonts w:eastAsia="Times New Roman" w:cs="Times New Roman"/>
          <w:sz w:val="20"/>
          <w:szCs w:val="20"/>
          <w:lang w:val="en-US" w:eastAsia="en-CA"/>
        </w:rPr>
        <w:t xml:space="preserve"> having been read;</w:t>
      </w:r>
    </w:p>
    <w:p w:rsidR="00A34615" w:rsidRPr="00A34615" w:rsidRDefault="00A34615" w:rsidP="00A34615">
      <w:pPr>
        <w:spacing w:line="233" w:lineRule="auto"/>
        <w:jc w:val="both"/>
        <w:rPr>
          <w:rFonts w:eastAsia="Times New Roman" w:cs="Times New Roman"/>
          <w:sz w:val="20"/>
          <w:szCs w:val="20"/>
          <w:lang w:val="en-US" w:eastAsia="en-CA"/>
        </w:rPr>
      </w:pPr>
    </w:p>
    <w:p w:rsidR="00A34615" w:rsidRPr="00A34615" w:rsidRDefault="00A34615" w:rsidP="00A34615">
      <w:pPr>
        <w:rPr>
          <w:rFonts w:eastAsia="Times New Roman" w:cs="Times New Roman"/>
          <w:b/>
          <w:bCs/>
          <w:sz w:val="20"/>
          <w:szCs w:val="20"/>
          <w:lang w:val="en-US" w:eastAsia="en-CA"/>
        </w:rPr>
      </w:pPr>
      <w:r w:rsidRPr="00A34615">
        <w:rPr>
          <w:rFonts w:eastAsia="Times New Roman" w:cs="Times New Roman"/>
          <w:b/>
          <w:bCs/>
          <w:sz w:val="20"/>
          <w:szCs w:val="20"/>
          <w:lang w:val="en-US" w:eastAsia="en-CA"/>
        </w:rPr>
        <w:br w:type="page"/>
      </w:r>
    </w:p>
    <w:p w:rsidR="00A34615" w:rsidRPr="00A34615" w:rsidRDefault="00A34615" w:rsidP="00A34615">
      <w:pPr>
        <w:spacing w:line="233" w:lineRule="auto"/>
        <w:jc w:val="both"/>
        <w:rPr>
          <w:rFonts w:eastAsia="Times New Roman" w:cs="Times New Roman"/>
          <w:sz w:val="20"/>
          <w:szCs w:val="20"/>
          <w:lang w:val="en-US" w:eastAsia="en-CA"/>
        </w:rPr>
      </w:pPr>
      <w:r w:rsidRPr="00A34615">
        <w:rPr>
          <w:rFonts w:eastAsia="Times New Roman" w:cs="Times New Roman"/>
          <w:b/>
          <w:bCs/>
          <w:sz w:val="20"/>
          <w:szCs w:val="20"/>
          <w:lang w:val="en-US" w:eastAsia="en-CA"/>
        </w:rPr>
        <w:lastRenderedPageBreak/>
        <w:t>IT IS HEREBY ORDERED THAT:</w:t>
      </w:r>
    </w:p>
    <w:p w:rsidR="00A34615" w:rsidRPr="00A34615" w:rsidRDefault="00A34615" w:rsidP="00A34615">
      <w:pPr>
        <w:spacing w:line="233" w:lineRule="auto"/>
        <w:jc w:val="both"/>
        <w:rPr>
          <w:rFonts w:eastAsia="Times New Roman" w:cs="Times New Roman"/>
          <w:sz w:val="20"/>
          <w:szCs w:val="20"/>
          <w:lang w:val="en-US" w:eastAsia="en-CA"/>
        </w:rPr>
      </w:pPr>
    </w:p>
    <w:p w:rsidR="00A34615" w:rsidRPr="00A34615" w:rsidRDefault="00A34615" w:rsidP="00A34615">
      <w:pPr>
        <w:spacing w:line="233" w:lineRule="auto"/>
        <w:jc w:val="both"/>
        <w:rPr>
          <w:rFonts w:eastAsia="Times New Roman" w:cs="Times New Roman"/>
          <w:sz w:val="20"/>
          <w:szCs w:val="20"/>
          <w:lang w:val="en-US" w:eastAsia="en-CA"/>
        </w:rPr>
      </w:pPr>
      <w:r w:rsidRPr="00A34615">
        <w:rPr>
          <w:rFonts w:eastAsia="Times New Roman" w:cs="Times New Roman"/>
          <w:sz w:val="20"/>
          <w:szCs w:val="20"/>
          <w:lang w:val="en-US" w:eastAsia="en-CA"/>
        </w:rPr>
        <w:t xml:space="preserve">The motion for an extension of time to apply for leave to intervene and for leave to intervene of Her Majesty the Queen in Right of Alberta is granted and the said intervener shall be entitled to serve and file a factum not to exceed 10 pages in length on or before February 7, 2013. </w:t>
      </w:r>
    </w:p>
    <w:p w:rsidR="00A34615" w:rsidRPr="00A34615" w:rsidRDefault="00A34615" w:rsidP="00A34615">
      <w:pPr>
        <w:spacing w:line="233" w:lineRule="auto"/>
        <w:jc w:val="both"/>
        <w:rPr>
          <w:rFonts w:eastAsia="Times New Roman" w:cs="Times New Roman"/>
          <w:sz w:val="20"/>
          <w:szCs w:val="20"/>
          <w:lang w:val="en-US" w:eastAsia="en-CA"/>
        </w:rPr>
      </w:pPr>
    </w:p>
    <w:p w:rsidR="00A34615" w:rsidRPr="00A34615" w:rsidRDefault="00A34615" w:rsidP="00A34615">
      <w:pPr>
        <w:spacing w:line="233" w:lineRule="auto"/>
        <w:jc w:val="both"/>
        <w:rPr>
          <w:rFonts w:eastAsia="Times New Roman" w:cs="Times New Roman"/>
          <w:sz w:val="20"/>
          <w:szCs w:val="20"/>
          <w:lang w:val="en-US" w:eastAsia="en-CA"/>
        </w:rPr>
      </w:pPr>
      <w:r w:rsidRPr="00A34615">
        <w:rPr>
          <w:rFonts w:eastAsia="Times New Roman" w:cs="Times New Roman"/>
          <w:sz w:val="20"/>
          <w:szCs w:val="20"/>
          <w:lang w:val="en-US" w:eastAsia="en-CA"/>
        </w:rPr>
        <w:t xml:space="preserve">The motion for leave to intervene of </w:t>
      </w:r>
      <w:r w:rsidRPr="00A34615">
        <w:rPr>
          <w:rFonts w:eastAsia="Times New Roman" w:cs="Times New Roman"/>
          <w:sz w:val="20"/>
          <w:szCs w:val="20"/>
          <w:lang w:eastAsia="en-CA"/>
        </w:rPr>
        <w:t xml:space="preserve">the </w:t>
      </w:r>
      <w:r w:rsidRPr="00A34615">
        <w:rPr>
          <w:rFonts w:eastAsia="Times New Roman" w:cs="Times New Roman"/>
          <w:sz w:val="20"/>
          <w:szCs w:val="20"/>
          <w:lang w:val="en-US" w:eastAsia="en-CA"/>
        </w:rPr>
        <w:t xml:space="preserve">Tolko Industries Ltd., International Forest Products Limited, West Fraser Timber Co. Ltd. and Canfor Corporation </w:t>
      </w:r>
      <w:r w:rsidRPr="00A34615">
        <w:rPr>
          <w:rFonts w:eastAsia="Times New Roman" w:cs="Times New Roman"/>
          <w:sz w:val="20"/>
          <w:szCs w:val="20"/>
          <w:lang w:eastAsia="en-CA"/>
        </w:rPr>
        <w:t>is</w:t>
      </w:r>
      <w:r w:rsidRPr="00A34615">
        <w:rPr>
          <w:rFonts w:eastAsia="Times New Roman" w:cs="Times New Roman"/>
          <w:sz w:val="20"/>
          <w:szCs w:val="20"/>
          <w:lang w:val="en-US" w:eastAsia="en-CA"/>
        </w:rPr>
        <w:t xml:space="preserve"> granted and the said group of interveners shall be entitled to serve and file a single factum not to exceed 10 pages in length on or before February 7, 2013.</w:t>
      </w:r>
    </w:p>
    <w:p w:rsidR="00A34615" w:rsidRPr="00A34615" w:rsidRDefault="00A34615" w:rsidP="00A34615">
      <w:pPr>
        <w:spacing w:line="233" w:lineRule="auto"/>
        <w:jc w:val="both"/>
        <w:rPr>
          <w:rFonts w:eastAsia="Times New Roman" w:cs="Times New Roman"/>
          <w:sz w:val="20"/>
          <w:szCs w:val="20"/>
          <w:lang w:val="en-US" w:eastAsia="en-CA"/>
        </w:rPr>
      </w:pPr>
    </w:p>
    <w:p w:rsidR="00A34615" w:rsidRPr="00A34615" w:rsidRDefault="00A34615" w:rsidP="00A34615">
      <w:pPr>
        <w:spacing w:line="233" w:lineRule="auto"/>
        <w:jc w:val="both"/>
        <w:rPr>
          <w:rFonts w:eastAsia="Times New Roman" w:cs="Times New Roman"/>
          <w:sz w:val="20"/>
          <w:szCs w:val="20"/>
          <w:lang w:val="en-US" w:eastAsia="en-CA"/>
        </w:rPr>
      </w:pPr>
      <w:r w:rsidRPr="00A34615">
        <w:rPr>
          <w:rFonts w:eastAsia="Times New Roman" w:cs="Times New Roman"/>
          <w:sz w:val="20"/>
          <w:szCs w:val="20"/>
          <w:lang w:val="en-US" w:eastAsia="en-CA"/>
        </w:rPr>
        <w:t xml:space="preserve">The motion for leave to intervene of the Canadian Association of Petroleum Producers </w:t>
      </w:r>
      <w:r w:rsidRPr="00A34615">
        <w:rPr>
          <w:rFonts w:eastAsia="Times New Roman" w:cs="Times New Roman"/>
          <w:sz w:val="20"/>
          <w:szCs w:val="20"/>
          <w:lang w:eastAsia="en-CA"/>
        </w:rPr>
        <w:t>is</w:t>
      </w:r>
      <w:r w:rsidRPr="00A34615">
        <w:rPr>
          <w:rFonts w:eastAsia="Times New Roman" w:cs="Times New Roman"/>
          <w:sz w:val="20"/>
          <w:szCs w:val="20"/>
          <w:lang w:val="en-US" w:eastAsia="en-CA"/>
        </w:rPr>
        <w:t xml:space="preserve"> granted and the said intervener shall be entitled to serve and file a single factum not to exceed 10 pages in length on or before February 7, 2013.</w:t>
      </w:r>
    </w:p>
    <w:p w:rsidR="00A34615" w:rsidRPr="00A34615" w:rsidRDefault="00A34615" w:rsidP="00A34615">
      <w:pPr>
        <w:spacing w:line="233" w:lineRule="auto"/>
        <w:jc w:val="both"/>
        <w:rPr>
          <w:rFonts w:eastAsia="Times New Roman" w:cs="Times New Roman"/>
          <w:sz w:val="20"/>
          <w:szCs w:val="20"/>
          <w:lang w:val="en-US" w:eastAsia="en-CA"/>
        </w:rPr>
      </w:pPr>
    </w:p>
    <w:p w:rsidR="00A34615" w:rsidRPr="00A34615" w:rsidRDefault="00A34615" w:rsidP="00A34615">
      <w:pPr>
        <w:spacing w:line="233" w:lineRule="auto"/>
        <w:jc w:val="both"/>
        <w:rPr>
          <w:rFonts w:eastAsia="Times New Roman" w:cs="Times New Roman"/>
          <w:sz w:val="20"/>
          <w:szCs w:val="20"/>
          <w:lang w:val="en-US" w:eastAsia="en-CA"/>
        </w:rPr>
      </w:pPr>
      <w:r w:rsidRPr="00A34615">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A34615" w:rsidRPr="00A34615" w:rsidRDefault="00A34615" w:rsidP="00A34615">
      <w:pPr>
        <w:spacing w:line="233" w:lineRule="auto"/>
        <w:jc w:val="both"/>
        <w:rPr>
          <w:rFonts w:eastAsia="Times New Roman" w:cs="Times New Roman"/>
          <w:sz w:val="20"/>
          <w:szCs w:val="20"/>
          <w:lang w:val="en-US" w:eastAsia="en-CA"/>
        </w:rPr>
      </w:pPr>
    </w:p>
    <w:p w:rsidR="00A34615" w:rsidRPr="00A34615" w:rsidRDefault="00CD48BC" w:rsidP="00A34615">
      <w:pPr>
        <w:jc w:val="both"/>
        <w:rPr>
          <w:rFonts w:eastAsia="Times New Roman" w:cs="Times New Roman"/>
          <w:bCs/>
          <w:sz w:val="20"/>
          <w:szCs w:val="20"/>
          <w:lang w:val="en-US" w:eastAsia="en-CA"/>
        </w:rPr>
      </w:pPr>
      <w:r w:rsidRPr="00A34615">
        <w:rPr>
          <w:rFonts w:eastAsia="Times New Roman" w:cs="Times New Roman"/>
          <w:sz w:val="20"/>
          <w:szCs w:val="20"/>
          <w:lang w:eastAsia="en-CA"/>
        </w:rPr>
        <w:fldChar w:fldCharType="begin"/>
      </w:r>
      <w:r w:rsidR="00A34615" w:rsidRPr="00A34615">
        <w:rPr>
          <w:rFonts w:eastAsia="Times New Roman" w:cs="Times New Roman"/>
          <w:sz w:val="20"/>
          <w:szCs w:val="20"/>
          <w:lang w:eastAsia="en-CA"/>
        </w:rPr>
        <w:instrText xml:space="preserve"> SEQ CHAPTER \h \r 1</w:instrText>
      </w:r>
      <w:r w:rsidRPr="00A34615">
        <w:rPr>
          <w:rFonts w:eastAsia="Times New Roman" w:cs="Times New Roman"/>
          <w:sz w:val="20"/>
          <w:szCs w:val="20"/>
          <w:lang w:eastAsia="en-CA"/>
        </w:rPr>
        <w:fldChar w:fldCharType="end"/>
      </w:r>
      <w:r w:rsidR="00A34615" w:rsidRPr="00A34615">
        <w:rPr>
          <w:rFonts w:eastAsia="Times New Roman" w:cs="Times New Roman"/>
          <w:bCs/>
          <w:sz w:val="20"/>
          <w:szCs w:val="20"/>
          <w:lang w:val="en-US" w:eastAsia="en-CA"/>
        </w:rPr>
        <w:t>The interveners are not entitled to raise new issues or to adduce further evidence or otherwise to supplement the record of the parties.</w:t>
      </w:r>
    </w:p>
    <w:p w:rsidR="00A34615" w:rsidRPr="00A34615" w:rsidRDefault="00A34615" w:rsidP="00A34615">
      <w:pPr>
        <w:spacing w:line="233" w:lineRule="auto"/>
        <w:jc w:val="both"/>
        <w:rPr>
          <w:rFonts w:eastAsia="Times New Roman" w:cs="Times New Roman"/>
          <w:sz w:val="20"/>
          <w:szCs w:val="20"/>
          <w:lang w:val="en-US" w:eastAsia="en-CA"/>
        </w:rPr>
      </w:pPr>
    </w:p>
    <w:p w:rsidR="00A34615" w:rsidRPr="00A34615" w:rsidRDefault="00A34615" w:rsidP="00A34615">
      <w:pPr>
        <w:spacing w:line="233" w:lineRule="auto"/>
        <w:jc w:val="both"/>
        <w:rPr>
          <w:rFonts w:eastAsia="Times New Roman" w:cs="Times New Roman"/>
          <w:sz w:val="20"/>
          <w:szCs w:val="20"/>
          <w:lang w:val="en-US" w:eastAsia="en-CA"/>
        </w:rPr>
      </w:pPr>
      <w:r w:rsidRPr="00A34615">
        <w:rPr>
          <w:rFonts w:eastAsia="Times New Roman" w:cs="Times New Roman"/>
          <w:sz w:val="20"/>
          <w:szCs w:val="20"/>
          <w:lang w:val="en-US" w:eastAsia="en-CA"/>
        </w:rPr>
        <w:t>Pursuant to Rule 59(1)(</w:t>
      </w:r>
      <w:r w:rsidRPr="00A34615">
        <w:rPr>
          <w:rFonts w:eastAsia="Times New Roman" w:cs="Times New Roman"/>
          <w:i/>
          <w:iCs/>
          <w:sz w:val="20"/>
          <w:szCs w:val="20"/>
          <w:lang w:val="en-US" w:eastAsia="en-CA"/>
        </w:rPr>
        <w:t>a</w:t>
      </w:r>
      <w:r w:rsidRPr="00A34615">
        <w:rPr>
          <w:rFonts w:eastAsia="Times New Roman" w:cs="Times New Roman"/>
          <w:sz w:val="20"/>
          <w:szCs w:val="20"/>
          <w:lang w:val="en-US" w:eastAsia="en-CA"/>
        </w:rPr>
        <w:t xml:space="preserve">) of the </w:t>
      </w:r>
      <w:r w:rsidRPr="00A34615">
        <w:rPr>
          <w:rFonts w:eastAsia="Times New Roman" w:cs="Times New Roman"/>
          <w:i/>
          <w:iCs/>
          <w:sz w:val="20"/>
          <w:szCs w:val="20"/>
          <w:lang w:val="en-US" w:eastAsia="en-CA"/>
        </w:rPr>
        <w:t>Rules of the Supreme Court of Canada</w:t>
      </w:r>
      <w:r w:rsidRPr="00A34615">
        <w:rPr>
          <w:rFonts w:eastAsia="Times New Roman" w:cs="Times New Roman"/>
          <w:sz w:val="20"/>
          <w:szCs w:val="20"/>
          <w:lang w:val="en-US" w:eastAsia="en-CA"/>
        </w:rPr>
        <w:t>, the interveners shall pay to the appellant and respondent any additional disbursements occasioned to the appellant and respondent by their interventions.</w:t>
      </w:r>
    </w:p>
    <w:p w:rsidR="00A34615" w:rsidRPr="00A34615" w:rsidRDefault="00A34615" w:rsidP="00A34615">
      <w:pPr>
        <w:spacing w:line="233" w:lineRule="auto"/>
        <w:ind w:left="-23"/>
        <w:jc w:val="both"/>
        <w:rPr>
          <w:rFonts w:eastAsia="Times New Roman" w:cs="Times New Roman"/>
          <w:b/>
          <w:bCs/>
          <w:sz w:val="20"/>
          <w:szCs w:val="20"/>
          <w:lang w:val="en-US" w:eastAsia="en-CA"/>
        </w:rPr>
      </w:pPr>
    </w:p>
    <w:p w:rsidR="00A34615" w:rsidRPr="00A34615" w:rsidRDefault="00A34615" w:rsidP="00A34615">
      <w:pPr>
        <w:spacing w:line="233" w:lineRule="auto"/>
        <w:ind w:left="-23"/>
        <w:jc w:val="both"/>
        <w:rPr>
          <w:rFonts w:eastAsia="Times New Roman" w:cs="Times New Roman"/>
          <w:sz w:val="20"/>
          <w:szCs w:val="20"/>
          <w:lang w:val="en-US" w:eastAsia="en-CA"/>
        </w:rPr>
      </w:pPr>
      <w:r w:rsidRPr="00A34615">
        <w:rPr>
          <w:rFonts w:eastAsia="Times New Roman" w:cs="Times New Roman"/>
          <w:b/>
          <w:bCs/>
          <w:sz w:val="20"/>
          <w:szCs w:val="20"/>
          <w:lang w:val="en-US" w:eastAsia="en-CA"/>
        </w:rPr>
        <w:t>AND IT IS HEREBY FURTHER ORDERED THAT</w:t>
      </w:r>
      <w:r w:rsidRPr="00A34615">
        <w:rPr>
          <w:rFonts w:eastAsia="Times New Roman" w:cs="Times New Roman"/>
          <w:sz w:val="20"/>
          <w:szCs w:val="20"/>
          <w:lang w:val="en-US" w:eastAsia="en-CA"/>
        </w:rPr>
        <w:t xml:space="preserve"> the respondent may serve and file a reply factum not to exceed 5 pages in length to the factum of Her Majesty the Queen in Right of Alberta on or before February 12, 2013.</w:t>
      </w:r>
    </w:p>
    <w:p w:rsidR="00A34615" w:rsidRPr="00A34615" w:rsidRDefault="00A34615" w:rsidP="00A34615">
      <w:pPr>
        <w:tabs>
          <w:tab w:val="left" w:pos="-1440"/>
          <w:tab w:val="left" w:pos="-720"/>
        </w:tabs>
        <w:jc w:val="both"/>
        <w:rPr>
          <w:rFonts w:eastAsia="Times New Roman" w:cs="Times New Roman"/>
          <w:sz w:val="20"/>
          <w:szCs w:val="20"/>
          <w:lang w:val="en-US" w:eastAsia="en-CA"/>
        </w:rPr>
      </w:pPr>
    </w:p>
    <w:p w:rsidR="00A34615" w:rsidRPr="00A34615" w:rsidRDefault="00A34615" w:rsidP="00A34615">
      <w:pPr>
        <w:tabs>
          <w:tab w:val="left" w:pos="-1440"/>
          <w:tab w:val="left" w:pos="-720"/>
        </w:tabs>
        <w:jc w:val="both"/>
        <w:rPr>
          <w:rFonts w:eastAsia="Times New Roman" w:cs="Times New Roman"/>
          <w:sz w:val="20"/>
          <w:szCs w:val="20"/>
          <w:lang w:val="en-US" w:eastAsia="en-CA"/>
        </w:rPr>
      </w:pPr>
    </w:p>
    <w:p w:rsidR="00A34615" w:rsidRPr="00A34615" w:rsidRDefault="00A34615" w:rsidP="00A34615">
      <w:pPr>
        <w:tabs>
          <w:tab w:val="left" w:pos="-1440"/>
          <w:tab w:val="left" w:pos="-720"/>
        </w:tabs>
        <w:jc w:val="both"/>
        <w:rPr>
          <w:rFonts w:eastAsia="Times New Roman" w:cs="Times New Roman"/>
          <w:sz w:val="20"/>
          <w:szCs w:val="20"/>
          <w:lang w:val="en-US" w:eastAsia="en-CA"/>
        </w:rPr>
      </w:pPr>
    </w:p>
    <w:p w:rsidR="00A34615" w:rsidRPr="00A34615" w:rsidRDefault="00A34615" w:rsidP="00A34615">
      <w:pPr>
        <w:spacing w:line="233" w:lineRule="auto"/>
        <w:jc w:val="both"/>
        <w:rPr>
          <w:rFonts w:eastAsia="Times New Roman" w:cs="Times New Roman"/>
          <w:sz w:val="20"/>
          <w:szCs w:val="20"/>
          <w:lang w:val="fr-CA" w:eastAsia="en-CA"/>
        </w:rPr>
      </w:pPr>
      <w:r w:rsidRPr="00A34615">
        <w:rPr>
          <w:rFonts w:eastAsia="Times New Roman" w:cs="Times New Roman"/>
          <w:b/>
          <w:sz w:val="20"/>
          <w:szCs w:val="20"/>
          <w:lang w:val="fr-CA" w:eastAsia="en-CA"/>
        </w:rPr>
        <w:t>À LA SUITE DE LA REQUÊTE</w:t>
      </w:r>
      <w:r w:rsidRPr="00A34615">
        <w:rPr>
          <w:rFonts w:eastAsia="Times New Roman" w:cs="Times New Roman"/>
          <w:sz w:val="20"/>
          <w:szCs w:val="20"/>
          <w:lang w:val="fr-CA" w:eastAsia="en-CA"/>
        </w:rPr>
        <w:t xml:space="preserve"> présentée par Sa Majesté la Reine du chef de l’Alberta en prorogation du délai applicable à une demande d'autorisation d'intervenir et en autorisation d'intervenir dans l'appel;</w:t>
      </w:r>
    </w:p>
    <w:p w:rsidR="00A34615" w:rsidRPr="00A34615" w:rsidRDefault="00A34615" w:rsidP="00A34615">
      <w:pPr>
        <w:spacing w:line="233" w:lineRule="auto"/>
        <w:jc w:val="both"/>
        <w:rPr>
          <w:rFonts w:eastAsia="Times New Roman" w:cs="Times New Roman"/>
          <w:sz w:val="20"/>
          <w:szCs w:val="20"/>
          <w:lang w:val="fr-CA" w:eastAsia="en-CA"/>
        </w:rPr>
      </w:pPr>
    </w:p>
    <w:p w:rsidR="00A34615" w:rsidRPr="00A34615" w:rsidRDefault="00A34615" w:rsidP="00A34615">
      <w:pPr>
        <w:spacing w:line="233" w:lineRule="auto"/>
        <w:jc w:val="both"/>
        <w:rPr>
          <w:rFonts w:eastAsia="Times New Roman" w:cs="Times New Roman"/>
          <w:sz w:val="20"/>
          <w:szCs w:val="20"/>
          <w:lang w:val="fr-CA" w:eastAsia="en-CA"/>
        </w:rPr>
      </w:pPr>
      <w:r w:rsidRPr="00A34615">
        <w:rPr>
          <w:rFonts w:eastAsia="Times New Roman" w:cs="Times New Roman"/>
          <w:b/>
          <w:sz w:val="20"/>
          <w:szCs w:val="20"/>
          <w:lang w:val="fr-CA" w:eastAsia="en-CA"/>
        </w:rPr>
        <w:t>ET À LA SUITE DES REQUÊTES</w:t>
      </w:r>
      <w:r w:rsidRPr="00A34615">
        <w:rPr>
          <w:rFonts w:eastAsia="Times New Roman" w:cs="Times New Roman"/>
          <w:sz w:val="20"/>
          <w:szCs w:val="20"/>
          <w:lang w:val="fr-CA" w:eastAsia="en-CA"/>
        </w:rPr>
        <w:t xml:space="preserve"> présentées par Tolko Industries Ltd., International Forest Products Limited, West Fraser Timber Co. Ltd. et Canfor Corporation et par l’Association canadienne des producteurs pétroliers en autorisation d’intervenir dans l’appel;  </w:t>
      </w:r>
    </w:p>
    <w:p w:rsidR="00A34615" w:rsidRPr="00A34615" w:rsidRDefault="00A34615" w:rsidP="00A34615">
      <w:pPr>
        <w:spacing w:line="233" w:lineRule="auto"/>
        <w:jc w:val="both"/>
        <w:rPr>
          <w:rFonts w:eastAsia="Times New Roman" w:cs="Times New Roman"/>
          <w:sz w:val="20"/>
          <w:szCs w:val="20"/>
          <w:lang w:val="fr-CA" w:eastAsia="en-CA"/>
        </w:rPr>
      </w:pPr>
    </w:p>
    <w:p w:rsidR="00A34615" w:rsidRPr="00A34615" w:rsidRDefault="00A34615" w:rsidP="00A34615">
      <w:pPr>
        <w:spacing w:line="233" w:lineRule="auto"/>
        <w:jc w:val="both"/>
        <w:rPr>
          <w:rFonts w:eastAsia="Times New Roman" w:cs="Times New Roman"/>
          <w:sz w:val="20"/>
          <w:szCs w:val="20"/>
          <w:lang w:val="fr-CA" w:eastAsia="en-CA"/>
        </w:rPr>
      </w:pPr>
      <w:r w:rsidRPr="00A34615">
        <w:rPr>
          <w:rFonts w:eastAsia="Times New Roman" w:cs="Times New Roman"/>
          <w:b/>
          <w:sz w:val="20"/>
          <w:szCs w:val="20"/>
          <w:lang w:val="fr-CA" w:eastAsia="en-CA"/>
        </w:rPr>
        <w:t>ET APRÈS EXAMEN</w:t>
      </w:r>
      <w:r w:rsidRPr="00A34615">
        <w:rPr>
          <w:rFonts w:eastAsia="Times New Roman" w:cs="Times New Roman"/>
          <w:sz w:val="20"/>
          <w:szCs w:val="20"/>
          <w:lang w:val="fr-CA" w:eastAsia="en-CA"/>
        </w:rPr>
        <w:t xml:space="preserve"> des documents déposés; </w:t>
      </w:r>
    </w:p>
    <w:p w:rsidR="00A34615" w:rsidRPr="00A34615" w:rsidRDefault="00A34615" w:rsidP="00A34615">
      <w:pPr>
        <w:spacing w:line="233" w:lineRule="auto"/>
        <w:jc w:val="both"/>
        <w:rPr>
          <w:rFonts w:eastAsia="Times New Roman" w:cs="Times New Roman"/>
          <w:sz w:val="20"/>
          <w:szCs w:val="20"/>
          <w:lang w:val="fr-CA" w:eastAsia="en-CA"/>
        </w:rPr>
      </w:pPr>
    </w:p>
    <w:p w:rsidR="00A34615" w:rsidRPr="00A34615" w:rsidRDefault="00A34615" w:rsidP="00A34615">
      <w:pPr>
        <w:spacing w:line="233" w:lineRule="auto"/>
        <w:jc w:val="both"/>
        <w:rPr>
          <w:rFonts w:eastAsia="Times New Roman" w:cs="Times New Roman"/>
          <w:b/>
          <w:sz w:val="20"/>
          <w:szCs w:val="20"/>
          <w:lang w:val="fr-CA" w:eastAsia="en-CA"/>
        </w:rPr>
      </w:pPr>
      <w:r w:rsidRPr="00A34615">
        <w:rPr>
          <w:rFonts w:eastAsia="Times New Roman" w:cs="Times New Roman"/>
          <w:b/>
          <w:sz w:val="20"/>
          <w:szCs w:val="20"/>
          <w:lang w:val="fr-CA" w:eastAsia="en-CA"/>
        </w:rPr>
        <w:t xml:space="preserve">IL EST ORDONNÉ CE QUI SUIT : </w:t>
      </w:r>
    </w:p>
    <w:p w:rsidR="00A34615" w:rsidRPr="00A34615" w:rsidRDefault="00A34615" w:rsidP="00A34615">
      <w:pPr>
        <w:spacing w:line="233" w:lineRule="auto"/>
        <w:jc w:val="both"/>
        <w:rPr>
          <w:rFonts w:eastAsia="Times New Roman" w:cs="Times New Roman"/>
          <w:sz w:val="20"/>
          <w:szCs w:val="20"/>
          <w:lang w:val="fr-CA" w:eastAsia="en-CA"/>
        </w:rPr>
      </w:pPr>
    </w:p>
    <w:p w:rsidR="00A34615" w:rsidRPr="00A34615" w:rsidRDefault="00A34615" w:rsidP="00A34615">
      <w:pPr>
        <w:spacing w:line="233" w:lineRule="auto"/>
        <w:jc w:val="both"/>
        <w:rPr>
          <w:rFonts w:eastAsia="Times New Roman" w:cs="Times New Roman"/>
          <w:sz w:val="20"/>
          <w:szCs w:val="20"/>
          <w:lang w:val="fr-CA" w:eastAsia="en-CA"/>
        </w:rPr>
      </w:pPr>
      <w:r w:rsidRPr="00A34615">
        <w:rPr>
          <w:rFonts w:eastAsia="Times New Roman" w:cs="Times New Roman"/>
          <w:sz w:val="20"/>
          <w:szCs w:val="20"/>
          <w:lang w:val="fr-CA" w:eastAsia="en-CA"/>
        </w:rPr>
        <w:t xml:space="preserve">La requête en prorogation du délai applicable à une demande d'autorisation d'intervenir et en autorisation d’intervenir présentée par Sa Majesté la Reine du chef de l’Alberta est accordée et cette intervenante pourra signifier et déposer un mémoire d'au plus dix (10) pages au plus tard le 7 février 2013. </w:t>
      </w:r>
    </w:p>
    <w:p w:rsidR="00A34615" w:rsidRPr="00A34615" w:rsidRDefault="00A34615" w:rsidP="00A34615">
      <w:pPr>
        <w:spacing w:line="233" w:lineRule="auto"/>
        <w:jc w:val="both"/>
        <w:rPr>
          <w:rFonts w:eastAsia="Times New Roman" w:cs="Times New Roman"/>
          <w:sz w:val="20"/>
          <w:szCs w:val="20"/>
          <w:lang w:val="fr-CA" w:eastAsia="en-CA"/>
        </w:rPr>
      </w:pPr>
    </w:p>
    <w:p w:rsidR="00A34615" w:rsidRPr="00A34615" w:rsidRDefault="00A34615" w:rsidP="00A34615">
      <w:pPr>
        <w:spacing w:line="233" w:lineRule="auto"/>
        <w:jc w:val="both"/>
        <w:rPr>
          <w:rFonts w:eastAsia="Times New Roman" w:cs="Times New Roman"/>
          <w:sz w:val="20"/>
          <w:szCs w:val="20"/>
          <w:lang w:val="fr-CA" w:eastAsia="en-CA"/>
        </w:rPr>
      </w:pPr>
      <w:r w:rsidRPr="00A34615">
        <w:rPr>
          <w:rFonts w:eastAsia="Times New Roman" w:cs="Times New Roman"/>
          <w:sz w:val="20"/>
          <w:szCs w:val="20"/>
          <w:lang w:val="fr-CA" w:eastAsia="en-CA"/>
        </w:rPr>
        <w:t xml:space="preserve">La requête en autorisation d'intervenir présentée par Tolko Industries Ltd., International Forest Products Limited, West Fraser Timber Co. Ltd. et Canfor Corporation est accordée et ce groupe d’intervenantes pourra signifier et déposer un seul mémoire d'au plus dix (10) pages au plus tard le 7 février 2013. </w:t>
      </w:r>
    </w:p>
    <w:p w:rsidR="00A34615" w:rsidRPr="00A34615" w:rsidRDefault="00A34615" w:rsidP="00A34615">
      <w:pPr>
        <w:spacing w:line="233" w:lineRule="auto"/>
        <w:jc w:val="both"/>
        <w:rPr>
          <w:rFonts w:eastAsia="Times New Roman" w:cs="Times New Roman"/>
          <w:sz w:val="20"/>
          <w:szCs w:val="20"/>
          <w:lang w:val="fr-CA" w:eastAsia="en-CA"/>
        </w:rPr>
      </w:pPr>
    </w:p>
    <w:p w:rsidR="00A34615" w:rsidRPr="00A34615" w:rsidRDefault="00A34615" w:rsidP="00A34615">
      <w:pPr>
        <w:spacing w:line="233" w:lineRule="auto"/>
        <w:jc w:val="both"/>
        <w:rPr>
          <w:rFonts w:eastAsia="Times New Roman" w:cs="Times New Roman"/>
          <w:sz w:val="20"/>
          <w:szCs w:val="20"/>
          <w:lang w:val="fr-CA" w:eastAsia="en-CA"/>
        </w:rPr>
      </w:pPr>
      <w:r w:rsidRPr="00A34615">
        <w:rPr>
          <w:rFonts w:eastAsia="Times New Roman" w:cs="Times New Roman"/>
          <w:sz w:val="20"/>
          <w:szCs w:val="20"/>
          <w:lang w:val="fr-CA" w:eastAsia="en-CA"/>
        </w:rPr>
        <w:t xml:space="preserve">La requête en autorisation d'intervenir présentée l’Association canadienne des producteurs pétroliers est accordée et cette intervenante pourra signifier et déposer un mémoire d'au plus dix (10) pages au plus tard le 7 février 2013. </w:t>
      </w:r>
    </w:p>
    <w:p w:rsidR="00A34615" w:rsidRPr="00A34615" w:rsidRDefault="00A34615" w:rsidP="00A34615">
      <w:pPr>
        <w:spacing w:line="233" w:lineRule="auto"/>
        <w:jc w:val="both"/>
        <w:rPr>
          <w:rFonts w:eastAsia="Times New Roman" w:cs="Times New Roman"/>
          <w:sz w:val="20"/>
          <w:szCs w:val="20"/>
          <w:lang w:val="fr-CA" w:eastAsia="en-CA"/>
        </w:rPr>
      </w:pPr>
    </w:p>
    <w:p w:rsidR="00A34615" w:rsidRPr="00A34615" w:rsidRDefault="00A34615" w:rsidP="00A34615">
      <w:pPr>
        <w:spacing w:line="233" w:lineRule="auto"/>
        <w:jc w:val="both"/>
        <w:rPr>
          <w:rFonts w:eastAsia="Times New Roman" w:cs="Times New Roman"/>
          <w:sz w:val="20"/>
          <w:szCs w:val="20"/>
          <w:lang w:val="fr-CA" w:eastAsia="en-CA"/>
        </w:rPr>
      </w:pPr>
      <w:r w:rsidRPr="00A34615">
        <w:rPr>
          <w:rFonts w:eastAsia="Times New Roman" w:cs="Times New Roman"/>
          <w:sz w:val="20"/>
          <w:szCs w:val="20"/>
          <w:lang w:val="fr-CA" w:eastAsia="en-CA"/>
        </w:rPr>
        <w:t xml:space="preserve">Les décisions sur les requêtes en vue de présenter des plaidoiries orales seront rendues après réception et examen des arguments écrits des parties et des intervenantes. </w:t>
      </w:r>
    </w:p>
    <w:p w:rsidR="00A34615" w:rsidRPr="00A34615" w:rsidRDefault="00A34615" w:rsidP="00A34615">
      <w:pPr>
        <w:spacing w:line="233" w:lineRule="auto"/>
        <w:jc w:val="both"/>
        <w:rPr>
          <w:rFonts w:eastAsia="Times New Roman" w:cs="Times New Roman"/>
          <w:sz w:val="20"/>
          <w:szCs w:val="20"/>
          <w:lang w:val="fr-CA" w:eastAsia="en-CA"/>
        </w:rPr>
      </w:pPr>
    </w:p>
    <w:p w:rsidR="00A34615" w:rsidRDefault="00A34615" w:rsidP="00A34615">
      <w:pPr>
        <w:spacing w:line="233" w:lineRule="auto"/>
        <w:jc w:val="both"/>
        <w:rPr>
          <w:rFonts w:eastAsia="Times New Roman" w:cs="Times New Roman"/>
          <w:sz w:val="20"/>
          <w:szCs w:val="20"/>
          <w:lang w:val="fr-CA" w:eastAsia="en-CA"/>
        </w:rPr>
      </w:pPr>
      <w:r w:rsidRPr="00A34615">
        <w:rPr>
          <w:rFonts w:eastAsia="Times New Roman" w:cs="Times New Roman"/>
          <w:sz w:val="20"/>
          <w:szCs w:val="20"/>
          <w:lang w:val="fr-CA" w:eastAsia="en-CA"/>
        </w:rPr>
        <w:t>Les intervenantes n'ont pas le droit de soulever de nouvelles questions, de produire d'autres éléments de preuve ni de compléter de quelque autre façon le dossier des parties.</w:t>
      </w:r>
    </w:p>
    <w:p w:rsidR="00A34615" w:rsidRPr="00A34615" w:rsidRDefault="00A34615" w:rsidP="00A34615">
      <w:pPr>
        <w:spacing w:line="233" w:lineRule="auto"/>
        <w:jc w:val="both"/>
        <w:rPr>
          <w:rFonts w:eastAsia="Times New Roman" w:cs="Times New Roman"/>
          <w:sz w:val="20"/>
          <w:szCs w:val="20"/>
          <w:lang w:val="fr-CA" w:eastAsia="en-CA"/>
        </w:rPr>
      </w:pPr>
    </w:p>
    <w:p w:rsidR="00A34615" w:rsidRPr="00A34615" w:rsidRDefault="00A34615" w:rsidP="00A34615">
      <w:pPr>
        <w:rPr>
          <w:rFonts w:eastAsia="Times New Roman" w:cs="Times New Roman"/>
          <w:sz w:val="20"/>
          <w:szCs w:val="20"/>
          <w:lang w:val="fr-CA" w:eastAsia="en-CA"/>
        </w:rPr>
      </w:pPr>
      <w:r w:rsidRPr="00A34615">
        <w:rPr>
          <w:rFonts w:eastAsia="Times New Roman" w:cs="Times New Roman"/>
          <w:sz w:val="20"/>
          <w:szCs w:val="20"/>
          <w:lang w:val="fr-CA" w:eastAsia="en-CA"/>
        </w:rPr>
        <w:br w:type="page"/>
      </w:r>
    </w:p>
    <w:p w:rsidR="00A34615" w:rsidRPr="00A34615" w:rsidRDefault="00A34615" w:rsidP="00A34615">
      <w:pPr>
        <w:spacing w:line="233" w:lineRule="auto"/>
        <w:jc w:val="both"/>
        <w:rPr>
          <w:rFonts w:eastAsia="Times New Roman" w:cs="Times New Roman"/>
          <w:sz w:val="20"/>
          <w:szCs w:val="20"/>
          <w:lang w:val="fr-CA" w:eastAsia="en-CA"/>
        </w:rPr>
      </w:pPr>
      <w:r w:rsidRPr="00A34615">
        <w:rPr>
          <w:rFonts w:eastAsia="Times New Roman" w:cs="Times New Roman"/>
          <w:sz w:val="20"/>
          <w:szCs w:val="20"/>
          <w:lang w:val="fr-CA" w:eastAsia="en-CA"/>
        </w:rPr>
        <w:lastRenderedPageBreak/>
        <w:t>Conformément à l'alinéa 59(1)</w:t>
      </w:r>
      <w:r w:rsidRPr="00A34615">
        <w:rPr>
          <w:rFonts w:eastAsia="Times New Roman" w:cs="Times New Roman"/>
          <w:i/>
          <w:sz w:val="20"/>
          <w:szCs w:val="20"/>
          <w:lang w:val="fr-CA" w:eastAsia="en-CA"/>
        </w:rPr>
        <w:t>a</w:t>
      </w:r>
      <w:r w:rsidRPr="00A34615">
        <w:rPr>
          <w:rFonts w:eastAsia="Times New Roman" w:cs="Times New Roman"/>
          <w:sz w:val="20"/>
          <w:szCs w:val="20"/>
          <w:lang w:val="fr-CA" w:eastAsia="en-CA"/>
        </w:rPr>
        <w:t xml:space="preserve">) des </w:t>
      </w:r>
      <w:r w:rsidRPr="00A34615">
        <w:rPr>
          <w:rFonts w:eastAsia="Times New Roman" w:cs="Times New Roman"/>
          <w:i/>
          <w:sz w:val="20"/>
          <w:szCs w:val="20"/>
          <w:lang w:val="fr-CA" w:eastAsia="en-CA"/>
        </w:rPr>
        <w:t>Règles de la Cour suprême du Canada</w:t>
      </w:r>
      <w:r w:rsidRPr="00A34615">
        <w:rPr>
          <w:rFonts w:eastAsia="Times New Roman" w:cs="Times New Roman"/>
          <w:sz w:val="20"/>
          <w:szCs w:val="20"/>
          <w:lang w:val="fr-CA" w:eastAsia="en-CA"/>
        </w:rPr>
        <w:t>, les intervenantes paieront à l’appelante et à l'intimée tous débours supplémentaires résultant de leur intervention.</w:t>
      </w:r>
    </w:p>
    <w:p w:rsidR="00A34615" w:rsidRPr="00A34615" w:rsidRDefault="00A34615" w:rsidP="00A34615">
      <w:pPr>
        <w:spacing w:line="233" w:lineRule="auto"/>
        <w:jc w:val="both"/>
        <w:rPr>
          <w:rFonts w:eastAsia="Times New Roman" w:cs="Times New Roman"/>
          <w:sz w:val="20"/>
          <w:szCs w:val="20"/>
          <w:lang w:val="fr-CA" w:eastAsia="en-CA"/>
        </w:rPr>
      </w:pPr>
    </w:p>
    <w:p w:rsidR="00A34615" w:rsidRPr="00A34615" w:rsidRDefault="00A34615" w:rsidP="00A34615">
      <w:pPr>
        <w:spacing w:line="233" w:lineRule="auto"/>
        <w:jc w:val="both"/>
        <w:rPr>
          <w:rFonts w:eastAsia="Times New Roman" w:cs="Times New Roman"/>
          <w:sz w:val="20"/>
          <w:szCs w:val="20"/>
          <w:lang w:val="fr-CA" w:eastAsia="en-CA"/>
        </w:rPr>
      </w:pPr>
      <w:r w:rsidRPr="00A34615">
        <w:rPr>
          <w:rFonts w:eastAsia="Times New Roman" w:cs="Times New Roman"/>
          <w:b/>
          <w:sz w:val="20"/>
          <w:szCs w:val="20"/>
          <w:lang w:val="fr-CA" w:eastAsia="en-CA"/>
        </w:rPr>
        <w:t xml:space="preserve">IL EST ORDONNÉ QUE </w:t>
      </w:r>
      <w:r w:rsidRPr="00A34615">
        <w:rPr>
          <w:rFonts w:eastAsia="Times New Roman" w:cs="Times New Roman"/>
          <w:sz w:val="20"/>
          <w:szCs w:val="20"/>
          <w:lang w:val="fr-CA" w:eastAsia="en-CA"/>
        </w:rPr>
        <w:t>l’intimée pourra signifier et déposer un mémoire en réplique d’au plus cinq (5) pages au plus tard le 7 février 2013 en réponse au mémoire de Sa Majesté du chef de l’Alberta.</w:t>
      </w:r>
    </w:p>
    <w:p w:rsidR="00A34615" w:rsidRPr="00A34615" w:rsidRDefault="00A34615" w:rsidP="00A34615">
      <w:pPr>
        <w:tabs>
          <w:tab w:val="left" w:pos="-1440"/>
          <w:tab w:val="left" w:pos="-720"/>
        </w:tabs>
        <w:jc w:val="both"/>
        <w:rPr>
          <w:rFonts w:eastAsia="Times New Roman" w:cs="Times New Roman"/>
          <w:sz w:val="20"/>
          <w:szCs w:val="20"/>
          <w:lang w:val="fr-CA" w:eastAsia="en-CA"/>
        </w:rPr>
      </w:pPr>
    </w:p>
    <w:p w:rsidR="00A34615" w:rsidRPr="00A34615" w:rsidRDefault="00CD48BC" w:rsidP="00A34615">
      <w:pPr>
        <w:tabs>
          <w:tab w:val="left" w:pos="-1440"/>
          <w:tab w:val="left" w:pos="-720"/>
        </w:tabs>
        <w:jc w:val="both"/>
        <w:rPr>
          <w:rFonts w:eastAsia="Times New Roman" w:cs="Times New Roman"/>
          <w:sz w:val="20"/>
          <w:szCs w:val="20"/>
          <w:lang w:val="fr-CA" w:eastAsia="en-CA"/>
        </w:rPr>
      </w:pPr>
      <w:r w:rsidRPr="00CD48BC">
        <w:rPr>
          <w:rFonts w:eastAsia="Times New Roman" w:cs="Times New Roman"/>
          <w:sz w:val="20"/>
          <w:szCs w:val="20"/>
          <w:lang w:val="fr-CA" w:eastAsia="en-CA"/>
        </w:rPr>
        <w:pict>
          <v:rect id="_x0000_i1071" style="width:2in;height:1pt" o:hrpct="0" o:hralign="center" o:hrstd="t" o:hrnoshade="t" o:hr="t" fillcolor="black [3213]" stroked="f"/>
        </w:pict>
      </w:r>
    </w:p>
    <w:p w:rsidR="00A34615" w:rsidRPr="00A34615" w:rsidRDefault="00A34615" w:rsidP="00A34615">
      <w:pPr>
        <w:tabs>
          <w:tab w:val="left" w:pos="-1440"/>
          <w:tab w:val="left" w:pos="-720"/>
        </w:tabs>
        <w:jc w:val="both"/>
        <w:rPr>
          <w:rFonts w:eastAsia="Times New Roman" w:cs="Times New Roman"/>
          <w:sz w:val="20"/>
          <w:szCs w:val="20"/>
          <w:lang w:val="fr-CA" w:eastAsia="en-CA"/>
        </w:rPr>
      </w:pPr>
    </w:p>
    <w:p w:rsidR="00A34615" w:rsidRPr="00A34615" w:rsidRDefault="00A34615" w:rsidP="00A34615">
      <w:pPr>
        <w:tabs>
          <w:tab w:val="left" w:pos="-1440"/>
          <w:tab w:val="left" w:pos="-720"/>
        </w:tabs>
        <w:jc w:val="both"/>
        <w:rPr>
          <w:rFonts w:eastAsia="Times New Roman" w:cs="Times New Roman"/>
          <w:sz w:val="20"/>
          <w:szCs w:val="20"/>
          <w:lang w:val="fr-CA" w:eastAsia="en-CA"/>
        </w:rPr>
      </w:pPr>
      <w:r w:rsidRPr="00A34615">
        <w:rPr>
          <w:rFonts w:eastAsia="Times New Roman" w:cs="Times New Roman"/>
          <w:sz w:val="20"/>
          <w:szCs w:val="20"/>
          <w:lang w:val="fr-CA" w:eastAsia="en-CA"/>
        </w:rPr>
        <w:t>07.01.2013</w:t>
      </w:r>
    </w:p>
    <w:p w:rsidR="00A34615" w:rsidRPr="00A34615" w:rsidRDefault="00A34615" w:rsidP="00A34615">
      <w:pPr>
        <w:tabs>
          <w:tab w:val="left" w:pos="-1440"/>
          <w:tab w:val="left" w:pos="-720"/>
        </w:tabs>
        <w:jc w:val="both"/>
        <w:rPr>
          <w:rFonts w:eastAsia="Times New Roman" w:cs="Times New Roman"/>
          <w:sz w:val="20"/>
          <w:szCs w:val="20"/>
          <w:lang w:val="fr-CA" w:eastAsia="en-CA"/>
        </w:rPr>
      </w:pPr>
    </w:p>
    <w:p w:rsidR="00A34615" w:rsidRPr="00A34615" w:rsidRDefault="00A34615" w:rsidP="00A34615">
      <w:pPr>
        <w:tabs>
          <w:tab w:val="left" w:pos="-1440"/>
          <w:tab w:val="left" w:pos="-720"/>
        </w:tabs>
        <w:jc w:val="both"/>
        <w:rPr>
          <w:rFonts w:eastAsia="Times New Roman" w:cs="Times New Roman"/>
          <w:sz w:val="20"/>
          <w:szCs w:val="20"/>
          <w:lang w:eastAsia="en-CA"/>
        </w:rPr>
      </w:pPr>
      <w:r w:rsidRPr="00A34615">
        <w:rPr>
          <w:rFonts w:eastAsia="Times New Roman" w:cs="Times New Roman"/>
          <w:sz w:val="20"/>
          <w:szCs w:val="20"/>
          <w:lang w:val="fr-CA" w:eastAsia="en-CA"/>
        </w:rPr>
        <w:t xml:space="preserve">Before / Devant:   </w:t>
      </w:r>
      <w:r w:rsidRPr="00A34615">
        <w:rPr>
          <w:rFonts w:eastAsia="Times New Roman" w:cs="Times New Roman"/>
          <w:sz w:val="20"/>
          <w:szCs w:val="20"/>
          <w:lang w:eastAsia="en-CA"/>
        </w:rPr>
        <w:t>THE REGISTRAR / LE REGISTRAIRE</w:t>
      </w:r>
    </w:p>
    <w:p w:rsidR="00A34615" w:rsidRPr="00A34615" w:rsidRDefault="00A34615" w:rsidP="00A34615">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34615" w:rsidRPr="00A34615" w:rsidTr="003B435E">
        <w:trPr>
          <w:trHeight w:val="151"/>
        </w:trPr>
        <w:tc>
          <w:tcPr>
            <w:tcW w:w="4338" w:type="dxa"/>
          </w:tcPr>
          <w:p w:rsidR="00A34615" w:rsidRPr="00A34615" w:rsidRDefault="00CD48BC" w:rsidP="00A34615">
            <w:pPr>
              <w:tabs>
                <w:tab w:val="left" w:pos="-1440"/>
                <w:tab w:val="left" w:pos="-720"/>
              </w:tabs>
              <w:jc w:val="both"/>
              <w:rPr>
                <w:lang w:val="fr-CA"/>
              </w:rPr>
            </w:pPr>
            <w:r w:rsidRPr="00A34615">
              <w:rPr>
                <w:lang w:val="en-US"/>
              </w:rPr>
              <w:fldChar w:fldCharType="begin"/>
            </w:r>
            <w:r w:rsidR="00A34615" w:rsidRPr="00A34615">
              <w:rPr>
                <w:lang w:val="fr-CA"/>
              </w:rPr>
              <w:instrText xml:space="preserve"> SEQ CHAPTER \h \r 1</w:instrText>
            </w:r>
            <w:r w:rsidRPr="00A34615">
              <w:rPr>
                <w:lang w:val="en-US"/>
              </w:rPr>
              <w:fldChar w:fldCharType="end"/>
            </w:r>
            <w:r w:rsidR="00A34615" w:rsidRPr="00A34615">
              <w:rPr>
                <w:b/>
                <w:bCs/>
                <w:lang w:val="fr-CA"/>
              </w:rPr>
              <w:t>Miscellaneous motion</w:t>
            </w:r>
          </w:p>
          <w:p w:rsidR="00A34615" w:rsidRPr="00A34615" w:rsidRDefault="00CD48BC" w:rsidP="00A34615">
            <w:pPr>
              <w:tabs>
                <w:tab w:val="left" w:pos="-1440"/>
                <w:tab w:val="left" w:pos="-720"/>
              </w:tabs>
              <w:jc w:val="both"/>
              <w:rPr>
                <w:lang w:val="fr-CA"/>
              </w:rPr>
            </w:pPr>
            <w:r w:rsidRPr="00A34615">
              <w:rPr>
                <w:lang w:val="en-US"/>
              </w:rPr>
              <w:fldChar w:fldCharType="begin"/>
            </w:r>
            <w:r w:rsidR="00A34615" w:rsidRPr="00A34615">
              <w:rPr>
                <w:lang w:val="fr-CA"/>
              </w:rPr>
              <w:instrText xml:space="preserve"> SEQ CHAPTER \h \r 1</w:instrText>
            </w:r>
            <w:r w:rsidRPr="00A34615">
              <w:rPr>
                <w:lang w:val="en-US"/>
              </w:rPr>
              <w:fldChar w:fldCharType="end"/>
            </w:r>
          </w:p>
        </w:tc>
        <w:tc>
          <w:tcPr>
            <w:tcW w:w="1170" w:type="dxa"/>
          </w:tcPr>
          <w:p w:rsidR="00A34615" w:rsidRPr="00A34615" w:rsidRDefault="00A34615" w:rsidP="00A34615">
            <w:pPr>
              <w:jc w:val="both"/>
              <w:rPr>
                <w:lang w:val="fr-CA"/>
              </w:rPr>
            </w:pPr>
          </w:p>
          <w:p w:rsidR="00A34615" w:rsidRPr="00A34615" w:rsidRDefault="00A34615" w:rsidP="00A34615">
            <w:pPr>
              <w:jc w:val="both"/>
              <w:rPr>
                <w:lang w:val="fr-CA"/>
              </w:rPr>
            </w:pPr>
          </w:p>
        </w:tc>
        <w:tc>
          <w:tcPr>
            <w:tcW w:w="4327" w:type="dxa"/>
          </w:tcPr>
          <w:p w:rsidR="00A34615" w:rsidRPr="00A34615" w:rsidRDefault="00CD48BC" w:rsidP="00A34615">
            <w:pPr>
              <w:jc w:val="both"/>
              <w:rPr>
                <w:b/>
                <w:lang w:val="fr-CA"/>
              </w:rPr>
            </w:pPr>
            <w:r w:rsidRPr="00A34615">
              <w:rPr>
                <w:lang w:val="en-US"/>
              </w:rPr>
              <w:fldChar w:fldCharType="begin"/>
            </w:r>
            <w:r w:rsidR="00A34615" w:rsidRPr="00A34615">
              <w:rPr>
                <w:lang w:val="fr-CA"/>
              </w:rPr>
              <w:instrText xml:space="preserve"> SEQ CHAPTER \h \r 1</w:instrText>
            </w:r>
            <w:r w:rsidRPr="00A34615">
              <w:rPr>
                <w:lang w:val="en-US"/>
              </w:rPr>
              <w:fldChar w:fldCharType="end"/>
            </w:r>
            <w:r w:rsidR="00A34615" w:rsidRPr="00A34615">
              <w:rPr>
                <w:b/>
                <w:bCs/>
                <w:lang w:val="fr-CA"/>
              </w:rPr>
              <w:t>Requête diverse</w:t>
            </w:r>
          </w:p>
          <w:p w:rsidR="00A34615" w:rsidRPr="00A34615" w:rsidRDefault="00CD48BC" w:rsidP="00A34615">
            <w:pPr>
              <w:jc w:val="both"/>
              <w:rPr>
                <w:b/>
                <w:lang w:val="fr-CA"/>
              </w:rPr>
            </w:pPr>
            <w:r w:rsidRPr="00A34615">
              <w:rPr>
                <w:b/>
                <w:lang w:val="en-US"/>
              </w:rPr>
              <w:fldChar w:fldCharType="begin"/>
            </w:r>
            <w:r w:rsidR="00A34615" w:rsidRPr="00A34615">
              <w:rPr>
                <w:b/>
                <w:lang w:val="fr-CA"/>
              </w:rPr>
              <w:instrText xml:space="preserve"> SEQ CHAPTER \h \r 1</w:instrText>
            </w:r>
            <w:r w:rsidRPr="00A34615">
              <w:rPr>
                <w:b/>
                <w:lang w:val="en-US"/>
              </w:rPr>
              <w:fldChar w:fldCharType="end"/>
            </w:r>
            <w:r w:rsidRPr="00A34615">
              <w:rPr>
                <w:b/>
                <w:lang w:val="en-US"/>
              </w:rPr>
              <w:fldChar w:fldCharType="begin"/>
            </w:r>
            <w:r w:rsidR="00A34615" w:rsidRPr="00A34615">
              <w:rPr>
                <w:b/>
                <w:lang w:val="fr-CA"/>
              </w:rPr>
              <w:instrText xml:space="preserve"> SEQ CHAPTER \h \r 1</w:instrText>
            </w:r>
            <w:r w:rsidRPr="00A34615">
              <w:rPr>
                <w:b/>
                <w:lang w:val="en-US"/>
              </w:rPr>
              <w:fldChar w:fldCharType="end"/>
            </w:r>
          </w:p>
        </w:tc>
      </w:tr>
      <w:tr w:rsidR="00A34615" w:rsidRPr="00334802" w:rsidTr="003B435E">
        <w:trPr>
          <w:trHeight w:val="150"/>
        </w:trPr>
        <w:tc>
          <w:tcPr>
            <w:tcW w:w="4338" w:type="dxa"/>
          </w:tcPr>
          <w:p w:rsidR="00A34615" w:rsidRPr="00A34615" w:rsidRDefault="00A34615" w:rsidP="00A34615">
            <w:pPr>
              <w:tabs>
                <w:tab w:val="left" w:pos="-1440"/>
                <w:tab w:val="left" w:pos="-720"/>
              </w:tabs>
              <w:jc w:val="both"/>
              <w:rPr>
                <w:lang w:val="fr-CA"/>
              </w:rPr>
            </w:pPr>
            <w:r w:rsidRPr="00A34615">
              <w:rPr>
                <w:lang w:val="fr-CA"/>
              </w:rPr>
              <w:t>Jacques Hamel</w:t>
            </w:r>
          </w:p>
          <w:p w:rsidR="00A34615" w:rsidRPr="00A34615" w:rsidRDefault="00A34615" w:rsidP="00A34615">
            <w:pPr>
              <w:tabs>
                <w:tab w:val="left" w:pos="-1440"/>
                <w:tab w:val="left" w:pos="-720"/>
              </w:tabs>
              <w:jc w:val="both"/>
              <w:rPr>
                <w:lang w:val="fr-CA"/>
              </w:rPr>
            </w:pPr>
          </w:p>
          <w:p w:rsidR="00A34615" w:rsidRPr="00A34615" w:rsidRDefault="00A34615" w:rsidP="00A34615">
            <w:pPr>
              <w:tabs>
                <w:tab w:val="left" w:pos="-1440"/>
                <w:tab w:val="left" w:pos="-720"/>
              </w:tabs>
              <w:jc w:val="both"/>
              <w:rPr>
                <w:lang w:val="fr-CA"/>
              </w:rPr>
            </w:pPr>
            <w:r w:rsidRPr="00A34615">
              <w:rPr>
                <w:lang w:val="fr-CA"/>
              </w:rPr>
              <w:tab/>
              <w:t>c. (35058)</w:t>
            </w:r>
          </w:p>
          <w:p w:rsidR="00A34615" w:rsidRPr="00A34615" w:rsidRDefault="00A34615" w:rsidP="00A34615">
            <w:pPr>
              <w:tabs>
                <w:tab w:val="left" w:pos="-1440"/>
                <w:tab w:val="left" w:pos="-720"/>
              </w:tabs>
              <w:jc w:val="both"/>
              <w:rPr>
                <w:lang w:val="fr-CA"/>
              </w:rPr>
            </w:pPr>
          </w:p>
          <w:p w:rsidR="00A34615" w:rsidRPr="00A34615" w:rsidRDefault="00A34615" w:rsidP="00A34615">
            <w:pPr>
              <w:tabs>
                <w:tab w:val="left" w:pos="-1440"/>
                <w:tab w:val="left" w:pos="-720"/>
              </w:tabs>
              <w:jc w:val="both"/>
              <w:rPr>
                <w:lang w:val="fr-CA"/>
              </w:rPr>
            </w:pPr>
            <w:r w:rsidRPr="00A34615">
              <w:rPr>
                <w:lang w:val="fr-CA"/>
              </w:rPr>
              <w:t>Madeleine Perron (Qc)</w:t>
            </w:r>
          </w:p>
        </w:tc>
        <w:tc>
          <w:tcPr>
            <w:tcW w:w="1170" w:type="dxa"/>
          </w:tcPr>
          <w:p w:rsidR="00A34615" w:rsidRPr="00A34615" w:rsidRDefault="00A34615" w:rsidP="00A34615">
            <w:pPr>
              <w:jc w:val="both"/>
              <w:rPr>
                <w:lang w:val="fr-CA"/>
              </w:rPr>
            </w:pPr>
          </w:p>
        </w:tc>
        <w:tc>
          <w:tcPr>
            <w:tcW w:w="4327" w:type="dxa"/>
          </w:tcPr>
          <w:p w:rsidR="00A34615" w:rsidRPr="00A34615" w:rsidRDefault="00A34615" w:rsidP="00A34615">
            <w:pPr>
              <w:jc w:val="both"/>
              <w:rPr>
                <w:lang w:val="fr-CA"/>
              </w:rPr>
            </w:pPr>
          </w:p>
        </w:tc>
      </w:tr>
    </w:tbl>
    <w:p w:rsidR="00A34615" w:rsidRPr="00A34615" w:rsidRDefault="00A34615" w:rsidP="00A34615">
      <w:pPr>
        <w:tabs>
          <w:tab w:val="left" w:pos="-1440"/>
          <w:tab w:val="left" w:pos="-720"/>
        </w:tabs>
        <w:jc w:val="both"/>
        <w:rPr>
          <w:rFonts w:eastAsia="Times New Roman" w:cs="Times New Roman"/>
          <w:sz w:val="20"/>
          <w:szCs w:val="20"/>
          <w:lang w:val="fr-CA" w:eastAsia="en-CA"/>
        </w:rPr>
      </w:pPr>
    </w:p>
    <w:p w:rsidR="00A34615" w:rsidRPr="00A34615" w:rsidRDefault="00A34615" w:rsidP="00A34615">
      <w:pPr>
        <w:tabs>
          <w:tab w:val="left" w:pos="-1440"/>
          <w:tab w:val="left" w:pos="-720"/>
        </w:tabs>
        <w:jc w:val="both"/>
        <w:rPr>
          <w:rFonts w:eastAsia="Times New Roman" w:cs="Times New Roman"/>
          <w:sz w:val="20"/>
          <w:szCs w:val="20"/>
          <w:lang w:val="fr-CA" w:eastAsia="en-CA"/>
        </w:rPr>
      </w:pPr>
      <w:r w:rsidRPr="00A34615">
        <w:rPr>
          <w:rFonts w:eastAsia="Times New Roman" w:cs="Times New Roman"/>
          <w:b/>
          <w:sz w:val="20"/>
          <w:szCs w:val="20"/>
          <w:lang w:val="fr-CA" w:eastAsia="en-CA"/>
        </w:rPr>
        <w:t>GRANTED / ACCORDÉE</w:t>
      </w:r>
    </w:p>
    <w:p w:rsidR="00A34615" w:rsidRPr="00A34615" w:rsidRDefault="00A34615" w:rsidP="00A34615">
      <w:pPr>
        <w:tabs>
          <w:tab w:val="left" w:pos="-1440"/>
          <w:tab w:val="left" w:pos="-720"/>
        </w:tabs>
        <w:jc w:val="both"/>
        <w:rPr>
          <w:rFonts w:eastAsia="Times New Roman" w:cs="Times New Roman"/>
          <w:sz w:val="20"/>
          <w:szCs w:val="20"/>
          <w:lang w:val="fr-CA" w:eastAsia="en-CA"/>
        </w:rPr>
      </w:pPr>
    </w:p>
    <w:p w:rsidR="00A34615" w:rsidRPr="00A34615" w:rsidRDefault="00A34615" w:rsidP="00A34615">
      <w:pPr>
        <w:jc w:val="both"/>
        <w:rPr>
          <w:rFonts w:eastAsia="Times New Roman" w:cs="Times New Roman"/>
          <w:sz w:val="20"/>
          <w:szCs w:val="20"/>
          <w:lang w:val="fr-CA" w:eastAsia="en-CA"/>
        </w:rPr>
      </w:pPr>
      <w:r w:rsidRPr="00A34615">
        <w:rPr>
          <w:rFonts w:eastAsia="Times New Roman" w:cs="Times New Roman"/>
          <w:b/>
          <w:bCs/>
          <w:sz w:val="20"/>
          <w:szCs w:val="20"/>
          <w:lang w:val="fr-CA" w:eastAsia="en-CA"/>
        </w:rPr>
        <w:t>SUITE À LA REQUÊTE</w:t>
      </w:r>
      <w:r w:rsidRPr="00A34615">
        <w:rPr>
          <w:rFonts w:eastAsia="Times New Roman" w:cs="Times New Roman"/>
          <w:bCs/>
          <w:sz w:val="20"/>
          <w:szCs w:val="20"/>
          <w:lang w:val="fr-CA" w:eastAsia="en-CA"/>
        </w:rPr>
        <w:t xml:space="preserve"> </w:t>
      </w:r>
      <w:r w:rsidRPr="00A34615">
        <w:rPr>
          <w:rFonts w:eastAsia="Times New Roman" w:cs="Times New Roman"/>
          <w:sz w:val="20"/>
          <w:szCs w:val="20"/>
          <w:lang w:val="fr-CA" w:eastAsia="en-CA"/>
        </w:rPr>
        <w:t>du demandeur en vertu du paragraphe 32(2) des Règles sollicitant la permission de soumettre sa réplique et ses annexes à la formation saisie de la demande d’autorisation d’appel et pour proroger les délais pour signifier et déposer lesdits documents au 19 décembre 2012;</w:t>
      </w:r>
    </w:p>
    <w:p w:rsidR="00A34615" w:rsidRPr="00A34615" w:rsidRDefault="00A34615" w:rsidP="00A34615">
      <w:pPr>
        <w:jc w:val="both"/>
        <w:rPr>
          <w:rFonts w:eastAsia="Times New Roman" w:cs="Times New Roman"/>
          <w:bCs/>
          <w:sz w:val="20"/>
          <w:szCs w:val="20"/>
          <w:lang w:val="fr-CA" w:eastAsia="en-CA"/>
        </w:rPr>
      </w:pPr>
    </w:p>
    <w:p w:rsidR="00A34615" w:rsidRPr="00A34615" w:rsidRDefault="00A34615" w:rsidP="00A34615">
      <w:pPr>
        <w:jc w:val="both"/>
        <w:rPr>
          <w:rFonts w:eastAsia="Times New Roman" w:cs="Times New Roman"/>
          <w:sz w:val="20"/>
          <w:szCs w:val="20"/>
          <w:lang w:val="fr-CA" w:eastAsia="en-CA"/>
        </w:rPr>
      </w:pPr>
      <w:r w:rsidRPr="00A34615">
        <w:rPr>
          <w:rFonts w:eastAsia="Times New Roman" w:cs="Times New Roman"/>
          <w:b/>
          <w:bCs/>
          <w:sz w:val="20"/>
          <w:szCs w:val="20"/>
          <w:lang w:val="fr-CA" w:eastAsia="en-CA"/>
        </w:rPr>
        <w:t xml:space="preserve">IL EST ORDONNÉ CE QUI SUIT : </w:t>
      </w:r>
    </w:p>
    <w:p w:rsidR="00A34615" w:rsidRPr="00A34615" w:rsidRDefault="00A34615" w:rsidP="00A34615">
      <w:pPr>
        <w:jc w:val="both"/>
        <w:rPr>
          <w:rFonts w:eastAsia="Times New Roman" w:cs="Times New Roman"/>
          <w:sz w:val="20"/>
          <w:szCs w:val="20"/>
          <w:lang w:val="fr-CA" w:eastAsia="en-CA"/>
        </w:rPr>
      </w:pPr>
    </w:p>
    <w:p w:rsidR="00A34615" w:rsidRPr="00A34615" w:rsidRDefault="00A34615" w:rsidP="00A34615">
      <w:pPr>
        <w:ind w:left="720"/>
        <w:jc w:val="both"/>
        <w:rPr>
          <w:rFonts w:eastAsia="Times New Roman" w:cs="Times New Roman"/>
          <w:b/>
          <w:bCs/>
          <w:sz w:val="20"/>
          <w:szCs w:val="20"/>
          <w:lang w:eastAsia="en-CA"/>
        </w:rPr>
      </w:pPr>
      <w:r w:rsidRPr="00A34615">
        <w:rPr>
          <w:rFonts w:eastAsia="Times New Roman" w:cs="Times New Roman"/>
          <w:sz w:val="20"/>
          <w:szCs w:val="20"/>
          <w:lang w:eastAsia="en-CA"/>
        </w:rPr>
        <w:t>La requête est accueillie.</w:t>
      </w:r>
    </w:p>
    <w:p w:rsidR="00A34615" w:rsidRPr="00A34615" w:rsidRDefault="00A34615" w:rsidP="00A34615">
      <w:pPr>
        <w:tabs>
          <w:tab w:val="left" w:pos="-1440"/>
          <w:tab w:val="left" w:pos="-720"/>
        </w:tabs>
        <w:jc w:val="both"/>
        <w:rPr>
          <w:rFonts w:eastAsia="Times New Roman" w:cs="Times New Roman"/>
          <w:sz w:val="20"/>
          <w:szCs w:val="20"/>
          <w:lang w:eastAsia="en-CA"/>
        </w:rPr>
      </w:pPr>
    </w:p>
    <w:p w:rsidR="00A34615" w:rsidRPr="00A34615" w:rsidRDefault="00A34615" w:rsidP="00A34615">
      <w:pPr>
        <w:tabs>
          <w:tab w:val="left" w:pos="-1440"/>
          <w:tab w:val="left" w:pos="-720"/>
        </w:tabs>
        <w:jc w:val="both"/>
        <w:rPr>
          <w:rFonts w:eastAsia="Times New Roman" w:cs="Times New Roman"/>
          <w:sz w:val="20"/>
          <w:szCs w:val="20"/>
          <w:lang w:eastAsia="en-CA"/>
        </w:rPr>
      </w:pPr>
    </w:p>
    <w:p w:rsidR="00A34615" w:rsidRPr="00A34615" w:rsidRDefault="00A34615" w:rsidP="00A34615">
      <w:pPr>
        <w:tabs>
          <w:tab w:val="left" w:pos="-1440"/>
          <w:tab w:val="left" w:pos="-720"/>
        </w:tabs>
        <w:jc w:val="both"/>
        <w:rPr>
          <w:rFonts w:eastAsia="Times New Roman" w:cs="Times New Roman"/>
          <w:sz w:val="20"/>
          <w:szCs w:val="20"/>
          <w:lang w:eastAsia="en-CA"/>
        </w:rPr>
      </w:pPr>
    </w:p>
    <w:p w:rsidR="00A34615" w:rsidRPr="00A34615" w:rsidRDefault="00A34615" w:rsidP="00A34615">
      <w:pPr>
        <w:jc w:val="both"/>
        <w:rPr>
          <w:rFonts w:eastAsia="Times New Roman" w:cs="Times New Roman"/>
          <w:sz w:val="20"/>
          <w:szCs w:val="20"/>
          <w:lang w:val="en-US" w:eastAsia="en-CA"/>
        </w:rPr>
      </w:pPr>
      <w:r w:rsidRPr="00A34615">
        <w:rPr>
          <w:rFonts w:eastAsia="Times New Roman" w:cs="Times New Roman"/>
          <w:b/>
          <w:bCs/>
          <w:sz w:val="20"/>
          <w:szCs w:val="20"/>
          <w:lang w:val="en-US" w:eastAsia="en-CA"/>
        </w:rPr>
        <w:t>UPON A MOTION</w:t>
      </w:r>
      <w:r w:rsidRPr="00A34615">
        <w:rPr>
          <w:rFonts w:eastAsia="Times New Roman" w:cs="Times New Roman"/>
          <w:bCs/>
          <w:sz w:val="20"/>
          <w:szCs w:val="20"/>
          <w:lang w:val="en-US" w:eastAsia="en-CA"/>
        </w:rPr>
        <w:t xml:space="preserve"> by the applicant </w:t>
      </w:r>
      <w:r w:rsidRPr="00A34615">
        <w:rPr>
          <w:rFonts w:eastAsia="Times New Roman" w:cs="Times New Roman"/>
          <w:sz w:val="20"/>
          <w:szCs w:val="20"/>
          <w:lang w:val="en-US" w:eastAsia="en-CA"/>
        </w:rPr>
        <w:t>pursuant to Rule 32(2) of the Rules for permission to submit his reply and appendixes to the leave panel and for an order extending the time within which to serve and file his reply and appendixes to December 19, 2012;</w:t>
      </w:r>
    </w:p>
    <w:p w:rsidR="00A34615" w:rsidRPr="00A34615" w:rsidRDefault="00A34615" w:rsidP="00A34615">
      <w:pPr>
        <w:jc w:val="both"/>
        <w:rPr>
          <w:rFonts w:eastAsia="Times New Roman" w:cs="Times New Roman"/>
          <w:bCs/>
          <w:sz w:val="20"/>
          <w:szCs w:val="20"/>
          <w:lang w:val="en-US" w:eastAsia="en-CA"/>
        </w:rPr>
      </w:pPr>
    </w:p>
    <w:p w:rsidR="00A34615" w:rsidRPr="00A34615" w:rsidRDefault="00A34615" w:rsidP="00A34615">
      <w:pPr>
        <w:jc w:val="both"/>
        <w:rPr>
          <w:rFonts w:eastAsia="Times New Roman" w:cs="Times New Roman"/>
          <w:sz w:val="20"/>
          <w:szCs w:val="20"/>
          <w:lang w:val="en-US" w:eastAsia="en-CA"/>
        </w:rPr>
      </w:pPr>
      <w:r w:rsidRPr="00A34615">
        <w:rPr>
          <w:rFonts w:eastAsia="Times New Roman" w:cs="Times New Roman"/>
          <w:b/>
          <w:bCs/>
          <w:sz w:val="20"/>
          <w:szCs w:val="20"/>
          <w:lang w:val="en-US" w:eastAsia="en-CA"/>
        </w:rPr>
        <w:t xml:space="preserve">IT IS HEREBY ORDERED THAT: </w:t>
      </w:r>
    </w:p>
    <w:p w:rsidR="00A34615" w:rsidRPr="00A34615" w:rsidRDefault="00A34615" w:rsidP="00A34615">
      <w:pPr>
        <w:jc w:val="both"/>
        <w:rPr>
          <w:rFonts w:eastAsia="Times New Roman" w:cs="Times New Roman"/>
          <w:sz w:val="20"/>
          <w:szCs w:val="20"/>
          <w:lang w:val="en-US" w:eastAsia="en-CA"/>
        </w:rPr>
      </w:pPr>
    </w:p>
    <w:p w:rsidR="00A34615" w:rsidRPr="00A34615" w:rsidRDefault="00A34615" w:rsidP="00A34615">
      <w:pPr>
        <w:ind w:left="720"/>
        <w:jc w:val="both"/>
        <w:rPr>
          <w:rFonts w:eastAsia="Times New Roman" w:cs="Times New Roman"/>
          <w:b/>
          <w:bCs/>
          <w:sz w:val="20"/>
          <w:szCs w:val="20"/>
          <w:lang w:val="en-US" w:eastAsia="en-CA"/>
        </w:rPr>
      </w:pPr>
      <w:r w:rsidRPr="00A34615">
        <w:rPr>
          <w:rFonts w:eastAsia="Times New Roman" w:cs="Times New Roman"/>
          <w:sz w:val="20"/>
          <w:szCs w:val="20"/>
          <w:lang w:val="en-US" w:eastAsia="en-CA"/>
        </w:rPr>
        <w:t>The motion is granted.</w:t>
      </w:r>
    </w:p>
    <w:p w:rsidR="00A34615" w:rsidRPr="00A34615" w:rsidRDefault="00A34615" w:rsidP="00A34615">
      <w:pPr>
        <w:tabs>
          <w:tab w:val="left" w:pos="-1440"/>
          <w:tab w:val="left" w:pos="-720"/>
        </w:tabs>
        <w:jc w:val="both"/>
        <w:rPr>
          <w:rFonts w:eastAsia="Times New Roman" w:cs="Times New Roman"/>
          <w:sz w:val="20"/>
          <w:szCs w:val="20"/>
          <w:lang w:eastAsia="en-CA"/>
        </w:rPr>
      </w:pPr>
    </w:p>
    <w:p w:rsidR="00A34615" w:rsidRPr="00A34615" w:rsidRDefault="00CD48BC" w:rsidP="00A34615">
      <w:pPr>
        <w:tabs>
          <w:tab w:val="left" w:pos="-1440"/>
          <w:tab w:val="left" w:pos="-720"/>
        </w:tabs>
        <w:jc w:val="both"/>
        <w:rPr>
          <w:rFonts w:eastAsia="Times New Roman" w:cs="Times New Roman"/>
          <w:sz w:val="20"/>
          <w:szCs w:val="20"/>
          <w:lang w:eastAsia="en-CA"/>
        </w:rPr>
      </w:pPr>
      <w:r w:rsidRPr="00CD48BC">
        <w:rPr>
          <w:rFonts w:eastAsia="Times New Roman" w:cs="Times New Roman"/>
          <w:sz w:val="20"/>
          <w:szCs w:val="20"/>
          <w:lang w:val="fr-CA" w:eastAsia="en-CA"/>
        </w:rPr>
        <w:pict>
          <v:rect id="_x0000_i1072" style="width:2in;height:1pt" o:hrpct="0" o:hralign="center" o:hrstd="t" o:hrnoshade="t" o:hr="t" fillcolor="black [3213]" stroked="f"/>
        </w:pict>
      </w:r>
    </w:p>
    <w:p w:rsidR="00A34615" w:rsidRPr="00A34615" w:rsidRDefault="00A34615" w:rsidP="00A34615">
      <w:pPr>
        <w:tabs>
          <w:tab w:val="left" w:pos="-1440"/>
          <w:tab w:val="left" w:pos="-720"/>
        </w:tabs>
        <w:jc w:val="both"/>
        <w:rPr>
          <w:rFonts w:eastAsia="Times New Roman" w:cs="Times New Roman"/>
          <w:sz w:val="20"/>
          <w:szCs w:val="20"/>
          <w:lang w:eastAsia="en-CA"/>
        </w:rPr>
      </w:pPr>
    </w:p>
    <w:p w:rsidR="00A34615" w:rsidRPr="00A34615" w:rsidRDefault="00A34615" w:rsidP="00A34615">
      <w:pPr>
        <w:rPr>
          <w:rFonts w:eastAsia="Times New Roman" w:cs="Times New Roman"/>
          <w:sz w:val="20"/>
          <w:szCs w:val="20"/>
          <w:lang w:val="fr-CA" w:eastAsia="en-CA"/>
        </w:rPr>
      </w:pPr>
      <w:r w:rsidRPr="00A34615">
        <w:rPr>
          <w:rFonts w:eastAsia="Times New Roman" w:cs="Times New Roman"/>
          <w:sz w:val="20"/>
          <w:szCs w:val="20"/>
          <w:lang w:val="fr-CA" w:eastAsia="en-CA"/>
        </w:rPr>
        <w:br w:type="page"/>
      </w:r>
    </w:p>
    <w:p w:rsidR="00A34615" w:rsidRPr="00A34615" w:rsidRDefault="00A34615" w:rsidP="00A34615">
      <w:pPr>
        <w:tabs>
          <w:tab w:val="left" w:pos="-1440"/>
          <w:tab w:val="left" w:pos="-720"/>
        </w:tabs>
        <w:jc w:val="both"/>
        <w:rPr>
          <w:rFonts w:eastAsia="Times New Roman" w:cs="Times New Roman"/>
          <w:sz w:val="20"/>
          <w:szCs w:val="20"/>
          <w:lang w:val="fr-CA" w:eastAsia="en-CA"/>
        </w:rPr>
      </w:pPr>
      <w:r w:rsidRPr="00A34615">
        <w:rPr>
          <w:rFonts w:eastAsia="Times New Roman" w:cs="Times New Roman"/>
          <w:sz w:val="20"/>
          <w:szCs w:val="20"/>
          <w:lang w:val="fr-CA" w:eastAsia="en-CA"/>
        </w:rPr>
        <w:lastRenderedPageBreak/>
        <w:t>08.01.2013</w:t>
      </w:r>
    </w:p>
    <w:p w:rsidR="00A34615" w:rsidRPr="00A34615" w:rsidRDefault="00A34615" w:rsidP="00A34615">
      <w:pPr>
        <w:tabs>
          <w:tab w:val="left" w:pos="-1440"/>
          <w:tab w:val="left" w:pos="-720"/>
        </w:tabs>
        <w:jc w:val="both"/>
        <w:rPr>
          <w:rFonts w:eastAsia="Times New Roman" w:cs="Times New Roman"/>
          <w:sz w:val="20"/>
          <w:szCs w:val="20"/>
          <w:lang w:val="fr-CA" w:eastAsia="en-CA"/>
        </w:rPr>
      </w:pPr>
    </w:p>
    <w:p w:rsidR="00A34615" w:rsidRPr="00A34615" w:rsidRDefault="00A34615" w:rsidP="00A34615">
      <w:pPr>
        <w:tabs>
          <w:tab w:val="left" w:pos="-1440"/>
          <w:tab w:val="left" w:pos="-720"/>
        </w:tabs>
        <w:jc w:val="both"/>
        <w:rPr>
          <w:rFonts w:eastAsia="Times New Roman" w:cs="Times New Roman"/>
          <w:sz w:val="20"/>
          <w:szCs w:val="20"/>
          <w:lang w:val="fr-CA" w:eastAsia="en-CA"/>
        </w:rPr>
      </w:pPr>
      <w:r w:rsidRPr="00A34615">
        <w:rPr>
          <w:rFonts w:eastAsia="Times New Roman" w:cs="Times New Roman"/>
          <w:sz w:val="20"/>
          <w:szCs w:val="20"/>
          <w:lang w:val="fr-CA" w:eastAsia="en-CA"/>
        </w:rPr>
        <w:t>Before / Devant :   LEBEL J. / LE JUGE LEBEL</w:t>
      </w:r>
    </w:p>
    <w:p w:rsidR="00A34615" w:rsidRPr="00A34615" w:rsidRDefault="00A34615" w:rsidP="00A34615">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A34615" w:rsidRPr="00A34615" w:rsidTr="003B435E">
        <w:tc>
          <w:tcPr>
            <w:tcW w:w="4338" w:type="dxa"/>
            <w:gridSpan w:val="2"/>
          </w:tcPr>
          <w:p w:rsidR="00A34615" w:rsidRPr="00A34615" w:rsidRDefault="00CD48BC" w:rsidP="00A34615">
            <w:pPr>
              <w:rPr>
                <w:b/>
              </w:rPr>
            </w:pPr>
            <w:r w:rsidRPr="00A34615">
              <w:rPr>
                <w:lang w:val="en-US"/>
              </w:rPr>
              <w:fldChar w:fldCharType="begin"/>
            </w:r>
            <w:r w:rsidR="00A34615" w:rsidRPr="00A34615">
              <w:rPr>
                <w:lang w:val="en-US"/>
              </w:rPr>
              <w:instrText xml:space="preserve"> SEQ CHAPTER \h \r 1</w:instrText>
            </w:r>
            <w:r w:rsidRPr="00A34615">
              <w:rPr>
                <w:lang w:val="en-US"/>
              </w:rPr>
              <w:fldChar w:fldCharType="end"/>
            </w:r>
            <w:r w:rsidR="00A34615" w:rsidRPr="00A34615">
              <w:rPr>
                <w:b/>
                <w:bCs/>
                <w:lang w:val="en-US"/>
              </w:rPr>
              <w:t>Motion for leave to intervene</w:t>
            </w:r>
            <w:r w:rsidRPr="00A34615">
              <w:rPr>
                <w:lang w:val="en-US"/>
              </w:rPr>
              <w:fldChar w:fldCharType="begin"/>
            </w:r>
            <w:r w:rsidR="00A34615" w:rsidRPr="00A34615">
              <w:instrText xml:space="preserve"> SEQ CHAPTER \h \r 1</w:instrText>
            </w:r>
            <w:r w:rsidRPr="00A34615">
              <w:rPr>
                <w:lang w:val="en-US"/>
              </w:rPr>
              <w:fldChar w:fldCharType="end"/>
            </w:r>
          </w:p>
        </w:tc>
        <w:tc>
          <w:tcPr>
            <w:tcW w:w="1170" w:type="dxa"/>
          </w:tcPr>
          <w:p w:rsidR="00A34615" w:rsidRPr="00A34615" w:rsidRDefault="00A34615" w:rsidP="00A34615"/>
          <w:p w:rsidR="00A34615" w:rsidRPr="00A34615" w:rsidRDefault="00A34615" w:rsidP="00A34615"/>
        </w:tc>
        <w:tc>
          <w:tcPr>
            <w:tcW w:w="4327" w:type="dxa"/>
          </w:tcPr>
          <w:p w:rsidR="00A34615" w:rsidRPr="00A34615" w:rsidRDefault="00CD48BC" w:rsidP="00A34615">
            <w:pPr>
              <w:jc w:val="both"/>
              <w:rPr>
                <w:b/>
                <w:lang w:val="fr-CA"/>
              </w:rPr>
            </w:pPr>
            <w:r w:rsidRPr="00A34615">
              <w:rPr>
                <w:lang w:val="en-US"/>
              </w:rPr>
              <w:fldChar w:fldCharType="begin"/>
            </w:r>
            <w:r w:rsidR="00A34615" w:rsidRPr="00A34615">
              <w:rPr>
                <w:lang w:val="fr-CA"/>
              </w:rPr>
              <w:instrText xml:space="preserve"> SEQ CHAPTER \h \r 1</w:instrText>
            </w:r>
            <w:r w:rsidRPr="00A34615">
              <w:rPr>
                <w:lang w:val="en-US"/>
              </w:rPr>
              <w:fldChar w:fldCharType="end"/>
            </w:r>
            <w:r w:rsidR="00A34615" w:rsidRPr="00A34615">
              <w:rPr>
                <w:b/>
                <w:bCs/>
                <w:lang w:val="fr-CA"/>
              </w:rPr>
              <w:t>Requête en autorisation d’intervenir</w:t>
            </w:r>
            <w:r w:rsidRPr="00A34615">
              <w:rPr>
                <w:lang w:val="en-US"/>
              </w:rPr>
              <w:fldChar w:fldCharType="begin"/>
            </w:r>
            <w:r w:rsidR="00A34615" w:rsidRPr="00A34615">
              <w:rPr>
                <w:lang w:val="fr-CA"/>
              </w:rPr>
              <w:instrText xml:space="preserve"> SEQ CHAPTER \h \r 1</w:instrText>
            </w:r>
            <w:r w:rsidRPr="00A34615">
              <w:rPr>
                <w:lang w:val="en-US"/>
              </w:rPr>
              <w:fldChar w:fldCharType="end"/>
            </w:r>
          </w:p>
        </w:tc>
      </w:tr>
      <w:tr w:rsidR="00A34615" w:rsidRPr="00A34615" w:rsidTr="003B435E">
        <w:tc>
          <w:tcPr>
            <w:tcW w:w="1368" w:type="dxa"/>
          </w:tcPr>
          <w:p w:rsidR="00A34615" w:rsidRPr="00A34615" w:rsidRDefault="00A34615" w:rsidP="00A34615">
            <w:r w:rsidRPr="00A34615">
              <w:t>BY / PAR</w:t>
            </w:r>
          </w:p>
        </w:tc>
        <w:tc>
          <w:tcPr>
            <w:tcW w:w="2970" w:type="dxa"/>
          </w:tcPr>
          <w:p w:rsidR="00A34615" w:rsidRPr="00A34615" w:rsidRDefault="00A34615" w:rsidP="00A34615">
            <w:r w:rsidRPr="00A34615">
              <w:rPr>
                <w:lang w:val="en-US"/>
              </w:rPr>
              <w:t>David Asper Centre for Constitutional Rights</w:t>
            </w:r>
          </w:p>
        </w:tc>
        <w:tc>
          <w:tcPr>
            <w:tcW w:w="1170" w:type="dxa"/>
          </w:tcPr>
          <w:p w:rsidR="00A34615" w:rsidRPr="00A34615" w:rsidRDefault="00A34615" w:rsidP="00A34615"/>
        </w:tc>
        <w:tc>
          <w:tcPr>
            <w:tcW w:w="4327" w:type="dxa"/>
          </w:tcPr>
          <w:p w:rsidR="00A34615" w:rsidRPr="00A34615" w:rsidRDefault="00A34615" w:rsidP="00A34615"/>
        </w:tc>
      </w:tr>
      <w:tr w:rsidR="00A34615" w:rsidRPr="00A34615" w:rsidTr="003B435E">
        <w:tc>
          <w:tcPr>
            <w:tcW w:w="1368" w:type="dxa"/>
          </w:tcPr>
          <w:p w:rsidR="00A34615" w:rsidRPr="00A34615" w:rsidRDefault="00A34615" w:rsidP="00A34615"/>
        </w:tc>
        <w:tc>
          <w:tcPr>
            <w:tcW w:w="2970" w:type="dxa"/>
          </w:tcPr>
          <w:p w:rsidR="00A34615" w:rsidRPr="00A34615" w:rsidRDefault="00A34615" w:rsidP="00A34615">
            <w:pPr>
              <w:rPr>
                <w:lang w:val="en-US"/>
              </w:rPr>
            </w:pPr>
          </w:p>
        </w:tc>
        <w:tc>
          <w:tcPr>
            <w:tcW w:w="1170" w:type="dxa"/>
          </w:tcPr>
          <w:p w:rsidR="00A34615" w:rsidRPr="00A34615" w:rsidRDefault="00A34615" w:rsidP="00A34615"/>
        </w:tc>
        <w:tc>
          <w:tcPr>
            <w:tcW w:w="4327" w:type="dxa"/>
          </w:tcPr>
          <w:p w:rsidR="00A34615" w:rsidRPr="00A34615" w:rsidRDefault="00A34615" w:rsidP="00A34615"/>
        </w:tc>
      </w:tr>
      <w:tr w:rsidR="00A34615" w:rsidRPr="00A34615" w:rsidTr="003B435E">
        <w:tc>
          <w:tcPr>
            <w:tcW w:w="1368" w:type="dxa"/>
          </w:tcPr>
          <w:p w:rsidR="00A34615" w:rsidRPr="00A34615" w:rsidRDefault="00A34615" w:rsidP="00A34615">
            <w:r w:rsidRPr="00A34615">
              <w:t>IN / DANS :</w:t>
            </w:r>
          </w:p>
        </w:tc>
        <w:tc>
          <w:tcPr>
            <w:tcW w:w="2970" w:type="dxa"/>
          </w:tcPr>
          <w:p w:rsidR="00A34615" w:rsidRPr="00A34615" w:rsidRDefault="00A34615" w:rsidP="00A34615">
            <w:r w:rsidRPr="00A34615">
              <w:t>Attorney General of Canada on behalf of the Czech Republic and Minister of Justice of Canada</w:t>
            </w:r>
          </w:p>
          <w:p w:rsidR="00A34615" w:rsidRPr="00A34615" w:rsidRDefault="00A34615" w:rsidP="00A34615"/>
        </w:tc>
        <w:tc>
          <w:tcPr>
            <w:tcW w:w="1170" w:type="dxa"/>
          </w:tcPr>
          <w:p w:rsidR="00A34615" w:rsidRPr="00A34615" w:rsidRDefault="00A34615" w:rsidP="00A34615"/>
        </w:tc>
        <w:tc>
          <w:tcPr>
            <w:tcW w:w="4327" w:type="dxa"/>
          </w:tcPr>
          <w:p w:rsidR="00A34615" w:rsidRPr="00A34615" w:rsidRDefault="00A34615" w:rsidP="00A34615"/>
        </w:tc>
      </w:tr>
      <w:tr w:rsidR="00A34615" w:rsidRPr="00A34615" w:rsidTr="003B435E">
        <w:tc>
          <w:tcPr>
            <w:tcW w:w="1368" w:type="dxa"/>
          </w:tcPr>
          <w:p w:rsidR="00A34615" w:rsidRPr="00A34615" w:rsidRDefault="00A34615" w:rsidP="00A34615"/>
        </w:tc>
        <w:tc>
          <w:tcPr>
            <w:tcW w:w="2970" w:type="dxa"/>
          </w:tcPr>
          <w:p w:rsidR="00A34615" w:rsidRPr="00A34615" w:rsidRDefault="00A34615" w:rsidP="00A34615">
            <w:r w:rsidRPr="00A34615">
              <w:tab/>
              <w:t>v. (34767)</w:t>
            </w:r>
          </w:p>
          <w:p w:rsidR="00A34615" w:rsidRPr="00A34615" w:rsidRDefault="00A34615" w:rsidP="00A34615"/>
        </w:tc>
        <w:tc>
          <w:tcPr>
            <w:tcW w:w="1170" w:type="dxa"/>
          </w:tcPr>
          <w:p w:rsidR="00A34615" w:rsidRPr="00A34615" w:rsidRDefault="00A34615" w:rsidP="00A34615"/>
        </w:tc>
        <w:tc>
          <w:tcPr>
            <w:tcW w:w="4327" w:type="dxa"/>
          </w:tcPr>
          <w:p w:rsidR="00A34615" w:rsidRPr="00A34615" w:rsidRDefault="00A34615" w:rsidP="00A34615"/>
        </w:tc>
      </w:tr>
      <w:tr w:rsidR="00A34615" w:rsidRPr="00A34615" w:rsidTr="003B435E">
        <w:tc>
          <w:tcPr>
            <w:tcW w:w="1368" w:type="dxa"/>
          </w:tcPr>
          <w:p w:rsidR="00A34615" w:rsidRPr="00A34615" w:rsidRDefault="00A34615" w:rsidP="00A34615"/>
        </w:tc>
        <w:tc>
          <w:tcPr>
            <w:tcW w:w="2970" w:type="dxa"/>
          </w:tcPr>
          <w:p w:rsidR="00A34615" w:rsidRPr="00A34615" w:rsidRDefault="00A34615" w:rsidP="00A34615">
            <w:pPr>
              <w:jc w:val="both"/>
            </w:pPr>
            <w:r w:rsidRPr="00A34615">
              <w:t>Bretislav Zajicek (Crim.) (Ont.)</w:t>
            </w:r>
          </w:p>
        </w:tc>
        <w:tc>
          <w:tcPr>
            <w:tcW w:w="1170" w:type="dxa"/>
          </w:tcPr>
          <w:p w:rsidR="00A34615" w:rsidRPr="00A34615" w:rsidRDefault="00A34615" w:rsidP="00A34615"/>
        </w:tc>
        <w:tc>
          <w:tcPr>
            <w:tcW w:w="4327" w:type="dxa"/>
          </w:tcPr>
          <w:p w:rsidR="00A34615" w:rsidRPr="00A34615" w:rsidRDefault="00A34615" w:rsidP="00A34615"/>
        </w:tc>
      </w:tr>
    </w:tbl>
    <w:p w:rsidR="00A34615" w:rsidRPr="00A34615" w:rsidRDefault="00A34615" w:rsidP="00A34615">
      <w:pPr>
        <w:tabs>
          <w:tab w:val="left" w:pos="-1440"/>
          <w:tab w:val="left" w:pos="-720"/>
        </w:tabs>
        <w:jc w:val="both"/>
        <w:rPr>
          <w:rFonts w:eastAsia="Times New Roman" w:cs="Times New Roman"/>
          <w:sz w:val="20"/>
          <w:szCs w:val="20"/>
          <w:lang w:eastAsia="en-CA"/>
        </w:rPr>
      </w:pPr>
    </w:p>
    <w:p w:rsidR="00A34615" w:rsidRPr="00A34615" w:rsidRDefault="00A34615" w:rsidP="00A34615">
      <w:pPr>
        <w:tabs>
          <w:tab w:val="left" w:pos="-1440"/>
          <w:tab w:val="left" w:pos="-720"/>
        </w:tabs>
        <w:jc w:val="both"/>
        <w:rPr>
          <w:rFonts w:eastAsia="Times New Roman" w:cs="Times New Roman"/>
          <w:sz w:val="20"/>
          <w:szCs w:val="20"/>
          <w:lang w:eastAsia="en-CA"/>
        </w:rPr>
      </w:pPr>
      <w:r w:rsidRPr="00A34615">
        <w:rPr>
          <w:rFonts w:eastAsia="Times New Roman" w:cs="Times New Roman"/>
          <w:b/>
          <w:sz w:val="20"/>
          <w:szCs w:val="20"/>
          <w:lang w:eastAsia="en-CA"/>
        </w:rPr>
        <w:t>GRANTED / ACCORDÉE</w:t>
      </w:r>
    </w:p>
    <w:p w:rsidR="00A34615" w:rsidRPr="00A34615" w:rsidRDefault="00A34615" w:rsidP="00A34615">
      <w:pPr>
        <w:tabs>
          <w:tab w:val="left" w:pos="-1440"/>
          <w:tab w:val="left" w:pos="-720"/>
        </w:tabs>
        <w:jc w:val="both"/>
        <w:rPr>
          <w:rFonts w:eastAsia="Times New Roman" w:cs="Times New Roman"/>
          <w:sz w:val="20"/>
          <w:szCs w:val="20"/>
          <w:lang w:eastAsia="en-CA"/>
        </w:rPr>
      </w:pPr>
    </w:p>
    <w:p w:rsidR="00A34615" w:rsidRPr="00A34615" w:rsidRDefault="00A34615" w:rsidP="00A34615">
      <w:pPr>
        <w:spacing w:line="233" w:lineRule="auto"/>
        <w:jc w:val="both"/>
        <w:rPr>
          <w:rFonts w:eastAsia="Times New Roman" w:cs="Times New Roman"/>
          <w:sz w:val="20"/>
          <w:szCs w:val="20"/>
          <w:lang w:val="en-US" w:eastAsia="en-CA"/>
        </w:rPr>
      </w:pPr>
      <w:r w:rsidRPr="00A34615">
        <w:rPr>
          <w:rFonts w:eastAsia="Times New Roman" w:cs="Times New Roman"/>
          <w:b/>
          <w:bCs/>
          <w:sz w:val="20"/>
          <w:szCs w:val="20"/>
          <w:lang w:val="en-US" w:eastAsia="en-CA"/>
        </w:rPr>
        <w:t xml:space="preserve">UPON APPLICATION </w:t>
      </w:r>
      <w:r w:rsidRPr="00A34615">
        <w:rPr>
          <w:rFonts w:eastAsia="Times New Roman" w:cs="Times New Roman"/>
          <w:sz w:val="20"/>
          <w:szCs w:val="20"/>
          <w:lang w:val="en-US" w:eastAsia="en-CA"/>
        </w:rPr>
        <w:t xml:space="preserve">by </w:t>
      </w:r>
      <w:r w:rsidRPr="00A34615">
        <w:rPr>
          <w:rFonts w:eastAsia="Times New Roman" w:cs="Times New Roman"/>
          <w:sz w:val="20"/>
          <w:szCs w:val="20"/>
          <w:lang w:eastAsia="en-CA"/>
        </w:rPr>
        <w:t>the</w:t>
      </w:r>
      <w:r w:rsidRPr="00A34615">
        <w:rPr>
          <w:rFonts w:eastAsia="Times New Roman" w:cs="Times New Roman"/>
          <w:sz w:val="20"/>
          <w:szCs w:val="20"/>
          <w:lang w:val="en-US" w:eastAsia="en-CA"/>
        </w:rPr>
        <w:t xml:space="preserve"> David Asper Centre for Constitutional Rights for leave to intervene in the above appeal;</w:t>
      </w:r>
    </w:p>
    <w:p w:rsidR="00A34615" w:rsidRPr="00A34615" w:rsidRDefault="00A34615" w:rsidP="00A34615">
      <w:pPr>
        <w:spacing w:line="233" w:lineRule="auto"/>
        <w:jc w:val="both"/>
        <w:rPr>
          <w:rFonts w:eastAsia="Times New Roman" w:cs="Times New Roman"/>
          <w:sz w:val="20"/>
          <w:szCs w:val="20"/>
          <w:lang w:val="en-US" w:eastAsia="en-CA"/>
        </w:rPr>
      </w:pPr>
    </w:p>
    <w:p w:rsidR="00A34615" w:rsidRPr="00A34615" w:rsidRDefault="00A34615" w:rsidP="00A34615">
      <w:pPr>
        <w:spacing w:line="233" w:lineRule="auto"/>
        <w:jc w:val="both"/>
        <w:rPr>
          <w:rFonts w:eastAsia="Times New Roman" w:cs="Times New Roman"/>
          <w:sz w:val="20"/>
          <w:szCs w:val="20"/>
          <w:lang w:val="en-US" w:eastAsia="en-CA"/>
        </w:rPr>
      </w:pPr>
      <w:r w:rsidRPr="00A34615">
        <w:rPr>
          <w:rFonts w:eastAsia="Times New Roman" w:cs="Times New Roman"/>
          <w:b/>
          <w:bCs/>
          <w:sz w:val="20"/>
          <w:szCs w:val="20"/>
          <w:lang w:val="en-US" w:eastAsia="en-CA"/>
        </w:rPr>
        <w:t>AND THE MATERIAL FILED</w:t>
      </w:r>
      <w:r w:rsidRPr="00A34615">
        <w:rPr>
          <w:rFonts w:eastAsia="Times New Roman" w:cs="Times New Roman"/>
          <w:sz w:val="20"/>
          <w:szCs w:val="20"/>
          <w:lang w:val="en-US" w:eastAsia="en-CA"/>
        </w:rPr>
        <w:t xml:space="preserve"> having been read;</w:t>
      </w:r>
    </w:p>
    <w:p w:rsidR="00A34615" w:rsidRPr="00A34615" w:rsidRDefault="00A34615" w:rsidP="00A34615">
      <w:pPr>
        <w:spacing w:line="233" w:lineRule="auto"/>
        <w:jc w:val="both"/>
        <w:rPr>
          <w:rFonts w:eastAsia="Times New Roman" w:cs="Times New Roman"/>
          <w:sz w:val="20"/>
          <w:szCs w:val="20"/>
          <w:lang w:val="en-US" w:eastAsia="en-CA"/>
        </w:rPr>
      </w:pPr>
    </w:p>
    <w:p w:rsidR="00A34615" w:rsidRPr="00A34615" w:rsidRDefault="00A34615" w:rsidP="00A34615">
      <w:pPr>
        <w:spacing w:line="233" w:lineRule="auto"/>
        <w:jc w:val="both"/>
        <w:rPr>
          <w:rFonts w:eastAsia="Times New Roman" w:cs="Times New Roman"/>
          <w:sz w:val="20"/>
          <w:szCs w:val="20"/>
          <w:lang w:val="en-US" w:eastAsia="en-CA"/>
        </w:rPr>
      </w:pPr>
      <w:r w:rsidRPr="00A34615">
        <w:rPr>
          <w:rFonts w:eastAsia="Times New Roman" w:cs="Times New Roman"/>
          <w:b/>
          <w:bCs/>
          <w:sz w:val="20"/>
          <w:szCs w:val="20"/>
          <w:lang w:val="en-US" w:eastAsia="en-CA"/>
        </w:rPr>
        <w:t>IT IS HEREBY ORDERED THAT:</w:t>
      </w:r>
    </w:p>
    <w:p w:rsidR="00A34615" w:rsidRPr="00A34615" w:rsidRDefault="00A34615" w:rsidP="00A34615">
      <w:pPr>
        <w:spacing w:line="233" w:lineRule="auto"/>
        <w:jc w:val="both"/>
        <w:rPr>
          <w:rFonts w:eastAsia="Times New Roman" w:cs="Times New Roman"/>
          <w:sz w:val="20"/>
          <w:szCs w:val="20"/>
          <w:lang w:val="en-US" w:eastAsia="en-CA"/>
        </w:rPr>
      </w:pPr>
    </w:p>
    <w:p w:rsidR="00A34615" w:rsidRPr="00A34615" w:rsidRDefault="00A34615" w:rsidP="00A34615">
      <w:pPr>
        <w:spacing w:line="233" w:lineRule="auto"/>
        <w:jc w:val="both"/>
        <w:rPr>
          <w:rFonts w:eastAsia="Times New Roman" w:cs="Times New Roman"/>
          <w:sz w:val="20"/>
          <w:szCs w:val="20"/>
          <w:lang w:val="en-US" w:eastAsia="en-CA"/>
        </w:rPr>
      </w:pPr>
      <w:r w:rsidRPr="00A34615">
        <w:rPr>
          <w:rFonts w:eastAsia="Times New Roman" w:cs="Times New Roman"/>
          <w:sz w:val="20"/>
          <w:szCs w:val="20"/>
          <w:lang w:val="en-US" w:eastAsia="en-CA"/>
        </w:rPr>
        <w:t xml:space="preserve">The motion for leave to intervene of </w:t>
      </w:r>
      <w:r w:rsidRPr="00A34615">
        <w:rPr>
          <w:rFonts w:eastAsia="Times New Roman" w:cs="Times New Roman"/>
          <w:sz w:val="20"/>
          <w:szCs w:val="20"/>
          <w:lang w:eastAsia="en-CA"/>
        </w:rPr>
        <w:t xml:space="preserve">the </w:t>
      </w:r>
      <w:r w:rsidRPr="00A34615">
        <w:rPr>
          <w:rFonts w:eastAsia="Times New Roman" w:cs="Times New Roman"/>
          <w:sz w:val="20"/>
          <w:szCs w:val="20"/>
          <w:lang w:val="en-US" w:eastAsia="en-CA"/>
        </w:rPr>
        <w:t xml:space="preserve">David Asper Centre for Constitutional Rights </w:t>
      </w:r>
      <w:r w:rsidRPr="00A34615">
        <w:rPr>
          <w:rFonts w:eastAsia="Times New Roman" w:cs="Times New Roman"/>
          <w:sz w:val="20"/>
          <w:szCs w:val="20"/>
          <w:lang w:eastAsia="en-CA"/>
        </w:rPr>
        <w:t xml:space="preserve">is </w:t>
      </w:r>
      <w:r w:rsidRPr="00A34615">
        <w:rPr>
          <w:rFonts w:eastAsia="Times New Roman" w:cs="Times New Roman"/>
          <w:sz w:val="20"/>
          <w:szCs w:val="20"/>
          <w:lang w:val="en-US" w:eastAsia="en-CA"/>
        </w:rPr>
        <w:t>granted and the said intervener shall be entitled to serve and file a factum not to exceed 10 pages in length on or before February 8, 2013.</w:t>
      </w:r>
    </w:p>
    <w:p w:rsidR="00A34615" w:rsidRPr="00A34615" w:rsidRDefault="00A34615" w:rsidP="00A34615">
      <w:pPr>
        <w:spacing w:line="233" w:lineRule="auto"/>
        <w:jc w:val="both"/>
        <w:rPr>
          <w:rFonts w:eastAsia="Times New Roman" w:cs="Times New Roman"/>
          <w:sz w:val="20"/>
          <w:szCs w:val="20"/>
          <w:lang w:val="en-US" w:eastAsia="en-CA"/>
        </w:rPr>
      </w:pPr>
    </w:p>
    <w:p w:rsidR="00A34615" w:rsidRPr="00A34615" w:rsidRDefault="00A34615" w:rsidP="00A34615">
      <w:pPr>
        <w:spacing w:line="233" w:lineRule="auto"/>
        <w:jc w:val="both"/>
        <w:rPr>
          <w:rFonts w:eastAsia="Times New Roman" w:cs="Times New Roman"/>
          <w:sz w:val="20"/>
          <w:szCs w:val="20"/>
          <w:lang w:val="en-US" w:eastAsia="en-CA"/>
        </w:rPr>
      </w:pPr>
      <w:r w:rsidRPr="00A34615">
        <w:rPr>
          <w:rFonts w:eastAsia="Times New Roman" w:cs="Times New Roman"/>
          <w:sz w:val="20"/>
          <w:szCs w:val="20"/>
          <w:lang w:val="en-US" w:eastAsia="en-CA"/>
        </w:rPr>
        <w:t>The request to present oral argument is deferred to a date following receipt and consideration of the written arguments of the parties and the intervener.</w:t>
      </w:r>
    </w:p>
    <w:p w:rsidR="00A34615" w:rsidRPr="00A34615" w:rsidRDefault="00A34615" w:rsidP="00A34615">
      <w:pPr>
        <w:spacing w:line="233" w:lineRule="auto"/>
        <w:jc w:val="both"/>
        <w:rPr>
          <w:rFonts w:eastAsia="Times New Roman" w:cs="Times New Roman"/>
          <w:sz w:val="20"/>
          <w:szCs w:val="20"/>
          <w:lang w:val="en-US" w:eastAsia="en-CA"/>
        </w:rPr>
      </w:pPr>
    </w:p>
    <w:p w:rsidR="00A34615" w:rsidRPr="00A34615" w:rsidRDefault="00A34615" w:rsidP="00A34615">
      <w:pPr>
        <w:spacing w:line="233" w:lineRule="auto"/>
        <w:jc w:val="both"/>
        <w:rPr>
          <w:rFonts w:eastAsia="Times New Roman" w:cs="Times New Roman"/>
          <w:sz w:val="20"/>
          <w:szCs w:val="20"/>
          <w:lang w:val="en-US" w:eastAsia="en-CA"/>
        </w:rPr>
      </w:pPr>
      <w:r w:rsidRPr="00A34615">
        <w:rPr>
          <w:rFonts w:eastAsia="Times New Roman" w:cs="Times New Roman"/>
          <w:sz w:val="20"/>
          <w:szCs w:val="20"/>
          <w:lang w:val="en-US" w:eastAsia="en-CA"/>
        </w:rPr>
        <w:t>The intervener is not entitled to raise new issues or to adduce further evidence or otherwise to supplement the record of the parties.</w:t>
      </w:r>
    </w:p>
    <w:p w:rsidR="00A34615" w:rsidRPr="00A34615" w:rsidRDefault="00A34615" w:rsidP="00A34615">
      <w:pPr>
        <w:spacing w:line="233" w:lineRule="auto"/>
        <w:jc w:val="both"/>
        <w:rPr>
          <w:rFonts w:eastAsia="Times New Roman" w:cs="Times New Roman"/>
          <w:sz w:val="20"/>
          <w:szCs w:val="20"/>
          <w:lang w:val="en-US" w:eastAsia="en-CA"/>
        </w:rPr>
      </w:pPr>
    </w:p>
    <w:p w:rsidR="00A34615" w:rsidRPr="00A34615" w:rsidRDefault="00A34615" w:rsidP="00A34615">
      <w:pPr>
        <w:spacing w:line="233" w:lineRule="auto"/>
        <w:jc w:val="both"/>
        <w:rPr>
          <w:rFonts w:eastAsia="Times New Roman" w:cs="Times New Roman"/>
          <w:sz w:val="20"/>
          <w:szCs w:val="20"/>
          <w:lang w:val="en-US" w:eastAsia="en-CA"/>
        </w:rPr>
      </w:pPr>
      <w:r w:rsidRPr="00A34615">
        <w:rPr>
          <w:rFonts w:eastAsia="Times New Roman" w:cs="Times New Roman"/>
          <w:sz w:val="20"/>
          <w:szCs w:val="20"/>
          <w:lang w:val="en-US" w:eastAsia="en-CA"/>
        </w:rPr>
        <w:t>Pursuant to Rule 59(1)(</w:t>
      </w:r>
      <w:r w:rsidRPr="00A34615">
        <w:rPr>
          <w:rFonts w:eastAsia="Times New Roman" w:cs="Times New Roman"/>
          <w:i/>
          <w:iCs/>
          <w:sz w:val="20"/>
          <w:szCs w:val="20"/>
          <w:lang w:val="en-US" w:eastAsia="en-CA"/>
        </w:rPr>
        <w:t>a</w:t>
      </w:r>
      <w:r w:rsidRPr="00A34615">
        <w:rPr>
          <w:rFonts w:eastAsia="Times New Roman" w:cs="Times New Roman"/>
          <w:sz w:val="20"/>
          <w:szCs w:val="20"/>
          <w:lang w:val="en-US" w:eastAsia="en-CA"/>
        </w:rPr>
        <w:t xml:space="preserve">) of the </w:t>
      </w:r>
      <w:r w:rsidRPr="00A34615">
        <w:rPr>
          <w:rFonts w:eastAsia="Times New Roman" w:cs="Times New Roman"/>
          <w:i/>
          <w:iCs/>
          <w:sz w:val="20"/>
          <w:szCs w:val="20"/>
          <w:lang w:val="en-US" w:eastAsia="en-CA"/>
        </w:rPr>
        <w:t>Rules of the Supreme Court of Canada</w:t>
      </w:r>
      <w:r w:rsidRPr="00A34615">
        <w:rPr>
          <w:rFonts w:eastAsia="Times New Roman" w:cs="Times New Roman"/>
          <w:sz w:val="20"/>
          <w:szCs w:val="20"/>
          <w:lang w:val="en-US" w:eastAsia="en-CA"/>
        </w:rPr>
        <w:t xml:space="preserve">, the intervener shall pay to the appellants and respondent any additional disbursements occasioned to the appellants and respondent by its intervention. </w:t>
      </w:r>
    </w:p>
    <w:p w:rsidR="00A34615" w:rsidRPr="00A34615" w:rsidRDefault="00A34615" w:rsidP="00A34615">
      <w:pPr>
        <w:tabs>
          <w:tab w:val="left" w:pos="-1440"/>
          <w:tab w:val="left" w:pos="-720"/>
        </w:tabs>
        <w:jc w:val="both"/>
        <w:rPr>
          <w:rFonts w:eastAsia="Times New Roman" w:cs="Times New Roman"/>
          <w:sz w:val="20"/>
          <w:szCs w:val="20"/>
          <w:lang w:val="en-US" w:eastAsia="en-CA"/>
        </w:rPr>
      </w:pPr>
    </w:p>
    <w:p w:rsidR="00A34615" w:rsidRPr="00A34615" w:rsidRDefault="00A34615" w:rsidP="00A34615">
      <w:pPr>
        <w:tabs>
          <w:tab w:val="left" w:pos="-1440"/>
          <w:tab w:val="left" w:pos="-720"/>
        </w:tabs>
        <w:jc w:val="both"/>
        <w:rPr>
          <w:rFonts w:eastAsia="Times New Roman" w:cs="Times New Roman"/>
          <w:sz w:val="20"/>
          <w:szCs w:val="20"/>
          <w:lang w:val="en-US" w:eastAsia="en-CA"/>
        </w:rPr>
      </w:pPr>
    </w:p>
    <w:p w:rsidR="00A34615" w:rsidRPr="00A34615" w:rsidRDefault="00A34615" w:rsidP="00A34615">
      <w:pPr>
        <w:tabs>
          <w:tab w:val="left" w:pos="-1440"/>
          <w:tab w:val="left" w:pos="-720"/>
        </w:tabs>
        <w:jc w:val="both"/>
        <w:rPr>
          <w:rFonts w:eastAsia="Times New Roman" w:cs="Times New Roman"/>
          <w:sz w:val="20"/>
          <w:szCs w:val="20"/>
          <w:lang w:val="en-US" w:eastAsia="en-CA"/>
        </w:rPr>
      </w:pPr>
    </w:p>
    <w:p w:rsidR="00A34615" w:rsidRPr="00A34615" w:rsidRDefault="00A34615" w:rsidP="00A34615">
      <w:pPr>
        <w:spacing w:line="233" w:lineRule="auto"/>
        <w:jc w:val="both"/>
        <w:rPr>
          <w:rFonts w:eastAsia="Times New Roman" w:cs="Times New Roman"/>
          <w:sz w:val="20"/>
          <w:szCs w:val="20"/>
          <w:lang w:val="fr-FR" w:eastAsia="en-CA"/>
        </w:rPr>
      </w:pPr>
      <w:r w:rsidRPr="00A34615">
        <w:rPr>
          <w:rFonts w:eastAsia="Times New Roman" w:cs="Times New Roman"/>
          <w:b/>
          <w:bCs/>
          <w:sz w:val="20"/>
          <w:szCs w:val="20"/>
          <w:lang w:val="fr-FR" w:eastAsia="en-CA"/>
        </w:rPr>
        <w:t xml:space="preserve">À LA SUITE DE LA DEMANDE </w:t>
      </w:r>
      <w:r w:rsidRPr="00A34615">
        <w:rPr>
          <w:rFonts w:eastAsia="Times New Roman" w:cs="Times New Roman"/>
          <w:bCs/>
          <w:sz w:val="20"/>
          <w:szCs w:val="20"/>
          <w:lang w:val="fr-FR" w:eastAsia="en-CA"/>
        </w:rPr>
        <w:t>d’autorisation d’appel</w:t>
      </w:r>
      <w:r w:rsidRPr="00A34615">
        <w:rPr>
          <w:rFonts w:eastAsia="Times New Roman" w:cs="Times New Roman"/>
          <w:b/>
          <w:bCs/>
          <w:sz w:val="20"/>
          <w:szCs w:val="20"/>
          <w:lang w:val="fr-FR" w:eastAsia="en-CA"/>
        </w:rPr>
        <w:t xml:space="preserve"> </w:t>
      </w:r>
      <w:r w:rsidRPr="00A34615">
        <w:rPr>
          <w:rFonts w:eastAsia="Times New Roman" w:cs="Times New Roman"/>
          <w:bCs/>
          <w:sz w:val="20"/>
          <w:szCs w:val="20"/>
          <w:lang w:val="fr-FR" w:eastAsia="en-CA"/>
        </w:rPr>
        <w:t>présentée par le</w:t>
      </w:r>
      <w:r w:rsidRPr="00A34615">
        <w:rPr>
          <w:rFonts w:eastAsia="Times New Roman" w:cs="Times New Roman"/>
          <w:sz w:val="20"/>
          <w:szCs w:val="20"/>
          <w:lang w:val="fr-FR" w:eastAsia="en-CA"/>
        </w:rPr>
        <w:t xml:space="preserve"> David Asper Centre for Constitutional Rights;</w:t>
      </w:r>
    </w:p>
    <w:p w:rsidR="00A34615" w:rsidRPr="00A34615" w:rsidRDefault="00A34615" w:rsidP="00A34615">
      <w:pPr>
        <w:spacing w:line="233" w:lineRule="auto"/>
        <w:jc w:val="both"/>
        <w:rPr>
          <w:rFonts w:eastAsia="Times New Roman" w:cs="Times New Roman"/>
          <w:sz w:val="20"/>
          <w:szCs w:val="20"/>
          <w:lang w:val="fr-FR" w:eastAsia="en-CA"/>
        </w:rPr>
      </w:pPr>
    </w:p>
    <w:p w:rsidR="00A34615" w:rsidRPr="00A34615" w:rsidRDefault="00A34615" w:rsidP="00A34615">
      <w:pPr>
        <w:spacing w:line="233" w:lineRule="auto"/>
        <w:jc w:val="both"/>
        <w:rPr>
          <w:rFonts w:eastAsia="Times New Roman" w:cs="Times New Roman"/>
          <w:b/>
          <w:bCs/>
          <w:sz w:val="20"/>
          <w:szCs w:val="20"/>
          <w:lang w:val="fr-CA" w:eastAsia="en-CA"/>
        </w:rPr>
      </w:pPr>
      <w:r w:rsidRPr="00A34615">
        <w:rPr>
          <w:rFonts w:eastAsia="Times New Roman" w:cs="Times New Roman"/>
          <w:b/>
          <w:bCs/>
          <w:sz w:val="20"/>
          <w:szCs w:val="20"/>
          <w:lang w:val="fr-CA" w:eastAsia="en-CA"/>
        </w:rPr>
        <w:t xml:space="preserve">ET APRÈS EXAMEN </w:t>
      </w:r>
      <w:r w:rsidRPr="00A34615">
        <w:rPr>
          <w:rFonts w:eastAsia="Times New Roman" w:cs="Times New Roman"/>
          <w:bCs/>
          <w:sz w:val="20"/>
          <w:szCs w:val="20"/>
          <w:lang w:val="fr-CA" w:eastAsia="en-CA"/>
        </w:rPr>
        <w:t xml:space="preserve">des documents déposés, </w:t>
      </w:r>
    </w:p>
    <w:p w:rsidR="00A34615" w:rsidRPr="00A34615" w:rsidRDefault="00A34615" w:rsidP="00A34615">
      <w:pPr>
        <w:spacing w:line="233" w:lineRule="auto"/>
        <w:jc w:val="both"/>
        <w:rPr>
          <w:rFonts w:eastAsia="Times New Roman" w:cs="Times New Roman"/>
          <w:sz w:val="20"/>
          <w:szCs w:val="20"/>
          <w:lang w:val="fr-CA" w:eastAsia="en-CA"/>
        </w:rPr>
      </w:pPr>
    </w:p>
    <w:p w:rsidR="00A34615" w:rsidRPr="00A34615" w:rsidRDefault="00A34615" w:rsidP="00A34615">
      <w:pPr>
        <w:spacing w:line="233" w:lineRule="auto"/>
        <w:jc w:val="both"/>
        <w:rPr>
          <w:rFonts w:eastAsia="Times New Roman" w:cs="Times New Roman"/>
          <w:sz w:val="20"/>
          <w:szCs w:val="20"/>
          <w:lang w:val="fr-FR" w:eastAsia="en-CA"/>
        </w:rPr>
      </w:pPr>
      <w:r w:rsidRPr="00A34615">
        <w:rPr>
          <w:rFonts w:eastAsia="Times New Roman" w:cs="Times New Roman"/>
          <w:b/>
          <w:bCs/>
          <w:sz w:val="20"/>
          <w:szCs w:val="20"/>
          <w:lang w:val="fr-FR" w:eastAsia="en-CA"/>
        </w:rPr>
        <w:t xml:space="preserve">IL EST ORDONNÉ CE QUI SUIT : </w:t>
      </w:r>
    </w:p>
    <w:p w:rsidR="00A34615" w:rsidRPr="00A34615" w:rsidRDefault="00A34615" w:rsidP="00A34615">
      <w:pPr>
        <w:spacing w:line="233" w:lineRule="auto"/>
        <w:jc w:val="both"/>
        <w:rPr>
          <w:rFonts w:eastAsia="Times New Roman" w:cs="Times New Roman"/>
          <w:sz w:val="20"/>
          <w:szCs w:val="20"/>
          <w:lang w:val="fr-FR" w:eastAsia="en-CA"/>
        </w:rPr>
      </w:pPr>
    </w:p>
    <w:p w:rsidR="00A34615" w:rsidRPr="00A34615" w:rsidRDefault="00A34615" w:rsidP="00A34615">
      <w:pPr>
        <w:spacing w:line="233" w:lineRule="auto"/>
        <w:jc w:val="both"/>
        <w:rPr>
          <w:rFonts w:eastAsia="Times New Roman" w:cs="Times New Roman"/>
          <w:sz w:val="20"/>
          <w:szCs w:val="20"/>
          <w:lang w:val="fr-FR" w:eastAsia="en-CA"/>
        </w:rPr>
      </w:pPr>
      <w:r w:rsidRPr="00A34615">
        <w:rPr>
          <w:rFonts w:eastAsia="Times New Roman" w:cs="Times New Roman"/>
          <w:sz w:val="20"/>
          <w:szCs w:val="20"/>
          <w:lang w:val="fr-FR" w:eastAsia="en-CA"/>
        </w:rPr>
        <w:t xml:space="preserve">La requête en autorisation d’intervenir présentée par le David Asper Centre for Constitutional Rights est accueillie et cet intervenant pourra signifier et déposer un mémoire d’au plus 10 pages au plus tard le 8 février 2013. </w:t>
      </w:r>
    </w:p>
    <w:p w:rsidR="00A34615" w:rsidRPr="00A34615" w:rsidRDefault="00A34615" w:rsidP="00A34615">
      <w:pPr>
        <w:spacing w:line="233" w:lineRule="auto"/>
        <w:jc w:val="both"/>
        <w:rPr>
          <w:rFonts w:eastAsia="Times New Roman" w:cs="Times New Roman"/>
          <w:sz w:val="20"/>
          <w:szCs w:val="20"/>
          <w:lang w:val="fr-FR" w:eastAsia="en-CA"/>
        </w:rPr>
      </w:pPr>
    </w:p>
    <w:p w:rsidR="00A34615" w:rsidRPr="00A34615" w:rsidRDefault="00A34615" w:rsidP="00A34615">
      <w:pPr>
        <w:spacing w:line="233" w:lineRule="auto"/>
        <w:jc w:val="both"/>
        <w:rPr>
          <w:rFonts w:eastAsia="Times New Roman" w:cs="Times New Roman"/>
          <w:sz w:val="20"/>
          <w:szCs w:val="20"/>
          <w:lang w:val="fr-CA" w:eastAsia="en-CA"/>
        </w:rPr>
      </w:pPr>
      <w:r w:rsidRPr="00A34615">
        <w:rPr>
          <w:rFonts w:eastAsia="Times New Roman" w:cs="Times New Roman"/>
          <w:sz w:val="20"/>
          <w:szCs w:val="20"/>
          <w:lang w:val="fr-FR" w:eastAsia="en-CA"/>
        </w:rPr>
        <w:t xml:space="preserve">La décision sur la demande en vue de présenter une plaidoirie orale sera rendue après réception et examen des arguments écrits des parties et de l’intervenant. </w:t>
      </w:r>
    </w:p>
    <w:p w:rsidR="00A34615" w:rsidRPr="00A34615" w:rsidRDefault="00A34615" w:rsidP="00A34615">
      <w:pPr>
        <w:spacing w:line="233" w:lineRule="auto"/>
        <w:jc w:val="both"/>
        <w:rPr>
          <w:rFonts w:eastAsia="Times New Roman" w:cs="Times New Roman"/>
          <w:sz w:val="20"/>
          <w:szCs w:val="20"/>
          <w:lang w:val="fr-CA" w:eastAsia="en-CA"/>
        </w:rPr>
      </w:pPr>
    </w:p>
    <w:p w:rsidR="00A34615" w:rsidRPr="00A34615" w:rsidRDefault="00A34615" w:rsidP="00A34615">
      <w:pPr>
        <w:spacing w:line="233" w:lineRule="auto"/>
        <w:jc w:val="both"/>
        <w:rPr>
          <w:rFonts w:eastAsia="Times New Roman" w:cs="Times New Roman"/>
          <w:sz w:val="20"/>
          <w:szCs w:val="20"/>
          <w:lang w:val="fr-CA" w:eastAsia="en-CA"/>
        </w:rPr>
      </w:pPr>
      <w:r w:rsidRPr="00A34615">
        <w:rPr>
          <w:rFonts w:eastAsia="Times New Roman" w:cs="Times New Roman"/>
          <w:sz w:val="20"/>
          <w:szCs w:val="20"/>
          <w:lang w:val="fr-FR" w:eastAsia="en-CA"/>
        </w:rPr>
        <w:t xml:space="preserve">L’intervenant n’a pas le droit de soulever de nouvelles questions, de produire d’autres éléments de preuve ni de compléter de quelque autre façon le dossier des parties. </w:t>
      </w:r>
    </w:p>
    <w:p w:rsidR="00A34615" w:rsidRPr="00A34615" w:rsidRDefault="00A34615" w:rsidP="00A34615">
      <w:pPr>
        <w:spacing w:line="233" w:lineRule="auto"/>
        <w:jc w:val="both"/>
        <w:rPr>
          <w:rFonts w:eastAsia="Times New Roman" w:cs="Times New Roman"/>
          <w:sz w:val="20"/>
          <w:szCs w:val="20"/>
          <w:lang w:val="fr-CA" w:eastAsia="en-CA"/>
        </w:rPr>
      </w:pPr>
    </w:p>
    <w:p w:rsidR="00A34615" w:rsidRPr="00A34615" w:rsidRDefault="00A34615" w:rsidP="00A34615">
      <w:pPr>
        <w:spacing w:line="233" w:lineRule="auto"/>
        <w:jc w:val="both"/>
        <w:rPr>
          <w:rFonts w:eastAsia="Times New Roman" w:cs="Times New Roman"/>
          <w:sz w:val="20"/>
          <w:szCs w:val="20"/>
          <w:lang w:val="fr-CA" w:eastAsia="en-CA"/>
        </w:rPr>
      </w:pPr>
      <w:r w:rsidRPr="00A34615">
        <w:rPr>
          <w:rFonts w:eastAsia="Times New Roman" w:cs="Times New Roman"/>
          <w:sz w:val="20"/>
          <w:szCs w:val="20"/>
          <w:lang w:val="fr-FR" w:eastAsia="en-CA"/>
        </w:rPr>
        <w:lastRenderedPageBreak/>
        <w:t>Conformément à l’al. 59(1)</w:t>
      </w:r>
      <w:r w:rsidRPr="00A34615">
        <w:rPr>
          <w:rFonts w:eastAsia="Times New Roman" w:cs="Times New Roman"/>
          <w:i/>
          <w:sz w:val="20"/>
          <w:szCs w:val="20"/>
          <w:lang w:val="fr-FR" w:eastAsia="en-CA"/>
        </w:rPr>
        <w:t>a</w:t>
      </w:r>
      <w:r w:rsidRPr="00A34615">
        <w:rPr>
          <w:rFonts w:eastAsia="Times New Roman" w:cs="Times New Roman"/>
          <w:sz w:val="20"/>
          <w:szCs w:val="20"/>
          <w:lang w:val="fr-FR" w:eastAsia="en-CA"/>
        </w:rPr>
        <w:t xml:space="preserve">) des </w:t>
      </w:r>
      <w:r w:rsidRPr="00A34615">
        <w:rPr>
          <w:rFonts w:eastAsia="Times New Roman" w:cs="Times New Roman"/>
          <w:i/>
          <w:sz w:val="20"/>
          <w:szCs w:val="20"/>
          <w:lang w:val="fr-FR" w:eastAsia="en-CA"/>
        </w:rPr>
        <w:t>Règles de la Cour suprême du Canada</w:t>
      </w:r>
      <w:r w:rsidRPr="00A34615">
        <w:rPr>
          <w:rFonts w:eastAsia="Times New Roman" w:cs="Times New Roman"/>
          <w:sz w:val="20"/>
          <w:szCs w:val="20"/>
          <w:lang w:val="fr-FR" w:eastAsia="en-CA"/>
        </w:rPr>
        <w:t xml:space="preserve">, l’intervenant paiera aux appelants et à l’intimé tous débours supplémentaires résultant de son intervention.  </w:t>
      </w:r>
    </w:p>
    <w:p w:rsidR="00A34615" w:rsidRPr="00A34615" w:rsidRDefault="00A34615" w:rsidP="00A34615">
      <w:pPr>
        <w:tabs>
          <w:tab w:val="left" w:pos="-1440"/>
          <w:tab w:val="left" w:pos="-720"/>
        </w:tabs>
        <w:jc w:val="both"/>
        <w:rPr>
          <w:rFonts w:eastAsia="Times New Roman" w:cs="Times New Roman"/>
          <w:sz w:val="20"/>
          <w:szCs w:val="20"/>
          <w:lang w:val="fr-CA" w:eastAsia="en-CA"/>
        </w:rPr>
      </w:pPr>
    </w:p>
    <w:p w:rsidR="00A34615" w:rsidRPr="00A34615" w:rsidRDefault="00CD48BC" w:rsidP="00A34615">
      <w:pPr>
        <w:tabs>
          <w:tab w:val="left" w:pos="-1440"/>
          <w:tab w:val="left" w:pos="-720"/>
        </w:tabs>
        <w:jc w:val="both"/>
        <w:rPr>
          <w:rFonts w:eastAsia="Times New Roman" w:cs="Times New Roman"/>
          <w:sz w:val="20"/>
          <w:szCs w:val="20"/>
          <w:lang w:val="fr-CA" w:eastAsia="en-CA"/>
        </w:rPr>
      </w:pPr>
      <w:r w:rsidRPr="00CD48BC">
        <w:rPr>
          <w:rFonts w:eastAsia="Times New Roman" w:cs="Times New Roman"/>
          <w:sz w:val="20"/>
          <w:szCs w:val="20"/>
          <w:lang w:val="fr-CA" w:eastAsia="en-CA"/>
        </w:rPr>
        <w:pict>
          <v:rect id="_x0000_i1073" style="width:2in;height:1pt" o:hrpct="0" o:hralign="center" o:hrstd="t" o:hrnoshade="t" o:hr="t" fillcolor="black [3213]" stroked="f"/>
        </w:pict>
      </w:r>
    </w:p>
    <w:p w:rsidR="00A34615" w:rsidRPr="00A34615" w:rsidRDefault="00A34615" w:rsidP="00A34615">
      <w:pPr>
        <w:tabs>
          <w:tab w:val="left" w:pos="-1440"/>
          <w:tab w:val="left" w:pos="-720"/>
        </w:tabs>
        <w:jc w:val="both"/>
        <w:rPr>
          <w:rFonts w:eastAsia="Times New Roman" w:cs="Times New Roman"/>
          <w:sz w:val="20"/>
          <w:szCs w:val="20"/>
          <w:lang w:val="fr-CA" w:eastAsia="en-CA"/>
        </w:rPr>
      </w:pPr>
    </w:p>
    <w:p w:rsidR="00A34615" w:rsidRPr="00A34615" w:rsidRDefault="00A34615" w:rsidP="00A34615">
      <w:pPr>
        <w:tabs>
          <w:tab w:val="left" w:pos="-1440"/>
          <w:tab w:val="left" w:pos="-720"/>
        </w:tabs>
        <w:jc w:val="both"/>
        <w:rPr>
          <w:rFonts w:eastAsia="Times New Roman" w:cs="Times New Roman"/>
          <w:sz w:val="20"/>
          <w:szCs w:val="20"/>
          <w:lang w:val="fr-CA" w:eastAsia="en-CA"/>
        </w:rPr>
      </w:pPr>
      <w:r w:rsidRPr="00A34615">
        <w:rPr>
          <w:rFonts w:eastAsia="Times New Roman" w:cs="Times New Roman"/>
          <w:sz w:val="20"/>
          <w:szCs w:val="20"/>
          <w:lang w:val="fr-CA" w:eastAsia="en-CA"/>
        </w:rPr>
        <w:t>10.01.2013</w:t>
      </w:r>
    </w:p>
    <w:p w:rsidR="00A34615" w:rsidRPr="00A34615" w:rsidRDefault="00A34615" w:rsidP="00A34615">
      <w:pPr>
        <w:tabs>
          <w:tab w:val="left" w:pos="-1440"/>
          <w:tab w:val="left" w:pos="-720"/>
        </w:tabs>
        <w:jc w:val="both"/>
        <w:rPr>
          <w:rFonts w:eastAsia="Times New Roman" w:cs="Times New Roman"/>
          <w:sz w:val="20"/>
          <w:szCs w:val="20"/>
          <w:lang w:val="fr-CA" w:eastAsia="en-CA"/>
        </w:rPr>
      </w:pPr>
    </w:p>
    <w:p w:rsidR="00A34615" w:rsidRPr="00A34615" w:rsidRDefault="00A34615" w:rsidP="00A34615">
      <w:pPr>
        <w:tabs>
          <w:tab w:val="left" w:pos="-1440"/>
          <w:tab w:val="left" w:pos="-720"/>
        </w:tabs>
        <w:jc w:val="both"/>
        <w:rPr>
          <w:rFonts w:eastAsia="Times New Roman" w:cs="Times New Roman"/>
          <w:sz w:val="20"/>
          <w:szCs w:val="20"/>
          <w:lang w:val="fr-CA" w:eastAsia="en-CA"/>
        </w:rPr>
      </w:pPr>
      <w:r w:rsidRPr="00A34615">
        <w:rPr>
          <w:rFonts w:eastAsia="Times New Roman" w:cs="Times New Roman"/>
          <w:sz w:val="20"/>
          <w:szCs w:val="20"/>
          <w:lang w:val="fr-CA" w:eastAsia="en-CA"/>
        </w:rPr>
        <w:t>Before / Devant :   LEBEL J. / LE JUGE LEBEL</w:t>
      </w:r>
    </w:p>
    <w:p w:rsidR="00A34615" w:rsidRPr="00A34615" w:rsidRDefault="00A34615" w:rsidP="00A34615">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A34615" w:rsidRPr="00A34615" w:rsidTr="003B435E">
        <w:tc>
          <w:tcPr>
            <w:tcW w:w="4338" w:type="dxa"/>
            <w:gridSpan w:val="2"/>
          </w:tcPr>
          <w:p w:rsidR="00A34615" w:rsidRPr="00A34615" w:rsidRDefault="00CD48BC" w:rsidP="00A34615">
            <w:pPr>
              <w:rPr>
                <w:b/>
              </w:rPr>
            </w:pPr>
            <w:r w:rsidRPr="00A34615">
              <w:rPr>
                <w:lang w:val="en-US"/>
              </w:rPr>
              <w:fldChar w:fldCharType="begin"/>
            </w:r>
            <w:r w:rsidR="00A34615" w:rsidRPr="00A34615">
              <w:rPr>
                <w:lang w:val="en-US"/>
              </w:rPr>
              <w:instrText xml:space="preserve"> SEQ CHAPTER \h \r 1</w:instrText>
            </w:r>
            <w:r w:rsidRPr="00A34615">
              <w:rPr>
                <w:lang w:val="en-US"/>
              </w:rPr>
              <w:fldChar w:fldCharType="end"/>
            </w:r>
            <w:r w:rsidR="00A34615" w:rsidRPr="00A34615">
              <w:rPr>
                <w:b/>
                <w:bCs/>
                <w:lang w:val="en-US"/>
              </w:rPr>
              <w:t>Motion for leave to intervene</w:t>
            </w:r>
            <w:r w:rsidRPr="00A34615">
              <w:rPr>
                <w:lang w:val="en-US"/>
              </w:rPr>
              <w:fldChar w:fldCharType="begin"/>
            </w:r>
            <w:r w:rsidR="00A34615" w:rsidRPr="00A34615">
              <w:instrText xml:space="preserve"> SEQ CHAPTER \h \r 1</w:instrText>
            </w:r>
            <w:r w:rsidRPr="00A34615">
              <w:rPr>
                <w:lang w:val="en-US"/>
              </w:rPr>
              <w:fldChar w:fldCharType="end"/>
            </w:r>
          </w:p>
        </w:tc>
        <w:tc>
          <w:tcPr>
            <w:tcW w:w="1170" w:type="dxa"/>
          </w:tcPr>
          <w:p w:rsidR="00A34615" w:rsidRPr="00A34615" w:rsidRDefault="00A34615" w:rsidP="00A34615"/>
          <w:p w:rsidR="00A34615" w:rsidRPr="00A34615" w:rsidRDefault="00A34615" w:rsidP="00A34615"/>
        </w:tc>
        <w:tc>
          <w:tcPr>
            <w:tcW w:w="4327" w:type="dxa"/>
          </w:tcPr>
          <w:p w:rsidR="00A34615" w:rsidRPr="00A34615" w:rsidRDefault="00CD48BC" w:rsidP="00A34615">
            <w:pPr>
              <w:jc w:val="both"/>
              <w:rPr>
                <w:b/>
                <w:lang w:val="fr-CA"/>
              </w:rPr>
            </w:pPr>
            <w:r w:rsidRPr="00A34615">
              <w:rPr>
                <w:lang w:val="en-US"/>
              </w:rPr>
              <w:fldChar w:fldCharType="begin"/>
            </w:r>
            <w:r w:rsidR="00A34615" w:rsidRPr="00A34615">
              <w:rPr>
                <w:lang w:val="fr-CA"/>
              </w:rPr>
              <w:instrText xml:space="preserve"> SEQ CHAPTER \h \r 1</w:instrText>
            </w:r>
            <w:r w:rsidRPr="00A34615">
              <w:rPr>
                <w:lang w:val="en-US"/>
              </w:rPr>
              <w:fldChar w:fldCharType="end"/>
            </w:r>
            <w:r w:rsidR="00A34615" w:rsidRPr="00A34615">
              <w:rPr>
                <w:b/>
                <w:bCs/>
                <w:lang w:val="fr-CA"/>
              </w:rPr>
              <w:t>Requête en autorisation d’intervenir</w:t>
            </w:r>
            <w:r w:rsidRPr="00A34615">
              <w:rPr>
                <w:lang w:val="en-US"/>
              </w:rPr>
              <w:fldChar w:fldCharType="begin"/>
            </w:r>
            <w:r w:rsidR="00A34615" w:rsidRPr="00A34615">
              <w:rPr>
                <w:lang w:val="fr-CA"/>
              </w:rPr>
              <w:instrText xml:space="preserve"> SEQ CHAPTER \h \r 1</w:instrText>
            </w:r>
            <w:r w:rsidRPr="00A34615">
              <w:rPr>
                <w:lang w:val="en-US"/>
              </w:rPr>
              <w:fldChar w:fldCharType="end"/>
            </w:r>
          </w:p>
        </w:tc>
      </w:tr>
      <w:tr w:rsidR="00A34615" w:rsidRPr="00A34615" w:rsidTr="003B435E">
        <w:tc>
          <w:tcPr>
            <w:tcW w:w="1368" w:type="dxa"/>
          </w:tcPr>
          <w:p w:rsidR="00A34615" w:rsidRPr="00A34615" w:rsidRDefault="00A34615" w:rsidP="00A34615">
            <w:r w:rsidRPr="00A34615">
              <w:t>BY / PAR</w:t>
            </w:r>
          </w:p>
        </w:tc>
        <w:tc>
          <w:tcPr>
            <w:tcW w:w="2970" w:type="dxa"/>
          </w:tcPr>
          <w:p w:rsidR="00A34615" w:rsidRPr="00A34615" w:rsidRDefault="00A34615" w:rsidP="00A34615">
            <w:r w:rsidRPr="00A34615">
              <w:t>Attorney General of Ontario;</w:t>
            </w:r>
          </w:p>
        </w:tc>
        <w:tc>
          <w:tcPr>
            <w:tcW w:w="1170" w:type="dxa"/>
          </w:tcPr>
          <w:p w:rsidR="00A34615" w:rsidRPr="00A34615" w:rsidRDefault="00A34615" w:rsidP="00A34615"/>
        </w:tc>
        <w:tc>
          <w:tcPr>
            <w:tcW w:w="4327" w:type="dxa"/>
          </w:tcPr>
          <w:p w:rsidR="00A34615" w:rsidRPr="00A34615" w:rsidRDefault="00A34615" w:rsidP="00A34615"/>
        </w:tc>
      </w:tr>
      <w:tr w:rsidR="00A34615" w:rsidRPr="00A34615" w:rsidTr="003B435E">
        <w:tc>
          <w:tcPr>
            <w:tcW w:w="1368" w:type="dxa"/>
          </w:tcPr>
          <w:p w:rsidR="00A34615" w:rsidRPr="00A34615" w:rsidRDefault="00A34615" w:rsidP="00A34615"/>
        </w:tc>
        <w:tc>
          <w:tcPr>
            <w:tcW w:w="2970" w:type="dxa"/>
          </w:tcPr>
          <w:p w:rsidR="00A34615" w:rsidRPr="00A34615" w:rsidRDefault="00A34615" w:rsidP="00A34615">
            <w:r w:rsidRPr="00A34615">
              <w:t>Attorney General of Alberta;</w:t>
            </w:r>
          </w:p>
        </w:tc>
        <w:tc>
          <w:tcPr>
            <w:tcW w:w="1170" w:type="dxa"/>
          </w:tcPr>
          <w:p w:rsidR="00A34615" w:rsidRPr="00A34615" w:rsidRDefault="00A34615" w:rsidP="00A34615"/>
        </w:tc>
        <w:tc>
          <w:tcPr>
            <w:tcW w:w="4327" w:type="dxa"/>
          </w:tcPr>
          <w:p w:rsidR="00A34615" w:rsidRPr="00A34615" w:rsidRDefault="00A34615" w:rsidP="00A34615"/>
        </w:tc>
      </w:tr>
      <w:tr w:rsidR="00A34615" w:rsidRPr="00A34615" w:rsidTr="003B435E">
        <w:tc>
          <w:tcPr>
            <w:tcW w:w="1368" w:type="dxa"/>
          </w:tcPr>
          <w:p w:rsidR="00A34615" w:rsidRPr="00A34615" w:rsidRDefault="00A34615" w:rsidP="00A34615"/>
        </w:tc>
        <w:tc>
          <w:tcPr>
            <w:tcW w:w="2970" w:type="dxa"/>
          </w:tcPr>
          <w:p w:rsidR="00A34615" w:rsidRPr="00A34615" w:rsidRDefault="00A34615" w:rsidP="00A34615">
            <w:r w:rsidRPr="00A34615">
              <w:t>Criminal Lawyers' Association (Ontario);</w:t>
            </w:r>
          </w:p>
        </w:tc>
        <w:tc>
          <w:tcPr>
            <w:tcW w:w="1170" w:type="dxa"/>
          </w:tcPr>
          <w:p w:rsidR="00A34615" w:rsidRPr="00A34615" w:rsidRDefault="00A34615" w:rsidP="00A34615"/>
        </w:tc>
        <w:tc>
          <w:tcPr>
            <w:tcW w:w="4327" w:type="dxa"/>
          </w:tcPr>
          <w:p w:rsidR="00A34615" w:rsidRPr="00A34615" w:rsidRDefault="00A34615" w:rsidP="00A34615"/>
        </w:tc>
      </w:tr>
      <w:tr w:rsidR="00A34615" w:rsidRPr="00A34615" w:rsidTr="003B435E">
        <w:tc>
          <w:tcPr>
            <w:tcW w:w="1368" w:type="dxa"/>
          </w:tcPr>
          <w:p w:rsidR="00A34615" w:rsidRPr="00A34615" w:rsidRDefault="00A34615" w:rsidP="00A34615"/>
        </w:tc>
        <w:tc>
          <w:tcPr>
            <w:tcW w:w="2970" w:type="dxa"/>
          </w:tcPr>
          <w:p w:rsidR="00A34615" w:rsidRPr="00A34615" w:rsidRDefault="00A34615" w:rsidP="00A34615">
            <w:r w:rsidRPr="00A34615">
              <w:t>Canadian Civil Liberties Association;</w:t>
            </w:r>
          </w:p>
        </w:tc>
        <w:tc>
          <w:tcPr>
            <w:tcW w:w="1170" w:type="dxa"/>
          </w:tcPr>
          <w:p w:rsidR="00A34615" w:rsidRPr="00A34615" w:rsidRDefault="00A34615" w:rsidP="00A34615"/>
        </w:tc>
        <w:tc>
          <w:tcPr>
            <w:tcW w:w="4327" w:type="dxa"/>
          </w:tcPr>
          <w:p w:rsidR="00A34615" w:rsidRPr="00A34615" w:rsidRDefault="00A34615" w:rsidP="00A34615"/>
        </w:tc>
      </w:tr>
      <w:tr w:rsidR="00A34615" w:rsidRPr="00A34615" w:rsidTr="003B435E">
        <w:tc>
          <w:tcPr>
            <w:tcW w:w="1368" w:type="dxa"/>
          </w:tcPr>
          <w:p w:rsidR="00A34615" w:rsidRPr="00A34615" w:rsidRDefault="00A34615" w:rsidP="00A34615"/>
        </w:tc>
        <w:tc>
          <w:tcPr>
            <w:tcW w:w="2970" w:type="dxa"/>
          </w:tcPr>
          <w:p w:rsidR="00A34615" w:rsidRPr="00A34615" w:rsidRDefault="00A34615" w:rsidP="00A34615">
            <w:r w:rsidRPr="00A34615">
              <w:t>British Columbia Civil Liberties Association</w:t>
            </w:r>
          </w:p>
        </w:tc>
        <w:tc>
          <w:tcPr>
            <w:tcW w:w="1170" w:type="dxa"/>
          </w:tcPr>
          <w:p w:rsidR="00A34615" w:rsidRPr="00A34615" w:rsidRDefault="00A34615" w:rsidP="00A34615"/>
        </w:tc>
        <w:tc>
          <w:tcPr>
            <w:tcW w:w="4327" w:type="dxa"/>
          </w:tcPr>
          <w:p w:rsidR="00A34615" w:rsidRPr="00A34615" w:rsidRDefault="00A34615" w:rsidP="00A34615"/>
        </w:tc>
      </w:tr>
      <w:tr w:rsidR="00A34615" w:rsidRPr="00A34615" w:rsidTr="003B435E">
        <w:tc>
          <w:tcPr>
            <w:tcW w:w="1368" w:type="dxa"/>
          </w:tcPr>
          <w:p w:rsidR="00A34615" w:rsidRPr="00A34615" w:rsidRDefault="00A34615" w:rsidP="00A34615"/>
        </w:tc>
        <w:tc>
          <w:tcPr>
            <w:tcW w:w="2970" w:type="dxa"/>
          </w:tcPr>
          <w:p w:rsidR="00A34615" w:rsidRPr="00A34615" w:rsidRDefault="00A34615" w:rsidP="00A34615">
            <w:pPr>
              <w:rPr>
                <w:lang w:val="en-US"/>
              </w:rPr>
            </w:pPr>
          </w:p>
        </w:tc>
        <w:tc>
          <w:tcPr>
            <w:tcW w:w="1170" w:type="dxa"/>
          </w:tcPr>
          <w:p w:rsidR="00A34615" w:rsidRPr="00A34615" w:rsidRDefault="00A34615" w:rsidP="00A34615"/>
        </w:tc>
        <w:tc>
          <w:tcPr>
            <w:tcW w:w="4327" w:type="dxa"/>
          </w:tcPr>
          <w:p w:rsidR="00A34615" w:rsidRPr="00A34615" w:rsidRDefault="00A34615" w:rsidP="00A34615"/>
        </w:tc>
      </w:tr>
      <w:tr w:rsidR="00A34615" w:rsidRPr="00A34615" w:rsidTr="003B435E">
        <w:tc>
          <w:tcPr>
            <w:tcW w:w="1368" w:type="dxa"/>
          </w:tcPr>
          <w:p w:rsidR="00A34615" w:rsidRPr="00A34615" w:rsidRDefault="00A34615" w:rsidP="00A34615">
            <w:r w:rsidRPr="00A34615">
              <w:t>IN / DANS :</w:t>
            </w:r>
          </w:p>
        </w:tc>
        <w:tc>
          <w:tcPr>
            <w:tcW w:w="2970" w:type="dxa"/>
          </w:tcPr>
          <w:p w:rsidR="00A34615" w:rsidRPr="00A34615" w:rsidRDefault="00A34615" w:rsidP="00A34615">
            <w:r w:rsidRPr="00A34615">
              <w:t>Thanh Long Vu</w:t>
            </w:r>
          </w:p>
          <w:p w:rsidR="00A34615" w:rsidRPr="00A34615" w:rsidRDefault="00A34615" w:rsidP="00A34615"/>
        </w:tc>
        <w:tc>
          <w:tcPr>
            <w:tcW w:w="1170" w:type="dxa"/>
          </w:tcPr>
          <w:p w:rsidR="00A34615" w:rsidRPr="00A34615" w:rsidRDefault="00A34615" w:rsidP="00A34615"/>
        </w:tc>
        <w:tc>
          <w:tcPr>
            <w:tcW w:w="4327" w:type="dxa"/>
          </w:tcPr>
          <w:p w:rsidR="00A34615" w:rsidRPr="00A34615" w:rsidRDefault="00A34615" w:rsidP="00A34615"/>
        </w:tc>
      </w:tr>
      <w:tr w:rsidR="00A34615" w:rsidRPr="00A34615" w:rsidTr="003B435E">
        <w:tc>
          <w:tcPr>
            <w:tcW w:w="1368" w:type="dxa"/>
          </w:tcPr>
          <w:p w:rsidR="00A34615" w:rsidRPr="00A34615" w:rsidRDefault="00A34615" w:rsidP="00A34615"/>
        </w:tc>
        <w:tc>
          <w:tcPr>
            <w:tcW w:w="2970" w:type="dxa"/>
          </w:tcPr>
          <w:p w:rsidR="00A34615" w:rsidRPr="00A34615" w:rsidRDefault="00A34615" w:rsidP="00A34615">
            <w:r w:rsidRPr="00A34615">
              <w:tab/>
              <w:t>v. (34687)</w:t>
            </w:r>
          </w:p>
          <w:p w:rsidR="00A34615" w:rsidRPr="00A34615" w:rsidRDefault="00A34615" w:rsidP="00A34615"/>
        </w:tc>
        <w:tc>
          <w:tcPr>
            <w:tcW w:w="1170" w:type="dxa"/>
          </w:tcPr>
          <w:p w:rsidR="00A34615" w:rsidRPr="00A34615" w:rsidRDefault="00A34615" w:rsidP="00A34615"/>
        </w:tc>
        <w:tc>
          <w:tcPr>
            <w:tcW w:w="4327" w:type="dxa"/>
          </w:tcPr>
          <w:p w:rsidR="00A34615" w:rsidRPr="00A34615" w:rsidRDefault="00A34615" w:rsidP="00A34615"/>
        </w:tc>
      </w:tr>
      <w:tr w:rsidR="00A34615" w:rsidRPr="00A34615" w:rsidTr="003B435E">
        <w:tc>
          <w:tcPr>
            <w:tcW w:w="1368" w:type="dxa"/>
          </w:tcPr>
          <w:p w:rsidR="00A34615" w:rsidRPr="00A34615" w:rsidRDefault="00A34615" w:rsidP="00A34615"/>
        </w:tc>
        <w:tc>
          <w:tcPr>
            <w:tcW w:w="2970" w:type="dxa"/>
          </w:tcPr>
          <w:p w:rsidR="00A34615" w:rsidRPr="00A34615" w:rsidRDefault="00A34615" w:rsidP="00A34615">
            <w:pPr>
              <w:jc w:val="both"/>
            </w:pPr>
            <w:r w:rsidRPr="00A34615">
              <w:t>Her Majesty the Queen (Crim.) (B.C.)</w:t>
            </w:r>
          </w:p>
        </w:tc>
        <w:tc>
          <w:tcPr>
            <w:tcW w:w="1170" w:type="dxa"/>
          </w:tcPr>
          <w:p w:rsidR="00A34615" w:rsidRPr="00A34615" w:rsidRDefault="00A34615" w:rsidP="00A34615"/>
        </w:tc>
        <w:tc>
          <w:tcPr>
            <w:tcW w:w="4327" w:type="dxa"/>
          </w:tcPr>
          <w:p w:rsidR="00A34615" w:rsidRPr="00A34615" w:rsidRDefault="00A34615" w:rsidP="00A34615"/>
        </w:tc>
      </w:tr>
    </w:tbl>
    <w:p w:rsidR="00A34615" w:rsidRPr="00A34615" w:rsidRDefault="00A34615" w:rsidP="00A34615">
      <w:pPr>
        <w:tabs>
          <w:tab w:val="left" w:pos="-1440"/>
          <w:tab w:val="left" w:pos="-720"/>
        </w:tabs>
        <w:jc w:val="both"/>
        <w:rPr>
          <w:rFonts w:eastAsia="Times New Roman" w:cs="Times New Roman"/>
          <w:sz w:val="20"/>
          <w:szCs w:val="20"/>
          <w:lang w:eastAsia="en-CA"/>
        </w:rPr>
      </w:pPr>
    </w:p>
    <w:p w:rsidR="00A34615" w:rsidRPr="00A34615" w:rsidRDefault="00A34615" w:rsidP="00A34615">
      <w:pPr>
        <w:tabs>
          <w:tab w:val="left" w:pos="-1440"/>
          <w:tab w:val="left" w:pos="-720"/>
        </w:tabs>
        <w:jc w:val="both"/>
        <w:rPr>
          <w:rFonts w:eastAsia="Times New Roman" w:cs="Times New Roman"/>
          <w:sz w:val="20"/>
          <w:szCs w:val="20"/>
          <w:lang w:eastAsia="en-CA"/>
        </w:rPr>
      </w:pPr>
      <w:r w:rsidRPr="00A34615">
        <w:rPr>
          <w:rFonts w:eastAsia="Times New Roman" w:cs="Times New Roman"/>
          <w:b/>
          <w:sz w:val="20"/>
          <w:szCs w:val="20"/>
          <w:lang w:eastAsia="en-CA"/>
        </w:rPr>
        <w:t>GRANTED / ACCORDÉES</w:t>
      </w:r>
    </w:p>
    <w:p w:rsidR="00A34615" w:rsidRPr="00A34615" w:rsidRDefault="00A34615" w:rsidP="00A34615">
      <w:pPr>
        <w:tabs>
          <w:tab w:val="left" w:pos="-1440"/>
          <w:tab w:val="left" w:pos="-720"/>
        </w:tabs>
        <w:jc w:val="both"/>
        <w:rPr>
          <w:rFonts w:eastAsia="Times New Roman" w:cs="Times New Roman"/>
          <w:sz w:val="20"/>
          <w:szCs w:val="20"/>
          <w:lang w:eastAsia="en-CA"/>
        </w:rPr>
      </w:pPr>
    </w:p>
    <w:p w:rsidR="00A34615" w:rsidRPr="00A34615" w:rsidRDefault="00A34615" w:rsidP="00A34615">
      <w:pPr>
        <w:spacing w:line="233" w:lineRule="auto"/>
        <w:jc w:val="both"/>
        <w:rPr>
          <w:rFonts w:eastAsia="Times New Roman" w:cs="Times New Roman"/>
          <w:sz w:val="20"/>
          <w:szCs w:val="20"/>
          <w:lang w:eastAsia="en-CA"/>
        </w:rPr>
      </w:pPr>
      <w:r w:rsidRPr="00A34615">
        <w:rPr>
          <w:rFonts w:eastAsia="Times New Roman" w:cs="Times New Roman"/>
          <w:b/>
          <w:sz w:val="20"/>
          <w:szCs w:val="20"/>
          <w:lang w:val="en-US" w:eastAsia="en-CA"/>
        </w:rPr>
        <w:t xml:space="preserve">UPON APPLICATIONS </w:t>
      </w:r>
      <w:r w:rsidRPr="00A34615">
        <w:rPr>
          <w:rFonts w:eastAsia="Times New Roman" w:cs="Times New Roman"/>
          <w:sz w:val="20"/>
          <w:szCs w:val="20"/>
          <w:lang w:val="en-US" w:eastAsia="en-CA"/>
        </w:rPr>
        <w:t xml:space="preserve">by </w:t>
      </w:r>
      <w:r w:rsidRPr="00A34615">
        <w:rPr>
          <w:rFonts w:eastAsia="Times New Roman" w:cs="Times New Roman"/>
          <w:sz w:val="20"/>
          <w:szCs w:val="20"/>
          <w:lang w:eastAsia="en-CA"/>
        </w:rPr>
        <w:t xml:space="preserve">the Attorney General of Ontario, the Attorney General of Alberta, the Criminal Lawyers' Association (Ontario), the Canadian Civil Liberties Association and the British Columbia Civil Liberties Association </w:t>
      </w:r>
      <w:r w:rsidRPr="00A34615">
        <w:rPr>
          <w:rFonts w:eastAsia="Times New Roman" w:cs="Times New Roman"/>
          <w:sz w:val="20"/>
          <w:szCs w:val="20"/>
          <w:lang w:val="en-US" w:eastAsia="en-CA"/>
        </w:rPr>
        <w:t>for leave to intervene in the above appeal;</w:t>
      </w:r>
    </w:p>
    <w:p w:rsidR="00A34615" w:rsidRPr="00A34615" w:rsidRDefault="00A34615" w:rsidP="00A34615">
      <w:pPr>
        <w:spacing w:line="233" w:lineRule="auto"/>
        <w:jc w:val="both"/>
        <w:rPr>
          <w:rFonts w:eastAsia="Times New Roman" w:cs="Times New Roman"/>
          <w:sz w:val="20"/>
          <w:szCs w:val="20"/>
          <w:lang w:eastAsia="en-CA"/>
        </w:rPr>
      </w:pPr>
    </w:p>
    <w:p w:rsidR="00A34615" w:rsidRPr="00A34615" w:rsidRDefault="00A34615" w:rsidP="00A34615">
      <w:pPr>
        <w:spacing w:line="233" w:lineRule="auto"/>
        <w:jc w:val="both"/>
        <w:rPr>
          <w:rFonts w:eastAsia="Times New Roman" w:cs="Times New Roman"/>
          <w:sz w:val="20"/>
          <w:szCs w:val="20"/>
          <w:lang w:val="en-US" w:eastAsia="en-CA"/>
        </w:rPr>
      </w:pPr>
      <w:r w:rsidRPr="00A34615">
        <w:rPr>
          <w:rFonts w:eastAsia="Times New Roman" w:cs="Times New Roman"/>
          <w:b/>
          <w:bCs/>
          <w:sz w:val="20"/>
          <w:szCs w:val="20"/>
          <w:lang w:val="en-US" w:eastAsia="en-CA"/>
        </w:rPr>
        <w:t>AND THE MATERIAL FILED</w:t>
      </w:r>
      <w:r w:rsidRPr="00A34615">
        <w:rPr>
          <w:rFonts w:eastAsia="Times New Roman" w:cs="Times New Roman"/>
          <w:sz w:val="20"/>
          <w:szCs w:val="20"/>
          <w:lang w:val="en-US" w:eastAsia="en-CA"/>
        </w:rPr>
        <w:t xml:space="preserve"> having been read;</w:t>
      </w:r>
    </w:p>
    <w:p w:rsidR="00A34615" w:rsidRPr="00A34615" w:rsidRDefault="00A34615" w:rsidP="00A34615">
      <w:pPr>
        <w:spacing w:line="233" w:lineRule="auto"/>
        <w:jc w:val="center"/>
        <w:rPr>
          <w:rFonts w:eastAsia="Times New Roman" w:cs="Times New Roman"/>
          <w:sz w:val="20"/>
          <w:szCs w:val="20"/>
          <w:lang w:val="en-US" w:eastAsia="en-CA"/>
        </w:rPr>
      </w:pPr>
    </w:p>
    <w:p w:rsidR="00A34615" w:rsidRPr="00A34615" w:rsidRDefault="00A34615" w:rsidP="00A34615">
      <w:pPr>
        <w:spacing w:line="233" w:lineRule="auto"/>
        <w:jc w:val="both"/>
        <w:rPr>
          <w:rFonts w:eastAsia="Times New Roman" w:cs="Times New Roman"/>
          <w:sz w:val="20"/>
          <w:szCs w:val="20"/>
          <w:lang w:val="en-US" w:eastAsia="en-CA"/>
        </w:rPr>
      </w:pPr>
      <w:r w:rsidRPr="00A34615">
        <w:rPr>
          <w:rFonts w:eastAsia="Times New Roman" w:cs="Times New Roman"/>
          <w:b/>
          <w:bCs/>
          <w:sz w:val="20"/>
          <w:szCs w:val="20"/>
          <w:lang w:val="en-US" w:eastAsia="en-CA"/>
        </w:rPr>
        <w:t>IT IS HEREBY ORDERED THAT:</w:t>
      </w:r>
    </w:p>
    <w:p w:rsidR="00A34615" w:rsidRPr="00A34615" w:rsidRDefault="00A34615" w:rsidP="00A34615">
      <w:pPr>
        <w:spacing w:line="233" w:lineRule="auto"/>
        <w:jc w:val="both"/>
        <w:rPr>
          <w:rFonts w:eastAsia="Times New Roman" w:cs="Times New Roman"/>
          <w:sz w:val="20"/>
          <w:szCs w:val="20"/>
          <w:lang w:val="en-US" w:eastAsia="en-CA"/>
        </w:rPr>
      </w:pPr>
    </w:p>
    <w:p w:rsidR="00A34615" w:rsidRPr="00A34615" w:rsidRDefault="00A34615" w:rsidP="00A34615">
      <w:pPr>
        <w:spacing w:line="233" w:lineRule="auto"/>
        <w:jc w:val="both"/>
        <w:rPr>
          <w:rFonts w:eastAsia="Times New Roman" w:cs="Times New Roman"/>
          <w:sz w:val="20"/>
          <w:szCs w:val="20"/>
          <w:lang w:val="en-US" w:eastAsia="en-CA"/>
        </w:rPr>
      </w:pPr>
      <w:r w:rsidRPr="00A34615">
        <w:rPr>
          <w:rFonts w:eastAsia="Times New Roman" w:cs="Times New Roman"/>
          <w:sz w:val="20"/>
          <w:szCs w:val="20"/>
          <w:lang w:val="en-US" w:eastAsia="en-CA"/>
        </w:rPr>
        <w:t>The motions for leave to intervene of</w:t>
      </w:r>
      <w:r w:rsidRPr="00A34615">
        <w:rPr>
          <w:rFonts w:eastAsia="Times New Roman" w:cs="Times New Roman"/>
          <w:sz w:val="20"/>
          <w:szCs w:val="20"/>
          <w:lang w:eastAsia="en-CA"/>
        </w:rPr>
        <w:t xml:space="preserve"> the Attorney General of Ontario, the Attorney General of Alberta, the Criminal Lawyers' Association (Ontario), the Canadian Civil Liberties Association and the British Columbia Civil Liberties Association are</w:t>
      </w:r>
      <w:r w:rsidRPr="00A34615">
        <w:rPr>
          <w:rFonts w:eastAsia="Times New Roman" w:cs="Times New Roman"/>
          <w:sz w:val="20"/>
          <w:szCs w:val="20"/>
          <w:lang w:val="en-US" w:eastAsia="en-CA"/>
        </w:rPr>
        <w:t xml:space="preserve"> granted and the said interveners shall be entitled to each serve and file a factum not to exceed 10 pages in length on or before March 7, 2013.</w:t>
      </w:r>
    </w:p>
    <w:p w:rsidR="00A34615" w:rsidRPr="00A34615" w:rsidRDefault="00A34615" w:rsidP="00A34615">
      <w:pPr>
        <w:spacing w:line="233" w:lineRule="auto"/>
        <w:jc w:val="both"/>
        <w:rPr>
          <w:rFonts w:eastAsia="Times New Roman" w:cs="Times New Roman"/>
          <w:sz w:val="20"/>
          <w:szCs w:val="20"/>
          <w:lang w:val="en-US" w:eastAsia="en-CA"/>
        </w:rPr>
      </w:pPr>
    </w:p>
    <w:p w:rsidR="00A34615" w:rsidRPr="00A34615" w:rsidRDefault="00A34615" w:rsidP="00A34615">
      <w:pPr>
        <w:spacing w:line="233" w:lineRule="auto"/>
        <w:jc w:val="both"/>
        <w:rPr>
          <w:rFonts w:eastAsia="Times New Roman" w:cs="Times New Roman"/>
          <w:sz w:val="20"/>
          <w:szCs w:val="20"/>
          <w:lang w:val="en-US" w:eastAsia="en-CA"/>
        </w:rPr>
      </w:pPr>
      <w:r w:rsidRPr="00A34615">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A34615" w:rsidRPr="00A34615" w:rsidRDefault="00A34615" w:rsidP="00A34615">
      <w:pPr>
        <w:spacing w:line="233" w:lineRule="auto"/>
        <w:jc w:val="both"/>
        <w:rPr>
          <w:rFonts w:eastAsia="Times New Roman" w:cs="Times New Roman"/>
          <w:sz w:val="20"/>
          <w:szCs w:val="20"/>
          <w:lang w:val="en-US" w:eastAsia="en-CA"/>
        </w:rPr>
      </w:pPr>
    </w:p>
    <w:p w:rsidR="00A34615" w:rsidRPr="00A34615" w:rsidRDefault="00CD48BC" w:rsidP="00A34615">
      <w:pPr>
        <w:jc w:val="both"/>
        <w:rPr>
          <w:rFonts w:eastAsia="Times New Roman" w:cs="Times New Roman"/>
          <w:bCs/>
          <w:sz w:val="20"/>
          <w:szCs w:val="20"/>
          <w:lang w:val="en-US" w:eastAsia="en-CA"/>
        </w:rPr>
      </w:pPr>
      <w:r w:rsidRPr="00A34615">
        <w:rPr>
          <w:rFonts w:eastAsia="Times New Roman" w:cs="Times New Roman"/>
          <w:sz w:val="20"/>
          <w:szCs w:val="20"/>
          <w:lang w:eastAsia="en-CA"/>
        </w:rPr>
        <w:fldChar w:fldCharType="begin"/>
      </w:r>
      <w:r w:rsidR="00A34615" w:rsidRPr="00A34615">
        <w:rPr>
          <w:rFonts w:eastAsia="Times New Roman" w:cs="Times New Roman"/>
          <w:sz w:val="20"/>
          <w:szCs w:val="20"/>
          <w:lang w:eastAsia="en-CA"/>
        </w:rPr>
        <w:instrText xml:space="preserve"> SEQ CHAPTER \h \r 1</w:instrText>
      </w:r>
      <w:r w:rsidRPr="00A34615">
        <w:rPr>
          <w:rFonts w:eastAsia="Times New Roman" w:cs="Times New Roman"/>
          <w:sz w:val="20"/>
          <w:szCs w:val="20"/>
          <w:lang w:eastAsia="en-CA"/>
        </w:rPr>
        <w:fldChar w:fldCharType="end"/>
      </w:r>
      <w:r w:rsidR="00A34615" w:rsidRPr="00A34615">
        <w:rPr>
          <w:rFonts w:eastAsia="Times New Roman" w:cs="Times New Roman"/>
          <w:bCs/>
          <w:sz w:val="20"/>
          <w:szCs w:val="20"/>
          <w:lang w:val="en-US" w:eastAsia="en-CA"/>
        </w:rPr>
        <w:t>The interveners are not entitled to raise new issues or to adduce further evidence or otherwise to supplement the record of the parties.</w:t>
      </w:r>
    </w:p>
    <w:p w:rsidR="00A34615" w:rsidRPr="00A34615" w:rsidRDefault="00A34615" w:rsidP="00A34615">
      <w:pPr>
        <w:spacing w:line="233" w:lineRule="auto"/>
        <w:jc w:val="both"/>
        <w:rPr>
          <w:rFonts w:eastAsia="Times New Roman" w:cs="Times New Roman"/>
          <w:sz w:val="20"/>
          <w:szCs w:val="20"/>
          <w:lang w:val="en-US" w:eastAsia="en-CA"/>
        </w:rPr>
      </w:pPr>
    </w:p>
    <w:p w:rsidR="00A34615" w:rsidRPr="00A34615" w:rsidRDefault="00A34615" w:rsidP="00A34615">
      <w:pPr>
        <w:spacing w:line="233" w:lineRule="auto"/>
        <w:jc w:val="both"/>
        <w:rPr>
          <w:rFonts w:eastAsia="Times New Roman" w:cs="Times New Roman"/>
          <w:sz w:val="20"/>
          <w:szCs w:val="20"/>
          <w:lang w:val="en-US" w:eastAsia="en-CA"/>
        </w:rPr>
      </w:pPr>
      <w:r w:rsidRPr="00A34615">
        <w:rPr>
          <w:rFonts w:eastAsia="Times New Roman" w:cs="Times New Roman"/>
          <w:sz w:val="20"/>
          <w:szCs w:val="20"/>
          <w:lang w:val="en-US" w:eastAsia="en-CA"/>
        </w:rPr>
        <w:t>Pursuant to Rule 59(1)(</w:t>
      </w:r>
      <w:r w:rsidRPr="00A34615">
        <w:rPr>
          <w:rFonts w:eastAsia="Times New Roman" w:cs="Times New Roman"/>
          <w:i/>
          <w:iCs/>
          <w:sz w:val="20"/>
          <w:szCs w:val="20"/>
          <w:lang w:val="en-US" w:eastAsia="en-CA"/>
        </w:rPr>
        <w:t>a</w:t>
      </w:r>
      <w:r w:rsidRPr="00A34615">
        <w:rPr>
          <w:rFonts w:eastAsia="Times New Roman" w:cs="Times New Roman"/>
          <w:sz w:val="20"/>
          <w:szCs w:val="20"/>
          <w:lang w:val="en-US" w:eastAsia="en-CA"/>
        </w:rPr>
        <w:t xml:space="preserve">) of the </w:t>
      </w:r>
      <w:r w:rsidRPr="00A34615">
        <w:rPr>
          <w:rFonts w:eastAsia="Times New Roman" w:cs="Times New Roman"/>
          <w:i/>
          <w:iCs/>
          <w:sz w:val="20"/>
          <w:szCs w:val="20"/>
          <w:lang w:val="en-US" w:eastAsia="en-CA"/>
        </w:rPr>
        <w:t>Rules of the Supreme Court of Canada</w:t>
      </w:r>
      <w:r w:rsidRPr="00A34615">
        <w:rPr>
          <w:rFonts w:eastAsia="Times New Roman" w:cs="Times New Roman"/>
          <w:sz w:val="20"/>
          <w:szCs w:val="20"/>
          <w:lang w:val="en-US" w:eastAsia="en-CA"/>
        </w:rPr>
        <w:t>, the interveners shall pay to the appellant and respondent any additional disbursements occasioned to the appellant and respondent by their interventions.</w:t>
      </w:r>
    </w:p>
    <w:p w:rsidR="00A34615" w:rsidRPr="00A34615" w:rsidRDefault="00A34615" w:rsidP="00A34615">
      <w:pPr>
        <w:tabs>
          <w:tab w:val="left" w:pos="-1440"/>
          <w:tab w:val="left" w:pos="-720"/>
        </w:tabs>
        <w:jc w:val="both"/>
        <w:rPr>
          <w:rFonts w:eastAsia="Times New Roman" w:cs="Times New Roman"/>
          <w:sz w:val="20"/>
          <w:szCs w:val="20"/>
          <w:lang w:val="en-US" w:eastAsia="en-CA"/>
        </w:rPr>
      </w:pPr>
    </w:p>
    <w:p w:rsidR="00A34615" w:rsidRPr="00A34615" w:rsidRDefault="00A34615" w:rsidP="00A34615">
      <w:pPr>
        <w:tabs>
          <w:tab w:val="left" w:pos="-1440"/>
          <w:tab w:val="left" w:pos="-720"/>
        </w:tabs>
        <w:jc w:val="both"/>
        <w:rPr>
          <w:rFonts w:eastAsia="Times New Roman" w:cs="Times New Roman"/>
          <w:sz w:val="20"/>
          <w:szCs w:val="20"/>
          <w:lang w:val="en-US" w:eastAsia="en-CA"/>
        </w:rPr>
      </w:pPr>
    </w:p>
    <w:p w:rsidR="00A34615" w:rsidRPr="00A34615" w:rsidRDefault="00A34615" w:rsidP="00A34615">
      <w:pPr>
        <w:tabs>
          <w:tab w:val="left" w:pos="-1440"/>
          <w:tab w:val="left" w:pos="-720"/>
        </w:tabs>
        <w:jc w:val="both"/>
        <w:rPr>
          <w:rFonts w:eastAsia="Times New Roman" w:cs="Times New Roman"/>
          <w:sz w:val="20"/>
          <w:szCs w:val="20"/>
          <w:lang w:val="en-US" w:eastAsia="en-CA"/>
        </w:rPr>
      </w:pPr>
    </w:p>
    <w:p w:rsidR="00A34615" w:rsidRPr="00A34615" w:rsidRDefault="00A34615" w:rsidP="00A34615">
      <w:pPr>
        <w:spacing w:line="233" w:lineRule="auto"/>
        <w:jc w:val="both"/>
        <w:rPr>
          <w:rFonts w:eastAsia="Times New Roman" w:cs="Times New Roman"/>
          <w:sz w:val="20"/>
          <w:szCs w:val="20"/>
          <w:lang w:val="fr-CA" w:eastAsia="en-CA"/>
        </w:rPr>
      </w:pPr>
      <w:r w:rsidRPr="00A34615">
        <w:rPr>
          <w:rFonts w:eastAsia="Times New Roman" w:cs="Times New Roman"/>
          <w:b/>
          <w:sz w:val="20"/>
          <w:szCs w:val="20"/>
          <w:lang w:val="fr-CA" w:eastAsia="en-CA"/>
        </w:rPr>
        <w:t xml:space="preserve">À LA SUITE DES REQUÊTES </w:t>
      </w:r>
      <w:r w:rsidRPr="00A34615">
        <w:rPr>
          <w:rFonts w:eastAsia="Times New Roman" w:cs="Times New Roman"/>
          <w:sz w:val="20"/>
          <w:szCs w:val="20"/>
          <w:lang w:val="fr-CA" w:eastAsia="en-CA"/>
        </w:rPr>
        <w:t>présentées par le procureur général de l’Ontario, le procureur général de l’Alberta, la Criminal Lawyers’ Association (Ontario), l’Association canadienne des libertés civiles et l’Association des libertés civiles de la Colombie-Britannique en autorisation d’intervenir dans l’appel;</w:t>
      </w:r>
    </w:p>
    <w:p w:rsidR="00A34615" w:rsidRPr="00A34615" w:rsidRDefault="00A34615" w:rsidP="00A34615">
      <w:pPr>
        <w:spacing w:line="233" w:lineRule="auto"/>
        <w:jc w:val="both"/>
        <w:rPr>
          <w:rFonts w:eastAsia="Times New Roman" w:cs="Times New Roman"/>
          <w:sz w:val="20"/>
          <w:szCs w:val="20"/>
          <w:lang w:val="fr-CA" w:eastAsia="en-CA"/>
        </w:rPr>
      </w:pPr>
    </w:p>
    <w:p w:rsidR="00A34615" w:rsidRPr="00A34615" w:rsidRDefault="00A34615" w:rsidP="00A34615">
      <w:pPr>
        <w:spacing w:line="233" w:lineRule="auto"/>
        <w:jc w:val="both"/>
        <w:rPr>
          <w:rFonts w:eastAsia="Times New Roman" w:cs="Times New Roman"/>
          <w:sz w:val="20"/>
          <w:szCs w:val="20"/>
          <w:lang w:val="fr-CA" w:eastAsia="en-CA"/>
        </w:rPr>
      </w:pPr>
      <w:r w:rsidRPr="00A34615">
        <w:rPr>
          <w:rFonts w:eastAsia="Times New Roman" w:cs="Times New Roman"/>
          <w:b/>
          <w:bCs/>
          <w:sz w:val="20"/>
          <w:szCs w:val="20"/>
          <w:lang w:val="fr-CA" w:eastAsia="en-CA"/>
        </w:rPr>
        <w:t>ET APRÈS EXAMEN</w:t>
      </w:r>
      <w:r w:rsidRPr="00A34615">
        <w:rPr>
          <w:rFonts w:eastAsia="Times New Roman" w:cs="Times New Roman"/>
          <w:bCs/>
          <w:sz w:val="20"/>
          <w:szCs w:val="20"/>
          <w:lang w:val="fr-CA" w:eastAsia="en-CA"/>
        </w:rPr>
        <w:t xml:space="preserve"> des documents déposés</w:t>
      </w:r>
      <w:r w:rsidRPr="00A34615">
        <w:rPr>
          <w:rFonts w:eastAsia="Times New Roman" w:cs="Times New Roman"/>
          <w:sz w:val="20"/>
          <w:szCs w:val="20"/>
          <w:lang w:val="fr-CA" w:eastAsia="en-CA"/>
        </w:rPr>
        <w:t>;</w:t>
      </w:r>
    </w:p>
    <w:p w:rsidR="00A34615" w:rsidRPr="00A34615" w:rsidRDefault="00A34615" w:rsidP="00A34615">
      <w:pPr>
        <w:spacing w:line="233" w:lineRule="auto"/>
        <w:rPr>
          <w:rFonts w:eastAsia="Times New Roman" w:cs="Times New Roman"/>
          <w:sz w:val="20"/>
          <w:szCs w:val="20"/>
          <w:lang w:val="fr-CA" w:eastAsia="en-CA"/>
        </w:rPr>
      </w:pPr>
    </w:p>
    <w:p w:rsidR="00A34615" w:rsidRPr="00A34615" w:rsidRDefault="00A34615" w:rsidP="00A34615">
      <w:pPr>
        <w:spacing w:line="233" w:lineRule="auto"/>
        <w:jc w:val="both"/>
        <w:rPr>
          <w:rFonts w:eastAsia="Times New Roman" w:cs="Times New Roman"/>
          <w:sz w:val="20"/>
          <w:szCs w:val="20"/>
          <w:lang w:val="fr-CA" w:eastAsia="en-CA"/>
        </w:rPr>
      </w:pPr>
      <w:r w:rsidRPr="00A34615">
        <w:rPr>
          <w:rFonts w:eastAsia="Times New Roman" w:cs="Times New Roman"/>
          <w:b/>
          <w:bCs/>
          <w:sz w:val="20"/>
          <w:szCs w:val="20"/>
          <w:lang w:val="fr-CA" w:eastAsia="en-CA"/>
        </w:rPr>
        <w:t>IL EST ORDONNÉ CE QUI SUIT :</w:t>
      </w:r>
    </w:p>
    <w:p w:rsidR="00A34615" w:rsidRPr="00A34615" w:rsidRDefault="00A34615" w:rsidP="00A34615">
      <w:pPr>
        <w:spacing w:line="233" w:lineRule="auto"/>
        <w:jc w:val="both"/>
        <w:rPr>
          <w:rFonts w:eastAsia="Times New Roman" w:cs="Times New Roman"/>
          <w:sz w:val="20"/>
          <w:szCs w:val="20"/>
          <w:lang w:val="fr-CA" w:eastAsia="en-CA"/>
        </w:rPr>
      </w:pPr>
    </w:p>
    <w:p w:rsidR="00A34615" w:rsidRPr="00A34615" w:rsidRDefault="00A34615" w:rsidP="00A34615">
      <w:pPr>
        <w:spacing w:line="233" w:lineRule="auto"/>
        <w:jc w:val="both"/>
        <w:rPr>
          <w:rFonts w:eastAsia="Times New Roman" w:cs="Times New Roman"/>
          <w:sz w:val="20"/>
          <w:szCs w:val="20"/>
          <w:lang w:val="fr-CA" w:eastAsia="en-CA"/>
        </w:rPr>
      </w:pPr>
      <w:r w:rsidRPr="00A34615">
        <w:rPr>
          <w:rFonts w:eastAsia="Times New Roman" w:cs="Times New Roman"/>
          <w:sz w:val="20"/>
          <w:szCs w:val="20"/>
          <w:lang w:val="fr-CA" w:eastAsia="en-CA"/>
        </w:rPr>
        <w:t>Les requêtes en autorisation d’intervenir présentées par le procureur général de l’Ontario, le procureur général de l’Alberta, la Criminal Lawyers’ Association (Ontario), l’Association canadienne des libertés civiles et l’Association des libertés civiles de la Colombie-Britannique sont accueillies, et les intervenants pourront chacun signifier et déposer un mémoire d’au plus dix pages au plus tard le 7 mars 2013.</w:t>
      </w:r>
    </w:p>
    <w:p w:rsidR="00A34615" w:rsidRPr="00A34615" w:rsidRDefault="00A34615" w:rsidP="00A34615">
      <w:pPr>
        <w:spacing w:line="233" w:lineRule="auto"/>
        <w:jc w:val="both"/>
        <w:rPr>
          <w:rFonts w:eastAsia="Times New Roman" w:cs="Times New Roman"/>
          <w:sz w:val="20"/>
          <w:szCs w:val="20"/>
          <w:lang w:val="fr-CA" w:eastAsia="en-CA"/>
        </w:rPr>
      </w:pPr>
    </w:p>
    <w:p w:rsidR="00A34615" w:rsidRPr="00A34615" w:rsidRDefault="00A34615" w:rsidP="00A34615">
      <w:pPr>
        <w:spacing w:line="233" w:lineRule="auto"/>
        <w:jc w:val="both"/>
        <w:rPr>
          <w:rFonts w:eastAsia="Times New Roman" w:cs="Times New Roman"/>
          <w:sz w:val="20"/>
          <w:szCs w:val="20"/>
          <w:lang w:val="fr-CA" w:eastAsia="en-CA"/>
        </w:rPr>
      </w:pPr>
      <w:r w:rsidRPr="00A34615">
        <w:rPr>
          <w:rFonts w:eastAsia="Times New Roman" w:cs="Times New Roman"/>
          <w:sz w:val="20"/>
          <w:szCs w:val="20"/>
          <w:lang w:val="fr-CA" w:eastAsia="en-CA"/>
        </w:rPr>
        <w:t>Les décisions sur les requêtes en vue de présenter des plaidoiries orales seront rendues après réception et examen des arguments écrits des parties et des intervenants.</w:t>
      </w:r>
    </w:p>
    <w:p w:rsidR="00A34615" w:rsidRPr="00A34615" w:rsidRDefault="00A34615" w:rsidP="00A34615">
      <w:pPr>
        <w:spacing w:line="233" w:lineRule="auto"/>
        <w:jc w:val="both"/>
        <w:rPr>
          <w:rFonts w:eastAsia="Times New Roman" w:cs="Times New Roman"/>
          <w:sz w:val="20"/>
          <w:szCs w:val="20"/>
          <w:lang w:val="fr-CA" w:eastAsia="en-CA"/>
        </w:rPr>
      </w:pPr>
    </w:p>
    <w:p w:rsidR="00A34615" w:rsidRPr="00A34615" w:rsidRDefault="00A34615" w:rsidP="00A34615">
      <w:pPr>
        <w:jc w:val="both"/>
        <w:rPr>
          <w:rFonts w:eastAsia="Times New Roman" w:cs="Times New Roman"/>
          <w:bCs/>
          <w:sz w:val="20"/>
          <w:szCs w:val="20"/>
          <w:lang w:val="fr-CA" w:eastAsia="en-CA"/>
        </w:rPr>
      </w:pPr>
      <w:r w:rsidRPr="00A34615">
        <w:rPr>
          <w:rFonts w:eastAsia="Times New Roman" w:cs="Times New Roman"/>
          <w:sz w:val="20"/>
          <w:szCs w:val="20"/>
          <w:lang w:val="fr-CA" w:eastAsia="en-CA"/>
        </w:rPr>
        <w:t>Les intervenants n’ont pas le droit de soulever de nouvelles questions, de produire d’autres éléments de preuve ni de compléter de quelque autre façon le dossier des parties.</w:t>
      </w:r>
      <w:r w:rsidR="00CD48BC" w:rsidRPr="00A34615">
        <w:rPr>
          <w:rFonts w:eastAsia="Times New Roman" w:cs="Times New Roman"/>
          <w:sz w:val="20"/>
          <w:szCs w:val="20"/>
          <w:lang w:val="fr-CA" w:eastAsia="en-CA"/>
        </w:rPr>
        <w:fldChar w:fldCharType="begin"/>
      </w:r>
      <w:r w:rsidRPr="00A34615">
        <w:rPr>
          <w:rFonts w:eastAsia="Times New Roman" w:cs="Times New Roman"/>
          <w:sz w:val="20"/>
          <w:szCs w:val="20"/>
          <w:lang w:val="fr-CA" w:eastAsia="en-CA"/>
        </w:rPr>
        <w:instrText xml:space="preserve"> SEQ CHAPTER \h \r 1</w:instrText>
      </w:r>
      <w:r w:rsidR="00CD48BC" w:rsidRPr="00A34615">
        <w:rPr>
          <w:rFonts w:eastAsia="Times New Roman" w:cs="Times New Roman"/>
          <w:sz w:val="20"/>
          <w:szCs w:val="20"/>
          <w:lang w:val="fr-CA" w:eastAsia="en-CA"/>
        </w:rPr>
        <w:fldChar w:fldCharType="end"/>
      </w:r>
    </w:p>
    <w:p w:rsidR="00A34615" w:rsidRPr="00A34615" w:rsidRDefault="00A34615" w:rsidP="00A34615">
      <w:pPr>
        <w:spacing w:line="233" w:lineRule="auto"/>
        <w:jc w:val="both"/>
        <w:rPr>
          <w:rFonts w:eastAsia="Times New Roman" w:cs="Times New Roman"/>
          <w:sz w:val="20"/>
          <w:szCs w:val="20"/>
          <w:lang w:val="fr-CA" w:eastAsia="en-CA"/>
        </w:rPr>
      </w:pPr>
    </w:p>
    <w:p w:rsidR="00A34615" w:rsidRPr="00A34615" w:rsidRDefault="00A34615" w:rsidP="00A34615">
      <w:pPr>
        <w:spacing w:line="233" w:lineRule="auto"/>
        <w:jc w:val="both"/>
        <w:rPr>
          <w:rFonts w:eastAsia="Times New Roman" w:cs="Times New Roman"/>
          <w:sz w:val="20"/>
          <w:szCs w:val="20"/>
          <w:lang w:val="fr-CA" w:eastAsia="en-CA"/>
        </w:rPr>
      </w:pPr>
      <w:r w:rsidRPr="00A34615">
        <w:rPr>
          <w:rFonts w:eastAsia="Times New Roman" w:cs="Times New Roman"/>
          <w:sz w:val="20"/>
          <w:szCs w:val="20"/>
          <w:lang w:val="fr-CA" w:eastAsia="en-CA"/>
        </w:rPr>
        <w:t>Conformément à l’alinéa 59(1)</w:t>
      </w:r>
      <w:r w:rsidRPr="00A34615">
        <w:rPr>
          <w:rFonts w:eastAsia="Times New Roman" w:cs="Times New Roman"/>
          <w:i/>
          <w:iCs/>
          <w:sz w:val="20"/>
          <w:szCs w:val="20"/>
          <w:lang w:val="fr-CA" w:eastAsia="en-CA"/>
        </w:rPr>
        <w:t>a</w:t>
      </w:r>
      <w:r w:rsidRPr="00A34615">
        <w:rPr>
          <w:rFonts w:eastAsia="Times New Roman" w:cs="Times New Roman"/>
          <w:sz w:val="20"/>
          <w:szCs w:val="20"/>
          <w:lang w:val="fr-CA" w:eastAsia="en-CA"/>
        </w:rPr>
        <w:t xml:space="preserve">) des </w:t>
      </w:r>
      <w:r w:rsidRPr="00A34615">
        <w:rPr>
          <w:rFonts w:eastAsia="Times New Roman" w:cs="Times New Roman"/>
          <w:i/>
          <w:sz w:val="20"/>
          <w:szCs w:val="20"/>
          <w:lang w:val="fr-CA" w:eastAsia="en-CA"/>
        </w:rPr>
        <w:t>Règles de la Cour suprême du Canada</w:t>
      </w:r>
      <w:r w:rsidRPr="00A34615">
        <w:rPr>
          <w:rFonts w:eastAsia="Times New Roman" w:cs="Times New Roman"/>
          <w:sz w:val="20"/>
          <w:szCs w:val="20"/>
          <w:lang w:val="fr-CA" w:eastAsia="en-CA"/>
        </w:rPr>
        <w:t>, les intervenants paieront à l’appelant et à l’intimée tous débours supplémentaires résultant de leur intervention.</w:t>
      </w:r>
    </w:p>
    <w:p w:rsidR="00A34615" w:rsidRPr="00A34615" w:rsidRDefault="00A34615" w:rsidP="00A34615">
      <w:pPr>
        <w:tabs>
          <w:tab w:val="left" w:pos="-1440"/>
          <w:tab w:val="left" w:pos="-720"/>
        </w:tabs>
        <w:jc w:val="both"/>
        <w:rPr>
          <w:rFonts w:eastAsia="Times New Roman" w:cs="Times New Roman"/>
          <w:sz w:val="20"/>
          <w:szCs w:val="20"/>
          <w:lang w:val="fr-CA" w:eastAsia="en-CA"/>
        </w:rPr>
      </w:pPr>
    </w:p>
    <w:p w:rsidR="00A34615" w:rsidRPr="00A34615" w:rsidRDefault="00CD48BC" w:rsidP="00A34615">
      <w:pPr>
        <w:tabs>
          <w:tab w:val="left" w:pos="-1440"/>
          <w:tab w:val="left" w:pos="-720"/>
        </w:tabs>
        <w:jc w:val="both"/>
        <w:rPr>
          <w:rFonts w:eastAsia="Times New Roman" w:cs="Times New Roman"/>
          <w:sz w:val="20"/>
          <w:szCs w:val="20"/>
          <w:lang w:val="fr-CA" w:eastAsia="en-CA"/>
        </w:rPr>
      </w:pPr>
      <w:r w:rsidRPr="00CD48BC">
        <w:rPr>
          <w:rFonts w:eastAsia="Times New Roman" w:cs="Times New Roman"/>
          <w:sz w:val="20"/>
          <w:szCs w:val="20"/>
          <w:lang w:val="fr-CA" w:eastAsia="en-CA"/>
        </w:rPr>
        <w:pict>
          <v:rect id="_x0000_i1074" style="width:2in;height:1pt" o:hrpct="0" o:hralign="center" o:hrstd="t" o:hrnoshade="t" o:hr="t" fillcolor="black [3213]" stroked="f"/>
        </w:pict>
      </w:r>
    </w:p>
    <w:p w:rsidR="00A34615" w:rsidRPr="00A34615" w:rsidRDefault="00A34615" w:rsidP="00A34615">
      <w:pPr>
        <w:tabs>
          <w:tab w:val="left" w:pos="-1440"/>
          <w:tab w:val="left" w:pos="-720"/>
        </w:tabs>
        <w:jc w:val="both"/>
        <w:rPr>
          <w:rFonts w:eastAsia="Times New Roman" w:cs="Times New Roman"/>
          <w:sz w:val="20"/>
          <w:szCs w:val="20"/>
          <w:lang w:val="fr-CA" w:eastAsia="en-CA"/>
        </w:rPr>
      </w:pPr>
    </w:p>
    <w:p w:rsidR="00A34615" w:rsidRPr="00A34615" w:rsidRDefault="00A34615" w:rsidP="00A34615">
      <w:pPr>
        <w:tabs>
          <w:tab w:val="left" w:pos="-1440"/>
          <w:tab w:val="left" w:pos="-720"/>
        </w:tabs>
        <w:jc w:val="both"/>
        <w:rPr>
          <w:rFonts w:eastAsia="Times New Roman" w:cs="Times New Roman"/>
          <w:sz w:val="20"/>
          <w:szCs w:val="20"/>
          <w:lang w:val="fr-CA" w:eastAsia="en-CA"/>
        </w:rPr>
      </w:pPr>
      <w:r w:rsidRPr="00A34615">
        <w:rPr>
          <w:rFonts w:eastAsia="Times New Roman" w:cs="Times New Roman"/>
          <w:sz w:val="20"/>
          <w:szCs w:val="20"/>
          <w:lang w:val="fr-CA" w:eastAsia="en-CA"/>
        </w:rPr>
        <w:t>10.01.2013</w:t>
      </w:r>
    </w:p>
    <w:p w:rsidR="00A34615" w:rsidRPr="00A34615" w:rsidRDefault="00A34615" w:rsidP="00A34615">
      <w:pPr>
        <w:tabs>
          <w:tab w:val="left" w:pos="-1440"/>
          <w:tab w:val="left" w:pos="-720"/>
        </w:tabs>
        <w:jc w:val="both"/>
        <w:rPr>
          <w:rFonts w:eastAsia="Times New Roman" w:cs="Times New Roman"/>
          <w:sz w:val="20"/>
          <w:szCs w:val="20"/>
          <w:lang w:val="fr-CA" w:eastAsia="en-CA"/>
        </w:rPr>
      </w:pPr>
    </w:p>
    <w:p w:rsidR="00A34615" w:rsidRPr="00A34615" w:rsidRDefault="00A34615" w:rsidP="00A34615">
      <w:pPr>
        <w:tabs>
          <w:tab w:val="left" w:pos="-1440"/>
          <w:tab w:val="left" w:pos="-720"/>
        </w:tabs>
        <w:jc w:val="both"/>
        <w:rPr>
          <w:rFonts w:eastAsia="Times New Roman" w:cs="Times New Roman"/>
          <w:sz w:val="20"/>
          <w:szCs w:val="20"/>
          <w:lang w:val="fr-CA" w:eastAsia="en-CA"/>
        </w:rPr>
      </w:pPr>
      <w:r w:rsidRPr="00A34615">
        <w:rPr>
          <w:rFonts w:eastAsia="Times New Roman" w:cs="Times New Roman"/>
          <w:sz w:val="20"/>
          <w:szCs w:val="20"/>
          <w:lang w:val="fr-CA" w:eastAsia="en-CA"/>
        </w:rPr>
        <w:t>Before / Devant:   LEBEL J. / LE JUGE LEBEL</w:t>
      </w:r>
    </w:p>
    <w:p w:rsidR="00A34615" w:rsidRPr="00A34615" w:rsidRDefault="00A34615" w:rsidP="00A34615">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2880"/>
        <w:gridCol w:w="1170"/>
        <w:gridCol w:w="4327"/>
      </w:tblGrid>
      <w:tr w:rsidR="00A34615" w:rsidRPr="00334802" w:rsidTr="003B435E">
        <w:tc>
          <w:tcPr>
            <w:tcW w:w="4338" w:type="dxa"/>
            <w:gridSpan w:val="2"/>
          </w:tcPr>
          <w:p w:rsidR="00A34615" w:rsidRPr="00A34615" w:rsidRDefault="00A34615" w:rsidP="00A34615">
            <w:pPr>
              <w:jc w:val="both"/>
              <w:rPr>
                <w:b/>
              </w:rPr>
            </w:pPr>
            <w:r w:rsidRPr="00A34615">
              <w:rPr>
                <w:b/>
                <w:lang w:val="en-US"/>
              </w:rPr>
              <w:t xml:space="preserve">Order on interventions with respect to oral argument </w:t>
            </w:r>
            <w:r w:rsidR="00CD48BC" w:rsidRPr="00A34615">
              <w:rPr>
                <w:lang w:val="en-US"/>
              </w:rPr>
              <w:fldChar w:fldCharType="begin"/>
            </w:r>
            <w:r w:rsidRPr="00A34615">
              <w:instrText xml:space="preserve"> SEQ CHAPTER \h \r 1</w:instrText>
            </w:r>
            <w:r w:rsidR="00CD48BC" w:rsidRPr="00A34615">
              <w:rPr>
                <w:lang w:val="en-US"/>
              </w:rPr>
              <w:fldChar w:fldCharType="end"/>
            </w:r>
          </w:p>
        </w:tc>
        <w:tc>
          <w:tcPr>
            <w:tcW w:w="1170" w:type="dxa"/>
          </w:tcPr>
          <w:p w:rsidR="00A34615" w:rsidRPr="00A34615" w:rsidRDefault="00A34615" w:rsidP="00A34615"/>
          <w:p w:rsidR="00A34615" w:rsidRPr="00A34615" w:rsidRDefault="00A34615" w:rsidP="00A34615"/>
          <w:p w:rsidR="00A34615" w:rsidRPr="00A34615" w:rsidRDefault="00A34615" w:rsidP="00A34615"/>
        </w:tc>
        <w:tc>
          <w:tcPr>
            <w:tcW w:w="4327" w:type="dxa"/>
          </w:tcPr>
          <w:p w:rsidR="00A34615" w:rsidRPr="00A34615" w:rsidRDefault="00A34615" w:rsidP="00A34615">
            <w:pPr>
              <w:jc w:val="both"/>
              <w:rPr>
                <w:b/>
                <w:lang w:val="fr-CA"/>
              </w:rPr>
            </w:pPr>
            <w:r w:rsidRPr="00A34615">
              <w:rPr>
                <w:b/>
                <w:lang w:val="fr-CA"/>
              </w:rPr>
              <w:t>Ordonnance relative à la présentation d’une plaidoirie orale par les intervenants</w:t>
            </w:r>
            <w:r w:rsidRPr="00A34615">
              <w:rPr>
                <w:lang w:val="fr-CA"/>
              </w:rPr>
              <w:t xml:space="preserve"> </w:t>
            </w:r>
            <w:r w:rsidR="00CD48BC" w:rsidRPr="00A34615">
              <w:rPr>
                <w:lang w:val="en-US"/>
              </w:rPr>
              <w:fldChar w:fldCharType="begin"/>
            </w:r>
            <w:r w:rsidRPr="00A34615">
              <w:rPr>
                <w:lang w:val="fr-CA"/>
              </w:rPr>
              <w:instrText xml:space="preserve"> SEQ CHAPTER \h \r 1</w:instrText>
            </w:r>
            <w:r w:rsidR="00CD48BC" w:rsidRPr="00A34615">
              <w:rPr>
                <w:lang w:val="en-US"/>
              </w:rPr>
              <w:fldChar w:fldCharType="end"/>
            </w:r>
          </w:p>
        </w:tc>
      </w:tr>
      <w:tr w:rsidR="00A34615" w:rsidRPr="00A34615" w:rsidTr="003B435E">
        <w:tc>
          <w:tcPr>
            <w:tcW w:w="1458" w:type="dxa"/>
          </w:tcPr>
          <w:p w:rsidR="00A34615" w:rsidRPr="00A34615" w:rsidRDefault="00A34615" w:rsidP="00A34615">
            <w:r w:rsidRPr="00A34615">
              <w:t>RE:</w:t>
            </w:r>
          </w:p>
        </w:tc>
        <w:tc>
          <w:tcPr>
            <w:tcW w:w="2880" w:type="dxa"/>
          </w:tcPr>
          <w:p w:rsidR="00A34615" w:rsidRPr="00A34615" w:rsidRDefault="00A34615" w:rsidP="00A34615">
            <w:r w:rsidRPr="00A34615">
              <w:rPr>
                <w:lang w:val="en-US"/>
              </w:rPr>
              <w:t>Attorney General of Ontario</w:t>
            </w:r>
            <w:r w:rsidRPr="00A34615">
              <w:t>;</w:t>
            </w:r>
          </w:p>
        </w:tc>
        <w:tc>
          <w:tcPr>
            <w:tcW w:w="1170" w:type="dxa"/>
          </w:tcPr>
          <w:p w:rsidR="00A34615" w:rsidRPr="00A34615" w:rsidRDefault="00A34615" w:rsidP="00A34615"/>
        </w:tc>
        <w:tc>
          <w:tcPr>
            <w:tcW w:w="4327" w:type="dxa"/>
          </w:tcPr>
          <w:p w:rsidR="00A34615" w:rsidRPr="00A34615" w:rsidRDefault="00A34615" w:rsidP="00A34615"/>
        </w:tc>
      </w:tr>
      <w:tr w:rsidR="00A34615" w:rsidRPr="00A34615" w:rsidTr="003B435E">
        <w:tc>
          <w:tcPr>
            <w:tcW w:w="1458" w:type="dxa"/>
          </w:tcPr>
          <w:p w:rsidR="00A34615" w:rsidRPr="00A34615" w:rsidRDefault="00A34615" w:rsidP="00A34615"/>
        </w:tc>
        <w:tc>
          <w:tcPr>
            <w:tcW w:w="2880" w:type="dxa"/>
          </w:tcPr>
          <w:p w:rsidR="00A34615" w:rsidRPr="00A34615" w:rsidRDefault="00A34615" w:rsidP="00A34615">
            <w:r w:rsidRPr="00A34615">
              <w:rPr>
                <w:lang w:val="en-US"/>
              </w:rPr>
              <w:t>British Columbia Civil Liberties Association</w:t>
            </w:r>
            <w:r w:rsidRPr="00A34615">
              <w:t>;</w:t>
            </w:r>
          </w:p>
        </w:tc>
        <w:tc>
          <w:tcPr>
            <w:tcW w:w="1170" w:type="dxa"/>
          </w:tcPr>
          <w:p w:rsidR="00A34615" w:rsidRPr="00A34615" w:rsidRDefault="00A34615" w:rsidP="00A34615"/>
        </w:tc>
        <w:tc>
          <w:tcPr>
            <w:tcW w:w="4327" w:type="dxa"/>
          </w:tcPr>
          <w:p w:rsidR="00A34615" w:rsidRPr="00A34615" w:rsidRDefault="00A34615" w:rsidP="00A34615"/>
        </w:tc>
      </w:tr>
      <w:tr w:rsidR="00A34615" w:rsidRPr="00A34615" w:rsidTr="003B435E">
        <w:tc>
          <w:tcPr>
            <w:tcW w:w="1458" w:type="dxa"/>
          </w:tcPr>
          <w:p w:rsidR="00A34615" w:rsidRPr="00A34615" w:rsidRDefault="00A34615" w:rsidP="00A34615"/>
        </w:tc>
        <w:tc>
          <w:tcPr>
            <w:tcW w:w="2880" w:type="dxa"/>
          </w:tcPr>
          <w:p w:rsidR="00A34615" w:rsidRPr="00A34615" w:rsidRDefault="00A34615" w:rsidP="00A34615">
            <w:r w:rsidRPr="00A34615">
              <w:rPr>
                <w:lang w:val="en-US"/>
              </w:rPr>
              <w:t>Canadian Civil Liberties Association</w:t>
            </w:r>
            <w:r w:rsidRPr="00A34615">
              <w:t>;</w:t>
            </w:r>
          </w:p>
        </w:tc>
        <w:tc>
          <w:tcPr>
            <w:tcW w:w="1170" w:type="dxa"/>
          </w:tcPr>
          <w:p w:rsidR="00A34615" w:rsidRPr="00A34615" w:rsidRDefault="00A34615" w:rsidP="00A34615"/>
        </w:tc>
        <w:tc>
          <w:tcPr>
            <w:tcW w:w="4327" w:type="dxa"/>
          </w:tcPr>
          <w:p w:rsidR="00A34615" w:rsidRPr="00A34615" w:rsidRDefault="00A34615" w:rsidP="00A34615"/>
        </w:tc>
      </w:tr>
      <w:tr w:rsidR="00A34615" w:rsidRPr="00A34615" w:rsidTr="003B435E">
        <w:tc>
          <w:tcPr>
            <w:tcW w:w="1458" w:type="dxa"/>
          </w:tcPr>
          <w:p w:rsidR="00A34615" w:rsidRPr="00A34615" w:rsidRDefault="00A34615" w:rsidP="00A34615"/>
        </w:tc>
        <w:tc>
          <w:tcPr>
            <w:tcW w:w="2880" w:type="dxa"/>
          </w:tcPr>
          <w:p w:rsidR="00A34615" w:rsidRPr="00A34615" w:rsidRDefault="00A34615" w:rsidP="00A34615">
            <w:r w:rsidRPr="00A34615">
              <w:rPr>
                <w:lang w:val="en-US"/>
              </w:rPr>
              <w:t>Samuelson-Glushko Canadian Internet Policy and Public Interest Clinic</w:t>
            </w:r>
          </w:p>
        </w:tc>
        <w:tc>
          <w:tcPr>
            <w:tcW w:w="1170" w:type="dxa"/>
          </w:tcPr>
          <w:p w:rsidR="00A34615" w:rsidRPr="00A34615" w:rsidRDefault="00A34615" w:rsidP="00A34615"/>
        </w:tc>
        <w:tc>
          <w:tcPr>
            <w:tcW w:w="4327" w:type="dxa"/>
          </w:tcPr>
          <w:p w:rsidR="00A34615" w:rsidRPr="00A34615" w:rsidRDefault="00A34615" w:rsidP="00A34615"/>
        </w:tc>
      </w:tr>
      <w:tr w:rsidR="00A34615" w:rsidRPr="00A34615" w:rsidTr="003B435E">
        <w:tc>
          <w:tcPr>
            <w:tcW w:w="1458" w:type="dxa"/>
          </w:tcPr>
          <w:p w:rsidR="00A34615" w:rsidRPr="00A34615" w:rsidRDefault="00A34615" w:rsidP="00A34615"/>
        </w:tc>
        <w:tc>
          <w:tcPr>
            <w:tcW w:w="2880" w:type="dxa"/>
          </w:tcPr>
          <w:p w:rsidR="00A34615" w:rsidRPr="00A34615" w:rsidRDefault="00A34615" w:rsidP="00A34615"/>
        </w:tc>
        <w:tc>
          <w:tcPr>
            <w:tcW w:w="1170" w:type="dxa"/>
          </w:tcPr>
          <w:p w:rsidR="00A34615" w:rsidRPr="00A34615" w:rsidRDefault="00A34615" w:rsidP="00A34615"/>
        </w:tc>
        <w:tc>
          <w:tcPr>
            <w:tcW w:w="4327" w:type="dxa"/>
          </w:tcPr>
          <w:p w:rsidR="00A34615" w:rsidRPr="00A34615" w:rsidRDefault="00A34615" w:rsidP="00A34615"/>
        </w:tc>
      </w:tr>
      <w:tr w:rsidR="00A34615" w:rsidRPr="00A34615" w:rsidTr="003B435E">
        <w:tc>
          <w:tcPr>
            <w:tcW w:w="1458" w:type="dxa"/>
          </w:tcPr>
          <w:p w:rsidR="00A34615" w:rsidRPr="00A34615" w:rsidRDefault="00A34615" w:rsidP="00A34615">
            <w:r w:rsidRPr="00A34615">
              <w:t>IN / DANS :</w:t>
            </w:r>
          </w:p>
        </w:tc>
        <w:tc>
          <w:tcPr>
            <w:tcW w:w="2880" w:type="dxa"/>
          </w:tcPr>
          <w:p w:rsidR="00A34615" w:rsidRPr="00A34615" w:rsidRDefault="00A34615" w:rsidP="00A34615">
            <w:r w:rsidRPr="00A34615">
              <w:t>Benjamin Cain MacKenzie</w:t>
            </w:r>
          </w:p>
          <w:p w:rsidR="00A34615" w:rsidRPr="00A34615" w:rsidRDefault="00A34615" w:rsidP="00A34615"/>
          <w:p w:rsidR="00A34615" w:rsidRPr="00A34615" w:rsidRDefault="00A34615" w:rsidP="00A34615">
            <w:r w:rsidRPr="00A34615">
              <w:tab/>
              <w:t>v. (34397)</w:t>
            </w:r>
          </w:p>
          <w:p w:rsidR="00A34615" w:rsidRPr="00A34615" w:rsidRDefault="00A34615" w:rsidP="00A34615"/>
          <w:p w:rsidR="00A34615" w:rsidRPr="00A34615" w:rsidRDefault="00A34615" w:rsidP="00A34615">
            <w:r w:rsidRPr="00A34615">
              <w:t>Her Majesty the Queen (Crim.) (Sask.)</w:t>
            </w:r>
          </w:p>
        </w:tc>
        <w:tc>
          <w:tcPr>
            <w:tcW w:w="1170" w:type="dxa"/>
          </w:tcPr>
          <w:p w:rsidR="00A34615" w:rsidRPr="00A34615" w:rsidRDefault="00A34615" w:rsidP="00A34615"/>
        </w:tc>
        <w:tc>
          <w:tcPr>
            <w:tcW w:w="4327" w:type="dxa"/>
          </w:tcPr>
          <w:p w:rsidR="00A34615" w:rsidRPr="00A34615" w:rsidRDefault="00A34615" w:rsidP="00A34615"/>
        </w:tc>
      </w:tr>
      <w:tr w:rsidR="00A34615" w:rsidRPr="00A34615" w:rsidTr="003B435E">
        <w:tc>
          <w:tcPr>
            <w:tcW w:w="1458" w:type="dxa"/>
          </w:tcPr>
          <w:p w:rsidR="00A34615" w:rsidRPr="00A34615" w:rsidRDefault="00A34615" w:rsidP="00A34615"/>
        </w:tc>
        <w:tc>
          <w:tcPr>
            <w:tcW w:w="2880" w:type="dxa"/>
          </w:tcPr>
          <w:p w:rsidR="00A34615" w:rsidRPr="00A34615" w:rsidRDefault="00A34615" w:rsidP="00A34615">
            <w:pPr>
              <w:jc w:val="both"/>
            </w:pPr>
          </w:p>
        </w:tc>
        <w:tc>
          <w:tcPr>
            <w:tcW w:w="1170" w:type="dxa"/>
          </w:tcPr>
          <w:p w:rsidR="00A34615" w:rsidRPr="00A34615" w:rsidRDefault="00A34615" w:rsidP="00A34615"/>
        </w:tc>
        <w:tc>
          <w:tcPr>
            <w:tcW w:w="4327" w:type="dxa"/>
          </w:tcPr>
          <w:p w:rsidR="00A34615" w:rsidRPr="00A34615" w:rsidRDefault="00A34615" w:rsidP="00A34615"/>
        </w:tc>
      </w:tr>
      <w:tr w:rsidR="00A34615" w:rsidRPr="00A34615" w:rsidTr="003B435E">
        <w:tc>
          <w:tcPr>
            <w:tcW w:w="1458" w:type="dxa"/>
          </w:tcPr>
          <w:p w:rsidR="00A34615" w:rsidRPr="00A34615" w:rsidRDefault="00A34615" w:rsidP="00A34615">
            <w:r w:rsidRPr="00A34615">
              <w:t xml:space="preserve">- and between - </w:t>
            </w:r>
          </w:p>
        </w:tc>
        <w:tc>
          <w:tcPr>
            <w:tcW w:w="2880" w:type="dxa"/>
          </w:tcPr>
          <w:p w:rsidR="00A34615" w:rsidRPr="00A34615" w:rsidRDefault="00A34615" w:rsidP="00A34615">
            <w:pPr>
              <w:jc w:val="both"/>
            </w:pPr>
          </w:p>
        </w:tc>
        <w:tc>
          <w:tcPr>
            <w:tcW w:w="1170" w:type="dxa"/>
          </w:tcPr>
          <w:p w:rsidR="00A34615" w:rsidRPr="00A34615" w:rsidRDefault="00A34615" w:rsidP="00A34615"/>
        </w:tc>
        <w:tc>
          <w:tcPr>
            <w:tcW w:w="4327" w:type="dxa"/>
          </w:tcPr>
          <w:p w:rsidR="00A34615" w:rsidRPr="00A34615" w:rsidRDefault="00A34615" w:rsidP="00A34615"/>
        </w:tc>
      </w:tr>
      <w:tr w:rsidR="00A34615" w:rsidRPr="00A34615" w:rsidTr="003B435E">
        <w:tc>
          <w:tcPr>
            <w:tcW w:w="1458" w:type="dxa"/>
          </w:tcPr>
          <w:p w:rsidR="00A34615" w:rsidRPr="00A34615" w:rsidRDefault="00A34615" w:rsidP="00A34615"/>
        </w:tc>
        <w:tc>
          <w:tcPr>
            <w:tcW w:w="2880" w:type="dxa"/>
          </w:tcPr>
          <w:p w:rsidR="00A34615" w:rsidRPr="00A34615" w:rsidRDefault="00A34615" w:rsidP="00A34615">
            <w:pPr>
              <w:jc w:val="both"/>
            </w:pPr>
          </w:p>
        </w:tc>
        <w:tc>
          <w:tcPr>
            <w:tcW w:w="1170" w:type="dxa"/>
          </w:tcPr>
          <w:p w:rsidR="00A34615" w:rsidRPr="00A34615" w:rsidRDefault="00A34615" w:rsidP="00A34615"/>
        </w:tc>
        <w:tc>
          <w:tcPr>
            <w:tcW w:w="4327" w:type="dxa"/>
          </w:tcPr>
          <w:p w:rsidR="00A34615" w:rsidRPr="00A34615" w:rsidRDefault="00A34615" w:rsidP="00A34615"/>
        </w:tc>
      </w:tr>
      <w:tr w:rsidR="00A34615" w:rsidRPr="00A34615" w:rsidTr="003B435E">
        <w:tc>
          <w:tcPr>
            <w:tcW w:w="1458" w:type="dxa"/>
          </w:tcPr>
          <w:p w:rsidR="00A34615" w:rsidRPr="00A34615" w:rsidRDefault="00A34615" w:rsidP="00A34615"/>
        </w:tc>
        <w:tc>
          <w:tcPr>
            <w:tcW w:w="2880" w:type="dxa"/>
          </w:tcPr>
          <w:p w:rsidR="00A34615" w:rsidRPr="00A34615" w:rsidRDefault="00A34615" w:rsidP="00A34615">
            <w:r w:rsidRPr="00A34615">
              <w:t>Mandeep Singh Chehil</w:t>
            </w:r>
          </w:p>
          <w:p w:rsidR="00A34615" w:rsidRPr="00A34615" w:rsidRDefault="00A34615" w:rsidP="00A34615">
            <w:pPr>
              <w:jc w:val="both"/>
            </w:pPr>
          </w:p>
          <w:p w:rsidR="00A34615" w:rsidRPr="00A34615" w:rsidRDefault="00A34615" w:rsidP="00A34615">
            <w:pPr>
              <w:jc w:val="both"/>
            </w:pPr>
            <w:r w:rsidRPr="00A34615">
              <w:tab/>
              <w:t>v. (34524)</w:t>
            </w:r>
          </w:p>
          <w:p w:rsidR="00A34615" w:rsidRPr="00A34615" w:rsidRDefault="00A34615" w:rsidP="00A34615">
            <w:pPr>
              <w:jc w:val="both"/>
            </w:pPr>
          </w:p>
          <w:p w:rsidR="00A34615" w:rsidRPr="00A34615" w:rsidRDefault="00A34615" w:rsidP="00A34615">
            <w:pPr>
              <w:jc w:val="both"/>
            </w:pPr>
            <w:r w:rsidRPr="00A34615">
              <w:t>Her Majesty the Queen (Crim.) (N.S.)</w:t>
            </w:r>
          </w:p>
        </w:tc>
        <w:tc>
          <w:tcPr>
            <w:tcW w:w="1170" w:type="dxa"/>
          </w:tcPr>
          <w:p w:rsidR="00A34615" w:rsidRPr="00A34615" w:rsidRDefault="00A34615" w:rsidP="00A34615"/>
        </w:tc>
        <w:tc>
          <w:tcPr>
            <w:tcW w:w="4327" w:type="dxa"/>
          </w:tcPr>
          <w:p w:rsidR="00A34615" w:rsidRPr="00A34615" w:rsidRDefault="00A34615" w:rsidP="00A34615"/>
        </w:tc>
      </w:tr>
    </w:tbl>
    <w:p w:rsidR="00A34615" w:rsidRPr="00A34615" w:rsidRDefault="00A34615" w:rsidP="00A34615">
      <w:pPr>
        <w:jc w:val="both"/>
        <w:rPr>
          <w:rFonts w:eastAsia="Times New Roman" w:cs="Times New Roman"/>
          <w:sz w:val="20"/>
          <w:szCs w:val="20"/>
          <w:lang w:eastAsia="en-CA"/>
        </w:rPr>
      </w:pPr>
    </w:p>
    <w:p w:rsidR="00A34615" w:rsidRPr="00A34615" w:rsidRDefault="00A34615" w:rsidP="00A34615">
      <w:pPr>
        <w:spacing w:line="228" w:lineRule="auto"/>
        <w:jc w:val="both"/>
        <w:rPr>
          <w:rFonts w:eastAsia="Times New Roman" w:cs="Times New Roman"/>
          <w:sz w:val="20"/>
          <w:szCs w:val="20"/>
          <w:lang w:val="en-US" w:eastAsia="en-CA"/>
        </w:rPr>
      </w:pPr>
      <w:r w:rsidRPr="00A34615">
        <w:rPr>
          <w:rFonts w:eastAsia="Times New Roman" w:cs="Times New Roman"/>
          <w:b/>
          <w:bCs/>
          <w:sz w:val="20"/>
          <w:szCs w:val="20"/>
          <w:lang w:val="en-US" w:eastAsia="en-CA"/>
        </w:rPr>
        <w:t>FURTHER TO THE ORDER</w:t>
      </w:r>
      <w:r w:rsidRPr="00A34615">
        <w:rPr>
          <w:rFonts w:eastAsia="Times New Roman" w:cs="Times New Roman"/>
          <w:sz w:val="20"/>
          <w:szCs w:val="20"/>
          <w:lang w:val="en-US" w:eastAsia="en-CA"/>
        </w:rPr>
        <w:t xml:space="preserve"> dated November 5, 2012, granting leave to intervene to </w:t>
      </w:r>
      <w:r w:rsidRPr="00A34615">
        <w:rPr>
          <w:rFonts w:eastAsia="Times New Roman" w:cs="Times New Roman"/>
          <w:sz w:val="20"/>
          <w:szCs w:val="20"/>
          <w:lang w:eastAsia="en-CA"/>
        </w:rPr>
        <w:t xml:space="preserve">the </w:t>
      </w:r>
      <w:r w:rsidRPr="00A34615">
        <w:rPr>
          <w:rFonts w:eastAsia="Times New Roman" w:cs="Times New Roman"/>
          <w:sz w:val="20"/>
          <w:szCs w:val="20"/>
          <w:lang w:val="en-US" w:eastAsia="en-CA"/>
        </w:rPr>
        <w:t>Attorney General of Ontario, the British Columbia Civil Liberties Association, the Canadian Civil Liberties Association and the Samuelson-Glushko Canadian Internet Policy and Public Interest Clinic;</w:t>
      </w:r>
    </w:p>
    <w:p w:rsidR="00A34615" w:rsidRPr="00A34615" w:rsidRDefault="00A34615" w:rsidP="00A34615">
      <w:pPr>
        <w:spacing w:line="228" w:lineRule="auto"/>
        <w:jc w:val="both"/>
        <w:rPr>
          <w:rFonts w:eastAsia="Times New Roman" w:cs="Times New Roman"/>
          <w:sz w:val="20"/>
          <w:szCs w:val="20"/>
          <w:lang w:val="en-US" w:eastAsia="en-CA"/>
        </w:rPr>
      </w:pPr>
    </w:p>
    <w:p w:rsidR="00A34615" w:rsidRPr="00A34615" w:rsidRDefault="00A34615" w:rsidP="00A34615">
      <w:pPr>
        <w:spacing w:line="233" w:lineRule="auto"/>
        <w:jc w:val="both"/>
        <w:rPr>
          <w:rFonts w:eastAsia="Times New Roman" w:cs="Times New Roman"/>
          <w:sz w:val="20"/>
          <w:szCs w:val="20"/>
          <w:lang w:eastAsia="en-CA"/>
        </w:rPr>
      </w:pPr>
      <w:r w:rsidRPr="00A34615">
        <w:rPr>
          <w:rFonts w:eastAsia="Times New Roman" w:cs="Times New Roman"/>
          <w:b/>
          <w:sz w:val="20"/>
          <w:szCs w:val="20"/>
          <w:lang w:val="en-US" w:eastAsia="en-CA"/>
        </w:rPr>
        <w:t xml:space="preserve">AND UPON APPLICATION </w:t>
      </w:r>
      <w:r w:rsidRPr="00A34615">
        <w:rPr>
          <w:rFonts w:eastAsia="Times New Roman" w:cs="Times New Roman"/>
          <w:sz w:val="20"/>
          <w:szCs w:val="20"/>
          <w:lang w:val="en-US" w:eastAsia="en-CA"/>
        </w:rPr>
        <w:t xml:space="preserve">by </w:t>
      </w:r>
      <w:r w:rsidRPr="00A34615">
        <w:rPr>
          <w:rFonts w:eastAsia="Times New Roman" w:cs="Times New Roman"/>
          <w:sz w:val="20"/>
          <w:szCs w:val="20"/>
          <w:lang w:eastAsia="en-CA"/>
        </w:rPr>
        <w:t xml:space="preserve">the </w:t>
      </w:r>
      <w:r w:rsidRPr="00A34615">
        <w:rPr>
          <w:rFonts w:eastAsia="Times New Roman" w:cs="Times New Roman"/>
          <w:sz w:val="20"/>
          <w:szCs w:val="20"/>
          <w:lang w:val="en-US" w:eastAsia="en-CA"/>
        </w:rPr>
        <w:t>Samuelson-Glushko Canadian Internet Policy and Public Interest Clinic</w:t>
      </w:r>
      <w:r w:rsidRPr="00A34615">
        <w:rPr>
          <w:rFonts w:eastAsia="Times New Roman" w:cs="Times New Roman"/>
          <w:sz w:val="20"/>
          <w:szCs w:val="20"/>
          <w:lang w:eastAsia="en-CA"/>
        </w:rPr>
        <w:t xml:space="preserve"> for an order extending the time to serve and file its factum and book of authorities to January 9, 2013;</w:t>
      </w:r>
    </w:p>
    <w:p w:rsidR="00A34615" w:rsidRPr="00A34615" w:rsidRDefault="00A34615" w:rsidP="00A34615">
      <w:pPr>
        <w:spacing w:line="233" w:lineRule="auto"/>
        <w:jc w:val="both"/>
        <w:rPr>
          <w:rFonts w:eastAsia="Times New Roman" w:cs="Times New Roman"/>
          <w:sz w:val="20"/>
          <w:szCs w:val="20"/>
          <w:lang w:eastAsia="en-CA"/>
        </w:rPr>
      </w:pPr>
    </w:p>
    <w:p w:rsidR="00A34615" w:rsidRPr="00A34615" w:rsidRDefault="00A34615" w:rsidP="00A34615">
      <w:pPr>
        <w:spacing w:line="233" w:lineRule="auto"/>
        <w:jc w:val="both"/>
        <w:rPr>
          <w:rFonts w:eastAsia="Times New Roman" w:cs="Times New Roman"/>
          <w:sz w:val="20"/>
          <w:szCs w:val="20"/>
          <w:lang w:val="en-US" w:eastAsia="en-CA"/>
        </w:rPr>
      </w:pPr>
      <w:r w:rsidRPr="00A34615">
        <w:rPr>
          <w:rFonts w:eastAsia="Times New Roman" w:cs="Times New Roman"/>
          <w:b/>
          <w:bCs/>
          <w:sz w:val="20"/>
          <w:szCs w:val="20"/>
          <w:lang w:val="en-US" w:eastAsia="en-CA"/>
        </w:rPr>
        <w:t>AND THE MATERIAL FILED</w:t>
      </w:r>
      <w:r w:rsidRPr="00A34615">
        <w:rPr>
          <w:rFonts w:eastAsia="Times New Roman" w:cs="Times New Roman"/>
          <w:sz w:val="20"/>
          <w:szCs w:val="20"/>
          <w:lang w:val="en-US" w:eastAsia="en-CA"/>
        </w:rPr>
        <w:t xml:space="preserve"> having been read;</w:t>
      </w:r>
    </w:p>
    <w:p w:rsidR="00A34615" w:rsidRPr="00A34615" w:rsidRDefault="00A34615" w:rsidP="00A34615">
      <w:pPr>
        <w:spacing w:line="233" w:lineRule="auto"/>
        <w:jc w:val="both"/>
        <w:rPr>
          <w:rFonts w:eastAsia="Times New Roman" w:cs="Times New Roman"/>
          <w:sz w:val="20"/>
          <w:szCs w:val="20"/>
          <w:lang w:val="en-US" w:eastAsia="en-CA"/>
        </w:rPr>
      </w:pPr>
    </w:p>
    <w:p w:rsidR="00A34615" w:rsidRPr="00A34615" w:rsidRDefault="00A34615" w:rsidP="00A34615">
      <w:pPr>
        <w:spacing w:line="230" w:lineRule="auto"/>
        <w:jc w:val="both"/>
        <w:rPr>
          <w:rFonts w:eastAsia="Times New Roman" w:cs="Times New Roman"/>
          <w:sz w:val="20"/>
          <w:szCs w:val="20"/>
          <w:lang w:val="en-US" w:eastAsia="en-CA"/>
        </w:rPr>
      </w:pPr>
      <w:r w:rsidRPr="00A34615">
        <w:rPr>
          <w:rFonts w:eastAsia="Times New Roman" w:cs="Times New Roman"/>
          <w:b/>
          <w:bCs/>
          <w:sz w:val="20"/>
          <w:szCs w:val="20"/>
          <w:lang w:val="en-US" w:eastAsia="en-CA"/>
        </w:rPr>
        <w:t xml:space="preserve">IT IS HEREBY FURTHER ORDERED </w:t>
      </w:r>
      <w:r w:rsidRPr="00A34615">
        <w:rPr>
          <w:rFonts w:eastAsia="Times New Roman" w:cs="Times New Roman"/>
          <w:sz w:val="20"/>
          <w:szCs w:val="20"/>
          <w:lang w:val="en-US" w:eastAsia="en-CA"/>
        </w:rPr>
        <w:t xml:space="preserve">that </w:t>
      </w:r>
      <w:r w:rsidRPr="00A34615">
        <w:rPr>
          <w:rFonts w:eastAsia="Times New Roman" w:cs="Times New Roman"/>
          <w:sz w:val="20"/>
          <w:szCs w:val="20"/>
          <w:lang w:eastAsia="en-CA"/>
        </w:rPr>
        <w:t xml:space="preserve">the </w:t>
      </w:r>
      <w:r w:rsidRPr="00A34615">
        <w:rPr>
          <w:rFonts w:eastAsia="Times New Roman" w:cs="Times New Roman"/>
          <w:sz w:val="20"/>
          <w:szCs w:val="20"/>
          <w:lang w:val="en-US" w:eastAsia="en-CA"/>
        </w:rPr>
        <w:t>Attorney General of Ontario, the British Columbia Civil Liberties Association and the Canadian Civil Liberties Association are each granted permission to present oral argument not exceeding ten (10) minutes at the hearing of these appeals.</w:t>
      </w:r>
    </w:p>
    <w:p w:rsidR="00A34615" w:rsidRPr="00A34615" w:rsidRDefault="00A34615" w:rsidP="00A34615">
      <w:pPr>
        <w:spacing w:line="230" w:lineRule="auto"/>
        <w:jc w:val="both"/>
        <w:rPr>
          <w:rFonts w:eastAsia="Times New Roman" w:cs="Times New Roman"/>
          <w:sz w:val="20"/>
          <w:szCs w:val="20"/>
          <w:lang w:val="en-US" w:eastAsia="en-CA"/>
        </w:rPr>
      </w:pPr>
    </w:p>
    <w:p w:rsidR="00A34615" w:rsidRPr="00A34615" w:rsidRDefault="00A34615" w:rsidP="00A34615">
      <w:pPr>
        <w:spacing w:line="230" w:lineRule="auto"/>
        <w:jc w:val="both"/>
        <w:rPr>
          <w:rFonts w:eastAsia="Times New Roman" w:cs="Times New Roman"/>
          <w:sz w:val="20"/>
          <w:szCs w:val="20"/>
          <w:lang w:val="en-US" w:eastAsia="en-CA"/>
        </w:rPr>
      </w:pPr>
      <w:r w:rsidRPr="00A34615">
        <w:rPr>
          <w:rFonts w:eastAsia="Times New Roman" w:cs="Times New Roman"/>
          <w:b/>
          <w:bCs/>
          <w:sz w:val="20"/>
          <w:szCs w:val="20"/>
          <w:lang w:val="en-US" w:eastAsia="en-CA"/>
        </w:rPr>
        <w:t>AND IT IS HEREBY FURTHER ORDERED THAT</w:t>
      </w:r>
      <w:r w:rsidRPr="00A34615">
        <w:rPr>
          <w:rFonts w:eastAsia="Times New Roman" w:cs="Times New Roman"/>
          <w:sz w:val="20"/>
          <w:szCs w:val="20"/>
          <w:lang w:eastAsia="en-CA"/>
        </w:rPr>
        <w:t xml:space="preserve"> the motion by the </w:t>
      </w:r>
      <w:r w:rsidRPr="00A34615">
        <w:rPr>
          <w:rFonts w:eastAsia="Times New Roman" w:cs="Times New Roman"/>
          <w:sz w:val="20"/>
          <w:szCs w:val="20"/>
          <w:lang w:val="en-US" w:eastAsia="en-CA"/>
        </w:rPr>
        <w:t>Samuelson-Glushko Canadian Internet Policy and Public Interest Clinic</w:t>
      </w:r>
      <w:r w:rsidRPr="00A34615">
        <w:rPr>
          <w:rFonts w:eastAsia="Times New Roman" w:cs="Times New Roman"/>
          <w:sz w:val="20"/>
          <w:szCs w:val="20"/>
          <w:lang w:eastAsia="en-CA"/>
        </w:rPr>
        <w:t xml:space="preserve"> extending the time to serve and file its factum and book of authorities to January 9, 2013 is granted.  The request to present oral argument at the hearing of these appeals is denied.</w:t>
      </w:r>
    </w:p>
    <w:p w:rsidR="00A34615" w:rsidRPr="00A34615" w:rsidRDefault="00A34615" w:rsidP="00A34615">
      <w:pPr>
        <w:rPr>
          <w:rFonts w:eastAsia="Times New Roman" w:cs="Times New Roman"/>
          <w:sz w:val="20"/>
          <w:szCs w:val="20"/>
          <w:lang w:eastAsia="en-CA"/>
        </w:rPr>
      </w:pPr>
    </w:p>
    <w:p w:rsidR="00A34615" w:rsidRPr="00A34615" w:rsidRDefault="00A34615" w:rsidP="00A34615">
      <w:pPr>
        <w:rPr>
          <w:rFonts w:eastAsia="Times New Roman" w:cs="Times New Roman"/>
          <w:sz w:val="20"/>
          <w:szCs w:val="20"/>
          <w:lang w:eastAsia="en-CA"/>
        </w:rPr>
      </w:pPr>
    </w:p>
    <w:p w:rsidR="00A34615" w:rsidRPr="00A34615" w:rsidRDefault="00A34615" w:rsidP="00A34615">
      <w:pPr>
        <w:rPr>
          <w:rFonts w:eastAsia="Times New Roman" w:cs="Times New Roman"/>
          <w:sz w:val="20"/>
          <w:szCs w:val="20"/>
          <w:lang w:eastAsia="en-CA"/>
        </w:rPr>
      </w:pPr>
    </w:p>
    <w:p w:rsidR="00A34615" w:rsidRPr="00A34615" w:rsidRDefault="00A34615" w:rsidP="00A34615">
      <w:pPr>
        <w:spacing w:line="228" w:lineRule="auto"/>
        <w:jc w:val="both"/>
        <w:rPr>
          <w:rFonts w:eastAsia="Times New Roman" w:cs="Times New Roman"/>
          <w:sz w:val="20"/>
          <w:szCs w:val="20"/>
          <w:lang w:val="fr-FR" w:eastAsia="en-CA"/>
        </w:rPr>
      </w:pPr>
      <w:r w:rsidRPr="00A34615">
        <w:rPr>
          <w:rFonts w:eastAsia="Times New Roman" w:cs="Times New Roman"/>
          <w:b/>
          <w:bCs/>
          <w:sz w:val="20"/>
          <w:szCs w:val="20"/>
          <w:lang w:val="fr-FR" w:eastAsia="en-CA"/>
        </w:rPr>
        <w:t xml:space="preserve">À LA SUITE DE l’ORDONNANCE </w:t>
      </w:r>
      <w:r w:rsidRPr="00A34615">
        <w:rPr>
          <w:rFonts w:eastAsia="Times New Roman" w:cs="Times New Roman"/>
          <w:bCs/>
          <w:sz w:val="20"/>
          <w:szCs w:val="20"/>
          <w:lang w:val="fr-FR" w:eastAsia="en-CA"/>
        </w:rPr>
        <w:t>datée du 5 novembre 2012 autorisant le procureur général de l’Ontario, l’Association des libertés civiles de la Colombie-Britannique, l’Association canadienne des libertés civiles et la Clinique d’intérêt public et de politique d’internet du Canada Samuelson-Glushko à intervenir</w:t>
      </w:r>
      <w:r w:rsidRPr="00A34615">
        <w:rPr>
          <w:rFonts w:eastAsia="Times New Roman" w:cs="Times New Roman"/>
          <w:sz w:val="20"/>
          <w:szCs w:val="20"/>
          <w:lang w:val="fr-FR" w:eastAsia="en-CA"/>
        </w:rPr>
        <w:t>;</w:t>
      </w:r>
    </w:p>
    <w:p w:rsidR="00A34615" w:rsidRPr="00A34615" w:rsidRDefault="00A34615" w:rsidP="00A34615">
      <w:pPr>
        <w:spacing w:line="228" w:lineRule="auto"/>
        <w:jc w:val="both"/>
        <w:rPr>
          <w:rFonts w:eastAsia="Times New Roman" w:cs="Times New Roman"/>
          <w:sz w:val="20"/>
          <w:szCs w:val="20"/>
          <w:lang w:val="fr-FR" w:eastAsia="en-CA"/>
        </w:rPr>
      </w:pPr>
    </w:p>
    <w:p w:rsidR="00A34615" w:rsidRPr="00A34615" w:rsidRDefault="00A34615" w:rsidP="00A34615">
      <w:pPr>
        <w:spacing w:line="228" w:lineRule="auto"/>
        <w:jc w:val="both"/>
        <w:rPr>
          <w:rFonts w:eastAsia="Times New Roman" w:cs="Times New Roman"/>
          <w:sz w:val="20"/>
          <w:szCs w:val="20"/>
          <w:lang w:val="fr-FR" w:eastAsia="en-CA"/>
        </w:rPr>
      </w:pPr>
      <w:r w:rsidRPr="00A34615">
        <w:rPr>
          <w:rFonts w:eastAsia="Times New Roman" w:cs="Times New Roman"/>
          <w:b/>
          <w:sz w:val="20"/>
          <w:szCs w:val="20"/>
          <w:lang w:val="fr-FR" w:eastAsia="en-CA"/>
        </w:rPr>
        <w:t xml:space="preserve">ET </w:t>
      </w:r>
      <w:r w:rsidRPr="00A34615">
        <w:rPr>
          <w:rFonts w:eastAsia="Times New Roman" w:cs="Times New Roman"/>
          <w:b/>
          <w:bCs/>
          <w:sz w:val="20"/>
          <w:szCs w:val="20"/>
          <w:lang w:val="fr-FR" w:eastAsia="en-CA"/>
        </w:rPr>
        <w:t xml:space="preserve">À LA SUITE DE LA DEMANDE </w:t>
      </w:r>
      <w:r w:rsidRPr="00A34615">
        <w:rPr>
          <w:rFonts w:eastAsia="Times New Roman" w:cs="Times New Roman"/>
          <w:bCs/>
          <w:sz w:val="20"/>
          <w:szCs w:val="20"/>
          <w:lang w:val="fr-FR" w:eastAsia="en-CA"/>
        </w:rPr>
        <w:t>présentée par la</w:t>
      </w:r>
      <w:r w:rsidRPr="00A34615">
        <w:rPr>
          <w:rFonts w:eastAsia="Times New Roman" w:cs="Times New Roman"/>
          <w:b/>
          <w:bCs/>
          <w:sz w:val="20"/>
          <w:szCs w:val="20"/>
          <w:lang w:val="fr-FR" w:eastAsia="en-CA"/>
        </w:rPr>
        <w:t xml:space="preserve"> </w:t>
      </w:r>
      <w:r w:rsidRPr="00A34615">
        <w:rPr>
          <w:rFonts w:eastAsia="Times New Roman" w:cs="Times New Roman"/>
          <w:bCs/>
          <w:sz w:val="20"/>
          <w:szCs w:val="20"/>
          <w:lang w:val="fr-FR" w:eastAsia="en-CA"/>
        </w:rPr>
        <w:t>Clinique d’intérêt public et de politique d’internet du Canada Samuelson-Glushko</w:t>
      </w:r>
      <w:r w:rsidRPr="00A34615">
        <w:rPr>
          <w:rFonts w:eastAsia="Times New Roman" w:cs="Times New Roman"/>
          <w:sz w:val="20"/>
          <w:szCs w:val="20"/>
          <w:lang w:val="fr-FR" w:eastAsia="en-CA"/>
        </w:rPr>
        <w:t xml:space="preserve"> en prorogation du délai de signification et de dépôt de ses mémoire et recueil de sources jusqu’au 9 janvier 2013;</w:t>
      </w:r>
    </w:p>
    <w:p w:rsidR="00A34615" w:rsidRPr="00A34615" w:rsidRDefault="00A34615" w:rsidP="00A34615">
      <w:pPr>
        <w:spacing w:line="233" w:lineRule="auto"/>
        <w:jc w:val="both"/>
        <w:rPr>
          <w:rFonts w:eastAsia="Times New Roman" w:cs="Times New Roman"/>
          <w:sz w:val="20"/>
          <w:szCs w:val="20"/>
          <w:lang w:val="fr-FR" w:eastAsia="en-CA"/>
        </w:rPr>
      </w:pPr>
    </w:p>
    <w:p w:rsidR="00A34615" w:rsidRPr="00A34615" w:rsidRDefault="00A34615" w:rsidP="00A34615">
      <w:pPr>
        <w:spacing w:line="233" w:lineRule="auto"/>
        <w:jc w:val="both"/>
        <w:rPr>
          <w:rFonts w:eastAsia="Times New Roman" w:cs="Times New Roman"/>
          <w:sz w:val="20"/>
          <w:szCs w:val="20"/>
          <w:lang w:val="fr-CA" w:eastAsia="en-CA"/>
        </w:rPr>
      </w:pPr>
      <w:r w:rsidRPr="00A34615">
        <w:rPr>
          <w:rFonts w:eastAsia="Times New Roman" w:cs="Times New Roman"/>
          <w:b/>
          <w:bCs/>
          <w:sz w:val="20"/>
          <w:szCs w:val="20"/>
          <w:lang w:val="fr-CA" w:eastAsia="en-CA"/>
        </w:rPr>
        <w:t xml:space="preserve">ET APRÈS EXAMEN </w:t>
      </w:r>
      <w:r w:rsidRPr="00A34615">
        <w:rPr>
          <w:rFonts w:eastAsia="Times New Roman" w:cs="Times New Roman"/>
          <w:bCs/>
          <w:sz w:val="20"/>
          <w:szCs w:val="20"/>
          <w:lang w:val="fr-CA" w:eastAsia="en-CA"/>
        </w:rPr>
        <w:t xml:space="preserve">des documents déposés, </w:t>
      </w:r>
    </w:p>
    <w:p w:rsidR="00A34615" w:rsidRPr="00A34615" w:rsidRDefault="00A34615" w:rsidP="00A34615">
      <w:pPr>
        <w:spacing w:line="233" w:lineRule="auto"/>
        <w:jc w:val="both"/>
        <w:rPr>
          <w:rFonts w:eastAsia="Times New Roman" w:cs="Times New Roman"/>
          <w:sz w:val="20"/>
          <w:szCs w:val="20"/>
          <w:lang w:val="fr-CA" w:eastAsia="en-CA"/>
        </w:rPr>
      </w:pPr>
    </w:p>
    <w:p w:rsidR="00A34615" w:rsidRPr="00A34615" w:rsidRDefault="00A34615" w:rsidP="00A34615">
      <w:pPr>
        <w:spacing w:line="230" w:lineRule="auto"/>
        <w:jc w:val="both"/>
        <w:rPr>
          <w:rFonts w:eastAsia="Times New Roman" w:cs="Times New Roman"/>
          <w:sz w:val="20"/>
          <w:szCs w:val="20"/>
          <w:lang w:val="fr-CA" w:eastAsia="en-CA"/>
        </w:rPr>
      </w:pPr>
      <w:r w:rsidRPr="00A34615">
        <w:rPr>
          <w:rFonts w:eastAsia="Times New Roman" w:cs="Times New Roman"/>
          <w:b/>
          <w:bCs/>
          <w:sz w:val="20"/>
          <w:szCs w:val="20"/>
          <w:lang w:val="fr-FR" w:eastAsia="en-CA"/>
        </w:rPr>
        <w:t xml:space="preserve">IL EST EN OUTRE ORDONNÉ QUE </w:t>
      </w:r>
      <w:r w:rsidRPr="00A34615">
        <w:rPr>
          <w:rFonts w:eastAsia="Times New Roman" w:cs="Times New Roman"/>
          <w:bCs/>
          <w:sz w:val="20"/>
          <w:szCs w:val="20"/>
          <w:lang w:val="fr-FR" w:eastAsia="en-CA"/>
        </w:rPr>
        <w:t xml:space="preserve">le procureur général de l’Ontario, l’Association des libertés civiles de la Colombie-Britannique et l’Association canadienne des libertés civiles pourront présenter chacun une plaidoirie orale d’au plus dix (10) minutes lors de l’audition des appels. </w:t>
      </w:r>
      <w:r w:rsidRPr="00A34615">
        <w:rPr>
          <w:rFonts w:eastAsia="Times New Roman" w:cs="Times New Roman"/>
          <w:sz w:val="20"/>
          <w:szCs w:val="20"/>
          <w:lang w:val="fr-FR" w:eastAsia="en-CA"/>
        </w:rPr>
        <w:t xml:space="preserve"> </w:t>
      </w:r>
    </w:p>
    <w:p w:rsidR="00A34615" w:rsidRPr="00A34615" w:rsidRDefault="00A34615" w:rsidP="00A34615">
      <w:pPr>
        <w:spacing w:line="230" w:lineRule="auto"/>
        <w:jc w:val="both"/>
        <w:rPr>
          <w:rFonts w:eastAsia="Times New Roman" w:cs="Times New Roman"/>
          <w:sz w:val="20"/>
          <w:szCs w:val="20"/>
          <w:lang w:val="fr-CA" w:eastAsia="en-CA"/>
        </w:rPr>
      </w:pPr>
    </w:p>
    <w:p w:rsidR="00A34615" w:rsidRPr="00A34615" w:rsidRDefault="00A34615" w:rsidP="00A34615">
      <w:pPr>
        <w:spacing w:line="230" w:lineRule="auto"/>
        <w:jc w:val="both"/>
        <w:rPr>
          <w:rFonts w:eastAsia="Times New Roman" w:cs="Times New Roman"/>
          <w:sz w:val="20"/>
          <w:szCs w:val="20"/>
          <w:lang w:val="fr-FR" w:eastAsia="en-CA"/>
        </w:rPr>
      </w:pPr>
      <w:r w:rsidRPr="00A34615">
        <w:rPr>
          <w:rFonts w:eastAsia="Times New Roman" w:cs="Times New Roman"/>
          <w:b/>
          <w:bCs/>
          <w:sz w:val="20"/>
          <w:szCs w:val="20"/>
          <w:lang w:val="fr-FR" w:eastAsia="en-CA"/>
        </w:rPr>
        <w:t>ET IL EST EN OUTRE ORDONNÉ QUE</w:t>
      </w:r>
      <w:r w:rsidRPr="00A34615">
        <w:rPr>
          <w:rFonts w:eastAsia="Times New Roman" w:cs="Times New Roman"/>
          <w:sz w:val="20"/>
          <w:szCs w:val="20"/>
          <w:lang w:val="fr-FR" w:eastAsia="en-CA"/>
        </w:rPr>
        <w:t xml:space="preserve"> la requête </w:t>
      </w:r>
      <w:r w:rsidRPr="00A34615">
        <w:rPr>
          <w:rFonts w:eastAsia="Times New Roman" w:cs="Times New Roman"/>
          <w:bCs/>
          <w:sz w:val="20"/>
          <w:szCs w:val="20"/>
          <w:lang w:val="fr-FR" w:eastAsia="en-CA"/>
        </w:rPr>
        <w:t>présentée par la</w:t>
      </w:r>
      <w:r w:rsidRPr="00A34615">
        <w:rPr>
          <w:rFonts w:eastAsia="Times New Roman" w:cs="Times New Roman"/>
          <w:b/>
          <w:bCs/>
          <w:sz w:val="20"/>
          <w:szCs w:val="20"/>
          <w:lang w:val="fr-FR" w:eastAsia="en-CA"/>
        </w:rPr>
        <w:t xml:space="preserve"> </w:t>
      </w:r>
      <w:r w:rsidRPr="00A34615">
        <w:rPr>
          <w:rFonts w:eastAsia="Times New Roman" w:cs="Times New Roman"/>
          <w:bCs/>
          <w:sz w:val="20"/>
          <w:szCs w:val="20"/>
          <w:lang w:val="fr-FR" w:eastAsia="en-CA"/>
        </w:rPr>
        <w:t>Clinique d’intérêt public et de politique d’internet du Canada Samuelson-Glushko</w:t>
      </w:r>
      <w:r w:rsidRPr="00A34615">
        <w:rPr>
          <w:rFonts w:eastAsia="Times New Roman" w:cs="Times New Roman"/>
          <w:sz w:val="20"/>
          <w:szCs w:val="20"/>
          <w:lang w:val="fr-FR" w:eastAsia="en-CA"/>
        </w:rPr>
        <w:t xml:space="preserve"> en prorogation du délai de signification et de dépôt de ses mémoire et recueil de sources jusqu’au 9 janvier 2013 est accueillie.  Sa demande en vue de présenter une plaidoirie orale lors de l’audition des appels est rejetée.</w:t>
      </w:r>
    </w:p>
    <w:p w:rsidR="00A34615" w:rsidRPr="00A34615" w:rsidRDefault="00A34615" w:rsidP="00A34615">
      <w:pPr>
        <w:rPr>
          <w:rFonts w:eastAsia="Times New Roman" w:cs="Times New Roman"/>
          <w:sz w:val="20"/>
          <w:szCs w:val="20"/>
          <w:lang w:val="fr-FR" w:eastAsia="en-CA"/>
        </w:rPr>
      </w:pPr>
    </w:p>
    <w:p w:rsidR="00A34615" w:rsidRPr="00A34615" w:rsidRDefault="00CD48BC" w:rsidP="00A34615">
      <w:pPr>
        <w:rPr>
          <w:rFonts w:eastAsia="Times New Roman" w:cs="Times New Roman"/>
          <w:sz w:val="20"/>
          <w:szCs w:val="20"/>
          <w:lang w:eastAsia="en-CA"/>
        </w:rPr>
      </w:pPr>
      <w:r w:rsidRPr="00CD48BC">
        <w:rPr>
          <w:rFonts w:eastAsia="Times New Roman" w:cs="Times New Roman"/>
          <w:sz w:val="20"/>
          <w:szCs w:val="20"/>
          <w:lang w:val="fr-CA" w:eastAsia="en-CA"/>
        </w:rPr>
        <w:pict>
          <v:rect id="_x0000_i1075" style="width:2in;height:1pt" o:hrpct="0" o:hralign="center" o:hrstd="t" o:hrnoshade="t" o:hr="t" fillcolor="black [3213]" stroked="f"/>
        </w:pict>
      </w:r>
    </w:p>
    <w:p w:rsidR="00A34615" w:rsidRPr="00A34615" w:rsidRDefault="00A34615" w:rsidP="00A34615">
      <w:pPr>
        <w:tabs>
          <w:tab w:val="left" w:pos="-1440"/>
          <w:tab w:val="left" w:pos="-720"/>
        </w:tabs>
        <w:jc w:val="both"/>
        <w:rPr>
          <w:rFonts w:eastAsia="Times New Roman" w:cs="Times New Roman"/>
          <w:sz w:val="20"/>
          <w:szCs w:val="20"/>
          <w:lang w:val="fr-CA" w:eastAsia="en-CA"/>
        </w:rPr>
      </w:pPr>
    </w:p>
    <w:p w:rsidR="00A34615" w:rsidRPr="00A34615" w:rsidRDefault="00A34615" w:rsidP="00A34615">
      <w:pPr>
        <w:tabs>
          <w:tab w:val="left" w:pos="-1440"/>
          <w:tab w:val="left" w:pos="-720"/>
        </w:tabs>
        <w:jc w:val="both"/>
        <w:rPr>
          <w:rFonts w:eastAsia="Times New Roman" w:cs="Times New Roman"/>
          <w:sz w:val="20"/>
          <w:szCs w:val="20"/>
          <w:lang w:val="fr-CA" w:eastAsia="en-CA"/>
        </w:rPr>
      </w:pPr>
      <w:r w:rsidRPr="00A34615">
        <w:rPr>
          <w:rFonts w:eastAsia="Times New Roman" w:cs="Times New Roman"/>
          <w:sz w:val="20"/>
          <w:szCs w:val="20"/>
          <w:lang w:val="fr-CA" w:eastAsia="en-CA"/>
        </w:rPr>
        <w:t>10.01.2013</w:t>
      </w:r>
    </w:p>
    <w:p w:rsidR="00A34615" w:rsidRPr="00A34615" w:rsidRDefault="00A34615" w:rsidP="00A34615">
      <w:pPr>
        <w:tabs>
          <w:tab w:val="left" w:pos="-1440"/>
          <w:tab w:val="left" w:pos="-720"/>
        </w:tabs>
        <w:jc w:val="both"/>
        <w:rPr>
          <w:rFonts w:eastAsia="Times New Roman" w:cs="Times New Roman"/>
          <w:sz w:val="20"/>
          <w:szCs w:val="20"/>
          <w:lang w:val="fr-CA" w:eastAsia="en-CA"/>
        </w:rPr>
      </w:pPr>
    </w:p>
    <w:p w:rsidR="00A34615" w:rsidRPr="00A34615" w:rsidRDefault="00A34615" w:rsidP="00A34615">
      <w:pPr>
        <w:tabs>
          <w:tab w:val="left" w:pos="-1440"/>
          <w:tab w:val="left" w:pos="-720"/>
        </w:tabs>
        <w:jc w:val="both"/>
        <w:rPr>
          <w:rFonts w:eastAsia="Times New Roman" w:cs="Times New Roman"/>
          <w:sz w:val="20"/>
          <w:szCs w:val="20"/>
          <w:lang w:val="fr-CA" w:eastAsia="en-CA"/>
        </w:rPr>
      </w:pPr>
      <w:r w:rsidRPr="00A34615">
        <w:rPr>
          <w:rFonts w:eastAsia="Times New Roman" w:cs="Times New Roman"/>
          <w:sz w:val="20"/>
          <w:szCs w:val="20"/>
          <w:lang w:val="fr-CA" w:eastAsia="en-CA"/>
        </w:rPr>
        <w:t>Before / Devant :   FISH J. / LE JUGE FISH</w:t>
      </w:r>
    </w:p>
    <w:p w:rsidR="00A34615" w:rsidRPr="00A34615" w:rsidRDefault="00A34615" w:rsidP="00A34615">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A34615" w:rsidRPr="00334802" w:rsidTr="003B435E">
        <w:tc>
          <w:tcPr>
            <w:tcW w:w="4338" w:type="dxa"/>
            <w:gridSpan w:val="2"/>
          </w:tcPr>
          <w:p w:rsidR="00A34615" w:rsidRPr="00A34615" w:rsidRDefault="00A34615" w:rsidP="00A34615">
            <w:pPr>
              <w:jc w:val="both"/>
              <w:rPr>
                <w:b/>
              </w:rPr>
            </w:pPr>
            <w:r w:rsidRPr="00A34615">
              <w:rPr>
                <w:b/>
                <w:lang w:val="en-US"/>
              </w:rPr>
              <w:t xml:space="preserve">Order on interventions with respect to oral argument </w:t>
            </w:r>
            <w:r w:rsidR="00CD48BC" w:rsidRPr="00A34615">
              <w:rPr>
                <w:b/>
                <w:lang w:val="en-US"/>
              </w:rPr>
              <w:fldChar w:fldCharType="begin"/>
            </w:r>
            <w:r w:rsidRPr="00A34615">
              <w:rPr>
                <w:b/>
              </w:rPr>
              <w:instrText xml:space="preserve"> SEQ CHAPTER \h \r 1</w:instrText>
            </w:r>
            <w:r w:rsidR="00CD48BC" w:rsidRPr="00A34615">
              <w:rPr>
                <w:b/>
                <w:lang w:val="en-US"/>
              </w:rPr>
              <w:fldChar w:fldCharType="end"/>
            </w:r>
          </w:p>
        </w:tc>
        <w:tc>
          <w:tcPr>
            <w:tcW w:w="1170" w:type="dxa"/>
          </w:tcPr>
          <w:p w:rsidR="00A34615" w:rsidRPr="00A34615" w:rsidRDefault="00A34615" w:rsidP="00A34615"/>
          <w:p w:rsidR="00A34615" w:rsidRPr="00A34615" w:rsidRDefault="00A34615" w:rsidP="00A34615"/>
          <w:p w:rsidR="00A34615" w:rsidRPr="00A34615" w:rsidRDefault="00A34615" w:rsidP="00A34615"/>
        </w:tc>
        <w:tc>
          <w:tcPr>
            <w:tcW w:w="4327" w:type="dxa"/>
          </w:tcPr>
          <w:p w:rsidR="00A34615" w:rsidRPr="00A34615" w:rsidRDefault="00A34615" w:rsidP="00A34615">
            <w:pPr>
              <w:jc w:val="both"/>
              <w:rPr>
                <w:b/>
                <w:lang w:val="fr-CA"/>
              </w:rPr>
            </w:pPr>
            <w:r w:rsidRPr="00A34615">
              <w:rPr>
                <w:b/>
                <w:lang w:val="fr-CA"/>
              </w:rPr>
              <w:t>Ordonnance relative à la présentation d’une plaidoirie orale par les intervenantes</w:t>
            </w:r>
            <w:r w:rsidR="00CD48BC" w:rsidRPr="00A34615">
              <w:rPr>
                <w:b/>
                <w:lang w:val="en-US"/>
              </w:rPr>
              <w:fldChar w:fldCharType="begin"/>
            </w:r>
            <w:r w:rsidRPr="00A34615">
              <w:rPr>
                <w:b/>
                <w:lang w:val="fr-CA"/>
              </w:rPr>
              <w:instrText xml:space="preserve"> SEQ CHAPTER \h \r 1</w:instrText>
            </w:r>
            <w:r w:rsidR="00CD48BC" w:rsidRPr="00A34615">
              <w:rPr>
                <w:b/>
                <w:lang w:val="en-US"/>
              </w:rPr>
              <w:fldChar w:fldCharType="end"/>
            </w:r>
          </w:p>
        </w:tc>
      </w:tr>
      <w:tr w:rsidR="00A34615" w:rsidRPr="00A34615" w:rsidTr="003B435E">
        <w:tc>
          <w:tcPr>
            <w:tcW w:w="1368" w:type="dxa"/>
          </w:tcPr>
          <w:p w:rsidR="00A34615" w:rsidRPr="00A34615" w:rsidRDefault="00A34615" w:rsidP="00A34615">
            <w:r w:rsidRPr="00A34615">
              <w:t>RE:</w:t>
            </w:r>
          </w:p>
        </w:tc>
        <w:tc>
          <w:tcPr>
            <w:tcW w:w="2970" w:type="dxa"/>
          </w:tcPr>
          <w:p w:rsidR="00A34615" w:rsidRPr="00A34615" w:rsidRDefault="00A34615" w:rsidP="00A34615">
            <w:r w:rsidRPr="00A34615">
              <w:t>Canadian Bar Association</w:t>
            </w:r>
            <w:r w:rsidRPr="00A34615">
              <w:rPr>
                <w:lang w:val="en-US"/>
              </w:rPr>
              <w:t>;</w:t>
            </w:r>
          </w:p>
        </w:tc>
        <w:tc>
          <w:tcPr>
            <w:tcW w:w="1170" w:type="dxa"/>
          </w:tcPr>
          <w:p w:rsidR="00A34615" w:rsidRPr="00A34615" w:rsidRDefault="00A34615" w:rsidP="00A34615"/>
        </w:tc>
        <w:tc>
          <w:tcPr>
            <w:tcW w:w="4327" w:type="dxa"/>
          </w:tcPr>
          <w:p w:rsidR="00A34615" w:rsidRPr="00A34615" w:rsidRDefault="00A34615" w:rsidP="00A34615"/>
        </w:tc>
      </w:tr>
      <w:tr w:rsidR="00A34615" w:rsidRPr="00A34615" w:rsidTr="003B435E">
        <w:tc>
          <w:tcPr>
            <w:tcW w:w="1368" w:type="dxa"/>
          </w:tcPr>
          <w:p w:rsidR="00A34615" w:rsidRPr="00A34615" w:rsidRDefault="00A34615" w:rsidP="00A34615"/>
        </w:tc>
        <w:tc>
          <w:tcPr>
            <w:tcW w:w="2970" w:type="dxa"/>
          </w:tcPr>
          <w:p w:rsidR="00A34615" w:rsidRPr="00A34615" w:rsidRDefault="00A34615" w:rsidP="00A34615">
            <w:r w:rsidRPr="00A34615">
              <w:t>Federation of Law Societies of Canada</w:t>
            </w:r>
          </w:p>
        </w:tc>
        <w:tc>
          <w:tcPr>
            <w:tcW w:w="1170" w:type="dxa"/>
          </w:tcPr>
          <w:p w:rsidR="00A34615" w:rsidRPr="00A34615" w:rsidRDefault="00A34615" w:rsidP="00A34615"/>
        </w:tc>
        <w:tc>
          <w:tcPr>
            <w:tcW w:w="4327" w:type="dxa"/>
          </w:tcPr>
          <w:p w:rsidR="00A34615" w:rsidRPr="00A34615" w:rsidRDefault="00A34615" w:rsidP="00A34615"/>
        </w:tc>
      </w:tr>
      <w:tr w:rsidR="00A34615" w:rsidRPr="00A34615" w:rsidTr="003B435E">
        <w:tc>
          <w:tcPr>
            <w:tcW w:w="1368" w:type="dxa"/>
          </w:tcPr>
          <w:p w:rsidR="00A34615" w:rsidRPr="00A34615" w:rsidRDefault="00A34615" w:rsidP="00A34615"/>
        </w:tc>
        <w:tc>
          <w:tcPr>
            <w:tcW w:w="2970" w:type="dxa"/>
          </w:tcPr>
          <w:p w:rsidR="00A34615" w:rsidRPr="00A34615" w:rsidRDefault="00A34615" w:rsidP="00A34615"/>
        </w:tc>
        <w:tc>
          <w:tcPr>
            <w:tcW w:w="1170" w:type="dxa"/>
          </w:tcPr>
          <w:p w:rsidR="00A34615" w:rsidRPr="00A34615" w:rsidRDefault="00A34615" w:rsidP="00A34615"/>
        </w:tc>
        <w:tc>
          <w:tcPr>
            <w:tcW w:w="4327" w:type="dxa"/>
          </w:tcPr>
          <w:p w:rsidR="00A34615" w:rsidRPr="00A34615" w:rsidRDefault="00A34615" w:rsidP="00A34615"/>
        </w:tc>
      </w:tr>
      <w:tr w:rsidR="00A34615" w:rsidRPr="00A34615" w:rsidTr="003B435E">
        <w:tc>
          <w:tcPr>
            <w:tcW w:w="1368" w:type="dxa"/>
          </w:tcPr>
          <w:p w:rsidR="00A34615" w:rsidRPr="00A34615" w:rsidRDefault="00A34615" w:rsidP="00A34615">
            <w:r w:rsidRPr="00A34615">
              <w:t>IN / DANS :</w:t>
            </w:r>
          </w:p>
        </w:tc>
        <w:tc>
          <w:tcPr>
            <w:tcW w:w="2970" w:type="dxa"/>
          </w:tcPr>
          <w:p w:rsidR="00A34615" w:rsidRPr="00A34615" w:rsidRDefault="00A34615" w:rsidP="00A34615">
            <w:r w:rsidRPr="00A34615">
              <w:t>Canadian National Railway</w:t>
            </w:r>
          </w:p>
          <w:p w:rsidR="00A34615" w:rsidRPr="00A34615" w:rsidRDefault="00A34615" w:rsidP="00A34615"/>
        </w:tc>
        <w:tc>
          <w:tcPr>
            <w:tcW w:w="1170" w:type="dxa"/>
          </w:tcPr>
          <w:p w:rsidR="00A34615" w:rsidRPr="00A34615" w:rsidRDefault="00A34615" w:rsidP="00A34615"/>
        </w:tc>
        <w:tc>
          <w:tcPr>
            <w:tcW w:w="4327" w:type="dxa"/>
          </w:tcPr>
          <w:p w:rsidR="00A34615" w:rsidRPr="00A34615" w:rsidRDefault="00A34615" w:rsidP="00A34615"/>
        </w:tc>
      </w:tr>
      <w:tr w:rsidR="00A34615" w:rsidRPr="00A34615" w:rsidTr="003B435E">
        <w:tc>
          <w:tcPr>
            <w:tcW w:w="1368" w:type="dxa"/>
          </w:tcPr>
          <w:p w:rsidR="00A34615" w:rsidRPr="00A34615" w:rsidRDefault="00A34615" w:rsidP="00A34615"/>
        </w:tc>
        <w:tc>
          <w:tcPr>
            <w:tcW w:w="2970" w:type="dxa"/>
          </w:tcPr>
          <w:p w:rsidR="00A34615" w:rsidRPr="00A34615" w:rsidRDefault="00A34615" w:rsidP="00A34615">
            <w:r w:rsidRPr="00A34615">
              <w:tab/>
              <w:t>v. (34545)</w:t>
            </w:r>
          </w:p>
          <w:p w:rsidR="00A34615" w:rsidRPr="00A34615" w:rsidRDefault="00A34615" w:rsidP="00A34615"/>
        </w:tc>
        <w:tc>
          <w:tcPr>
            <w:tcW w:w="1170" w:type="dxa"/>
          </w:tcPr>
          <w:p w:rsidR="00A34615" w:rsidRPr="00A34615" w:rsidRDefault="00A34615" w:rsidP="00A34615"/>
        </w:tc>
        <w:tc>
          <w:tcPr>
            <w:tcW w:w="4327" w:type="dxa"/>
          </w:tcPr>
          <w:p w:rsidR="00A34615" w:rsidRPr="00A34615" w:rsidRDefault="00A34615" w:rsidP="00A34615"/>
        </w:tc>
      </w:tr>
      <w:tr w:rsidR="00A34615" w:rsidRPr="00334802" w:rsidTr="003B435E">
        <w:tc>
          <w:tcPr>
            <w:tcW w:w="1368" w:type="dxa"/>
          </w:tcPr>
          <w:p w:rsidR="00A34615" w:rsidRPr="00A34615" w:rsidRDefault="00A34615" w:rsidP="00A34615"/>
        </w:tc>
        <w:tc>
          <w:tcPr>
            <w:tcW w:w="2970" w:type="dxa"/>
          </w:tcPr>
          <w:p w:rsidR="00A34615" w:rsidRPr="00A34615" w:rsidRDefault="00A34615" w:rsidP="00A34615">
            <w:pPr>
              <w:jc w:val="both"/>
              <w:rPr>
                <w:lang w:val="fr-CA"/>
              </w:rPr>
            </w:pPr>
            <w:r w:rsidRPr="00A34615">
              <w:rPr>
                <w:lang w:val="fr-CA"/>
              </w:rPr>
              <w:t>McKercher LLP et al. (Sask.)</w:t>
            </w:r>
          </w:p>
        </w:tc>
        <w:tc>
          <w:tcPr>
            <w:tcW w:w="1170" w:type="dxa"/>
          </w:tcPr>
          <w:p w:rsidR="00A34615" w:rsidRPr="00A34615" w:rsidRDefault="00A34615" w:rsidP="00A34615">
            <w:pPr>
              <w:rPr>
                <w:lang w:val="fr-CA"/>
              </w:rPr>
            </w:pPr>
          </w:p>
        </w:tc>
        <w:tc>
          <w:tcPr>
            <w:tcW w:w="4327" w:type="dxa"/>
          </w:tcPr>
          <w:p w:rsidR="00A34615" w:rsidRPr="00A34615" w:rsidRDefault="00A34615" w:rsidP="00A34615">
            <w:pPr>
              <w:rPr>
                <w:lang w:val="fr-CA"/>
              </w:rPr>
            </w:pPr>
          </w:p>
        </w:tc>
      </w:tr>
    </w:tbl>
    <w:p w:rsidR="00A34615" w:rsidRPr="00A34615" w:rsidRDefault="00A34615" w:rsidP="00A34615">
      <w:pPr>
        <w:tabs>
          <w:tab w:val="left" w:pos="-1440"/>
          <w:tab w:val="left" w:pos="-720"/>
        </w:tabs>
        <w:jc w:val="both"/>
        <w:rPr>
          <w:rFonts w:eastAsia="Times New Roman" w:cs="Times New Roman"/>
          <w:sz w:val="20"/>
          <w:szCs w:val="20"/>
          <w:lang w:val="fr-CA" w:eastAsia="en-CA"/>
        </w:rPr>
      </w:pPr>
    </w:p>
    <w:p w:rsidR="00A34615" w:rsidRPr="00B43549" w:rsidRDefault="00A34615">
      <w:pPr>
        <w:rPr>
          <w:rFonts w:eastAsia="Times New Roman" w:cs="Times New Roman"/>
          <w:b/>
          <w:bCs/>
          <w:sz w:val="20"/>
          <w:szCs w:val="20"/>
          <w:lang w:val="fr-CA" w:eastAsia="en-CA"/>
        </w:rPr>
      </w:pPr>
      <w:r w:rsidRPr="00B43549">
        <w:rPr>
          <w:rFonts w:eastAsia="Times New Roman" w:cs="Times New Roman"/>
          <w:b/>
          <w:bCs/>
          <w:sz w:val="20"/>
          <w:szCs w:val="20"/>
          <w:lang w:val="fr-CA" w:eastAsia="en-CA"/>
        </w:rPr>
        <w:br w:type="page"/>
      </w:r>
    </w:p>
    <w:p w:rsidR="00A34615" w:rsidRPr="00A34615" w:rsidRDefault="00A34615" w:rsidP="00A34615">
      <w:pPr>
        <w:spacing w:line="230" w:lineRule="auto"/>
        <w:jc w:val="both"/>
        <w:rPr>
          <w:rFonts w:eastAsia="Times New Roman" w:cs="Times New Roman"/>
          <w:sz w:val="20"/>
          <w:szCs w:val="20"/>
          <w:lang w:val="en-US" w:eastAsia="en-CA"/>
        </w:rPr>
      </w:pPr>
      <w:r w:rsidRPr="00A34615">
        <w:rPr>
          <w:rFonts w:eastAsia="Times New Roman" w:cs="Times New Roman"/>
          <w:b/>
          <w:bCs/>
          <w:sz w:val="20"/>
          <w:szCs w:val="20"/>
          <w:lang w:val="en-US" w:eastAsia="en-CA"/>
        </w:rPr>
        <w:lastRenderedPageBreak/>
        <w:t>FURTHER TO THE ORDER</w:t>
      </w:r>
      <w:r w:rsidRPr="00A34615">
        <w:rPr>
          <w:rFonts w:eastAsia="Times New Roman" w:cs="Times New Roman"/>
          <w:sz w:val="20"/>
          <w:szCs w:val="20"/>
          <w:lang w:val="en-US" w:eastAsia="en-CA"/>
        </w:rPr>
        <w:t xml:space="preserve"> dated November 23, 2012, granting leave to intervene to </w:t>
      </w:r>
      <w:r w:rsidRPr="00A34615">
        <w:rPr>
          <w:rFonts w:eastAsia="Times New Roman" w:cs="Times New Roman"/>
          <w:sz w:val="20"/>
          <w:szCs w:val="20"/>
          <w:lang w:eastAsia="en-CA"/>
        </w:rPr>
        <w:t>the Canadian Bar Association and the Federation of Law Societies of Canada</w:t>
      </w:r>
      <w:r w:rsidRPr="00A34615">
        <w:rPr>
          <w:rFonts w:eastAsia="Times New Roman" w:cs="Times New Roman"/>
          <w:sz w:val="20"/>
          <w:szCs w:val="20"/>
          <w:lang w:val="en-US" w:eastAsia="en-CA"/>
        </w:rPr>
        <w:t>;</w:t>
      </w:r>
    </w:p>
    <w:p w:rsidR="00A34615" w:rsidRPr="00A34615" w:rsidRDefault="00A34615" w:rsidP="00A34615">
      <w:pPr>
        <w:rPr>
          <w:rFonts w:eastAsia="Times New Roman" w:cs="Times New Roman"/>
          <w:sz w:val="20"/>
          <w:szCs w:val="20"/>
          <w:lang w:val="en-US" w:eastAsia="en-CA"/>
        </w:rPr>
      </w:pPr>
    </w:p>
    <w:p w:rsidR="00A34615" w:rsidRPr="00A34615" w:rsidRDefault="00A34615" w:rsidP="00A34615">
      <w:pPr>
        <w:spacing w:line="230" w:lineRule="auto"/>
        <w:jc w:val="both"/>
        <w:rPr>
          <w:rFonts w:eastAsia="Times New Roman" w:cs="Times New Roman"/>
          <w:sz w:val="20"/>
          <w:szCs w:val="20"/>
          <w:lang w:val="en-US" w:eastAsia="en-CA"/>
        </w:rPr>
      </w:pPr>
      <w:r w:rsidRPr="00A34615">
        <w:rPr>
          <w:rFonts w:eastAsia="Times New Roman" w:cs="Times New Roman"/>
          <w:b/>
          <w:bCs/>
          <w:sz w:val="20"/>
          <w:szCs w:val="20"/>
          <w:lang w:val="en-US" w:eastAsia="en-CA"/>
        </w:rPr>
        <w:t xml:space="preserve">IT IS HEREBY FURTHER ORDERED THAT </w:t>
      </w:r>
      <w:r w:rsidRPr="00A34615">
        <w:rPr>
          <w:rFonts w:eastAsia="Times New Roman" w:cs="Times New Roman"/>
          <w:sz w:val="20"/>
          <w:szCs w:val="20"/>
          <w:lang w:val="en-US" w:eastAsia="en-CA"/>
        </w:rPr>
        <w:t>the said interveners are each granted permission to present oral argument not exceeding ten (10) minutes at the hearing of the appeal.</w:t>
      </w:r>
    </w:p>
    <w:p w:rsidR="00A34615" w:rsidRPr="00A34615" w:rsidRDefault="00A34615" w:rsidP="00A34615">
      <w:pPr>
        <w:spacing w:line="233" w:lineRule="auto"/>
        <w:jc w:val="both"/>
        <w:rPr>
          <w:rFonts w:eastAsia="Times New Roman" w:cs="Times New Roman"/>
          <w:sz w:val="20"/>
          <w:szCs w:val="20"/>
          <w:lang w:val="en-US" w:eastAsia="en-CA"/>
        </w:rPr>
      </w:pPr>
    </w:p>
    <w:p w:rsidR="00A34615" w:rsidRPr="00A34615" w:rsidRDefault="00A34615" w:rsidP="00A34615">
      <w:pPr>
        <w:spacing w:line="233" w:lineRule="auto"/>
        <w:jc w:val="both"/>
        <w:rPr>
          <w:rFonts w:eastAsia="Times New Roman" w:cs="Times New Roman"/>
          <w:sz w:val="20"/>
          <w:szCs w:val="20"/>
          <w:lang w:val="en-US" w:eastAsia="en-CA"/>
        </w:rPr>
      </w:pPr>
    </w:p>
    <w:p w:rsidR="00A34615" w:rsidRPr="00A34615" w:rsidRDefault="00A34615" w:rsidP="00A34615">
      <w:pPr>
        <w:spacing w:line="233" w:lineRule="auto"/>
        <w:jc w:val="both"/>
        <w:rPr>
          <w:rFonts w:eastAsia="Times New Roman" w:cs="Times New Roman"/>
          <w:sz w:val="20"/>
          <w:szCs w:val="20"/>
          <w:lang w:val="en-US" w:eastAsia="en-CA"/>
        </w:rPr>
      </w:pPr>
    </w:p>
    <w:p w:rsidR="00A34615" w:rsidRPr="00A34615" w:rsidRDefault="00A34615" w:rsidP="00A34615">
      <w:pPr>
        <w:spacing w:line="230" w:lineRule="auto"/>
        <w:jc w:val="both"/>
        <w:rPr>
          <w:rFonts w:eastAsia="Times New Roman" w:cs="Times New Roman"/>
          <w:sz w:val="20"/>
          <w:szCs w:val="20"/>
          <w:lang w:val="fr-FR" w:eastAsia="en-CA"/>
        </w:rPr>
      </w:pPr>
      <w:r w:rsidRPr="00A34615">
        <w:rPr>
          <w:rFonts w:eastAsia="Times New Roman" w:cs="Times New Roman"/>
          <w:b/>
          <w:bCs/>
          <w:sz w:val="20"/>
          <w:szCs w:val="20"/>
          <w:lang w:val="fr-FR" w:eastAsia="en-CA"/>
        </w:rPr>
        <w:t xml:space="preserve">À LA SUITE DE L’ORDONNANCE </w:t>
      </w:r>
      <w:r w:rsidRPr="00A34615">
        <w:rPr>
          <w:rFonts w:eastAsia="Times New Roman" w:cs="Times New Roman"/>
          <w:bCs/>
          <w:sz w:val="20"/>
          <w:szCs w:val="20"/>
          <w:lang w:val="fr-FR" w:eastAsia="en-CA"/>
        </w:rPr>
        <w:t xml:space="preserve">datée du 23 novembre 2012 autorisant l’Association du Barreau canadien et la </w:t>
      </w:r>
      <w:r w:rsidRPr="00A34615">
        <w:rPr>
          <w:rFonts w:eastAsia="Times New Roman" w:cs="Times New Roman"/>
          <w:sz w:val="20"/>
          <w:szCs w:val="20"/>
          <w:lang w:val="fr-FR" w:eastAsia="en-CA"/>
        </w:rPr>
        <w:t>Fédération des ordres professionnels de juristes du Canada</w:t>
      </w:r>
      <w:r w:rsidRPr="00A34615">
        <w:rPr>
          <w:rFonts w:eastAsia="Times New Roman" w:cs="Times New Roman"/>
          <w:bCs/>
          <w:sz w:val="20"/>
          <w:szCs w:val="20"/>
          <w:lang w:val="fr-FR" w:eastAsia="en-CA"/>
        </w:rPr>
        <w:t xml:space="preserve"> à intervenir; </w:t>
      </w:r>
    </w:p>
    <w:p w:rsidR="00A34615" w:rsidRPr="00A34615" w:rsidRDefault="00A34615" w:rsidP="00A34615">
      <w:pPr>
        <w:spacing w:line="230" w:lineRule="auto"/>
        <w:jc w:val="both"/>
        <w:rPr>
          <w:rFonts w:eastAsia="Times New Roman" w:cs="Times New Roman"/>
          <w:sz w:val="20"/>
          <w:szCs w:val="20"/>
          <w:lang w:val="fr-FR" w:eastAsia="en-CA"/>
        </w:rPr>
      </w:pPr>
    </w:p>
    <w:p w:rsidR="00A34615" w:rsidRPr="00A34615" w:rsidRDefault="00A34615" w:rsidP="00A34615">
      <w:pPr>
        <w:spacing w:line="230" w:lineRule="auto"/>
        <w:jc w:val="both"/>
        <w:rPr>
          <w:rFonts w:eastAsia="Times New Roman" w:cs="Times New Roman"/>
          <w:sz w:val="20"/>
          <w:szCs w:val="20"/>
          <w:lang w:val="fr-FR" w:eastAsia="en-CA"/>
        </w:rPr>
      </w:pPr>
      <w:r w:rsidRPr="00A34615">
        <w:rPr>
          <w:rFonts w:eastAsia="Times New Roman" w:cs="Times New Roman"/>
          <w:b/>
          <w:bCs/>
          <w:sz w:val="20"/>
          <w:szCs w:val="20"/>
          <w:lang w:val="fr-FR" w:eastAsia="en-CA"/>
        </w:rPr>
        <w:t xml:space="preserve">IL EST EN OUTRE ORDONNÉ QUE </w:t>
      </w:r>
      <w:r w:rsidRPr="00A34615">
        <w:rPr>
          <w:rFonts w:eastAsia="Times New Roman" w:cs="Times New Roman"/>
          <w:bCs/>
          <w:sz w:val="20"/>
          <w:szCs w:val="20"/>
          <w:lang w:val="fr-FR" w:eastAsia="en-CA"/>
        </w:rPr>
        <w:t>ces intervenantes pourront présenter une plaidoirie orale d’au plus dix (10) minutes lors de l’audition de l’appel.</w:t>
      </w:r>
    </w:p>
    <w:p w:rsidR="00A34615" w:rsidRPr="00A34615" w:rsidRDefault="00A34615" w:rsidP="00A34615">
      <w:pPr>
        <w:spacing w:line="233" w:lineRule="auto"/>
        <w:jc w:val="both"/>
        <w:rPr>
          <w:rFonts w:eastAsia="Times New Roman" w:cs="Times New Roman"/>
          <w:sz w:val="20"/>
          <w:szCs w:val="20"/>
          <w:lang w:val="fr-FR" w:eastAsia="en-CA"/>
        </w:rPr>
      </w:pPr>
    </w:p>
    <w:p w:rsidR="00A34615" w:rsidRPr="00A34615" w:rsidRDefault="00CD48BC" w:rsidP="00A34615">
      <w:pPr>
        <w:tabs>
          <w:tab w:val="left" w:pos="-1440"/>
          <w:tab w:val="left" w:pos="-720"/>
        </w:tabs>
        <w:jc w:val="both"/>
        <w:rPr>
          <w:rFonts w:eastAsia="Times New Roman" w:cs="Times New Roman"/>
          <w:sz w:val="20"/>
          <w:szCs w:val="20"/>
          <w:lang w:val="fr-CA" w:eastAsia="en-CA"/>
        </w:rPr>
      </w:pPr>
      <w:r w:rsidRPr="00CD48BC">
        <w:rPr>
          <w:rFonts w:eastAsia="Times New Roman" w:cs="Times New Roman"/>
          <w:sz w:val="20"/>
          <w:szCs w:val="20"/>
          <w:lang w:val="fr-CA" w:eastAsia="en-CA"/>
        </w:rPr>
        <w:pict>
          <v:rect id="_x0000_i1076" style="width:2in;height:1pt" o:hrpct="0" o:hralign="center" o:hrstd="t" o:hrnoshade="t" o:hr="t" fillcolor="black [3213]" stroked="f"/>
        </w:pict>
      </w:r>
    </w:p>
    <w:p w:rsidR="00A34615" w:rsidRPr="00A34615" w:rsidRDefault="00A34615" w:rsidP="00A34615">
      <w:pPr>
        <w:tabs>
          <w:tab w:val="left" w:pos="-1440"/>
          <w:tab w:val="left" w:pos="-720"/>
        </w:tabs>
        <w:jc w:val="both"/>
        <w:rPr>
          <w:rFonts w:eastAsia="Times New Roman" w:cs="Times New Roman"/>
          <w:sz w:val="20"/>
          <w:szCs w:val="20"/>
          <w:lang w:val="fr-CA" w:eastAsia="en-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334802"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E804BA" w:rsidP="003B3977">
            <w:pPr>
              <w:rPr>
                <w:sz w:val="20"/>
                <w:szCs w:val="20"/>
              </w:rPr>
            </w:pPr>
            <w:r>
              <w:rPr>
                <w:sz w:val="20"/>
                <w:szCs w:val="20"/>
              </w:rPr>
              <w:t>17</w:t>
            </w:r>
            <w:r w:rsidR="0010587F" w:rsidRPr="003B3977">
              <w:rPr>
                <w:sz w:val="20"/>
                <w:szCs w:val="20"/>
              </w:rPr>
              <w:t>.1</w:t>
            </w:r>
            <w:r>
              <w:rPr>
                <w:sz w:val="20"/>
                <w:szCs w:val="20"/>
              </w:rPr>
              <w:t>2</w:t>
            </w:r>
            <w:r w:rsidR="0010587F" w:rsidRPr="003B3977">
              <w:rPr>
                <w:sz w:val="20"/>
                <w:szCs w:val="20"/>
              </w:rPr>
              <w:t>.201</w:t>
            </w:r>
            <w:r>
              <w:rPr>
                <w:sz w:val="20"/>
                <w:szCs w:val="20"/>
              </w:rPr>
              <w:t>2</w:t>
            </w:r>
          </w:p>
          <w:p w:rsidR="0010587F" w:rsidRPr="003B3977" w:rsidRDefault="0010587F" w:rsidP="003B3977">
            <w:pPr>
              <w:rPr>
                <w:sz w:val="20"/>
                <w:szCs w:val="20"/>
              </w:rPr>
            </w:pPr>
          </w:p>
          <w:p w:rsidR="0010587F" w:rsidRPr="003B3977" w:rsidRDefault="00E804BA" w:rsidP="003B3977">
            <w:pPr>
              <w:rPr>
                <w:b/>
                <w:sz w:val="20"/>
                <w:szCs w:val="20"/>
              </w:rPr>
            </w:pPr>
            <w:r>
              <w:rPr>
                <w:b/>
                <w:sz w:val="20"/>
                <w:szCs w:val="20"/>
              </w:rPr>
              <w:t>F</w:t>
            </w:r>
            <w:r w:rsidR="0010587F" w:rsidRPr="003B3977">
              <w:rPr>
                <w:b/>
                <w:sz w:val="20"/>
                <w:szCs w:val="20"/>
              </w:rPr>
              <w:t>a</w:t>
            </w:r>
            <w:r>
              <w:rPr>
                <w:b/>
                <w:sz w:val="20"/>
                <w:szCs w:val="20"/>
              </w:rPr>
              <w:t>bia</w:t>
            </w:r>
            <w:r w:rsidR="0010587F" w:rsidRPr="003B3977">
              <w:rPr>
                <w:b/>
                <w:sz w:val="20"/>
                <w:szCs w:val="20"/>
              </w:rPr>
              <w:t>n</w:t>
            </w:r>
            <w:r>
              <w:rPr>
                <w:b/>
                <w:sz w:val="20"/>
                <w:szCs w:val="20"/>
              </w:rPr>
              <w:t xml:space="preserve"> Vuradin</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E804BA">
              <w:rPr>
                <w:b/>
                <w:sz w:val="20"/>
                <w:szCs w:val="20"/>
              </w:rPr>
              <w:t>5</w:t>
            </w:r>
            <w:r w:rsidRPr="003B3977">
              <w:rPr>
                <w:b/>
                <w:sz w:val="20"/>
                <w:szCs w:val="20"/>
              </w:rPr>
              <w:t>14</w:t>
            </w:r>
            <w:r w:rsidR="00E804BA">
              <w:rPr>
                <w:b/>
                <w:sz w:val="20"/>
                <w:szCs w:val="20"/>
              </w:rPr>
              <w:t>3</w:t>
            </w:r>
            <w:r w:rsidRPr="003B3977">
              <w:rPr>
                <w:b/>
                <w:sz w:val="20"/>
                <w:szCs w:val="20"/>
              </w:rPr>
              <w:t>)</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Her Majesty the Queen (Alta.)</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(As of Right)</w:t>
            </w:r>
          </w:p>
          <w:p w:rsidR="0010587F" w:rsidRPr="003B3977" w:rsidRDefault="0010587F" w:rsidP="003B3977">
            <w:pPr>
              <w:rPr>
                <w:sz w:val="20"/>
                <w:szCs w:val="20"/>
              </w:rPr>
            </w:pPr>
          </w:p>
          <w:p w:rsidR="0010587F" w:rsidRPr="003B3977" w:rsidRDefault="00CD48BC" w:rsidP="003B3977">
            <w:pPr>
              <w:rPr>
                <w:sz w:val="20"/>
                <w:szCs w:val="20"/>
                <w:lang w:val="fr-CA"/>
              </w:rPr>
            </w:pPr>
            <w:r w:rsidRPr="00CD48BC">
              <w:rPr>
                <w:sz w:val="20"/>
                <w:szCs w:val="20"/>
                <w:lang w:val="fr-CA"/>
              </w:rPr>
              <w:pict>
                <v:rect id="_x0000_i1079"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334802"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ED09CD" w:rsidP="00732DB7">
      <w:pPr>
        <w:widowControl w:val="0"/>
        <w:rPr>
          <w:sz w:val="20"/>
          <w:szCs w:val="20"/>
        </w:rPr>
      </w:pPr>
      <w:r>
        <w:rPr>
          <w:sz w:val="20"/>
          <w:szCs w:val="20"/>
        </w:rPr>
        <w:t>15</w:t>
      </w:r>
      <w:r w:rsidR="00732DB7" w:rsidRPr="00C50A5C">
        <w:rPr>
          <w:sz w:val="20"/>
          <w:szCs w:val="20"/>
        </w:rPr>
        <w:t>.0</w:t>
      </w:r>
      <w:r>
        <w:rPr>
          <w:sz w:val="20"/>
          <w:szCs w:val="20"/>
        </w:rPr>
        <w:t>1</w:t>
      </w:r>
      <w:r w:rsidR="00732DB7" w:rsidRPr="00C50A5C">
        <w:rPr>
          <w:sz w:val="20"/>
          <w:szCs w:val="20"/>
        </w:rPr>
        <w:t>.201</w:t>
      </w:r>
      <w:r>
        <w:rPr>
          <w:sz w:val="20"/>
          <w:szCs w:val="20"/>
        </w:rPr>
        <w:t>3</w:t>
      </w:r>
    </w:p>
    <w:p w:rsidR="00732DB7" w:rsidRDefault="00732DB7" w:rsidP="00732DB7">
      <w:pPr>
        <w:widowControl w:val="0"/>
        <w:rPr>
          <w:sz w:val="20"/>
          <w:szCs w:val="20"/>
        </w:rPr>
      </w:pPr>
    </w:p>
    <w:p w:rsidR="00125F58" w:rsidRPr="003E4A86" w:rsidRDefault="00125F58" w:rsidP="00EB4523">
      <w:pPr>
        <w:widowControl w:val="0"/>
        <w:ind w:left="720" w:hanging="720"/>
        <w:rPr>
          <w:rFonts w:eastAsia="Calibri" w:cs="Times New Roman"/>
          <w:sz w:val="20"/>
          <w:szCs w:val="20"/>
        </w:rPr>
      </w:pPr>
      <w:r w:rsidRPr="003E4A86">
        <w:rPr>
          <w:rFonts w:eastAsia="Calibri" w:cs="Times New Roman"/>
          <w:sz w:val="20"/>
          <w:szCs w:val="20"/>
        </w:rPr>
        <w:t xml:space="preserve">Coram: </w:t>
      </w:r>
      <w:r w:rsidRPr="003E4A86">
        <w:rPr>
          <w:rFonts w:eastAsia="Calibri" w:cs="Times New Roman"/>
          <w:sz w:val="20"/>
          <w:szCs w:val="20"/>
        </w:rPr>
        <w:tab/>
      </w:r>
      <w:r w:rsidRPr="003E4A86">
        <w:rPr>
          <w:rFonts w:eastAsia="Calibri" w:cs="Times New Roman"/>
          <w:sz w:val="20"/>
          <w:szCs w:val="20"/>
          <w:u w:val="single"/>
        </w:rPr>
        <w:t>McLachlin C.J. and LeBel, Fish, Abella, Rothstein, Cromwell, Moldaver , Karakatsanis and Wagner JJ.</w:t>
      </w:r>
    </w:p>
    <w:p w:rsidR="00732DB7" w:rsidRPr="00C50A5C" w:rsidRDefault="00732DB7" w:rsidP="00732DB7">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732DB7" w:rsidRPr="00C50A5C" w:rsidTr="00697C62">
        <w:tc>
          <w:tcPr>
            <w:tcW w:w="4380" w:type="dxa"/>
            <w:tcMar>
              <w:left w:w="0" w:type="dxa"/>
              <w:right w:w="0" w:type="dxa"/>
            </w:tcMar>
          </w:tcPr>
          <w:p w:rsidR="00732DB7" w:rsidRPr="00ED09CD" w:rsidRDefault="00ED09CD" w:rsidP="00C1697B">
            <w:pPr>
              <w:widowControl w:val="0"/>
              <w:jc w:val="both"/>
              <w:rPr>
                <w:b/>
                <w:sz w:val="20"/>
                <w:szCs w:val="20"/>
                <w:lang w:val="fr-CA"/>
              </w:rPr>
            </w:pPr>
            <w:r w:rsidRPr="00ED09CD">
              <w:rPr>
                <w:b/>
                <w:sz w:val="20"/>
                <w:szCs w:val="20"/>
                <w:lang w:val="fr-CA"/>
              </w:rPr>
              <w:t>Marine Serv</w:t>
            </w:r>
            <w:r w:rsidR="00732DB7" w:rsidRPr="00ED09CD">
              <w:rPr>
                <w:b/>
                <w:sz w:val="20"/>
                <w:szCs w:val="20"/>
                <w:lang w:val="fr-CA"/>
              </w:rPr>
              <w:t>i</w:t>
            </w:r>
            <w:r w:rsidRPr="00ED09CD">
              <w:rPr>
                <w:b/>
                <w:sz w:val="20"/>
                <w:szCs w:val="20"/>
                <w:lang w:val="fr-CA"/>
              </w:rPr>
              <w:t>ces I</w:t>
            </w:r>
            <w:r w:rsidR="00732DB7" w:rsidRPr="00ED09CD">
              <w:rPr>
                <w:b/>
                <w:sz w:val="20"/>
                <w:szCs w:val="20"/>
                <w:lang w:val="fr-CA"/>
              </w:rPr>
              <w:t>nt</w:t>
            </w:r>
            <w:r w:rsidRPr="00ED09CD">
              <w:rPr>
                <w:b/>
                <w:sz w:val="20"/>
                <w:szCs w:val="20"/>
                <w:lang w:val="fr-CA"/>
              </w:rPr>
              <w:t>ernation</w:t>
            </w:r>
            <w:r w:rsidR="00732DB7" w:rsidRPr="00ED09CD">
              <w:rPr>
                <w:b/>
                <w:sz w:val="20"/>
                <w:szCs w:val="20"/>
                <w:lang w:val="fr-CA"/>
              </w:rPr>
              <w:t>al</w:t>
            </w:r>
            <w:r w:rsidRPr="00ED09CD">
              <w:rPr>
                <w:b/>
                <w:sz w:val="20"/>
                <w:szCs w:val="20"/>
                <w:lang w:val="fr-CA"/>
              </w:rPr>
              <w:t xml:space="preserve"> Limited et al</w:t>
            </w:r>
            <w:r w:rsidR="00732DB7" w:rsidRPr="00ED09CD">
              <w:rPr>
                <w:b/>
                <w:sz w:val="20"/>
                <w:szCs w:val="20"/>
                <w:lang w:val="fr-CA"/>
              </w:rPr>
              <w:t>.</w:t>
            </w:r>
          </w:p>
          <w:p w:rsidR="00732DB7" w:rsidRPr="00ED09CD" w:rsidRDefault="00732DB7" w:rsidP="00C1697B">
            <w:pPr>
              <w:widowControl w:val="0"/>
              <w:jc w:val="both"/>
              <w:rPr>
                <w:b/>
                <w:sz w:val="20"/>
                <w:szCs w:val="20"/>
                <w:lang w:val="fr-CA"/>
              </w:rPr>
            </w:pPr>
          </w:p>
          <w:p w:rsidR="00732DB7" w:rsidRPr="00C50A5C" w:rsidRDefault="00732DB7" w:rsidP="00C1697B">
            <w:pPr>
              <w:widowControl w:val="0"/>
              <w:tabs>
                <w:tab w:val="left" w:pos="736"/>
              </w:tabs>
              <w:jc w:val="both"/>
              <w:rPr>
                <w:b/>
                <w:sz w:val="20"/>
                <w:szCs w:val="20"/>
              </w:rPr>
            </w:pPr>
            <w:r w:rsidRPr="00ED09CD">
              <w:rPr>
                <w:b/>
                <w:sz w:val="20"/>
                <w:szCs w:val="20"/>
                <w:lang w:val="fr-CA"/>
              </w:rPr>
              <w:tab/>
            </w:r>
            <w:r w:rsidRPr="00C50A5C">
              <w:rPr>
                <w:b/>
                <w:sz w:val="20"/>
                <w:szCs w:val="20"/>
              </w:rPr>
              <w:t>v. (3</w:t>
            </w:r>
            <w:r w:rsidR="00ED09CD">
              <w:rPr>
                <w:b/>
                <w:sz w:val="20"/>
                <w:szCs w:val="20"/>
              </w:rPr>
              <w:t>4429</w:t>
            </w:r>
            <w:r w:rsidRPr="00C50A5C">
              <w:rPr>
                <w:b/>
                <w:sz w:val="20"/>
                <w:szCs w:val="20"/>
              </w:rPr>
              <w:t>)</w:t>
            </w:r>
          </w:p>
          <w:p w:rsidR="00732DB7" w:rsidRPr="00C50A5C" w:rsidRDefault="00732DB7" w:rsidP="00C1697B">
            <w:pPr>
              <w:widowControl w:val="0"/>
              <w:jc w:val="both"/>
              <w:rPr>
                <w:b/>
                <w:sz w:val="20"/>
                <w:szCs w:val="20"/>
              </w:rPr>
            </w:pPr>
          </w:p>
          <w:p w:rsidR="00732DB7" w:rsidRPr="00ED09CD" w:rsidRDefault="00ED09CD" w:rsidP="00ED09CD">
            <w:pPr>
              <w:widowControl w:val="0"/>
              <w:jc w:val="both"/>
              <w:rPr>
                <w:sz w:val="20"/>
                <w:szCs w:val="20"/>
              </w:rPr>
            </w:pPr>
            <w:r>
              <w:rPr>
                <w:b/>
                <w:sz w:val="20"/>
                <w:szCs w:val="20"/>
              </w:rPr>
              <w:t xml:space="preserve">Estate of Joseph Ryan, by </w:t>
            </w:r>
            <w:r w:rsidR="00732DB7" w:rsidRPr="00C50A5C">
              <w:rPr>
                <w:b/>
                <w:sz w:val="20"/>
                <w:szCs w:val="20"/>
              </w:rPr>
              <w:t>i</w:t>
            </w:r>
            <w:r>
              <w:rPr>
                <w:b/>
                <w:sz w:val="20"/>
                <w:szCs w:val="20"/>
              </w:rPr>
              <w:t>ts Adm</w:t>
            </w:r>
            <w:r w:rsidR="00732DB7" w:rsidRPr="00C50A5C">
              <w:rPr>
                <w:b/>
                <w:sz w:val="20"/>
                <w:szCs w:val="20"/>
              </w:rPr>
              <w:t>i</w:t>
            </w:r>
            <w:r>
              <w:rPr>
                <w:b/>
                <w:sz w:val="20"/>
                <w:szCs w:val="20"/>
              </w:rPr>
              <w:t>nistr</w:t>
            </w:r>
            <w:r w:rsidR="00732DB7" w:rsidRPr="00C50A5C">
              <w:rPr>
                <w:b/>
                <w:sz w:val="20"/>
                <w:szCs w:val="20"/>
              </w:rPr>
              <w:t>a</w:t>
            </w:r>
            <w:r>
              <w:rPr>
                <w:b/>
                <w:sz w:val="20"/>
                <w:szCs w:val="20"/>
              </w:rPr>
              <w:t>trix, Yv</w:t>
            </w:r>
            <w:r w:rsidR="00732DB7" w:rsidRPr="00C50A5C">
              <w:rPr>
                <w:b/>
                <w:sz w:val="20"/>
                <w:szCs w:val="20"/>
              </w:rPr>
              <w:t>on</w:t>
            </w:r>
            <w:r>
              <w:rPr>
                <w:b/>
                <w:sz w:val="20"/>
                <w:szCs w:val="20"/>
              </w:rPr>
              <w:t>ne Ryan et a</w:t>
            </w:r>
            <w:r w:rsidR="00732DB7" w:rsidRPr="00C50A5C">
              <w:rPr>
                <w:b/>
                <w:sz w:val="20"/>
                <w:szCs w:val="20"/>
              </w:rPr>
              <w:t>l</w:t>
            </w:r>
            <w:r>
              <w:rPr>
                <w:b/>
                <w:sz w:val="20"/>
                <w:szCs w:val="20"/>
              </w:rPr>
              <w:t>.</w:t>
            </w:r>
            <w:r w:rsidR="00732DB7" w:rsidRPr="00C50A5C">
              <w:rPr>
                <w:b/>
                <w:sz w:val="20"/>
                <w:szCs w:val="20"/>
              </w:rPr>
              <w:t xml:space="preserve"> (</w:t>
            </w:r>
            <w:r>
              <w:rPr>
                <w:b/>
                <w:sz w:val="20"/>
                <w:szCs w:val="20"/>
              </w:rPr>
              <w:t>N</w:t>
            </w:r>
            <w:r w:rsidR="00732DB7" w:rsidRPr="00C50A5C">
              <w:rPr>
                <w:b/>
                <w:sz w:val="20"/>
                <w:szCs w:val="20"/>
              </w:rPr>
              <w:t>.</w:t>
            </w:r>
            <w:r>
              <w:rPr>
                <w:b/>
                <w:sz w:val="20"/>
                <w:szCs w:val="20"/>
              </w:rPr>
              <w:t>L</w:t>
            </w:r>
            <w:r w:rsidR="00732DB7" w:rsidRPr="00C50A5C">
              <w:rPr>
                <w:b/>
                <w:sz w:val="20"/>
                <w:szCs w:val="20"/>
              </w:rPr>
              <w:t>.) (Civil) (By Leave)</w:t>
            </w:r>
          </w:p>
        </w:tc>
        <w:tc>
          <w:tcPr>
            <w:tcW w:w="720" w:type="dxa"/>
            <w:tcMar>
              <w:left w:w="0" w:type="dxa"/>
              <w:right w:w="0" w:type="dxa"/>
            </w:tcMar>
          </w:tcPr>
          <w:p w:rsidR="00732DB7" w:rsidRPr="00ED09CD" w:rsidRDefault="00732DB7" w:rsidP="00732DB7">
            <w:pPr>
              <w:widowControl w:val="0"/>
              <w:jc w:val="center"/>
              <w:rPr>
                <w:sz w:val="20"/>
                <w:szCs w:val="20"/>
              </w:rPr>
            </w:pPr>
          </w:p>
        </w:tc>
        <w:tc>
          <w:tcPr>
            <w:tcW w:w="4380" w:type="dxa"/>
            <w:tcMar>
              <w:left w:w="0" w:type="dxa"/>
              <w:right w:w="0" w:type="dxa"/>
            </w:tcMar>
          </w:tcPr>
          <w:p w:rsidR="00125F58" w:rsidRPr="00D34E57" w:rsidRDefault="00125F58" w:rsidP="00125F58">
            <w:pPr>
              <w:jc w:val="both"/>
              <w:rPr>
                <w:sz w:val="20"/>
                <w:szCs w:val="20"/>
              </w:rPr>
            </w:pPr>
            <w:r w:rsidRPr="00D34E57">
              <w:rPr>
                <w:sz w:val="20"/>
                <w:szCs w:val="20"/>
              </w:rPr>
              <w:t>Peter O’Flaherty</w:t>
            </w:r>
            <w:r>
              <w:rPr>
                <w:sz w:val="20"/>
                <w:szCs w:val="20"/>
              </w:rPr>
              <w:t xml:space="preserve"> and </w:t>
            </w:r>
            <w:r w:rsidRPr="00D34E57">
              <w:rPr>
                <w:sz w:val="20"/>
                <w:szCs w:val="20"/>
              </w:rPr>
              <w:t>Brodie Gallant</w:t>
            </w:r>
            <w:r>
              <w:rPr>
                <w:sz w:val="20"/>
                <w:szCs w:val="20"/>
              </w:rPr>
              <w:t xml:space="preserve"> f</w:t>
            </w:r>
            <w:r w:rsidRPr="00D34E57">
              <w:rPr>
                <w:sz w:val="20"/>
                <w:szCs w:val="20"/>
              </w:rPr>
              <w:t xml:space="preserve">or the </w:t>
            </w:r>
            <w:r>
              <w:rPr>
                <w:sz w:val="20"/>
                <w:szCs w:val="20"/>
              </w:rPr>
              <w:t>a</w:t>
            </w:r>
            <w:r w:rsidRPr="00D34E57">
              <w:rPr>
                <w:sz w:val="20"/>
                <w:szCs w:val="20"/>
              </w:rPr>
              <w:t>ppellants.</w:t>
            </w:r>
          </w:p>
          <w:p w:rsidR="00125F58" w:rsidRPr="00D34E57" w:rsidRDefault="00125F58" w:rsidP="00125F58">
            <w:pPr>
              <w:jc w:val="both"/>
              <w:rPr>
                <w:sz w:val="20"/>
                <w:szCs w:val="20"/>
              </w:rPr>
            </w:pPr>
          </w:p>
          <w:p w:rsidR="00125F58" w:rsidRPr="00D34E57" w:rsidRDefault="00125F58" w:rsidP="00125F58">
            <w:pPr>
              <w:jc w:val="both"/>
              <w:rPr>
                <w:sz w:val="20"/>
                <w:szCs w:val="20"/>
              </w:rPr>
            </w:pPr>
            <w:r w:rsidRPr="00D34E57">
              <w:rPr>
                <w:sz w:val="20"/>
                <w:szCs w:val="20"/>
              </w:rPr>
              <w:t>Scott A. Nielsen</w:t>
            </w:r>
            <w:r>
              <w:rPr>
                <w:sz w:val="20"/>
                <w:szCs w:val="20"/>
              </w:rPr>
              <w:t xml:space="preserve"> and </w:t>
            </w:r>
            <w:r w:rsidRPr="00D34E57">
              <w:rPr>
                <w:sz w:val="20"/>
                <w:szCs w:val="20"/>
              </w:rPr>
              <w:t>Laurel Courtenay</w:t>
            </w:r>
            <w:r>
              <w:rPr>
                <w:sz w:val="20"/>
                <w:szCs w:val="20"/>
              </w:rPr>
              <w:t xml:space="preserve"> f</w:t>
            </w:r>
            <w:r w:rsidRPr="00D34E57">
              <w:rPr>
                <w:sz w:val="20"/>
                <w:szCs w:val="20"/>
              </w:rPr>
              <w:t xml:space="preserve">or the </w:t>
            </w:r>
            <w:r>
              <w:rPr>
                <w:sz w:val="20"/>
                <w:szCs w:val="20"/>
              </w:rPr>
              <w:t>i</w:t>
            </w:r>
            <w:r w:rsidRPr="00D34E57">
              <w:rPr>
                <w:sz w:val="20"/>
                <w:szCs w:val="20"/>
              </w:rPr>
              <w:t>ntervener</w:t>
            </w:r>
            <w:r>
              <w:rPr>
                <w:sz w:val="20"/>
                <w:szCs w:val="20"/>
              </w:rPr>
              <w:t xml:space="preserve"> </w:t>
            </w:r>
            <w:r w:rsidRPr="00D34E57">
              <w:rPr>
                <w:sz w:val="20"/>
                <w:szCs w:val="20"/>
              </w:rPr>
              <w:t>Worker’s Compensation Board</w:t>
            </w:r>
            <w:r>
              <w:rPr>
                <w:sz w:val="20"/>
                <w:szCs w:val="20"/>
              </w:rPr>
              <w:t xml:space="preserve"> </w:t>
            </w:r>
            <w:r w:rsidRPr="00D34E57">
              <w:rPr>
                <w:sz w:val="20"/>
                <w:szCs w:val="20"/>
              </w:rPr>
              <w:t>of British Columbia</w:t>
            </w:r>
            <w:r>
              <w:rPr>
                <w:sz w:val="20"/>
                <w:szCs w:val="20"/>
              </w:rPr>
              <w:t>.</w:t>
            </w:r>
          </w:p>
          <w:p w:rsidR="00125F58" w:rsidRPr="00D34E57" w:rsidRDefault="00125F58" w:rsidP="00125F58">
            <w:pPr>
              <w:jc w:val="both"/>
              <w:rPr>
                <w:sz w:val="20"/>
                <w:szCs w:val="20"/>
              </w:rPr>
            </w:pPr>
          </w:p>
          <w:p w:rsidR="00125F58" w:rsidRPr="00D34E57" w:rsidRDefault="00125F58" w:rsidP="00125F58">
            <w:pPr>
              <w:jc w:val="both"/>
              <w:rPr>
                <w:sz w:val="20"/>
                <w:szCs w:val="20"/>
              </w:rPr>
            </w:pPr>
            <w:r>
              <w:rPr>
                <w:sz w:val="20"/>
                <w:szCs w:val="20"/>
              </w:rPr>
              <w:t>W</w:t>
            </w:r>
            <w:r w:rsidRPr="00D34E57">
              <w:rPr>
                <w:sz w:val="20"/>
                <w:szCs w:val="20"/>
              </w:rPr>
              <w:t>ritten submission only</w:t>
            </w:r>
            <w:r>
              <w:rPr>
                <w:sz w:val="20"/>
                <w:szCs w:val="20"/>
              </w:rPr>
              <w:t xml:space="preserve"> by </w:t>
            </w:r>
            <w:r w:rsidRPr="00D34E57">
              <w:rPr>
                <w:sz w:val="20"/>
                <w:szCs w:val="20"/>
              </w:rPr>
              <w:t>Jamie Martin</w:t>
            </w:r>
            <w:r>
              <w:rPr>
                <w:sz w:val="20"/>
                <w:szCs w:val="20"/>
              </w:rPr>
              <w:t xml:space="preserve"> f</w:t>
            </w:r>
            <w:r w:rsidRPr="00D34E57">
              <w:rPr>
                <w:sz w:val="20"/>
                <w:szCs w:val="20"/>
              </w:rPr>
              <w:t xml:space="preserve">or the </w:t>
            </w:r>
            <w:r>
              <w:rPr>
                <w:sz w:val="20"/>
                <w:szCs w:val="20"/>
              </w:rPr>
              <w:t>i</w:t>
            </w:r>
            <w:r w:rsidRPr="00D34E57">
              <w:rPr>
                <w:sz w:val="20"/>
                <w:szCs w:val="20"/>
              </w:rPr>
              <w:t>ntervener</w:t>
            </w:r>
            <w:r>
              <w:rPr>
                <w:sz w:val="20"/>
                <w:szCs w:val="20"/>
              </w:rPr>
              <w:t xml:space="preserve"> </w:t>
            </w:r>
            <w:r w:rsidRPr="00D34E57">
              <w:rPr>
                <w:sz w:val="20"/>
                <w:szCs w:val="20"/>
              </w:rPr>
              <w:t>Workplace Health, Safety and</w:t>
            </w:r>
            <w:r>
              <w:rPr>
                <w:sz w:val="20"/>
                <w:szCs w:val="20"/>
              </w:rPr>
              <w:t xml:space="preserve"> C</w:t>
            </w:r>
            <w:r w:rsidRPr="00D34E57">
              <w:rPr>
                <w:sz w:val="20"/>
                <w:szCs w:val="20"/>
              </w:rPr>
              <w:t>ompensation Commission</w:t>
            </w:r>
            <w:r>
              <w:rPr>
                <w:sz w:val="20"/>
                <w:szCs w:val="20"/>
              </w:rPr>
              <w:t>.</w:t>
            </w:r>
          </w:p>
          <w:p w:rsidR="00125F58" w:rsidRPr="00D34E57" w:rsidRDefault="00125F58" w:rsidP="00125F58">
            <w:pPr>
              <w:jc w:val="both"/>
              <w:rPr>
                <w:sz w:val="20"/>
                <w:szCs w:val="20"/>
              </w:rPr>
            </w:pPr>
          </w:p>
          <w:p w:rsidR="00125F58" w:rsidRPr="00D34E57" w:rsidRDefault="00125F58" w:rsidP="00125F58">
            <w:pPr>
              <w:jc w:val="both"/>
              <w:rPr>
                <w:sz w:val="20"/>
                <w:szCs w:val="20"/>
              </w:rPr>
            </w:pPr>
            <w:r w:rsidRPr="00D34E57">
              <w:rPr>
                <w:sz w:val="20"/>
                <w:szCs w:val="20"/>
              </w:rPr>
              <w:t>Hart Schwartz</w:t>
            </w:r>
            <w:r>
              <w:rPr>
                <w:sz w:val="20"/>
                <w:szCs w:val="20"/>
              </w:rPr>
              <w:t xml:space="preserve"> and </w:t>
            </w:r>
            <w:r w:rsidRPr="00D34E57">
              <w:rPr>
                <w:sz w:val="20"/>
                <w:szCs w:val="20"/>
              </w:rPr>
              <w:t>Michael Dunn</w:t>
            </w:r>
            <w:r>
              <w:rPr>
                <w:sz w:val="20"/>
                <w:szCs w:val="20"/>
              </w:rPr>
              <w:t xml:space="preserve"> f</w:t>
            </w:r>
            <w:r w:rsidRPr="00D34E57">
              <w:rPr>
                <w:sz w:val="20"/>
                <w:szCs w:val="20"/>
              </w:rPr>
              <w:t xml:space="preserve">or the </w:t>
            </w:r>
            <w:r>
              <w:rPr>
                <w:sz w:val="20"/>
                <w:szCs w:val="20"/>
              </w:rPr>
              <w:t>i</w:t>
            </w:r>
            <w:r w:rsidRPr="00D34E57">
              <w:rPr>
                <w:sz w:val="20"/>
                <w:szCs w:val="20"/>
              </w:rPr>
              <w:t>ntervener</w:t>
            </w:r>
            <w:r>
              <w:rPr>
                <w:sz w:val="20"/>
                <w:szCs w:val="20"/>
              </w:rPr>
              <w:t xml:space="preserve"> </w:t>
            </w:r>
            <w:r w:rsidRPr="00D34E57">
              <w:rPr>
                <w:sz w:val="20"/>
                <w:szCs w:val="20"/>
              </w:rPr>
              <w:t>Attorney General of Ontario</w:t>
            </w:r>
            <w:r>
              <w:rPr>
                <w:sz w:val="20"/>
                <w:szCs w:val="20"/>
              </w:rPr>
              <w:t>.</w:t>
            </w:r>
          </w:p>
          <w:p w:rsidR="00125F58" w:rsidRPr="00D34E57" w:rsidRDefault="00125F58" w:rsidP="00125F58">
            <w:pPr>
              <w:jc w:val="both"/>
              <w:rPr>
                <w:sz w:val="20"/>
                <w:szCs w:val="20"/>
              </w:rPr>
            </w:pPr>
          </w:p>
          <w:p w:rsidR="00125F58" w:rsidRPr="00D34E57" w:rsidRDefault="00125F58" w:rsidP="00125F58">
            <w:pPr>
              <w:jc w:val="both"/>
              <w:rPr>
                <w:sz w:val="20"/>
                <w:szCs w:val="20"/>
              </w:rPr>
            </w:pPr>
            <w:r w:rsidRPr="00D34E57">
              <w:rPr>
                <w:sz w:val="20"/>
                <w:szCs w:val="20"/>
              </w:rPr>
              <w:t>Nancy E. Brown</w:t>
            </w:r>
            <w:r>
              <w:rPr>
                <w:sz w:val="20"/>
                <w:szCs w:val="20"/>
              </w:rPr>
              <w:t xml:space="preserve"> f</w:t>
            </w:r>
            <w:r w:rsidRPr="00D34E57">
              <w:rPr>
                <w:sz w:val="20"/>
                <w:szCs w:val="20"/>
              </w:rPr>
              <w:t xml:space="preserve">or the </w:t>
            </w:r>
            <w:r>
              <w:rPr>
                <w:sz w:val="20"/>
                <w:szCs w:val="20"/>
              </w:rPr>
              <w:t>i</w:t>
            </w:r>
            <w:r w:rsidRPr="00D34E57">
              <w:rPr>
                <w:sz w:val="20"/>
                <w:szCs w:val="20"/>
              </w:rPr>
              <w:t>ntervener</w:t>
            </w:r>
            <w:r>
              <w:rPr>
                <w:sz w:val="20"/>
                <w:szCs w:val="20"/>
              </w:rPr>
              <w:t xml:space="preserve"> </w:t>
            </w:r>
            <w:r w:rsidRPr="00D34E57">
              <w:rPr>
                <w:sz w:val="20"/>
                <w:szCs w:val="20"/>
              </w:rPr>
              <w:t>Attorney General of British Columbia</w:t>
            </w:r>
            <w:r>
              <w:rPr>
                <w:sz w:val="20"/>
                <w:szCs w:val="20"/>
              </w:rPr>
              <w:t>.</w:t>
            </w:r>
          </w:p>
          <w:p w:rsidR="00125F58" w:rsidRPr="00D34E57" w:rsidRDefault="00125F58" w:rsidP="00125F58">
            <w:pPr>
              <w:jc w:val="both"/>
              <w:rPr>
                <w:sz w:val="20"/>
                <w:szCs w:val="20"/>
              </w:rPr>
            </w:pPr>
          </w:p>
          <w:p w:rsidR="00125F58" w:rsidRPr="00D34E57" w:rsidRDefault="00125F58" w:rsidP="00125F58">
            <w:pPr>
              <w:jc w:val="both"/>
              <w:rPr>
                <w:sz w:val="20"/>
                <w:szCs w:val="20"/>
              </w:rPr>
            </w:pPr>
            <w:r w:rsidRPr="00D34E57">
              <w:rPr>
                <w:sz w:val="20"/>
                <w:szCs w:val="20"/>
              </w:rPr>
              <w:t>Rolf Pritchard, Q.C.</w:t>
            </w:r>
            <w:r>
              <w:rPr>
                <w:sz w:val="20"/>
                <w:szCs w:val="20"/>
              </w:rPr>
              <w:t xml:space="preserve"> f</w:t>
            </w:r>
            <w:r w:rsidRPr="00D34E57">
              <w:rPr>
                <w:sz w:val="20"/>
                <w:szCs w:val="20"/>
              </w:rPr>
              <w:t xml:space="preserve">or the </w:t>
            </w:r>
            <w:r>
              <w:rPr>
                <w:sz w:val="20"/>
                <w:szCs w:val="20"/>
              </w:rPr>
              <w:t>i</w:t>
            </w:r>
            <w:r w:rsidRPr="00D34E57">
              <w:rPr>
                <w:sz w:val="20"/>
                <w:szCs w:val="20"/>
              </w:rPr>
              <w:t>ntervener</w:t>
            </w:r>
            <w:r>
              <w:rPr>
                <w:sz w:val="20"/>
                <w:szCs w:val="20"/>
              </w:rPr>
              <w:t xml:space="preserve"> </w:t>
            </w:r>
            <w:r w:rsidRPr="00D34E57">
              <w:rPr>
                <w:sz w:val="20"/>
                <w:szCs w:val="20"/>
              </w:rPr>
              <w:t>Attorney General of Newfoundland and Labrador</w:t>
            </w:r>
            <w:r>
              <w:rPr>
                <w:sz w:val="20"/>
                <w:szCs w:val="20"/>
              </w:rPr>
              <w:t>.</w:t>
            </w:r>
          </w:p>
          <w:p w:rsidR="00125F58" w:rsidRPr="00D34E57" w:rsidRDefault="00125F58" w:rsidP="00125F58">
            <w:pPr>
              <w:jc w:val="both"/>
              <w:rPr>
                <w:sz w:val="20"/>
                <w:szCs w:val="20"/>
              </w:rPr>
            </w:pPr>
          </w:p>
          <w:p w:rsidR="00125F58" w:rsidRPr="00D34E57" w:rsidRDefault="00125F58" w:rsidP="00125F58">
            <w:pPr>
              <w:jc w:val="both"/>
              <w:rPr>
                <w:sz w:val="20"/>
                <w:szCs w:val="20"/>
              </w:rPr>
            </w:pPr>
            <w:r w:rsidRPr="00D34E57">
              <w:rPr>
                <w:sz w:val="20"/>
                <w:szCs w:val="20"/>
              </w:rPr>
              <w:t>Peter Southey</w:t>
            </w:r>
            <w:r>
              <w:rPr>
                <w:sz w:val="20"/>
                <w:szCs w:val="20"/>
              </w:rPr>
              <w:t xml:space="preserve"> and </w:t>
            </w:r>
            <w:r w:rsidRPr="00D34E57">
              <w:rPr>
                <w:sz w:val="20"/>
                <w:szCs w:val="20"/>
              </w:rPr>
              <w:t>Christine Mohr</w:t>
            </w:r>
            <w:r>
              <w:rPr>
                <w:sz w:val="20"/>
                <w:szCs w:val="20"/>
              </w:rPr>
              <w:t xml:space="preserve"> f</w:t>
            </w:r>
            <w:r w:rsidRPr="00D34E57">
              <w:rPr>
                <w:sz w:val="20"/>
                <w:szCs w:val="20"/>
              </w:rPr>
              <w:t xml:space="preserve">or the </w:t>
            </w:r>
            <w:r>
              <w:rPr>
                <w:sz w:val="20"/>
                <w:szCs w:val="20"/>
              </w:rPr>
              <w:t>r</w:t>
            </w:r>
            <w:r w:rsidRPr="00D34E57">
              <w:rPr>
                <w:sz w:val="20"/>
                <w:szCs w:val="20"/>
              </w:rPr>
              <w:t>espondent</w:t>
            </w:r>
            <w:r>
              <w:rPr>
                <w:sz w:val="20"/>
                <w:szCs w:val="20"/>
              </w:rPr>
              <w:t xml:space="preserve"> </w:t>
            </w:r>
            <w:r w:rsidRPr="00D34E57">
              <w:rPr>
                <w:sz w:val="20"/>
                <w:szCs w:val="20"/>
              </w:rPr>
              <w:t>Attorney General of Canada</w:t>
            </w:r>
            <w:r>
              <w:rPr>
                <w:sz w:val="20"/>
                <w:szCs w:val="20"/>
              </w:rPr>
              <w:t>.</w:t>
            </w:r>
          </w:p>
          <w:p w:rsidR="00125F58" w:rsidRPr="00D34E57" w:rsidRDefault="00125F58" w:rsidP="00125F58">
            <w:pPr>
              <w:jc w:val="both"/>
              <w:rPr>
                <w:sz w:val="20"/>
                <w:szCs w:val="20"/>
              </w:rPr>
            </w:pPr>
          </w:p>
          <w:p w:rsidR="00732DB7" w:rsidRPr="00C50A5C" w:rsidRDefault="00125F58" w:rsidP="00125F58">
            <w:pPr>
              <w:jc w:val="both"/>
              <w:rPr>
                <w:sz w:val="20"/>
                <w:szCs w:val="20"/>
              </w:rPr>
            </w:pPr>
            <w:r w:rsidRPr="00D34E57">
              <w:rPr>
                <w:sz w:val="20"/>
                <w:szCs w:val="20"/>
              </w:rPr>
              <w:t>Corwin Mills, Q.C.</w:t>
            </w:r>
            <w:r>
              <w:rPr>
                <w:sz w:val="20"/>
                <w:szCs w:val="20"/>
              </w:rPr>
              <w:t xml:space="preserve">, </w:t>
            </w:r>
            <w:r w:rsidRPr="00D34E57">
              <w:rPr>
                <w:sz w:val="20"/>
                <w:szCs w:val="20"/>
              </w:rPr>
              <w:t>Joseph Twyne</w:t>
            </w:r>
            <w:r>
              <w:rPr>
                <w:sz w:val="20"/>
                <w:szCs w:val="20"/>
              </w:rPr>
              <w:t xml:space="preserve"> and </w:t>
            </w:r>
            <w:r w:rsidRPr="00D34E57">
              <w:rPr>
                <w:sz w:val="20"/>
                <w:szCs w:val="20"/>
              </w:rPr>
              <w:t>Benjamin Piper</w:t>
            </w:r>
            <w:r>
              <w:rPr>
                <w:sz w:val="20"/>
                <w:szCs w:val="20"/>
              </w:rPr>
              <w:t xml:space="preserve"> f</w:t>
            </w:r>
            <w:r w:rsidRPr="00D34E57">
              <w:rPr>
                <w:sz w:val="20"/>
                <w:szCs w:val="20"/>
              </w:rPr>
              <w:t xml:space="preserve">or the </w:t>
            </w:r>
            <w:r>
              <w:rPr>
                <w:sz w:val="20"/>
                <w:szCs w:val="20"/>
              </w:rPr>
              <w:t>r</w:t>
            </w:r>
            <w:r w:rsidRPr="00D34E57">
              <w:rPr>
                <w:sz w:val="20"/>
                <w:szCs w:val="20"/>
              </w:rPr>
              <w:t>espondents</w:t>
            </w:r>
            <w:r>
              <w:rPr>
                <w:sz w:val="20"/>
                <w:szCs w:val="20"/>
              </w:rPr>
              <w:t xml:space="preserve"> </w:t>
            </w:r>
            <w:r w:rsidRPr="00D34E57">
              <w:rPr>
                <w:sz w:val="20"/>
                <w:szCs w:val="20"/>
              </w:rPr>
              <w:t>Estate of Joseph Ryan et al.</w:t>
            </w:r>
          </w:p>
        </w:tc>
      </w:tr>
    </w:tbl>
    <w:p w:rsidR="00C1697B" w:rsidRDefault="00C1697B" w:rsidP="00C1697B">
      <w:pPr>
        <w:widowControl w:val="0"/>
      </w:pPr>
    </w:p>
    <w:p w:rsidR="00C1697B" w:rsidRPr="0085476B" w:rsidRDefault="00C1697B" w:rsidP="00C1697B">
      <w:pPr>
        <w:widowControl w:val="0"/>
        <w:rPr>
          <w:sz w:val="20"/>
          <w:szCs w:val="20"/>
        </w:rPr>
      </w:pPr>
      <w:r w:rsidRPr="0085476B">
        <w:rPr>
          <w:b/>
          <w:sz w:val="20"/>
          <w:szCs w:val="20"/>
        </w:rPr>
        <w:t xml:space="preserve">RESERVED / </w:t>
      </w:r>
      <w:r w:rsidRPr="00ED09CD">
        <w:rPr>
          <w:b/>
          <w:sz w:val="20"/>
          <w:szCs w:val="20"/>
        </w:rPr>
        <w:t>EN DÉLIBÉRÉ</w:t>
      </w:r>
    </w:p>
    <w:p w:rsidR="00C1697B" w:rsidRDefault="00C1697B"/>
    <w:tbl>
      <w:tblPr>
        <w:tblW w:w="0" w:type="auto"/>
        <w:tblLayout w:type="fixed"/>
        <w:tblCellMar>
          <w:left w:w="0" w:type="dxa"/>
          <w:right w:w="0" w:type="dxa"/>
        </w:tblCellMar>
        <w:tblLook w:val="0000"/>
      </w:tblPr>
      <w:tblGrid>
        <w:gridCol w:w="4380"/>
        <w:gridCol w:w="720"/>
        <w:gridCol w:w="4380"/>
      </w:tblGrid>
      <w:tr w:rsidR="00C1697B" w:rsidRPr="00334802"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C1697B" w:rsidRPr="00C1697B" w:rsidRDefault="004C31A1" w:rsidP="00C1697B">
            <w:pPr>
              <w:widowControl w:val="0"/>
              <w:jc w:val="both"/>
              <w:rPr>
                <w:b/>
                <w:sz w:val="20"/>
                <w:szCs w:val="20"/>
              </w:rPr>
            </w:pPr>
            <w:r w:rsidRPr="00131D26">
              <w:rPr>
                <w:sz w:val="20"/>
                <w:szCs w:val="20"/>
              </w:rPr>
              <w:t xml:space="preserve">Constitutional law - Division of powers - Navigation and shipping - Paramountcy - Interjurisdictional immunity - Action in negligence by estates and families of two men who drowned after fishing vessel designed, built and inspected by defendants capsizes - Whether s. 6 of the </w:t>
            </w:r>
            <w:r w:rsidRPr="00131D26">
              <w:rPr>
                <w:i/>
                <w:sz w:val="20"/>
                <w:szCs w:val="20"/>
              </w:rPr>
              <w:t>Marine Liability Act</w:t>
            </w:r>
            <w:r w:rsidRPr="00131D26">
              <w:rPr>
                <w:sz w:val="20"/>
                <w:szCs w:val="20"/>
              </w:rPr>
              <w:t xml:space="preserve">, S.C. 2001, c. 6, authorizes a federal right of action for dependants of workers injured or killed in the course of marine employment against their employer, a fellow worker, or other workers or employers governed by the same provincial workers compensation scheme - Whether s. 44 of the </w:t>
            </w:r>
            <w:r w:rsidRPr="00131D26">
              <w:rPr>
                <w:i/>
                <w:sz w:val="20"/>
                <w:szCs w:val="20"/>
              </w:rPr>
              <w:t>Workplace Health, Safety and Compensation Act</w:t>
            </w:r>
            <w:r w:rsidRPr="00131D26">
              <w:rPr>
                <w:sz w:val="20"/>
                <w:szCs w:val="20"/>
              </w:rPr>
              <w:t xml:space="preserve">, RSNL1990, c. W-11, is constitutionally inoperative in respect of federal maritime negligence claims made pursuant to s. 6 of the </w:t>
            </w:r>
            <w:r w:rsidRPr="00131D26">
              <w:rPr>
                <w:i/>
                <w:sz w:val="20"/>
                <w:szCs w:val="20"/>
              </w:rPr>
              <w:t>Marine Liability Act</w:t>
            </w:r>
            <w:r w:rsidRPr="00131D26">
              <w:rPr>
                <w:sz w:val="20"/>
                <w:szCs w:val="20"/>
              </w:rPr>
              <w:t xml:space="preserve"> by reason of the doctrine of federal paramountcy - Whether s. 44 of the </w:t>
            </w:r>
            <w:r w:rsidRPr="00131D26">
              <w:rPr>
                <w:i/>
                <w:sz w:val="20"/>
                <w:szCs w:val="20"/>
              </w:rPr>
              <w:t>Workplace Health, Safety and Compensation Act</w:t>
            </w:r>
            <w:r w:rsidRPr="00131D26">
              <w:rPr>
                <w:sz w:val="20"/>
                <w:szCs w:val="20"/>
              </w:rPr>
              <w:t xml:space="preserve"> is </w:t>
            </w:r>
            <w:r w:rsidRPr="00131D26">
              <w:rPr>
                <w:sz w:val="20"/>
                <w:szCs w:val="20"/>
              </w:rPr>
              <w:lastRenderedPageBreak/>
              <w:t xml:space="preserve">constitutionally inapplicable to federal maritime negligence claims made pursuant to s. 6 of the </w:t>
            </w:r>
            <w:r w:rsidRPr="00131D26">
              <w:rPr>
                <w:i/>
                <w:sz w:val="20"/>
                <w:szCs w:val="20"/>
              </w:rPr>
              <w:t>Maritime Liability Act</w:t>
            </w:r>
            <w:r w:rsidRPr="00131D26">
              <w:rPr>
                <w:sz w:val="20"/>
                <w:szCs w:val="20"/>
              </w:rPr>
              <w:t>, by reason of the doctrine of interjurisdictional immunity.</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6F5F34" w:rsidRDefault="00C1697B" w:rsidP="00C1697B">
            <w:pPr>
              <w:widowControl w:val="0"/>
              <w:jc w:val="both"/>
              <w:rPr>
                <w:b/>
                <w:sz w:val="20"/>
                <w:szCs w:val="20"/>
                <w:u w:val="single"/>
                <w:lang w:val="fr-CA"/>
              </w:rPr>
            </w:pPr>
            <w:r w:rsidRPr="006F5F34">
              <w:rPr>
                <w:b/>
                <w:sz w:val="20"/>
                <w:szCs w:val="20"/>
                <w:u w:val="single"/>
                <w:lang w:val="fr-CA"/>
              </w:rPr>
              <w:t>Nature de la cause :</w:t>
            </w:r>
          </w:p>
          <w:p w:rsidR="00C1697B" w:rsidRPr="006F5F34" w:rsidRDefault="00C1697B" w:rsidP="00C1697B">
            <w:pPr>
              <w:widowControl w:val="0"/>
              <w:jc w:val="both"/>
              <w:rPr>
                <w:sz w:val="20"/>
                <w:szCs w:val="20"/>
                <w:lang w:val="fr-CA"/>
              </w:rPr>
            </w:pPr>
          </w:p>
          <w:p w:rsidR="00C1697B" w:rsidRPr="004C31A1" w:rsidRDefault="004C31A1" w:rsidP="00ED09CD">
            <w:pPr>
              <w:widowControl w:val="0"/>
              <w:jc w:val="both"/>
              <w:rPr>
                <w:sz w:val="20"/>
                <w:szCs w:val="20"/>
                <w:lang w:val="fr-CA"/>
              </w:rPr>
            </w:pPr>
            <w:r w:rsidRPr="00A94508">
              <w:rPr>
                <w:sz w:val="20"/>
                <w:szCs w:val="20"/>
                <w:lang w:val="fr-CA"/>
              </w:rPr>
              <w:t xml:space="preserve">Droit constitutionnel </w:t>
            </w:r>
            <w:r w:rsidRPr="00A94508">
              <w:rPr>
                <w:sz w:val="20"/>
                <w:szCs w:val="20"/>
                <w:lang w:val="fr-CA"/>
              </w:rPr>
              <w:noBreakHyphen/>
              <w:t xml:space="preserve"> Partage des compétences </w:t>
            </w:r>
            <w:r w:rsidRPr="00A94508">
              <w:rPr>
                <w:sz w:val="20"/>
                <w:szCs w:val="20"/>
                <w:lang w:val="fr-CA"/>
              </w:rPr>
              <w:noBreakHyphen/>
              <w:t xml:space="preserve"> Navigation et bâtiments ou navires </w:t>
            </w:r>
            <w:r w:rsidRPr="00A94508">
              <w:rPr>
                <w:sz w:val="20"/>
                <w:szCs w:val="20"/>
                <w:lang w:val="fr-CA"/>
              </w:rPr>
              <w:noBreakHyphen/>
              <w:t xml:space="preserve"> Prépondérance </w:t>
            </w:r>
            <w:r w:rsidRPr="00A94508">
              <w:rPr>
                <w:sz w:val="20"/>
                <w:szCs w:val="20"/>
                <w:lang w:val="fr-CA"/>
              </w:rPr>
              <w:noBreakHyphen/>
              <w:t xml:space="preserve"> Exclusivité des compétences </w:t>
            </w:r>
            <w:r w:rsidRPr="00A94508">
              <w:rPr>
                <w:sz w:val="20"/>
                <w:szCs w:val="20"/>
                <w:lang w:val="fr-CA"/>
              </w:rPr>
              <w:noBreakHyphen/>
              <w:t xml:space="preserve"> Action en négligence intentée par les successions et les familles de deux hommes qui se sont noyés après que le navire de pêche conçu, construit et inspecté par les défendeurs a chaviré </w:t>
            </w:r>
            <w:r w:rsidRPr="00A94508">
              <w:rPr>
                <w:sz w:val="20"/>
                <w:szCs w:val="20"/>
                <w:lang w:val="fr-CA"/>
              </w:rPr>
              <w:noBreakHyphen/>
              <w:t xml:space="preserve"> L’art. 6 de la</w:t>
            </w:r>
            <w:r w:rsidRPr="00A94508">
              <w:rPr>
                <w:i/>
                <w:sz w:val="20"/>
                <w:szCs w:val="20"/>
                <w:lang w:val="fr-CA"/>
              </w:rPr>
              <w:t xml:space="preserve"> Loi sur la responsabilité en matière maritime</w:t>
            </w:r>
            <w:r w:rsidRPr="00A94508">
              <w:rPr>
                <w:sz w:val="20"/>
                <w:szCs w:val="20"/>
                <w:lang w:val="fr-CA"/>
              </w:rPr>
              <w:t>, L.C. 2001, c. 6, confère</w:t>
            </w:r>
            <w:r w:rsidRPr="00A94508">
              <w:rPr>
                <w:sz w:val="20"/>
                <w:szCs w:val="20"/>
                <w:lang w:val="fr-CA"/>
              </w:rPr>
              <w:noBreakHyphen/>
              <w:t>t</w:t>
            </w:r>
            <w:r w:rsidRPr="00A94508">
              <w:rPr>
                <w:sz w:val="20"/>
                <w:szCs w:val="20"/>
                <w:lang w:val="fr-CA"/>
              </w:rPr>
              <w:noBreakHyphen/>
              <w:t xml:space="preserve">il un droit d’action au fédéral aux personnes à charge de travailleurs blessés ou tués dans l’exercice de leur emploi dans le secteur maritime contre leur employeur, un collègue de travail ou d’autres travailleurs ou employeurs régis par le même régime d’indemnisation des accidentés du travail? </w:t>
            </w:r>
            <w:r w:rsidRPr="00A94508">
              <w:rPr>
                <w:sz w:val="20"/>
                <w:szCs w:val="20"/>
              </w:rPr>
              <w:noBreakHyphen/>
              <w:t xml:space="preserve"> L’art. 44 de la </w:t>
            </w:r>
            <w:r w:rsidRPr="00A94508">
              <w:rPr>
                <w:i/>
                <w:sz w:val="20"/>
                <w:szCs w:val="20"/>
              </w:rPr>
              <w:t>Workplace Health, Safety and Compensation Act</w:t>
            </w:r>
            <w:r w:rsidRPr="00A94508">
              <w:rPr>
                <w:sz w:val="20"/>
                <w:szCs w:val="20"/>
              </w:rPr>
              <w:t>, RSNL 1990, ch. </w:t>
            </w:r>
            <w:r w:rsidRPr="00A94508">
              <w:rPr>
                <w:sz w:val="20"/>
                <w:szCs w:val="20"/>
                <w:lang w:val="fr-CA"/>
              </w:rPr>
              <w:t>W</w:t>
            </w:r>
            <w:r w:rsidRPr="00A94508">
              <w:rPr>
                <w:sz w:val="20"/>
                <w:szCs w:val="20"/>
                <w:lang w:val="fr-CA"/>
              </w:rPr>
              <w:noBreakHyphen/>
              <w:t>11 est</w:t>
            </w:r>
            <w:r w:rsidRPr="00A94508">
              <w:rPr>
                <w:sz w:val="20"/>
                <w:szCs w:val="20"/>
                <w:lang w:val="fr-CA"/>
              </w:rPr>
              <w:noBreakHyphen/>
              <w:t xml:space="preserve">il constitutionnellement inopérant à l’égard d’actions au fédéral pour négligence en matière maritime intentées </w:t>
            </w:r>
            <w:r w:rsidRPr="00A94508">
              <w:rPr>
                <w:sz w:val="20"/>
                <w:szCs w:val="20"/>
                <w:lang w:val="fr-CA"/>
              </w:rPr>
              <w:lastRenderedPageBreak/>
              <w:t xml:space="preserve">en vertu de l’art. 6 de la </w:t>
            </w:r>
            <w:r w:rsidRPr="00A94508">
              <w:rPr>
                <w:i/>
                <w:sz w:val="20"/>
                <w:szCs w:val="20"/>
                <w:lang w:val="fr-CA"/>
              </w:rPr>
              <w:t>Loi sur la responsabilité en matière maritime</w:t>
            </w:r>
            <w:r w:rsidRPr="00A94508">
              <w:rPr>
                <w:sz w:val="20"/>
                <w:szCs w:val="20"/>
                <w:lang w:val="fr-CA"/>
              </w:rPr>
              <w:t xml:space="preserve"> en raison de la doctrine de la prépondérance fédérale? </w:t>
            </w:r>
            <w:r w:rsidRPr="00A94508">
              <w:rPr>
                <w:sz w:val="20"/>
                <w:szCs w:val="20"/>
              </w:rPr>
              <w:noBreakHyphen/>
              <w:t xml:space="preserve"> L’art. 44 de la  </w:t>
            </w:r>
            <w:r w:rsidRPr="00A94508">
              <w:rPr>
                <w:i/>
                <w:sz w:val="20"/>
                <w:szCs w:val="20"/>
              </w:rPr>
              <w:t>Workplace Health, Safety and Compensation Act</w:t>
            </w:r>
            <w:r w:rsidRPr="00A94508">
              <w:rPr>
                <w:sz w:val="20"/>
                <w:szCs w:val="20"/>
              </w:rPr>
              <w:t>, RSNL 1990, ch. </w:t>
            </w:r>
            <w:r w:rsidRPr="00A94508">
              <w:rPr>
                <w:sz w:val="20"/>
                <w:szCs w:val="20"/>
                <w:lang w:val="fr-CA"/>
              </w:rPr>
              <w:t>W</w:t>
            </w:r>
            <w:r w:rsidRPr="00A94508">
              <w:rPr>
                <w:sz w:val="20"/>
                <w:szCs w:val="20"/>
                <w:lang w:val="fr-CA"/>
              </w:rPr>
              <w:noBreakHyphen/>
              <w:t>11 est</w:t>
            </w:r>
            <w:r w:rsidRPr="00A94508">
              <w:rPr>
                <w:sz w:val="20"/>
                <w:szCs w:val="20"/>
                <w:lang w:val="fr-CA"/>
              </w:rPr>
              <w:noBreakHyphen/>
              <w:t xml:space="preserve">il constitutionnellement inapplicable aux actions au fédéral pour négligence en matière maritime intentées en vertu de l’art. 6 de la </w:t>
            </w:r>
            <w:r w:rsidRPr="00A94508">
              <w:rPr>
                <w:i/>
                <w:sz w:val="20"/>
                <w:szCs w:val="20"/>
                <w:lang w:val="fr-CA"/>
              </w:rPr>
              <w:t>Loi sur la responsabilité en matière maritime</w:t>
            </w:r>
            <w:r w:rsidRPr="00A94508">
              <w:rPr>
                <w:sz w:val="20"/>
                <w:szCs w:val="20"/>
                <w:lang w:val="fr-CA"/>
              </w:rPr>
              <w:t xml:space="preserve"> en raison de la doctrine d’exclusivité des compétences?</w:t>
            </w:r>
          </w:p>
        </w:tc>
      </w:tr>
    </w:tbl>
    <w:p w:rsidR="00732DB7" w:rsidRPr="004C31A1" w:rsidRDefault="00732DB7" w:rsidP="00732DB7">
      <w:pPr>
        <w:widowControl w:val="0"/>
        <w:rPr>
          <w:sz w:val="20"/>
          <w:szCs w:val="20"/>
          <w:lang w:val="fr-CA"/>
        </w:rPr>
      </w:pPr>
    </w:p>
    <w:p w:rsidR="002A27D1" w:rsidRDefault="00CD48BC" w:rsidP="002A27D1">
      <w:pPr>
        <w:widowControl w:val="0"/>
        <w:rPr>
          <w:sz w:val="20"/>
          <w:szCs w:val="20"/>
        </w:rPr>
      </w:pPr>
      <w:r w:rsidRPr="00CD48BC">
        <w:rPr>
          <w:sz w:val="20"/>
          <w:szCs w:val="20"/>
          <w:lang w:val="fr-CA"/>
        </w:rPr>
        <w:pict>
          <v:rect id="_x0000_i1082" style="width:2in;height:1pt" o:hrpct="0" o:hralign="center" o:hrstd="t" o:hrnoshade="t" o:hr="t" fillcolor="black [3213]" stroked="f"/>
        </w:pict>
      </w:r>
    </w:p>
    <w:p w:rsidR="002A27D1" w:rsidRDefault="002A27D1" w:rsidP="002A27D1">
      <w:pPr>
        <w:widowControl w:val="0"/>
        <w:rPr>
          <w:sz w:val="20"/>
          <w:szCs w:val="20"/>
        </w:rPr>
      </w:pPr>
    </w:p>
    <w:p w:rsidR="00ED09CD" w:rsidRPr="00C50A5C" w:rsidRDefault="00ED09CD" w:rsidP="00ED09CD">
      <w:pPr>
        <w:widowControl w:val="0"/>
        <w:rPr>
          <w:sz w:val="20"/>
          <w:szCs w:val="20"/>
        </w:rPr>
      </w:pPr>
      <w:r>
        <w:rPr>
          <w:sz w:val="20"/>
          <w:szCs w:val="20"/>
        </w:rPr>
        <w:t>16</w:t>
      </w:r>
      <w:r w:rsidRPr="00C50A5C">
        <w:rPr>
          <w:sz w:val="20"/>
          <w:szCs w:val="20"/>
        </w:rPr>
        <w:t>.0</w:t>
      </w:r>
      <w:r>
        <w:rPr>
          <w:sz w:val="20"/>
          <w:szCs w:val="20"/>
        </w:rPr>
        <w:t>1</w:t>
      </w:r>
      <w:r w:rsidRPr="00C50A5C">
        <w:rPr>
          <w:sz w:val="20"/>
          <w:szCs w:val="20"/>
        </w:rPr>
        <w:t>.201</w:t>
      </w:r>
      <w:r>
        <w:rPr>
          <w:sz w:val="20"/>
          <w:szCs w:val="20"/>
        </w:rPr>
        <w:t>3</w:t>
      </w:r>
    </w:p>
    <w:p w:rsidR="00ED09CD" w:rsidRDefault="00ED09CD" w:rsidP="00ED09CD">
      <w:pPr>
        <w:widowControl w:val="0"/>
        <w:rPr>
          <w:sz w:val="20"/>
          <w:szCs w:val="20"/>
        </w:rPr>
      </w:pPr>
    </w:p>
    <w:p w:rsidR="00EB4523" w:rsidRPr="00297EE1" w:rsidRDefault="00EB4523" w:rsidP="00EB4523">
      <w:pPr>
        <w:widowControl w:val="0"/>
        <w:ind w:left="720" w:hanging="720"/>
        <w:rPr>
          <w:rFonts w:eastAsia="Calibri" w:cs="Times New Roman"/>
          <w:sz w:val="20"/>
          <w:szCs w:val="20"/>
        </w:rPr>
      </w:pPr>
      <w:r w:rsidRPr="00297EE1">
        <w:rPr>
          <w:rFonts w:eastAsia="Calibri" w:cs="Times New Roman"/>
          <w:sz w:val="20"/>
          <w:szCs w:val="20"/>
        </w:rPr>
        <w:t xml:space="preserve">Coram: </w:t>
      </w:r>
      <w:r w:rsidRPr="00297EE1">
        <w:rPr>
          <w:rFonts w:eastAsia="Calibri" w:cs="Times New Roman"/>
          <w:sz w:val="20"/>
          <w:szCs w:val="20"/>
        </w:rPr>
        <w:tab/>
      </w:r>
      <w:r w:rsidRPr="00297EE1">
        <w:rPr>
          <w:rFonts w:eastAsia="Calibri" w:cs="Times New Roman"/>
          <w:sz w:val="20"/>
          <w:szCs w:val="20"/>
          <w:u w:val="single"/>
        </w:rPr>
        <w:t>McLachlin C.J. and LeBel, Abella, Rothstein, Cromwell, Karakatsanis and Wagner JJ.</w:t>
      </w:r>
    </w:p>
    <w:p w:rsidR="00ED09CD" w:rsidRPr="00C50A5C" w:rsidRDefault="00ED09CD" w:rsidP="00ED09CD">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ED09CD" w:rsidRPr="00C50A5C" w:rsidTr="00ED09CD">
        <w:tc>
          <w:tcPr>
            <w:tcW w:w="4380" w:type="dxa"/>
            <w:tcMar>
              <w:left w:w="0" w:type="dxa"/>
              <w:right w:w="0" w:type="dxa"/>
            </w:tcMar>
          </w:tcPr>
          <w:p w:rsidR="00ED09CD" w:rsidRPr="00ED09CD" w:rsidRDefault="00ED09CD" w:rsidP="00ED09CD">
            <w:pPr>
              <w:widowControl w:val="0"/>
              <w:jc w:val="both"/>
              <w:rPr>
                <w:b/>
                <w:sz w:val="20"/>
                <w:szCs w:val="20"/>
              </w:rPr>
            </w:pPr>
            <w:r w:rsidRPr="00ED09CD">
              <w:rPr>
                <w:b/>
                <w:sz w:val="20"/>
                <w:szCs w:val="20"/>
              </w:rPr>
              <w:t>Edward Sumio Nishi</w:t>
            </w:r>
          </w:p>
          <w:p w:rsidR="00ED09CD" w:rsidRPr="00ED09CD" w:rsidRDefault="00ED09CD" w:rsidP="00ED09CD">
            <w:pPr>
              <w:widowControl w:val="0"/>
              <w:jc w:val="both"/>
              <w:rPr>
                <w:b/>
                <w:sz w:val="20"/>
                <w:szCs w:val="20"/>
              </w:rPr>
            </w:pPr>
          </w:p>
          <w:p w:rsidR="00ED09CD" w:rsidRPr="00C50A5C" w:rsidRDefault="00ED09CD" w:rsidP="00ED09CD">
            <w:pPr>
              <w:widowControl w:val="0"/>
              <w:tabs>
                <w:tab w:val="left" w:pos="736"/>
              </w:tabs>
              <w:jc w:val="both"/>
              <w:rPr>
                <w:b/>
                <w:sz w:val="20"/>
                <w:szCs w:val="20"/>
              </w:rPr>
            </w:pPr>
            <w:r w:rsidRPr="00ED09CD">
              <w:rPr>
                <w:b/>
                <w:sz w:val="20"/>
                <w:szCs w:val="20"/>
              </w:rPr>
              <w:tab/>
            </w:r>
            <w:r w:rsidRPr="00C50A5C">
              <w:rPr>
                <w:b/>
                <w:sz w:val="20"/>
                <w:szCs w:val="20"/>
              </w:rPr>
              <w:t>v. (3</w:t>
            </w:r>
            <w:r>
              <w:rPr>
                <w:b/>
                <w:sz w:val="20"/>
                <w:szCs w:val="20"/>
              </w:rPr>
              <w:t>4510</w:t>
            </w:r>
            <w:r w:rsidRPr="00C50A5C">
              <w:rPr>
                <w:b/>
                <w:sz w:val="20"/>
                <w:szCs w:val="20"/>
              </w:rPr>
              <w:t>)</w:t>
            </w:r>
          </w:p>
          <w:p w:rsidR="00ED09CD" w:rsidRPr="00C50A5C" w:rsidRDefault="00ED09CD" w:rsidP="00ED09CD">
            <w:pPr>
              <w:widowControl w:val="0"/>
              <w:jc w:val="both"/>
              <w:rPr>
                <w:b/>
                <w:sz w:val="20"/>
                <w:szCs w:val="20"/>
              </w:rPr>
            </w:pPr>
          </w:p>
          <w:p w:rsidR="00ED09CD" w:rsidRPr="00ED09CD" w:rsidRDefault="00ED09CD" w:rsidP="00ED09CD">
            <w:pPr>
              <w:widowControl w:val="0"/>
              <w:jc w:val="both"/>
              <w:rPr>
                <w:sz w:val="20"/>
                <w:szCs w:val="20"/>
              </w:rPr>
            </w:pPr>
            <w:r>
              <w:rPr>
                <w:b/>
                <w:sz w:val="20"/>
                <w:szCs w:val="20"/>
              </w:rPr>
              <w:t>Rascal Trucking Ltd.</w:t>
            </w:r>
            <w:r w:rsidRPr="00C50A5C">
              <w:rPr>
                <w:b/>
                <w:sz w:val="20"/>
                <w:szCs w:val="20"/>
              </w:rPr>
              <w:t xml:space="preserve"> (</w:t>
            </w:r>
            <w:r>
              <w:rPr>
                <w:b/>
                <w:sz w:val="20"/>
                <w:szCs w:val="20"/>
              </w:rPr>
              <w:t>B</w:t>
            </w:r>
            <w:r w:rsidRPr="00C50A5C">
              <w:rPr>
                <w:b/>
                <w:sz w:val="20"/>
                <w:szCs w:val="20"/>
              </w:rPr>
              <w:t>.</w:t>
            </w:r>
            <w:r>
              <w:rPr>
                <w:b/>
                <w:sz w:val="20"/>
                <w:szCs w:val="20"/>
              </w:rPr>
              <w:t>C</w:t>
            </w:r>
            <w:r w:rsidRPr="00C50A5C">
              <w:rPr>
                <w:b/>
                <w:sz w:val="20"/>
                <w:szCs w:val="20"/>
              </w:rPr>
              <w:t>.) (Civil) (By Leave)</w:t>
            </w:r>
          </w:p>
        </w:tc>
        <w:tc>
          <w:tcPr>
            <w:tcW w:w="720" w:type="dxa"/>
            <w:tcMar>
              <w:left w:w="0" w:type="dxa"/>
              <w:right w:w="0" w:type="dxa"/>
            </w:tcMar>
          </w:tcPr>
          <w:p w:rsidR="00ED09CD" w:rsidRPr="00ED09CD" w:rsidRDefault="00ED09CD" w:rsidP="00ED09CD">
            <w:pPr>
              <w:widowControl w:val="0"/>
              <w:jc w:val="center"/>
              <w:rPr>
                <w:sz w:val="20"/>
                <w:szCs w:val="20"/>
              </w:rPr>
            </w:pPr>
          </w:p>
        </w:tc>
        <w:tc>
          <w:tcPr>
            <w:tcW w:w="4380" w:type="dxa"/>
            <w:tcMar>
              <w:left w:w="0" w:type="dxa"/>
              <w:right w:w="0" w:type="dxa"/>
            </w:tcMar>
          </w:tcPr>
          <w:p w:rsidR="00EB4523" w:rsidRPr="007A1FB8" w:rsidRDefault="00EB4523" w:rsidP="00EB4523">
            <w:pPr>
              <w:jc w:val="both"/>
              <w:rPr>
                <w:sz w:val="20"/>
                <w:szCs w:val="20"/>
              </w:rPr>
            </w:pPr>
            <w:r w:rsidRPr="007A1FB8">
              <w:rPr>
                <w:sz w:val="20"/>
                <w:szCs w:val="20"/>
              </w:rPr>
              <w:t>D. Geoffrey Cowper, Q.C.</w:t>
            </w:r>
            <w:r>
              <w:rPr>
                <w:sz w:val="20"/>
                <w:szCs w:val="20"/>
              </w:rPr>
              <w:t xml:space="preserve"> and </w:t>
            </w:r>
            <w:r w:rsidRPr="007A1FB8">
              <w:rPr>
                <w:sz w:val="20"/>
                <w:szCs w:val="20"/>
              </w:rPr>
              <w:t>Joel Payne</w:t>
            </w:r>
            <w:r>
              <w:rPr>
                <w:sz w:val="20"/>
                <w:szCs w:val="20"/>
              </w:rPr>
              <w:t xml:space="preserve"> f</w:t>
            </w:r>
            <w:r w:rsidRPr="007A1FB8">
              <w:rPr>
                <w:sz w:val="20"/>
                <w:szCs w:val="20"/>
              </w:rPr>
              <w:t xml:space="preserve">or the </w:t>
            </w:r>
            <w:r>
              <w:rPr>
                <w:sz w:val="20"/>
                <w:szCs w:val="20"/>
              </w:rPr>
              <w:t>a</w:t>
            </w:r>
            <w:r w:rsidRPr="007A1FB8">
              <w:rPr>
                <w:sz w:val="20"/>
                <w:szCs w:val="20"/>
              </w:rPr>
              <w:t>ppellant.</w:t>
            </w:r>
          </w:p>
          <w:p w:rsidR="00EB4523" w:rsidRPr="007A1FB8" w:rsidRDefault="00EB4523" w:rsidP="00EB4523">
            <w:pPr>
              <w:jc w:val="both"/>
              <w:rPr>
                <w:sz w:val="20"/>
                <w:szCs w:val="20"/>
              </w:rPr>
            </w:pPr>
          </w:p>
          <w:p w:rsidR="00ED09CD" w:rsidRPr="00C50A5C" w:rsidRDefault="00EB4523" w:rsidP="00EB4523">
            <w:pPr>
              <w:jc w:val="both"/>
              <w:rPr>
                <w:sz w:val="20"/>
                <w:szCs w:val="20"/>
              </w:rPr>
            </w:pPr>
            <w:r w:rsidRPr="007A1FB8">
              <w:rPr>
                <w:sz w:val="20"/>
                <w:szCs w:val="20"/>
              </w:rPr>
              <w:t>Craig P. Dennis</w:t>
            </w:r>
            <w:r>
              <w:rPr>
                <w:sz w:val="20"/>
                <w:szCs w:val="20"/>
              </w:rPr>
              <w:t xml:space="preserve"> and </w:t>
            </w:r>
            <w:r w:rsidRPr="007A1FB8">
              <w:rPr>
                <w:sz w:val="20"/>
                <w:szCs w:val="20"/>
              </w:rPr>
              <w:t>Owen J. James</w:t>
            </w:r>
            <w:r>
              <w:rPr>
                <w:sz w:val="20"/>
                <w:szCs w:val="20"/>
              </w:rPr>
              <w:t xml:space="preserve"> fo</w:t>
            </w:r>
            <w:r w:rsidRPr="007A1FB8">
              <w:rPr>
                <w:sz w:val="20"/>
                <w:szCs w:val="20"/>
              </w:rPr>
              <w:t xml:space="preserve">r the </w:t>
            </w:r>
            <w:r>
              <w:rPr>
                <w:sz w:val="20"/>
                <w:szCs w:val="20"/>
              </w:rPr>
              <w:t>r</w:t>
            </w:r>
            <w:r w:rsidRPr="007A1FB8">
              <w:rPr>
                <w:sz w:val="20"/>
                <w:szCs w:val="20"/>
              </w:rPr>
              <w:t>espondent.</w:t>
            </w:r>
          </w:p>
        </w:tc>
      </w:tr>
    </w:tbl>
    <w:p w:rsidR="00ED09CD" w:rsidRDefault="00ED09CD" w:rsidP="00ED09CD">
      <w:pPr>
        <w:widowControl w:val="0"/>
      </w:pPr>
    </w:p>
    <w:p w:rsidR="00ED09CD" w:rsidRPr="0085476B" w:rsidRDefault="00ED09CD" w:rsidP="00ED09CD">
      <w:pPr>
        <w:widowControl w:val="0"/>
        <w:rPr>
          <w:sz w:val="20"/>
          <w:szCs w:val="20"/>
        </w:rPr>
      </w:pPr>
      <w:r w:rsidRPr="0085476B">
        <w:rPr>
          <w:b/>
          <w:sz w:val="20"/>
          <w:szCs w:val="20"/>
        </w:rPr>
        <w:t xml:space="preserve">RESERVED / </w:t>
      </w:r>
      <w:r w:rsidRPr="00ED09CD">
        <w:rPr>
          <w:b/>
          <w:sz w:val="20"/>
          <w:szCs w:val="20"/>
        </w:rPr>
        <w:t>EN DÉLIBÉRÉ</w:t>
      </w:r>
    </w:p>
    <w:p w:rsidR="00ED09CD" w:rsidRDefault="00ED09CD" w:rsidP="00ED09CD"/>
    <w:tbl>
      <w:tblPr>
        <w:tblW w:w="0" w:type="auto"/>
        <w:tblLayout w:type="fixed"/>
        <w:tblCellMar>
          <w:left w:w="0" w:type="dxa"/>
          <w:right w:w="0" w:type="dxa"/>
        </w:tblCellMar>
        <w:tblLook w:val="0000"/>
      </w:tblPr>
      <w:tblGrid>
        <w:gridCol w:w="4380"/>
        <w:gridCol w:w="720"/>
        <w:gridCol w:w="4380"/>
      </w:tblGrid>
      <w:tr w:rsidR="00ED09CD" w:rsidRPr="00334802" w:rsidTr="00ED09CD">
        <w:tc>
          <w:tcPr>
            <w:tcW w:w="4380" w:type="dxa"/>
            <w:tcMar>
              <w:left w:w="0" w:type="dxa"/>
              <w:right w:w="0" w:type="dxa"/>
            </w:tcMar>
          </w:tcPr>
          <w:p w:rsidR="00ED09CD" w:rsidRPr="00CC4D84" w:rsidRDefault="00ED09CD" w:rsidP="00ED09CD">
            <w:pPr>
              <w:widowControl w:val="0"/>
              <w:jc w:val="both"/>
              <w:rPr>
                <w:b/>
                <w:sz w:val="20"/>
                <w:szCs w:val="20"/>
                <w:u w:val="single"/>
              </w:rPr>
            </w:pPr>
            <w:r w:rsidRPr="00CC4D84">
              <w:rPr>
                <w:b/>
                <w:sz w:val="20"/>
                <w:szCs w:val="20"/>
                <w:u w:val="single"/>
              </w:rPr>
              <w:t>Nature of the case:</w:t>
            </w:r>
          </w:p>
          <w:p w:rsidR="00ED09CD" w:rsidRPr="00C1697B" w:rsidRDefault="00ED09CD" w:rsidP="00ED09CD">
            <w:pPr>
              <w:widowControl w:val="0"/>
              <w:jc w:val="both"/>
              <w:rPr>
                <w:b/>
                <w:sz w:val="20"/>
                <w:szCs w:val="20"/>
              </w:rPr>
            </w:pPr>
          </w:p>
          <w:p w:rsidR="00ED09CD" w:rsidRPr="00C1697B" w:rsidRDefault="00D60250" w:rsidP="00ED09CD">
            <w:pPr>
              <w:widowControl w:val="0"/>
              <w:jc w:val="both"/>
              <w:rPr>
                <w:b/>
                <w:sz w:val="20"/>
                <w:szCs w:val="20"/>
              </w:rPr>
            </w:pPr>
            <w:r w:rsidRPr="00FB63F6">
              <w:rPr>
                <w:sz w:val="20"/>
                <w:szCs w:val="20"/>
              </w:rPr>
              <w:t xml:space="preserve">Property </w:t>
            </w:r>
            <w:r w:rsidRPr="00FB63F6">
              <w:rPr>
                <w:sz w:val="20"/>
                <w:szCs w:val="20"/>
              </w:rPr>
              <w:noBreakHyphen/>
              <w:t xml:space="preserve"> Real property </w:t>
            </w:r>
            <w:r w:rsidRPr="00FB63F6">
              <w:rPr>
                <w:sz w:val="20"/>
                <w:szCs w:val="20"/>
              </w:rPr>
              <w:noBreakHyphen/>
              <w:t xml:space="preserve"> Trusts </w:t>
            </w:r>
            <w:r w:rsidRPr="00FB63F6">
              <w:rPr>
                <w:sz w:val="20"/>
                <w:szCs w:val="20"/>
              </w:rPr>
              <w:noBreakHyphen/>
              <w:t xml:space="preserve"> Resulting trust </w:t>
            </w:r>
            <w:r w:rsidRPr="00FB63F6">
              <w:rPr>
                <w:sz w:val="20"/>
                <w:szCs w:val="20"/>
              </w:rPr>
              <w:noBreakHyphen/>
              <w:t xml:space="preserve"> Appellant using funds received from Respondent to purchase property in foreclosure proceedings </w:t>
            </w:r>
            <w:r w:rsidRPr="00FB63F6">
              <w:rPr>
                <w:sz w:val="20"/>
                <w:szCs w:val="20"/>
              </w:rPr>
              <w:noBreakHyphen/>
              <w:t xml:space="preserve"> Funds representing disputed monies owing to third party </w:t>
            </w:r>
            <w:r w:rsidRPr="00FB63F6">
              <w:rPr>
                <w:sz w:val="20"/>
                <w:szCs w:val="20"/>
              </w:rPr>
              <w:noBreakHyphen/>
              <w:t xml:space="preserve"> Whether the doctrine of unjust enrichment is superior to the purchase</w:t>
            </w:r>
            <w:r w:rsidRPr="00FB63F6">
              <w:rPr>
                <w:sz w:val="20"/>
                <w:szCs w:val="20"/>
              </w:rPr>
              <w:noBreakHyphen/>
              <w:t>money resulting trust for resolving disputes in the non</w:t>
            </w:r>
            <w:r w:rsidRPr="00FB63F6">
              <w:rPr>
                <w:sz w:val="20"/>
                <w:szCs w:val="20"/>
              </w:rPr>
              <w:noBreakHyphen/>
              <w:t xml:space="preserve">domestic context where one party contributes money to the purchase of property but does not acquire legal title </w:t>
            </w:r>
            <w:r w:rsidRPr="00FB63F6">
              <w:rPr>
                <w:sz w:val="20"/>
                <w:szCs w:val="20"/>
              </w:rPr>
              <w:noBreakHyphen/>
              <w:t xml:space="preserve"> Whether the appellant was unjustly enriched by the respondent’s contribution to the purchase of the property </w:t>
            </w:r>
            <w:r w:rsidRPr="00FB63F6">
              <w:rPr>
                <w:sz w:val="20"/>
                <w:szCs w:val="20"/>
              </w:rPr>
              <w:noBreakHyphen/>
              <w:t xml:space="preserve"> In the alternative, whether the Court of Appeal erred in its application of resulting trust principles.</w:t>
            </w:r>
          </w:p>
        </w:tc>
        <w:tc>
          <w:tcPr>
            <w:tcW w:w="720" w:type="dxa"/>
            <w:tcMar>
              <w:left w:w="0" w:type="dxa"/>
              <w:right w:w="0" w:type="dxa"/>
            </w:tcMar>
          </w:tcPr>
          <w:p w:rsidR="00ED09CD" w:rsidRPr="00C1697B" w:rsidRDefault="00ED09CD" w:rsidP="00ED09CD">
            <w:pPr>
              <w:widowControl w:val="0"/>
              <w:jc w:val="center"/>
              <w:rPr>
                <w:sz w:val="20"/>
                <w:szCs w:val="20"/>
              </w:rPr>
            </w:pPr>
          </w:p>
        </w:tc>
        <w:tc>
          <w:tcPr>
            <w:tcW w:w="4380" w:type="dxa"/>
            <w:tcMar>
              <w:left w:w="0" w:type="dxa"/>
              <w:right w:w="0" w:type="dxa"/>
            </w:tcMar>
          </w:tcPr>
          <w:p w:rsidR="00ED09CD" w:rsidRPr="00D60250" w:rsidRDefault="00ED09CD" w:rsidP="00ED09CD">
            <w:pPr>
              <w:widowControl w:val="0"/>
              <w:jc w:val="both"/>
              <w:rPr>
                <w:b/>
                <w:sz w:val="20"/>
                <w:szCs w:val="20"/>
                <w:u w:val="single"/>
                <w:lang w:val="fr-CA"/>
              </w:rPr>
            </w:pPr>
            <w:r w:rsidRPr="00D60250">
              <w:rPr>
                <w:b/>
                <w:sz w:val="20"/>
                <w:szCs w:val="20"/>
                <w:u w:val="single"/>
                <w:lang w:val="fr-CA"/>
              </w:rPr>
              <w:t>Nature de la cause :</w:t>
            </w:r>
          </w:p>
          <w:p w:rsidR="00ED09CD" w:rsidRPr="00D60250" w:rsidRDefault="00ED09CD" w:rsidP="00ED09CD">
            <w:pPr>
              <w:widowControl w:val="0"/>
              <w:jc w:val="both"/>
              <w:rPr>
                <w:sz w:val="20"/>
                <w:szCs w:val="20"/>
                <w:lang w:val="fr-CA"/>
              </w:rPr>
            </w:pPr>
          </w:p>
          <w:p w:rsidR="00ED09CD" w:rsidRPr="00D60250" w:rsidRDefault="00D60250" w:rsidP="00ED09CD">
            <w:pPr>
              <w:widowControl w:val="0"/>
              <w:jc w:val="both"/>
              <w:rPr>
                <w:sz w:val="20"/>
                <w:szCs w:val="20"/>
                <w:lang w:val="fr-CA"/>
              </w:rPr>
            </w:pPr>
            <w:r w:rsidRPr="006B4F0D">
              <w:rPr>
                <w:sz w:val="20"/>
                <w:szCs w:val="20"/>
                <w:lang w:val="fr-CA"/>
              </w:rPr>
              <w:t xml:space="preserve">Biens </w:t>
            </w:r>
            <w:r w:rsidRPr="006B4F0D">
              <w:rPr>
                <w:sz w:val="20"/>
                <w:szCs w:val="20"/>
                <w:lang w:val="fr-CA"/>
              </w:rPr>
              <w:noBreakHyphen/>
              <w:t xml:space="preserve"> Biens réels </w:t>
            </w:r>
            <w:r w:rsidRPr="006B4F0D">
              <w:rPr>
                <w:sz w:val="20"/>
                <w:szCs w:val="20"/>
                <w:lang w:val="fr-CA"/>
              </w:rPr>
              <w:noBreakHyphen/>
              <w:t xml:space="preserve"> Fiducies </w:t>
            </w:r>
            <w:r w:rsidRPr="006B4F0D">
              <w:rPr>
                <w:sz w:val="20"/>
                <w:szCs w:val="20"/>
                <w:lang w:val="fr-CA"/>
              </w:rPr>
              <w:noBreakHyphen/>
              <w:t xml:space="preserve"> Fiducie par déduction </w:t>
            </w:r>
            <w:r w:rsidRPr="006B4F0D">
              <w:rPr>
                <w:sz w:val="20"/>
                <w:szCs w:val="20"/>
                <w:lang w:val="fr-CA"/>
              </w:rPr>
              <w:noBreakHyphen/>
              <w:t xml:space="preserve"> L’appelant a employé des fonds reçus de l’intimée pour acheter une propriété dans le cadre d’une mesure de forclusion </w:t>
            </w:r>
            <w:r w:rsidRPr="006B4F0D">
              <w:rPr>
                <w:sz w:val="20"/>
                <w:szCs w:val="20"/>
                <w:lang w:val="fr-CA"/>
              </w:rPr>
              <w:noBreakHyphen/>
              <w:t xml:space="preserve"> Les fonds représentaient des sommes d’argent contestées dues à un tiers </w:t>
            </w:r>
            <w:r w:rsidRPr="006B4F0D">
              <w:rPr>
                <w:sz w:val="20"/>
                <w:szCs w:val="20"/>
                <w:lang w:val="fr-CA"/>
              </w:rPr>
              <w:noBreakHyphen/>
              <w:t xml:space="preserve"> La doctrine de l’enrichissement injustifié a</w:t>
            </w:r>
            <w:r w:rsidRPr="006B4F0D">
              <w:rPr>
                <w:sz w:val="20"/>
                <w:szCs w:val="20"/>
                <w:lang w:val="fr-CA"/>
              </w:rPr>
              <w:noBreakHyphen/>
              <w:t>t</w:t>
            </w:r>
            <w:r w:rsidRPr="006B4F0D">
              <w:rPr>
                <w:sz w:val="20"/>
                <w:szCs w:val="20"/>
                <w:lang w:val="fr-CA"/>
              </w:rPr>
              <w:noBreakHyphen/>
              <w:t xml:space="preserve">elle primauté sur la fiducie par déduction découlant des circonstances de l’achat pour régler des différends en contexte non conjugal où une partie fait un apport d’argent pour l’achat d’une propriété mais n’acquiert aucun titre en common law? </w:t>
            </w:r>
            <w:r w:rsidRPr="006B4F0D">
              <w:rPr>
                <w:sz w:val="20"/>
                <w:szCs w:val="20"/>
                <w:lang w:val="fr-CA"/>
              </w:rPr>
              <w:noBreakHyphen/>
              <w:t xml:space="preserve"> L’appelant a</w:t>
            </w:r>
            <w:r w:rsidRPr="006B4F0D">
              <w:rPr>
                <w:sz w:val="20"/>
                <w:szCs w:val="20"/>
                <w:lang w:val="fr-CA"/>
              </w:rPr>
              <w:noBreakHyphen/>
              <w:t>t</w:t>
            </w:r>
            <w:r w:rsidRPr="006B4F0D">
              <w:rPr>
                <w:sz w:val="20"/>
                <w:szCs w:val="20"/>
                <w:lang w:val="fr-CA"/>
              </w:rPr>
              <w:noBreakHyphen/>
              <w:t xml:space="preserve">il été injustement enrichi par l’apport de l’intimée pour l’achat de la propriété? </w:t>
            </w:r>
            <w:r w:rsidRPr="006B4F0D">
              <w:rPr>
                <w:sz w:val="20"/>
                <w:szCs w:val="20"/>
                <w:lang w:val="fr-CA"/>
              </w:rPr>
              <w:noBreakHyphen/>
              <w:t xml:space="preserve"> Subsidiairement, la Cour d’appel s’est</w:t>
            </w:r>
            <w:r w:rsidRPr="006B4F0D">
              <w:rPr>
                <w:sz w:val="20"/>
                <w:szCs w:val="20"/>
                <w:lang w:val="fr-CA"/>
              </w:rPr>
              <w:noBreakHyphen/>
              <w:t>elle trompée dans son application des principes régissant les fiducies par interprétation?</w:t>
            </w:r>
          </w:p>
        </w:tc>
      </w:tr>
    </w:tbl>
    <w:p w:rsidR="00ED09CD" w:rsidRPr="00D60250" w:rsidRDefault="00ED09CD" w:rsidP="00ED09CD">
      <w:pPr>
        <w:widowControl w:val="0"/>
        <w:rPr>
          <w:sz w:val="20"/>
          <w:szCs w:val="20"/>
          <w:lang w:val="fr-CA"/>
        </w:rPr>
      </w:pPr>
    </w:p>
    <w:p w:rsidR="00ED09CD" w:rsidRDefault="00CD48BC" w:rsidP="00ED09CD">
      <w:pPr>
        <w:widowControl w:val="0"/>
        <w:rPr>
          <w:sz w:val="20"/>
          <w:szCs w:val="20"/>
        </w:rPr>
      </w:pPr>
      <w:r w:rsidRPr="00CD48BC">
        <w:rPr>
          <w:sz w:val="20"/>
          <w:szCs w:val="20"/>
          <w:lang w:val="fr-CA"/>
        </w:rPr>
        <w:pict>
          <v:rect id="_x0000_i1083" style="width:2in;height:1pt" o:hrpct="0" o:hralign="center" o:hrstd="t" o:hrnoshade="t" o:hr="t" fillcolor="black [3213]" stroked="f"/>
        </w:pict>
      </w:r>
    </w:p>
    <w:p w:rsidR="00ED09CD" w:rsidRDefault="00ED09CD" w:rsidP="00ED09CD">
      <w:pPr>
        <w:widowControl w:val="0"/>
        <w:rPr>
          <w:sz w:val="20"/>
          <w:szCs w:val="20"/>
        </w:rPr>
      </w:pPr>
    </w:p>
    <w:p w:rsidR="00ED09CD" w:rsidRPr="00C50A5C" w:rsidRDefault="00ED09CD" w:rsidP="00ED09CD">
      <w:pPr>
        <w:widowControl w:val="0"/>
        <w:rPr>
          <w:sz w:val="20"/>
          <w:szCs w:val="20"/>
        </w:rPr>
      </w:pPr>
      <w:r>
        <w:rPr>
          <w:sz w:val="20"/>
          <w:szCs w:val="20"/>
        </w:rPr>
        <w:t>17</w:t>
      </w:r>
      <w:r w:rsidRPr="00C50A5C">
        <w:rPr>
          <w:sz w:val="20"/>
          <w:szCs w:val="20"/>
        </w:rPr>
        <w:t>.0</w:t>
      </w:r>
      <w:r>
        <w:rPr>
          <w:sz w:val="20"/>
          <w:szCs w:val="20"/>
        </w:rPr>
        <w:t>1</w:t>
      </w:r>
      <w:r w:rsidRPr="00C50A5C">
        <w:rPr>
          <w:sz w:val="20"/>
          <w:szCs w:val="20"/>
        </w:rPr>
        <w:t>.201</w:t>
      </w:r>
      <w:r>
        <w:rPr>
          <w:sz w:val="20"/>
          <w:szCs w:val="20"/>
        </w:rPr>
        <w:t>3</w:t>
      </w:r>
    </w:p>
    <w:p w:rsidR="00ED09CD" w:rsidRDefault="00ED09CD" w:rsidP="00ED09CD">
      <w:pPr>
        <w:widowControl w:val="0"/>
        <w:rPr>
          <w:sz w:val="20"/>
          <w:szCs w:val="20"/>
        </w:rPr>
      </w:pPr>
    </w:p>
    <w:p w:rsidR="00584545" w:rsidRPr="00165588" w:rsidRDefault="00584545" w:rsidP="00584545">
      <w:pPr>
        <w:widowControl w:val="0"/>
        <w:ind w:left="720" w:hanging="720"/>
        <w:rPr>
          <w:rFonts w:eastAsia="Calibri" w:cs="Times New Roman"/>
          <w:sz w:val="20"/>
          <w:szCs w:val="20"/>
        </w:rPr>
      </w:pPr>
      <w:r w:rsidRPr="00165588">
        <w:rPr>
          <w:rFonts w:eastAsia="Calibri" w:cs="Times New Roman"/>
          <w:sz w:val="20"/>
          <w:szCs w:val="20"/>
        </w:rPr>
        <w:t xml:space="preserve">Coram: </w:t>
      </w:r>
      <w:r w:rsidRPr="00165588">
        <w:rPr>
          <w:rFonts w:eastAsia="Calibri" w:cs="Times New Roman"/>
          <w:sz w:val="20"/>
          <w:szCs w:val="20"/>
        </w:rPr>
        <w:tab/>
      </w:r>
      <w:r w:rsidRPr="00165588">
        <w:rPr>
          <w:rFonts w:eastAsia="Calibri" w:cs="Times New Roman"/>
          <w:sz w:val="20"/>
          <w:szCs w:val="20"/>
          <w:u w:val="single"/>
        </w:rPr>
        <w:t>McLachlin C.J. and LeBel, Fish, Abella, Rothstein, Cromwell, Moldaver, Karakatsanis and Wagner JJ.</w:t>
      </w:r>
    </w:p>
    <w:p w:rsidR="00ED09CD" w:rsidRDefault="00ED09CD" w:rsidP="00ED09CD">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ED09CD" w:rsidRPr="00C50A5C" w:rsidTr="00ED09CD">
        <w:tc>
          <w:tcPr>
            <w:tcW w:w="4380" w:type="dxa"/>
            <w:tcMar>
              <w:left w:w="0" w:type="dxa"/>
              <w:right w:w="0" w:type="dxa"/>
            </w:tcMar>
          </w:tcPr>
          <w:p w:rsidR="00ED09CD" w:rsidRPr="00ED09CD" w:rsidRDefault="00ED09CD" w:rsidP="00ED09CD">
            <w:pPr>
              <w:widowControl w:val="0"/>
              <w:jc w:val="both"/>
              <w:rPr>
                <w:b/>
                <w:sz w:val="20"/>
                <w:szCs w:val="20"/>
              </w:rPr>
            </w:pPr>
            <w:r>
              <w:rPr>
                <w:b/>
                <w:sz w:val="20"/>
                <w:szCs w:val="20"/>
              </w:rPr>
              <w:t>Rachi</w:t>
            </w:r>
            <w:r w:rsidRPr="00ED09CD">
              <w:rPr>
                <w:b/>
                <w:sz w:val="20"/>
                <w:szCs w:val="20"/>
              </w:rPr>
              <w:t>d</w:t>
            </w:r>
            <w:r>
              <w:rPr>
                <w:b/>
                <w:sz w:val="20"/>
                <w:szCs w:val="20"/>
              </w:rPr>
              <w:t>i Ekanza Ez</w:t>
            </w:r>
            <w:r w:rsidRPr="00ED09CD">
              <w:rPr>
                <w:b/>
                <w:sz w:val="20"/>
                <w:szCs w:val="20"/>
              </w:rPr>
              <w:t>o</w:t>
            </w:r>
            <w:r>
              <w:rPr>
                <w:b/>
                <w:sz w:val="20"/>
                <w:szCs w:val="20"/>
              </w:rPr>
              <w:t>kola</w:t>
            </w:r>
          </w:p>
          <w:p w:rsidR="00ED09CD" w:rsidRPr="00ED09CD" w:rsidRDefault="00ED09CD" w:rsidP="00ED09CD">
            <w:pPr>
              <w:widowControl w:val="0"/>
              <w:jc w:val="both"/>
              <w:rPr>
                <w:b/>
                <w:sz w:val="20"/>
                <w:szCs w:val="20"/>
              </w:rPr>
            </w:pPr>
          </w:p>
          <w:p w:rsidR="00ED09CD" w:rsidRPr="00C50A5C" w:rsidRDefault="00ED09CD" w:rsidP="00ED09CD">
            <w:pPr>
              <w:widowControl w:val="0"/>
              <w:tabs>
                <w:tab w:val="left" w:pos="736"/>
              </w:tabs>
              <w:jc w:val="both"/>
              <w:rPr>
                <w:b/>
                <w:sz w:val="20"/>
                <w:szCs w:val="20"/>
              </w:rPr>
            </w:pPr>
            <w:r w:rsidRPr="00ED09CD">
              <w:rPr>
                <w:b/>
                <w:sz w:val="20"/>
                <w:szCs w:val="20"/>
              </w:rPr>
              <w:tab/>
            </w:r>
            <w:r w:rsidRPr="00C50A5C">
              <w:rPr>
                <w:b/>
                <w:sz w:val="20"/>
                <w:szCs w:val="20"/>
              </w:rPr>
              <w:t>v. (3</w:t>
            </w:r>
            <w:r>
              <w:rPr>
                <w:b/>
                <w:sz w:val="20"/>
                <w:szCs w:val="20"/>
              </w:rPr>
              <w:t>4470</w:t>
            </w:r>
            <w:r w:rsidRPr="00C50A5C">
              <w:rPr>
                <w:b/>
                <w:sz w:val="20"/>
                <w:szCs w:val="20"/>
              </w:rPr>
              <w:t>)</w:t>
            </w:r>
          </w:p>
          <w:p w:rsidR="00ED09CD" w:rsidRPr="00C50A5C" w:rsidRDefault="00ED09CD" w:rsidP="00ED09CD">
            <w:pPr>
              <w:widowControl w:val="0"/>
              <w:jc w:val="both"/>
              <w:rPr>
                <w:b/>
                <w:sz w:val="20"/>
                <w:szCs w:val="20"/>
              </w:rPr>
            </w:pPr>
          </w:p>
          <w:p w:rsidR="00ED09CD" w:rsidRPr="00ED09CD" w:rsidRDefault="00ED09CD" w:rsidP="00ED09CD">
            <w:pPr>
              <w:widowControl w:val="0"/>
              <w:jc w:val="both"/>
              <w:rPr>
                <w:sz w:val="20"/>
                <w:szCs w:val="20"/>
              </w:rPr>
            </w:pPr>
            <w:r>
              <w:rPr>
                <w:b/>
                <w:sz w:val="20"/>
                <w:szCs w:val="20"/>
              </w:rPr>
              <w:t>Minister of Citizenship and Immigration</w:t>
            </w:r>
            <w:r w:rsidRPr="00C50A5C">
              <w:rPr>
                <w:b/>
                <w:sz w:val="20"/>
                <w:szCs w:val="20"/>
              </w:rPr>
              <w:t xml:space="preserve"> (</w:t>
            </w:r>
            <w:r>
              <w:rPr>
                <w:b/>
                <w:sz w:val="20"/>
                <w:szCs w:val="20"/>
              </w:rPr>
              <w:t>F</w:t>
            </w:r>
            <w:r w:rsidRPr="00C50A5C">
              <w:rPr>
                <w:b/>
                <w:sz w:val="20"/>
                <w:szCs w:val="20"/>
              </w:rPr>
              <w:t>.</w:t>
            </w:r>
            <w:r>
              <w:rPr>
                <w:b/>
                <w:sz w:val="20"/>
                <w:szCs w:val="20"/>
              </w:rPr>
              <w:t>C</w:t>
            </w:r>
            <w:r w:rsidRPr="00C50A5C">
              <w:rPr>
                <w:b/>
                <w:sz w:val="20"/>
                <w:szCs w:val="20"/>
              </w:rPr>
              <w:t>.) (Civil) (By Leave)</w:t>
            </w:r>
          </w:p>
        </w:tc>
        <w:tc>
          <w:tcPr>
            <w:tcW w:w="720" w:type="dxa"/>
            <w:tcMar>
              <w:left w:w="0" w:type="dxa"/>
              <w:right w:w="0" w:type="dxa"/>
            </w:tcMar>
          </w:tcPr>
          <w:p w:rsidR="00ED09CD" w:rsidRPr="00ED09CD" w:rsidRDefault="00ED09CD" w:rsidP="00ED09CD">
            <w:pPr>
              <w:widowControl w:val="0"/>
              <w:jc w:val="center"/>
              <w:rPr>
                <w:sz w:val="20"/>
                <w:szCs w:val="20"/>
              </w:rPr>
            </w:pPr>
          </w:p>
        </w:tc>
        <w:tc>
          <w:tcPr>
            <w:tcW w:w="4380" w:type="dxa"/>
            <w:tcMar>
              <w:left w:w="0" w:type="dxa"/>
              <w:right w:w="0" w:type="dxa"/>
            </w:tcMar>
          </w:tcPr>
          <w:p w:rsidR="001A67ED" w:rsidRPr="00CC0985" w:rsidRDefault="001A67ED" w:rsidP="001A67ED">
            <w:pPr>
              <w:jc w:val="both"/>
              <w:rPr>
                <w:sz w:val="20"/>
                <w:szCs w:val="20"/>
              </w:rPr>
            </w:pPr>
            <w:r w:rsidRPr="00CC0985">
              <w:rPr>
                <w:sz w:val="20"/>
                <w:szCs w:val="20"/>
              </w:rPr>
              <w:t>Jared Will</w:t>
            </w:r>
            <w:r>
              <w:rPr>
                <w:sz w:val="20"/>
                <w:szCs w:val="20"/>
              </w:rPr>
              <w:t xml:space="preserve">, </w:t>
            </w:r>
            <w:r w:rsidRPr="00CC0985">
              <w:rPr>
                <w:sz w:val="20"/>
                <w:szCs w:val="20"/>
              </w:rPr>
              <w:t>Annick Legault</w:t>
            </w:r>
            <w:r>
              <w:rPr>
                <w:sz w:val="20"/>
                <w:szCs w:val="20"/>
              </w:rPr>
              <w:t xml:space="preserve"> and </w:t>
            </w:r>
            <w:r w:rsidRPr="00CC0985">
              <w:rPr>
                <w:sz w:val="20"/>
                <w:szCs w:val="20"/>
              </w:rPr>
              <w:t>Peter Shams</w:t>
            </w:r>
            <w:r>
              <w:rPr>
                <w:sz w:val="20"/>
                <w:szCs w:val="20"/>
              </w:rPr>
              <w:t xml:space="preserve"> f</w:t>
            </w:r>
            <w:r w:rsidRPr="00CC0985">
              <w:rPr>
                <w:sz w:val="20"/>
                <w:szCs w:val="20"/>
              </w:rPr>
              <w:t xml:space="preserve">or the </w:t>
            </w:r>
            <w:r>
              <w:rPr>
                <w:sz w:val="20"/>
                <w:szCs w:val="20"/>
              </w:rPr>
              <w:t>a</w:t>
            </w:r>
            <w:r w:rsidRPr="00CC0985">
              <w:rPr>
                <w:sz w:val="20"/>
                <w:szCs w:val="20"/>
              </w:rPr>
              <w:t>ppellant</w:t>
            </w:r>
            <w:r>
              <w:rPr>
                <w:sz w:val="20"/>
                <w:szCs w:val="20"/>
              </w:rPr>
              <w:t>.</w:t>
            </w:r>
          </w:p>
          <w:p w:rsidR="001A67ED" w:rsidRPr="00CC0985" w:rsidRDefault="001A67ED" w:rsidP="001A67ED">
            <w:pPr>
              <w:jc w:val="both"/>
              <w:rPr>
                <w:sz w:val="20"/>
                <w:szCs w:val="20"/>
              </w:rPr>
            </w:pPr>
          </w:p>
          <w:p w:rsidR="001A67ED" w:rsidRPr="00CC0985" w:rsidRDefault="001A67ED" w:rsidP="001A67ED">
            <w:pPr>
              <w:jc w:val="both"/>
              <w:rPr>
                <w:sz w:val="20"/>
                <w:szCs w:val="20"/>
              </w:rPr>
            </w:pPr>
            <w:r w:rsidRPr="00CC0985">
              <w:rPr>
                <w:sz w:val="20"/>
                <w:szCs w:val="20"/>
              </w:rPr>
              <w:t>Lorne Waldman</w:t>
            </w:r>
            <w:r>
              <w:rPr>
                <w:sz w:val="20"/>
                <w:szCs w:val="20"/>
              </w:rPr>
              <w:t xml:space="preserve">, </w:t>
            </w:r>
            <w:r w:rsidRPr="00CC0985">
              <w:rPr>
                <w:sz w:val="20"/>
                <w:szCs w:val="20"/>
              </w:rPr>
              <w:t>Jacqueline Swaisland</w:t>
            </w:r>
            <w:r>
              <w:rPr>
                <w:sz w:val="20"/>
                <w:szCs w:val="20"/>
              </w:rPr>
              <w:t xml:space="preserve">, </w:t>
            </w:r>
            <w:r w:rsidRPr="00CC0985">
              <w:rPr>
                <w:sz w:val="20"/>
                <w:szCs w:val="20"/>
              </w:rPr>
              <w:t>Kylie Buday</w:t>
            </w:r>
            <w:r>
              <w:rPr>
                <w:sz w:val="20"/>
                <w:szCs w:val="20"/>
              </w:rPr>
              <w:t xml:space="preserve"> and </w:t>
            </w:r>
            <w:r w:rsidRPr="00CC0985">
              <w:rPr>
                <w:sz w:val="20"/>
                <w:szCs w:val="20"/>
              </w:rPr>
              <w:t>Rana Khan</w:t>
            </w:r>
            <w:r>
              <w:rPr>
                <w:sz w:val="20"/>
                <w:szCs w:val="20"/>
              </w:rPr>
              <w:t xml:space="preserve"> f</w:t>
            </w:r>
            <w:r w:rsidRPr="00CC0985">
              <w:rPr>
                <w:sz w:val="20"/>
                <w:szCs w:val="20"/>
              </w:rPr>
              <w:t xml:space="preserve">or the </w:t>
            </w:r>
            <w:r>
              <w:rPr>
                <w:sz w:val="20"/>
                <w:szCs w:val="20"/>
              </w:rPr>
              <w:t>i</w:t>
            </w:r>
            <w:r w:rsidRPr="00CC0985">
              <w:rPr>
                <w:sz w:val="20"/>
                <w:szCs w:val="20"/>
              </w:rPr>
              <w:t>ntervener</w:t>
            </w:r>
            <w:r>
              <w:rPr>
                <w:sz w:val="20"/>
                <w:szCs w:val="20"/>
              </w:rPr>
              <w:t xml:space="preserve"> </w:t>
            </w:r>
            <w:r w:rsidRPr="00CC0985">
              <w:rPr>
                <w:sz w:val="20"/>
                <w:szCs w:val="20"/>
              </w:rPr>
              <w:t>United Nations High Commissioner for Refugees</w:t>
            </w:r>
            <w:r>
              <w:rPr>
                <w:sz w:val="20"/>
                <w:szCs w:val="20"/>
              </w:rPr>
              <w:t>.</w:t>
            </w:r>
          </w:p>
          <w:p w:rsidR="001A67ED" w:rsidRPr="00CC0985" w:rsidRDefault="001A67ED" w:rsidP="001A67ED">
            <w:pPr>
              <w:jc w:val="both"/>
              <w:rPr>
                <w:sz w:val="20"/>
                <w:szCs w:val="20"/>
              </w:rPr>
            </w:pPr>
          </w:p>
          <w:p w:rsidR="001A67ED" w:rsidRPr="00CC0985" w:rsidRDefault="001A67ED" w:rsidP="001A67ED">
            <w:pPr>
              <w:jc w:val="both"/>
              <w:rPr>
                <w:sz w:val="20"/>
                <w:szCs w:val="20"/>
              </w:rPr>
            </w:pPr>
            <w:r w:rsidRPr="00CC0985">
              <w:rPr>
                <w:sz w:val="20"/>
                <w:szCs w:val="20"/>
              </w:rPr>
              <w:t>Michael Bossin</w:t>
            </w:r>
            <w:r>
              <w:rPr>
                <w:sz w:val="20"/>
                <w:szCs w:val="20"/>
              </w:rPr>
              <w:t xml:space="preserve">, </w:t>
            </w:r>
            <w:r w:rsidRPr="00CC0985">
              <w:rPr>
                <w:sz w:val="20"/>
                <w:szCs w:val="20"/>
              </w:rPr>
              <w:t>Chantal Tie</w:t>
            </w:r>
            <w:r>
              <w:rPr>
                <w:sz w:val="20"/>
                <w:szCs w:val="20"/>
              </w:rPr>
              <w:t xml:space="preserve"> and </w:t>
            </w:r>
            <w:r w:rsidRPr="00CC0985">
              <w:rPr>
                <w:sz w:val="20"/>
                <w:szCs w:val="20"/>
              </w:rPr>
              <w:t>Laïla Demirdache</w:t>
            </w:r>
            <w:r>
              <w:rPr>
                <w:sz w:val="20"/>
                <w:szCs w:val="20"/>
              </w:rPr>
              <w:t xml:space="preserve"> f</w:t>
            </w:r>
            <w:r w:rsidRPr="00CC0985">
              <w:rPr>
                <w:sz w:val="20"/>
                <w:szCs w:val="20"/>
              </w:rPr>
              <w:t xml:space="preserve">or the </w:t>
            </w:r>
            <w:r>
              <w:rPr>
                <w:sz w:val="20"/>
                <w:szCs w:val="20"/>
              </w:rPr>
              <w:t>i</w:t>
            </w:r>
            <w:r w:rsidRPr="00CC0985">
              <w:rPr>
                <w:sz w:val="20"/>
                <w:szCs w:val="20"/>
              </w:rPr>
              <w:t>ntervener</w:t>
            </w:r>
            <w:r>
              <w:rPr>
                <w:sz w:val="20"/>
                <w:szCs w:val="20"/>
              </w:rPr>
              <w:t xml:space="preserve"> </w:t>
            </w:r>
            <w:r w:rsidRPr="00CC0985">
              <w:rPr>
                <w:sz w:val="20"/>
                <w:szCs w:val="20"/>
              </w:rPr>
              <w:t>Amnesty International</w:t>
            </w:r>
            <w:r>
              <w:rPr>
                <w:sz w:val="20"/>
                <w:szCs w:val="20"/>
              </w:rPr>
              <w:t>.</w:t>
            </w:r>
          </w:p>
          <w:p w:rsidR="001A67ED" w:rsidRPr="00CC0985" w:rsidRDefault="001A67ED" w:rsidP="001A67ED">
            <w:pPr>
              <w:jc w:val="both"/>
              <w:rPr>
                <w:sz w:val="20"/>
                <w:szCs w:val="20"/>
              </w:rPr>
            </w:pPr>
          </w:p>
          <w:p w:rsidR="001A67ED" w:rsidRPr="00CC0985" w:rsidRDefault="001A67ED" w:rsidP="001A67ED">
            <w:pPr>
              <w:jc w:val="both"/>
              <w:rPr>
                <w:sz w:val="20"/>
                <w:szCs w:val="20"/>
              </w:rPr>
            </w:pPr>
            <w:r w:rsidRPr="00CC0985">
              <w:rPr>
                <w:sz w:val="20"/>
                <w:szCs w:val="20"/>
              </w:rPr>
              <w:t>John Terry</w:t>
            </w:r>
            <w:r>
              <w:rPr>
                <w:sz w:val="20"/>
                <w:szCs w:val="20"/>
              </w:rPr>
              <w:t xml:space="preserve">, </w:t>
            </w:r>
            <w:r w:rsidRPr="00CC0985">
              <w:rPr>
                <w:sz w:val="20"/>
                <w:szCs w:val="20"/>
              </w:rPr>
              <w:t>Sarah R. Shody</w:t>
            </w:r>
            <w:r>
              <w:rPr>
                <w:sz w:val="20"/>
                <w:szCs w:val="20"/>
              </w:rPr>
              <w:t xml:space="preserve"> and </w:t>
            </w:r>
            <w:r w:rsidRPr="00CC0985">
              <w:rPr>
                <w:sz w:val="20"/>
                <w:szCs w:val="20"/>
              </w:rPr>
              <w:t>Renu Mandhane</w:t>
            </w:r>
            <w:r>
              <w:rPr>
                <w:sz w:val="20"/>
                <w:szCs w:val="20"/>
              </w:rPr>
              <w:t xml:space="preserve"> f</w:t>
            </w:r>
            <w:r w:rsidRPr="00CC0985">
              <w:rPr>
                <w:sz w:val="20"/>
                <w:szCs w:val="20"/>
              </w:rPr>
              <w:t xml:space="preserve">or the </w:t>
            </w:r>
            <w:r>
              <w:rPr>
                <w:sz w:val="20"/>
                <w:szCs w:val="20"/>
              </w:rPr>
              <w:t>i</w:t>
            </w:r>
            <w:r w:rsidRPr="00CC0985">
              <w:rPr>
                <w:sz w:val="20"/>
                <w:szCs w:val="20"/>
              </w:rPr>
              <w:t>nterveners</w:t>
            </w:r>
            <w:r>
              <w:rPr>
                <w:sz w:val="20"/>
                <w:szCs w:val="20"/>
              </w:rPr>
              <w:t xml:space="preserve"> </w:t>
            </w:r>
            <w:r w:rsidRPr="00CC0985">
              <w:rPr>
                <w:sz w:val="20"/>
                <w:szCs w:val="20"/>
              </w:rPr>
              <w:t>Canadian Centre for International Justice et al.</w:t>
            </w:r>
          </w:p>
          <w:p w:rsidR="001A67ED" w:rsidRPr="00CC0985" w:rsidRDefault="001A67ED" w:rsidP="001A67ED">
            <w:pPr>
              <w:jc w:val="both"/>
              <w:rPr>
                <w:sz w:val="20"/>
                <w:szCs w:val="20"/>
              </w:rPr>
            </w:pPr>
          </w:p>
          <w:p w:rsidR="001A67ED" w:rsidRPr="00CC0985" w:rsidRDefault="001A67ED" w:rsidP="001A67ED">
            <w:pPr>
              <w:jc w:val="both"/>
              <w:rPr>
                <w:sz w:val="20"/>
                <w:szCs w:val="20"/>
              </w:rPr>
            </w:pPr>
            <w:r w:rsidRPr="00CC0985">
              <w:rPr>
                <w:sz w:val="20"/>
                <w:szCs w:val="20"/>
              </w:rPr>
              <w:t>Catherine Dauvergne</w:t>
            </w:r>
            <w:r>
              <w:rPr>
                <w:sz w:val="20"/>
                <w:szCs w:val="20"/>
              </w:rPr>
              <w:t xml:space="preserve">, </w:t>
            </w:r>
            <w:r w:rsidRPr="00CC0985">
              <w:rPr>
                <w:sz w:val="20"/>
                <w:szCs w:val="20"/>
              </w:rPr>
              <w:t>Angus Grant</w:t>
            </w:r>
            <w:r>
              <w:rPr>
                <w:sz w:val="20"/>
                <w:szCs w:val="20"/>
              </w:rPr>
              <w:t xml:space="preserve"> and </w:t>
            </w:r>
            <w:r w:rsidRPr="00CC0985">
              <w:rPr>
                <w:sz w:val="20"/>
                <w:szCs w:val="20"/>
              </w:rPr>
              <w:t>Pia Zambelli</w:t>
            </w:r>
            <w:r>
              <w:rPr>
                <w:sz w:val="20"/>
                <w:szCs w:val="20"/>
              </w:rPr>
              <w:t xml:space="preserve"> f</w:t>
            </w:r>
            <w:r w:rsidRPr="00CC0985">
              <w:rPr>
                <w:sz w:val="20"/>
                <w:szCs w:val="20"/>
              </w:rPr>
              <w:t xml:space="preserve">or the </w:t>
            </w:r>
            <w:r>
              <w:rPr>
                <w:sz w:val="20"/>
                <w:szCs w:val="20"/>
              </w:rPr>
              <w:t>i</w:t>
            </w:r>
            <w:r w:rsidRPr="00CC0985">
              <w:rPr>
                <w:sz w:val="20"/>
                <w:szCs w:val="20"/>
              </w:rPr>
              <w:t>ntervener</w:t>
            </w:r>
            <w:r>
              <w:rPr>
                <w:sz w:val="20"/>
                <w:szCs w:val="20"/>
              </w:rPr>
              <w:t xml:space="preserve"> </w:t>
            </w:r>
            <w:r w:rsidRPr="00CC0985">
              <w:rPr>
                <w:sz w:val="20"/>
                <w:szCs w:val="20"/>
              </w:rPr>
              <w:t>Canadian Council for Refugees</w:t>
            </w:r>
            <w:r>
              <w:rPr>
                <w:sz w:val="20"/>
                <w:szCs w:val="20"/>
              </w:rPr>
              <w:t>.</w:t>
            </w:r>
          </w:p>
          <w:p w:rsidR="001A67ED" w:rsidRPr="00CC0985" w:rsidRDefault="001A67ED" w:rsidP="001A67ED">
            <w:pPr>
              <w:jc w:val="both"/>
              <w:rPr>
                <w:sz w:val="20"/>
                <w:szCs w:val="20"/>
              </w:rPr>
            </w:pPr>
          </w:p>
          <w:p w:rsidR="001A67ED" w:rsidRPr="00CC0985" w:rsidRDefault="001A67ED" w:rsidP="001A67ED">
            <w:pPr>
              <w:jc w:val="both"/>
              <w:rPr>
                <w:sz w:val="20"/>
                <w:szCs w:val="20"/>
              </w:rPr>
            </w:pPr>
            <w:r w:rsidRPr="00CC0985">
              <w:rPr>
                <w:sz w:val="20"/>
                <w:szCs w:val="20"/>
              </w:rPr>
              <w:t>Sukanya Pillay</w:t>
            </w:r>
            <w:r>
              <w:rPr>
                <w:sz w:val="20"/>
                <w:szCs w:val="20"/>
              </w:rPr>
              <w:t xml:space="preserve"> f</w:t>
            </w:r>
            <w:r w:rsidRPr="00CC0985">
              <w:rPr>
                <w:sz w:val="20"/>
                <w:szCs w:val="20"/>
              </w:rPr>
              <w:t xml:space="preserve">or the </w:t>
            </w:r>
            <w:r>
              <w:rPr>
                <w:sz w:val="20"/>
                <w:szCs w:val="20"/>
              </w:rPr>
              <w:t>i</w:t>
            </w:r>
            <w:r w:rsidRPr="00CC0985">
              <w:rPr>
                <w:sz w:val="20"/>
                <w:szCs w:val="20"/>
              </w:rPr>
              <w:t>ntervener</w:t>
            </w:r>
            <w:r>
              <w:rPr>
                <w:sz w:val="20"/>
                <w:szCs w:val="20"/>
              </w:rPr>
              <w:t xml:space="preserve"> </w:t>
            </w:r>
            <w:r w:rsidRPr="00CC0985">
              <w:rPr>
                <w:sz w:val="20"/>
                <w:szCs w:val="20"/>
              </w:rPr>
              <w:t>Canadian Civil Liberties Association</w:t>
            </w:r>
            <w:r>
              <w:rPr>
                <w:sz w:val="20"/>
                <w:szCs w:val="20"/>
              </w:rPr>
              <w:t>.</w:t>
            </w:r>
          </w:p>
          <w:p w:rsidR="001A67ED" w:rsidRPr="00CC0985" w:rsidRDefault="001A67ED" w:rsidP="001A67ED">
            <w:pPr>
              <w:jc w:val="both"/>
              <w:rPr>
                <w:sz w:val="20"/>
                <w:szCs w:val="20"/>
              </w:rPr>
            </w:pPr>
          </w:p>
          <w:p w:rsidR="001A67ED" w:rsidRPr="00CC0985" w:rsidRDefault="001A67ED" w:rsidP="001A67ED">
            <w:pPr>
              <w:jc w:val="both"/>
              <w:rPr>
                <w:sz w:val="20"/>
                <w:szCs w:val="20"/>
              </w:rPr>
            </w:pPr>
            <w:r w:rsidRPr="00CC0985">
              <w:rPr>
                <w:sz w:val="20"/>
                <w:szCs w:val="20"/>
              </w:rPr>
              <w:t>Jennifer Bond</w:t>
            </w:r>
            <w:r>
              <w:rPr>
                <w:sz w:val="20"/>
                <w:szCs w:val="20"/>
              </w:rPr>
              <w:t xml:space="preserve">, </w:t>
            </w:r>
            <w:r w:rsidRPr="00CC0985">
              <w:rPr>
                <w:sz w:val="20"/>
                <w:szCs w:val="20"/>
              </w:rPr>
              <w:t>Carole Simone Dahan</w:t>
            </w:r>
            <w:r>
              <w:rPr>
                <w:sz w:val="20"/>
                <w:szCs w:val="20"/>
              </w:rPr>
              <w:t xml:space="preserve">, </w:t>
            </w:r>
            <w:r w:rsidRPr="00CC0985">
              <w:rPr>
                <w:sz w:val="20"/>
                <w:szCs w:val="20"/>
              </w:rPr>
              <w:t>Aviva Basman</w:t>
            </w:r>
            <w:r>
              <w:rPr>
                <w:sz w:val="20"/>
                <w:szCs w:val="20"/>
              </w:rPr>
              <w:t xml:space="preserve"> and </w:t>
            </w:r>
            <w:r w:rsidRPr="00CC0985">
              <w:rPr>
                <w:sz w:val="20"/>
                <w:szCs w:val="20"/>
              </w:rPr>
              <w:t>Andrew Brouwer</w:t>
            </w:r>
            <w:r>
              <w:rPr>
                <w:sz w:val="20"/>
                <w:szCs w:val="20"/>
              </w:rPr>
              <w:t xml:space="preserve"> f</w:t>
            </w:r>
            <w:r w:rsidRPr="00CC0985">
              <w:rPr>
                <w:sz w:val="20"/>
                <w:szCs w:val="20"/>
              </w:rPr>
              <w:t xml:space="preserve">or the </w:t>
            </w:r>
            <w:r>
              <w:rPr>
                <w:sz w:val="20"/>
                <w:szCs w:val="20"/>
              </w:rPr>
              <w:t>i</w:t>
            </w:r>
            <w:r w:rsidRPr="00CC0985">
              <w:rPr>
                <w:sz w:val="20"/>
                <w:szCs w:val="20"/>
              </w:rPr>
              <w:t>ntervener</w:t>
            </w:r>
            <w:r>
              <w:rPr>
                <w:sz w:val="20"/>
                <w:szCs w:val="20"/>
              </w:rPr>
              <w:t xml:space="preserve"> </w:t>
            </w:r>
            <w:r w:rsidRPr="00CC0985">
              <w:rPr>
                <w:sz w:val="20"/>
                <w:szCs w:val="20"/>
              </w:rPr>
              <w:t>Canadian Association of Refugee Lawyers</w:t>
            </w:r>
            <w:r>
              <w:rPr>
                <w:sz w:val="20"/>
                <w:szCs w:val="20"/>
              </w:rPr>
              <w:t>.</w:t>
            </w:r>
          </w:p>
          <w:p w:rsidR="001A67ED" w:rsidRPr="00CC0985" w:rsidRDefault="001A67ED" w:rsidP="001A67ED">
            <w:pPr>
              <w:jc w:val="both"/>
              <w:rPr>
                <w:sz w:val="20"/>
                <w:szCs w:val="20"/>
              </w:rPr>
            </w:pPr>
          </w:p>
          <w:p w:rsidR="00ED09CD" w:rsidRPr="00C50A5C" w:rsidRDefault="001A67ED" w:rsidP="001A67ED">
            <w:pPr>
              <w:jc w:val="both"/>
              <w:rPr>
                <w:sz w:val="20"/>
                <w:szCs w:val="20"/>
              </w:rPr>
            </w:pPr>
            <w:r w:rsidRPr="00CC0985">
              <w:rPr>
                <w:sz w:val="20"/>
                <w:szCs w:val="20"/>
              </w:rPr>
              <w:t>François Joyal</w:t>
            </w:r>
            <w:r>
              <w:rPr>
                <w:sz w:val="20"/>
                <w:szCs w:val="20"/>
              </w:rPr>
              <w:t xml:space="preserve"> and </w:t>
            </w:r>
            <w:r w:rsidRPr="00CC0985">
              <w:rPr>
                <w:sz w:val="20"/>
                <w:szCs w:val="20"/>
              </w:rPr>
              <w:t>Ginette Gobeil</w:t>
            </w:r>
            <w:r>
              <w:rPr>
                <w:sz w:val="20"/>
                <w:szCs w:val="20"/>
              </w:rPr>
              <w:t xml:space="preserve"> f</w:t>
            </w:r>
            <w:r w:rsidRPr="00CC0985">
              <w:rPr>
                <w:sz w:val="20"/>
                <w:szCs w:val="20"/>
              </w:rPr>
              <w:t xml:space="preserve">or the </w:t>
            </w:r>
            <w:r>
              <w:rPr>
                <w:sz w:val="20"/>
                <w:szCs w:val="20"/>
              </w:rPr>
              <w:t>r</w:t>
            </w:r>
            <w:r w:rsidRPr="00CC0985">
              <w:rPr>
                <w:sz w:val="20"/>
                <w:szCs w:val="20"/>
              </w:rPr>
              <w:t>espondent.</w:t>
            </w:r>
          </w:p>
        </w:tc>
      </w:tr>
    </w:tbl>
    <w:p w:rsidR="00ED09CD" w:rsidRDefault="00ED09CD" w:rsidP="00ED09CD">
      <w:pPr>
        <w:widowControl w:val="0"/>
      </w:pPr>
    </w:p>
    <w:p w:rsidR="00ED09CD" w:rsidRPr="0085476B" w:rsidRDefault="00ED09CD" w:rsidP="00ED09CD">
      <w:pPr>
        <w:widowControl w:val="0"/>
        <w:rPr>
          <w:sz w:val="20"/>
          <w:szCs w:val="20"/>
        </w:rPr>
      </w:pPr>
      <w:r w:rsidRPr="0085476B">
        <w:rPr>
          <w:b/>
          <w:sz w:val="20"/>
          <w:szCs w:val="20"/>
        </w:rPr>
        <w:t xml:space="preserve">RESERVED / </w:t>
      </w:r>
      <w:r w:rsidRPr="00ED09CD">
        <w:rPr>
          <w:b/>
          <w:sz w:val="20"/>
          <w:szCs w:val="20"/>
        </w:rPr>
        <w:t>EN DÉLIBÉRÉ</w:t>
      </w:r>
    </w:p>
    <w:p w:rsidR="00ED09CD" w:rsidRDefault="00ED09CD" w:rsidP="00ED09CD"/>
    <w:tbl>
      <w:tblPr>
        <w:tblW w:w="0" w:type="auto"/>
        <w:tblLayout w:type="fixed"/>
        <w:tblCellMar>
          <w:left w:w="0" w:type="dxa"/>
          <w:right w:w="0" w:type="dxa"/>
        </w:tblCellMar>
        <w:tblLook w:val="0000"/>
      </w:tblPr>
      <w:tblGrid>
        <w:gridCol w:w="4380"/>
        <w:gridCol w:w="720"/>
        <w:gridCol w:w="4380"/>
      </w:tblGrid>
      <w:tr w:rsidR="00ED09CD" w:rsidRPr="00334802" w:rsidTr="00ED09CD">
        <w:tc>
          <w:tcPr>
            <w:tcW w:w="4380" w:type="dxa"/>
            <w:tcMar>
              <w:left w:w="0" w:type="dxa"/>
              <w:right w:w="0" w:type="dxa"/>
            </w:tcMar>
          </w:tcPr>
          <w:p w:rsidR="00ED09CD" w:rsidRPr="00CC4D84" w:rsidRDefault="00ED09CD" w:rsidP="00ED09CD">
            <w:pPr>
              <w:widowControl w:val="0"/>
              <w:jc w:val="both"/>
              <w:rPr>
                <w:b/>
                <w:sz w:val="20"/>
                <w:szCs w:val="20"/>
                <w:u w:val="single"/>
              </w:rPr>
            </w:pPr>
            <w:r w:rsidRPr="00CC4D84">
              <w:rPr>
                <w:b/>
                <w:sz w:val="20"/>
                <w:szCs w:val="20"/>
                <w:u w:val="single"/>
              </w:rPr>
              <w:t>Nature of the case:</w:t>
            </w:r>
          </w:p>
          <w:p w:rsidR="00ED09CD" w:rsidRPr="00C1697B" w:rsidRDefault="00ED09CD" w:rsidP="00ED09CD">
            <w:pPr>
              <w:widowControl w:val="0"/>
              <w:jc w:val="both"/>
              <w:rPr>
                <w:b/>
                <w:sz w:val="20"/>
                <w:szCs w:val="20"/>
              </w:rPr>
            </w:pPr>
          </w:p>
          <w:p w:rsidR="00ED09CD" w:rsidRPr="00C1697B" w:rsidRDefault="00142B6F" w:rsidP="00ED09CD">
            <w:pPr>
              <w:widowControl w:val="0"/>
              <w:jc w:val="both"/>
              <w:rPr>
                <w:b/>
                <w:sz w:val="20"/>
                <w:szCs w:val="20"/>
              </w:rPr>
            </w:pPr>
            <w:bookmarkStart w:id="1" w:name="_GoBack"/>
            <w:r w:rsidRPr="00560DC7">
              <w:rPr>
                <w:sz w:val="20"/>
                <w:szCs w:val="20"/>
              </w:rPr>
              <w:t xml:space="preserve">Immigration </w:t>
            </w:r>
            <w:r w:rsidRPr="00560DC7">
              <w:rPr>
                <w:sz w:val="20"/>
                <w:szCs w:val="20"/>
              </w:rPr>
              <w:noBreakHyphen/>
              <w:t xml:space="preserve"> Refugee Status </w:t>
            </w:r>
            <w:r w:rsidRPr="00560DC7">
              <w:rPr>
                <w:sz w:val="20"/>
                <w:szCs w:val="20"/>
              </w:rPr>
              <w:noBreakHyphen/>
              <w:t xml:space="preserve"> Decision of Immigration and Refugee Board excluding appellant from definition of “refugee” as defined in Article 1F(a) of the </w:t>
            </w:r>
            <w:r w:rsidRPr="00560DC7">
              <w:rPr>
                <w:i/>
                <w:sz w:val="20"/>
                <w:szCs w:val="20"/>
              </w:rPr>
              <w:t>United Nations Convention Relating to the Status of Refugees</w:t>
            </w:r>
            <w:r w:rsidRPr="00560DC7">
              <w:rPr>
                <w:sz w:val="20"/>
                <w:szCs w:val="20"/>
              </w:rPr>
              <w:t xml:space="preserve">, July 28, 1951, [1969] Can. T.S. No. 6, on basis of complicity by association in war crimes and crimes against humanity </w:t>
            </w:r>
            <w:r w:rsidRPr="00560DC7">
              <w:rPr>
                <w:sz w:val="20"/>
                <w:szCs w:val="20"/>
              </w:rPr>
              <w:noBreakHyphen/>
              <w:t xml:space="preserve"> Test for complicity </w:t>
            </w:r>
            <w:r w:rsidRPr="00560DC7">
              <w:rPr>
                <w:sz w:val="20"/>
                <w:szCs w:val="20"/>
              </w:rPr>
              <w:noBreakHyphen/>
              <w:t xml:space="preserve"> For purposes of the application of art. 1F(a) of the </w:t>
            </w:r>
            <w:r w:rsidRPr="00560DC7">
              <w:rPr>
                <w:i/>
                <w:sz w:val="20"/>
                <w:szCs w:val="20"/>
              </w:rPr>
              <w:t>United Nations Convention Relating to the Status of Refugees</w:t>
            </w:r>
            <w:r w:rsidRPr="00560DC7">
              <w:rPr>
                <w:sz w:val="20"/>
                <w:szCs w:val="20"/>
              </w:rPr>
              <w:t>, what is the correct legal standard for culpable complicity in international crimes?</w:t>
            </w:r>
            <w:bookmarkEnd w:id="1"/>
          </w:p>
        </w:tc>
        <w:tc>
          <w:tcPr>
            <w:tcW w:w="720" w:type="dxa"/>
            <w:tcMar>
              <w:left w:w="0" w:type="dxa"/>
              <w:right w:w="0" w:type="dxa"/>
            </w:tcMar>
          </w:tcPr>
          <w:p w:rsidR="00ED09CD" w:rsidRPr="00C1697B" w:rsidRDefault="00ED09CD" w:rsidP="00ED09CD">
            <w:pPr>
              <w:widowControl w:val="0"/>
              <w:jc w:val="center"/>
              <w:rPr>
                <w:sz w:val="20"/>
                <w:szCs w:val="20"/>
              </w:rPr>
            </w:pPr>
          </w:p>
        </w:tc>
        <w:tc>
          <w:tcPr>
            <w:tcW w:w="4380" w:type="dxa"/>
            <w:tcMar>
              <w:left w:w="0" w:type="dxa"/>
              <w:right w:w="0" w:type="dxa"/>
            </w:tcMar>
          </w:tcPr>
          <w:p w:rsidR="00ED09CD" w:rsidRPr="00142B6F" w:rsidRDefault="00ED09CD" w:rsidP="00ED09CD">
            <w:pPr>
              <w:widowControl w:val="0"/>
              <w:jc w:val="both"/>
              <w:rPr>
                <w:b/>
                <w:sz w:val="20"/>
                <w:szCs w:val="20"/>
                <w:u w:val="single"/>
                <w:lang w:val="fr-CA"/>
              </w:rPr>
            </w:pPr>
            <w:r w:rsidRPr="00142B6F">
              <w:rPr>
                <w:b/>
                <w:sz w:val="20"/>
                <w:szCs w:val="20"/>
                <w:u w:val="single"/>
                <w:lang w:val="fr-CA"/>
              </w:rPr>
              <w:t>Nature de la cause :</w:t>
            </w:r>
          </w:p>
          <w:p w:rsidR="00ED09CD" w:rsidRPr="00142B6F" w:rsidRDefault="00ED09CD" w:rsidP="00ED09CD">
            <w:pPr>
              <w:widowControl w:val="0"/>
              <w:jc w:val="both"/>
              <w:rPr>
                <w:sz w:val="20"/>
                <w:szCs w:val="20"/>
                <w:lang w:val="fr-CA"/>
              </w:rPr>
            </w:pPr>
          </w:p>
          <w:p w:rsidR="00ED09CD" w:rsidRPr="00142B6F" w:rsidRDefault="00142B6F" w:rsidP="00ED09CD">
            <w:pPr>
              <w:widowControl w:val="0"/>
              <w:jc w:val="both"/>
              <w:rPr>
                <w:sz w:val="20"/>
                <w:szCs w:val="20"/>
                <w:lang w:val="fr-CA"/>
              </w:rPr>
            </w:pPr>
            <w:r w:rsidRPr="007872F6">
              <w:rPr>
                <w:iCs/>
                <w:sz w:val="20"/>
                <w:szCs w:val="20"/>
                <w:lang w:val="fr-CA"/>
              </w:rPr>
              <w:t xml:space="preserve">Immigration </w:t>
            </w:r>
            <w:r w:rsidRPr="007872F6">
              <w:rPr>
                <w:iCs/>
                <w:sz w:val="20"/>
                <w:szCs w:val="20"/>
                <w:lang w:val="fr-CA"/>
              </w:rPr>
              <w:noBreakHyphen/>
              <w:t xml:space="preserve"> Statut de réfugié </w:t>
            </w:r>
            <w:r w:rsidRPr="007872F6">
              <w:rPr>
                <w:iCs/>
                <w:sz w:val="20"/>
                <w:szCs w:val="20"/>
                <w:lang w:val="fr-CA"/>
              </w:rPr>
              <w:noBreakHyphen/>
              <w:t xml:space="preserve"> Décision de la Commission de l’immigration et du statut de réfugié de refuser à l’appelant le statut de refugié au sens de l’article 1Fa) de la </w:t>
            </w:r>
            <w:r w:rsidRPr="007872F6">
              <w:rPr>
                <w:i/>
                <w:iCs/>
                <w:sz w:val="20"/>
                <w:szCs w:val="20"/>
                <w:lang w:val="fr-CA"/>
              </w:rPr>
              <w:t>Convention des Nations Unies relative au statut des réfugiés</w:t>
            </w:r>
            <w:r w:rsidRPr="007872F6">
              <w:rPr>
                <w:iCs/>
                <w:sz w:val="20"/>
                <w:szCs w:val="20"/>
                <w:lang w:val="fr-CA"/>
              </w:rPr>
              <w:t>, 28 juillet 1951, [1969] R.T. Can. n</w:t>
            </w:r>
            <w:r w:rsidRPr="007872F6">
              <w:rPr>
                <w:iCs/>
                <w:sz w:val="20"/>
                <w:szCs w:val="20"/>
                <w:vertAlign w:val="superscript"/>
                <w:lang w:val="fr-CA"/>
              </w:rPr>
              <w:t>o</w:t>
            </w:r>
            <w:r w:rsidRPr="007872F6">
              <w:rPr>
                <w:iCs/>
                <w:sz w:val="20"/>
                <w:szCs w:val="20"/>
                <w:lang w:val="fr-CA"/>
              </w:rPr>
              <w:t xml:space="preserve"> 6, pour cause de complicité par association à des crimes de guerre et à des crimes contre l’humanité </w:t>
            </w:r>
            <w:r w:rsidRPr="007872F6">
              <w:rPr>
                <w:iCs/>
                <w:sz w:val="20"/>
                <w:szCs w:val="20"/>
                <w:lang w:val="fr-CA"/>
              </w:rPr>
              <w:noBreakHyphen/>
              <w:t xml:space="preserve"> Critère de complicité </w:t>
            </w:r>
            <w:r w:rsidRPr="007872F6">
              <w:rPr>
                <w:iCs/>
                <w:sz w:val="20"/>
                <w:szCs w:val="20"/>
                <w:lang w:val="fr-CA"/>
              </w:rPr>
              <w:noBreakHyphen/>
              <w:t xml:space="preserve"> Aux fins de l’application de l’art. 1Fa) de la </w:t>
            </w:r>
            <w:r w:rsidRPr="007872F6">
              <w:rPr>
                <w:i/>
                <w:iCs/>
                <w:sz w:val="20"/>
                <w:szCs w:val="20"/>
                <w:lang w:val="fr-CA"/>
              </w:rPr>
              <w:t>Convention des Nations Unies relative au statut des réfugiés</w:t>
            </w:r>
            <w:r w:rsidRPr="007872F6">
              <w:rPr>
                <w:iCs/>
                <w:sz w:val="20"/>
                <w:szCs w:val="20"/>
                <w:lang w:val="fr-CA"/>
              </w:rPr>
              <w:t>, quelle est la bonne norme juridique en matière de complicité coupable dans les crimes internationaux</w:t>
            </w:r>
            <w:r w:rsidRPr="007872F6">
              <w:rPr>
                <w:sz w:val="20"/>
                <w:szCs w:val="20"/>
                <w:lang w:val="fr-CA"/>
              </w:rPr>
              <w:t>?</w:t>
            </w:r>
          </w:p>
        </w:tc>
      </w:tr>
    </w:tbl>
    <w:p w:rsidR="00ED09CD" w:rsidRPr="00142B6F" w:rsidRDefault="00ED09CD" w:rsidP="00ED09CD">
      <w:pPr>
        <w:widowControl w:val="0"/>
        <w:rPr>
          <w:sz w:val="20"/>
          <w:szCs w:val="20"/>
          <w:lang w:val="fr-CA"/>
        </w:rPr>
      </w:pPr>
    </w:p>
    <w:p w:rsidR="00ED09CD" w:rsidRDefault="00CD48BC" w:rsidP="00ED09CD">
      <w:pPr>
        <w:widowControl w:val="0"/>
        <w:rPr>
          <w:sz w:val="20"/>
          <w:szCs w:val="20"/>
        </w:rPr>
      </w:pPr>
      <w:r w:rsidRPr="00CD48BC">
        <w:rPr>
          <w:sz w:val="20"/>
          <w:szCs w:val="20"/>
          <w:lang w:val="fr-CA"/>
        </w:rPr>
        <w:pict>
          <v:rect id="_x0000_i1084" style="width:2in;height:1pt" o:hrpct="0" o:hralign="center" o:hrstd="t" o:hrnoshade="t" o:hr="t" fillcolor="black [3213]" stroked="f"/>
        </w:pict>
      </w:r>
    </w:p>
    <w:p w:rsidR="00ED09CD" w:rsidRDefault="00ED09CD" w:rsidP="00ED09CD">
      <w:pPr>
        <w:widowControl w:val="0"/>
        <w:rPr>
          <w:sz w:val="20"/>
          <w:szCs w:val="20"/>
        </w:rPr>
      </w:pPr>
    </w:p>
    <w:p w:rsidR="00E940EB" w:rsidRPr="00C1697B" w:rsidRDefault="00E940EB"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334802"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D953C9" w:rsidRDefault="006F5F34" w:rsidP="00AF1715">
      <w:pPr>
        <w:rPr>
          <w:b/>
          <w:sz w:val="20"/>
          <w:szCs w:val="20"/>
          <w:lang w:val="fr-CA"/>
        </w:rPr>
      </w:pPr>
      <w:r w:rsidRPr="00D953C9">
        <w:rPr>
          <w:b/>
          <w:sz w:val="20"/>
          <w:szCs w:val="20"/>
          <w:lang w:val="fr-CA"/>
        </w:rPr>
        <w:t>JANUARY 1</w:t>
      </w:r>
      <w:r w:rsidR="00D87BF0" w:rsidRPr="00D953C9">
        <w:rPr>
          <w:b/>
          <w:sz w:val="20"/>
          <w:szCs w:val="20"/>
          <w:lang w:val="fr-CA"/>
        </w:rPr>
        <w:t>7</w:t>
      </w:r>
      <w:r w:rsidR="00AF1715" w:rsidRPr="00D953C9">
        <w:rPr>
          <w:b/>
          <w:sz w:val="20"/>
          <w:szCs w:val="20"/>
          <w:lang w:val="fr-CA"/>
        </w:rPr>
        <w:t>, 201</w:t>
      </w:r>
      <w:r w:rsidRPr="00D953C9">
        <w:rPr>
          <w:b/>
          <w:sz w:val="20"/>
          <w:szCs w:val="20"/>
          <w:lang w:val="fr-CA"/>
        </w:rPr>
        <w:t>3</w:t>
      </w:r>
      <w:r w:rsidR="00AF1715" w:rsidRPr="00D953C9">
        <w:rPr>
          <w:b/>
          <w:sz w:val="20"/>
          <w:szCs w:val="20"/>
          <w:lang w:val="fr-CA"/>
        </w:rPr>
        <w:t xml:space="preserve"> / LE </w:t>
      </w:r>
      <w:r w:rsidRPr="00D953C9">
        <w:rPr>
          <w:b/>
          <w:sz w:val="20"/>
          <w:szCs w:val="20"/>
          <w:lang w:val="fr-CA"/>
        </w:rPr>
        <w:t>1</w:t>
      </w:r>
      <w:r w:rsidR="00D87BF0" w:rsidRPr="00D953C9">
        <w:rPr>
          <w:b/>
          <w:sz w:val="20"/>
          <w:szCs w:val="20"/>
          <w:lang w:val="fr-CA"/>
        </w:rPr>
        <w:t>7</w:t>
      </w:r>
      <w:r w:rsidRPr="00D953C9">
        <w:rPr>
          <w:b/>
          <w:sz w:val="20"/>
          <w:szCs w:val="20"/>
          <w:lang w:val="fr-CA"/>
        </w:rPr>
        <w:t xml:space="preserve"> JANVI</w:t>
      </w:r>
      <w:r w:rsidR="00AF1715" w:rsidRPr="00D953C9">
        <w:rPr>
          <w:b/>
          <w:sz w:val="20"/>
          <w:szCs w:val="20"/>
          <w:lang w:val="fr-CA"/>
        </w:rPr>
        <w:t>E</w:t>
      </w:r>
      <w:r w:rsidRPr="00D953C9">
        <w:rPr>
          <w:b/>
          <w:sz w:val="20"/>
          <w:szCs w:val="20"/>
          <w:lang w:val="fr-CA"/>
        </w:rPr>
        <w:t>R</w:t>
      </w:r>
      <w:r w:rsidR="00AF1715" w:rsidRPr="00D953C9">
        <w:rPr>
          <w:b/>
          <w:sz w:val="20"/>
          <w:szCs w:val="20"/>
          <w:lang w:val="fr-CA"/>
        </w:rPr>
        <w:t xml:space="preserve"> 201</w:t>
      </w:r>
      <w:r w:rsidRPr="00D953C9">
        <w:rPr>
          <w:b/>
          <w:sz w:val="20"/>
          <w:szCs w:val="20"/>
          <w:lang w:val="fr-CA"/>
        </w:rPr>
        <w:t>3</w:t>
      </w:r>
    </w:p>
    <w:p w:rsidR="00AF1715" w:rsidRPr="00D953C9" w:rsidRDefault="00AF1715" w:rsidP="00AF1715">
      <w:pPr>
        <w:rPr>
          <w:sz w:val="20"/>
          <w:szCs w:val="20"/>
          <w:lang w:val="fr-CA"/>
        </w:rPr>
      </w:pPr>
    </w:p>
    <w:p w:rsidR="001A5318" w:rsidRPr="00C12CB1" w:rsidRDefault="001A5318" w:rsidP="001A5318">
      <w:pPr>
        <w:pStyle w:val="SCCLsocParty"/>
        <w:ind w:left="1440" w:hanging="1440"/>
        <w:jc w:val="both"/>
        <w:rPr>
          <w:sz w:val="20"/>
          <w:szCs w:val="20"/>
        </w:rPr>
      </w:pPr>
      <w:r w:rsidRPr="00C12CB1">
        <w:rPr>
          <w:b/>
          <w:sz w:val="20"/>
          <w:szCs w:val="20"/>
        </w:rPr>
        <w:t>34358</w:t>
      </w:r>
      <w:r w:rsidRPr="00C12CB1">
        <w:rPr>
          <w:b/>
          <w:sz w:val="20"/>
          <w:szCs w:val="20"/>
        </w:rPr>
        <w:tab/>
      </w:r>
      <w:r w:rsidRPr="00C12CB1">
        <w:rPr>
          <w:b/>
          <w:sz w:val="20"/>
          <w:szCs w:val="20"/>
          <w:u w:val="single"/>
        </w:rPr>
        <w:t>Sa Majesté la Reine c. Alphide Manning – et – Directeur des poursuites pénales du Canada, procureur général de l'Ontario, Association canadienne des libertés civiles et Association des libertés civiles de la Colombie-Britannique</w:t>
      </w:r>
      <w:r w:rsidRPr="00C12CB1">
        <w:rPr>
          <w:b/>
          <w:sz w:val="20"/>
          <w:szCs w:val="20"/>
        </w:rPr>
        <w:t xml:space="preserve"> </w:t>
      </w:r>
      <w:r w:rsidRPr="00C12CB1">
        <w:rPr>
          <w:sz w:val="20"/>
          <w:szCs w:val="20"/>
        </w:rPr>
        <w:t>(Qc)</w:t>
      </w:r>
    </w:p>
    <w:p w:rsidR="001A5318" w:rsidRPr="00C12CB1" w:rsidRDefault="001A5318" w:rsidP="001A5318">
      <w:pPr>
        <w:ind w:left="1440"/>
        <w:jc w:val="both"/>
        <w:rPr>
          <w:rFonts w:eastAsia="Calibri" w:cs="Times New Roman"/>
          <w:b/>
          <w:sz w:val="20"/>
          <w:szCs w:val="20"/>
          <w:lang w:val="fr-CA"/>
        </w:rPr>
      </w:pPr>
      <w:r w:rsidRPr="00C12CB1">
        <w:rPr>
          <w:rFonts w:eastAsia="Calibri" w:cs="Times New Roman"/>
          <w:b/>
          <w:sz w:val="20"/>
          <w:szCs w:val="20"/>
          <w:lang w:val="fr-CA"/>
        </w:rPr>
        <w:t>2013 SCC 1 / 2013 CSC 1</w:t>
      </w:r>
    </w:p>
    <w:p w:rsidR="001A5318" w:rsidRPr="00C12CB1" w:rsidRDefault="001A5318" w:rsidP="001A5318">
      <w:pPr>
        <w:ind w:left="1440" w:hanging="1440"/>
        <w:jc w:val="both"/>
        <w:rPr>
          <w:rFonts w:eastAsia="Calibri" w:cs="Times New Roman"/>
          <w:b/>
          <w:sz w:val="20"/>
          <w:szCs w:val="20"/>
          <w:lang w:val="fr-CA"/>
        </w:rPr>
      </w:pPr>
    </w:p>
    <w:p w:rsidR="001A5318" w:rsidRPr="00C12CB1" w:rsidRDefault="001A5318" w:rsidP="001A5318">
      <w:pPr>
        <w:ind w:left="1440" w:hanging="1440"/>
        <w:jc w:val="both"/>
        <w:rPr>
          <w:rFonts w:eastAsia="Calibri" w:cs="Times New Roman"/>
          <w:sz w:val="20"/>
          <w:szCs w:val="20"/>
          <w:u w:val="single"/>
          <w:lang w:val="fr-CA"/>
        </w:rPr>
      </w:pPr>
      <w:r w:rsidRPr="00C12CB1">
        <w:rPr>
          <w:rFonts w:eastAsia="Calibri" w:cs="Times New Roman"/>
          <w:sz w:val="20"/>
          <w:szCs w:val="20"/>
          <w:lang w:val="fr-CA"/>
        </w:rPr>
        <w:t>Coram:</w:t>
      </w:r>
      <w:r>
        <w:rPr>
          <w:sz w:val="20"/>
          <w:szCs w:val="20"/>
          <w:lang w:val="fr-CA"/>
        </w:rPr>
        <w:tab/>
      </w:r>
      <w:r w:rsidRPr="00C12CB1">
        <w:rPr>
          <w:rFonts w:eastAsia="Calibri" w:cs="Times New Roman"/>
          <w:sz w:val="20"/>
          <w:szCs w:val="20"/>
          <w:u w:val="single"/>
          <w:lang w:val="fr-CA"/>
        </w:rPr>
        <w:t>La juge en chef McLachlin et les juges LeBel, Fish, Abella, Cromwell, Karakatsanis et Wagner</w:t>
      </w:r>
      <w:r w:rsidRPr="00C12CB1">
        <w:rPr>
          <w:rFonts w:eastAsia="Calibri" w:cs="Times New Roman"/>
          <w:sz w:val="20"/>
          <w:szCs w:val="20"/>
          <w:lang w:val="fr-CA"/>
        </w:rPr>
        <w:t xml:space="preserve"> </w:t>
      </w:r>
    </w:p>
    <w:p w:rsidR="001A5318" w:rsidRPr="00C12CB1" w:rsidRDefault="001A5318" w:rsidP="001A531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szCs w:val="20"/>
          <w:lang w:val="fr-CA"/>
        </w:rPr>
      </w:pPr>
    </w:p>
    <w:p w:rsidR="001A5318" w:rsidRPr="00C12CB1" w:rsidRDefault="001A5318" w:rsidP="001A5318">
      <w:pPr>
        <w:jc w:val="both"/>
        <w:rPr>
          <w:rFonts w:eastAsia="Calibri" w:cs="Times New Roman"/>
          <w:sz w:val="20"/>
          <w:szCs w:val="20"/>
          <w:lang w:val="fr-CA"/>
        </w:rPr>
      </w:pPr>
      <w:r w:rsidRPr="00C12CB1">
        <w:rPr>
          <w:rFonts w:eastAsia="Calibri" w:cs="Times New Roman"/>
          <w:sz w:val="20"/>
          <w:szCs w:val="20"/>
          <w:lang w:val="fr-CA"/>
        </w:rPr>
        <w:t>L’appel interjeté contre l’arrêt de la Cour d’appel du Québec (Québec), numéro 200-10-002559-107, 2011 QCCA 900, en date du 16 mai 2011, entendu le 5 décembre 2012, est accueilli.  L’ordonnance de confiscation demandée par le ministère public est rendue.</w:t>
      </w:r>
    </w:p>
    <w:p w:rsidR="001A5318" w:rsidRPr="00C12CB1" w:rsidRDefault="001A5318" w:rsidP="001A5318">
      <w:pPr>
        <w:jc w:val="both"/>
        <w:rPr>
          <w:rFonts w:eastAsia="Calibri" w:cs="Times New Roman"/>
          <w:sz w:val="20"/>
          <w:szCs w:val="20"/>
          <w:lang w:val="fr-CA"/>
        </w:rPr>
      </w:pPr>
    </w:p>
    <w:p w:rsidR="001A5318" w:rsidRPr="00C12CB1" w:rsidRDefault="001A5318" w:rsidP="001A5318">
      <w:pPr>
        <w:jc w:val="both"/>
        <w:rPr>
          <w:rFonts w:eastAsia="Calibri" w:cs="Times New Roman"/>
          <w:sz w:val="20"/>
          <w:szCs w:val="20"/>
        </w:rPr>
      </w:pPr>
      <w:r w:rsidRPr="00C12CB1">
        <w:rPr>
          <w:rFonts w:eastAsia="Calibri" w:cs="Times New Roman"/>
          <w:sz w:val="20"/>
          <w:szCs w:val="20"/>
        </w:rPr>
        <w:t>The appeal from the judgment of the Court of Appeal of Quebec (Québec), Number 200-10-002559-107, 2011 QCCA 900, dated May 16, 2011, heard on December 5, 2012, is allowed.  The order of forfeiture sought by the Crown is granted.</w:t>
      </w:r>
    </w:p>
    <w:p w:rsidR="001A5318" w:rsidRPr="003B3977" w:rsidRDefault="001A5318" w:rsidP="00AF1715">
      <w:pPr>
        <w:rPr>
          <w:sz w:val="20"/>
          <w:szCs w:val="20"/>
        </w:rPr>
      </w:pPr>
    </w:p>
    <w:p w:rsidR="00AF1715" w:rsidRPr="003B3977" w:rsidRDefault="00CD48BC" w:rsidP="00AF1715">
      <w:pPr>
        <w:spacing w:line="0" w:lineRule="atLeast"/>
        <w:rPr>
          <w:sz w:val="20"/>
          <w:szCs w:val="20"/>
        </w:rPr>
      </w:pPr>
      <w:r w:rsidRPr="00CD48BC">
        <w:rPr>
          <w:b/>
          <w:sz w:val="20"/>
          <w:szCs w:val="20"/>
        </w:rPr>
        <w:pict>
          <v:rect id="_x0000_i1087" style="width:144.3pt;height:1pt" o:hrpct="300" o:hralign="center" o:hrstd="t" o:hrnoshade="t" o:hr="t" fillcolor="black [3213]" stroked="f"/>
        </w:pict>
      </w:r>
    </w:p>
    <w:p w:rsidR="00B923AD" w:rsidRDefault="00B923AD" w:rsidP="004E1E0A">
      <w:pPr>
        <w:rPr>
          <w:sz w:val="20"/>
          <w:szCs w:val="20"/>
        </w:rPr>
      </w:pPr>
    </w:p>
    <w:p w:rsidR="001A5318" w:rsidRPr="00C12CB1" w:rsidRDefault="001A5318" w:rsidP="001A5318">
      <w:pPr>
        <w:pStyle w:val="SCCLsocParty"/>
        <w:ind w:left="1440" w:hanging="1440"/>
        <w:jc w:val="both"/>
        <w:rPr>
          <w:sz w:val="20"/>
          <w:szCs w:val="20"/>
          <w:lang w:val="en-US"/>
        </w:rPr>
      </w:pPr>
      <w:r w:rsidRPr="00C12CB1">
        <w:rPr>
          <w:b/>
          <w:sz w:val="20"/>
          <w:szCs w:val="20"/>
          <w:lang w:val="en-US"/>
        </w:rPr>
        <w:t>34694</w:t>
      </w:r>
      <w:r w:rsidRPr="00C12CB1">
        <w:rPr>
          <w:b/>
          <w:sz w:val="20"/>
          <w:szCs w:val="20"/>
          <w:lang w:val="en-US"/>
        </w:rPr>
        <w:tab/>
      </w:r>
      <w:r w:rsidRPr="00C12CB1">
        <w:rPr>
          <w:b/>
          <w:sz w:val="20"/>
          <w:szCs w:val="20"/>
          <w:u w:val="single"/>
          <w:lang w:val="en-US"/>
        </w:rPr>
        <w:t>Her Majesty the Queen v. Kelly Joseph O'Brien</w:t>
      </w:r>
      <w:r w:rsidRPr="00C12CB1">
        <w:rPr>
          <w:b/>
          <w:sz w:val="20"/>
          <w:szCs w:val="20"/>
          <w:lang w:val="en-US"/>
        </w:rPr>
        <w:t xml:space="preserve"> </w:t>
      </w:r>
      <w:r w:rsidRPr="00C12CB1">
        <w:rPr>
          <w:sz w:val="20"/>
          <w:szCs w:val="20"/>
          <w:lang w:val="en-US"/>
        </w:rPr>
        <w:t>(Man.)</w:t>
      </w:r>
    </w:p>
    <w:p w:rsidR="001A5318" w:rsidRPr="00C12CB1" w:rsidRDefault="001A5318" w:rsidP="001A5318">
      <w:pPr>
        <w:ind w:left="1440"/>
        <w:jc w:val="both"/>
        <w:rPr>
          <w:b/>
          <w:sz w:val="20"/>
        </w:rPr>
      </w:pPr>
      <w:r w:rsidRPr="00C12CB1">
        <w:rPr>
          <w:b/>
          <w:sz w:val="20"/>
        </w:rPr>
        <w:t>2013 SCC 2 / 2013 CSC 2</w:t>
      </w:r>
    </w:p>
    <w:p w:rsidR="001A5318" w:rsidRPr="00C12CB1" w:rsidRDefault="001A5318" w:rsidP="001A5318">
      <w:pPr>
        <w:ind w:left="1440" w:hanging="1440"/>
        <w:jc w:val="both"/>
        <w:rPr>
          <w:b/>
          <w:sz w:val="20"/>
        </w:rPr>
      </w:pPr>
    </w:p>
    <w:p w:rsidR="001A5318" w:rsidRPr="00C12CB1" w:rsidRDefault="001A5318" w:rsidP="001A5318">
      <w:pPr>
        <w:ind w:left="1440" w:hanging="1440"/>
        <w:jc w:val="both"/>
        <w:rPr>
          <w:sz w:val="20"/>
          <w:u w:val="single"/>
        </w:rPr>
      </w:pPr>
      <w:r w:rsidRPr="00C12CB1">
        <w:rPr>
          <w:sz w:val="20"/>
        </w:rPr>
        <w:t>Coram:</w:t>
      </w:r>
      <w:r>
        <w:rPr>
          <w:sz w:val="20"/>
        </w:rPr>
        <w:tab/>
      </w:r>
      <w:r w:rsidRPr="00C12CB1">
        <w:rPr>
          <w:sz w:val="20"/>
          <w:u w:val="single"/>
        </w:rPr>
        <w:t>McLachlin C.J. and Fish, Abella, Rothstein, Cromwell, Moldaver and Wagner JJ.</w:t>
      </w:r>
      <w:r w:rsidRPr="00C12CB1">
        <w:rPr>
          <w:sz w:val="20"/>
        </w:rPr>
        <w:t xml:space="preserve"> </w:t>
      </w:r>
    </w:p>
    <w:p w:rsidR="001A5318" w:rsidRPr="00C12CB1" w:rsidRDefault="001A5318" w:rsidP="001A531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1A5318" w:rsidRPr="00C12CB1" w:rsidRDefault="001A5318" w:rsidP="001A5318">
      <w:pPr>
        <w:jc w:val="both"/>
        <w:rPr>
          <w:sz w:val="20"/>
        </w:rPr>
      </w:pPr>
      <w:r w:rsidRPr="00C12CB1">
        <w:rPr>
          <w:sz w:val="20"/>
        </w:rPr>
        <w:t>The appeal from the judgment of the Court of Appeal of Manitoba, Number AR 11-30-07555, 2012 MBCA 6, dated January 26, 2012, heard on December 6, 2012, is dismissed.  McLachlin C.J. and Abella and Rothstein JJ. are dissenting.</w:t>
      </w:r>
    </w:p>
    <w:p w:rsidR="001A5318" w:rsidRPr="00C12CB1" w:rsidRDefault="001A5318" w:rsidP="001A5318">
      <w:pPr>
        <w:jc w:val="both"/>
        <w:rPr>
          <w:sz w:val="20"/>
        </w:rPr>
      </w:pPr>
    </w:p>
    <w:p w:rsidR="001A5318" w:rsidRPr="00C12CB1" w:rsidRDefault="001A5318" w:rsidP="001A5318">
      <w:pPr>
        <w:jc w:val="both"/>
        <w:rPr>
          <w:sz w:val="20"/>
          <w:lang w:val="fr-CA"/>
        </w:rPr>
      </w:pPr>
      <w:r w:rsidRPr="00C12CB1">
        <w:rPr>
          <w:sz w:val="20"/>
          <w:lang w:val="fr-CA"/>
        </w:rPr>
        <w:t>L’appel interjeté contre l’arrêt de la Cour d’appel du Manitoba, numéro AR 11-30-07555, 2012 MBCA 6, en date du 26 janvier 2012, entendu le 6 décembre 2012, est rejeté.  La juge en chef McLachlin et les juges Abella et Rothstein sont dissidents.</w:t>
      </w:r>
    </w:p>
    <w:p w:rsidR="001A5318" w:rsidRPr="001A5318" w:rsidRDefault="001A5318" w:rsidP="004E1E0A">
      <w:pPr>
        <w:rPr>
          <w:sz w:val="20"/>
          <w:szCs w:val="20"/>
          <w:lang w:val="fr-CA"/>
        </w:rPr>
      </w:pPr>
    </w:p>
    <w:p w:rsidR="00981881" w:rsidRPr="003B3977" w:rsidRDefault="00CD48BC" w:rsidP="00981881">
      <w:pPr>
        <w:spacing w:line="0" w:lineRule="atLeast"/>
        <w:rPr>
          <w:sz w:val="20"/>
          <w:szCs w:val="20"/>
        </w:rPr>
      </w:pPr>
      <w:r w:rsidRPr="00CD48BC">
        <w:rPr>
          <w:b/>
          <w:sz w:val="20"/>
          <w:szCs w:val="20"/>
        </w:rPr>
        <w:pict>
          <v:rect id="_x0000_i1088" style="width:144.3pt;height:1pt" o:hrpct="300" o:hralign="center" o:hrstd="t" o:hrnoshade="t" o:hr="t" fillcolor="black [3213]" stroked="f"/>
        </w:pict>
      </w:r>
    </w:p>
    <w:p w:rsidR="00981881" w:rsidRPr="00981881" w:rsidRDefault="00981881" w:rsidP="004E1E0A">
      <w:pPr>
        <w:rPr>
          <w:sz w:val="20"/>
          <w:szCs w:val="20"/>
        </w:rPr>
      </w:pPr>
    </w:p>
    <w:p w:rsidR="004E1E0A" w:rsidRPr="003B3977" w:rsidRDefault="00981881" w:rsidP="004E1E0A">
      <w:pPr>
        <w:rPr>
          <w:b/>
          <w:sz w:val="20"/>
          <w:szCs w:val="20"/>
        </w:rPr>
      </w:pPr>
      <w:r>
        <w:rPr>
          <w:b/>
          <w:sz w:val="20"/>
          <w:szCs w:val="20"/>
        </w:rPr>
        <w:t>JANUARY</w:t>
      </w:r>
      <w:r w:rsidR="004E1E0A" w:rsidRPr="003B3977">
        <w:rPr>
          <w:b/>
          <w:sz w:val="20"/>
          <w:szCs w:val="20"/>
        </w:rPr>
        <w:t xml:space="preserve"> </w:t>
      </w:r>
      <w:r>
        <w:rPr>
          <w:b/>
          <w:sz w:val="20"/>
          <w:szCs w:val="20"/>
        </w:rPr>
        <w:t>18</w:t>
      </w:r>
      <w:r w:rsidR="004E1E0A" w:rsidRPr="003B3977">
        <w:rPr>
          <w:b/>
          <w:sz w:val="20"/>
          <w:szCs w:val="20"/>
        </w:rPr>
        <w:t>, 201</w:t>
      </w:r>
      <w:r>
        <w:rPr>
          <w:b/>
          <w:sz w:val="20"/>
          <w:szCs w:val="20"/>
        </w:rPr>
        <w:t>3</w:t>
      </w:r>
      <w:r w:rsidR="004E1E0A" w:rsidRPr="003B3977">
        <w:rPr>
          <w:b/>
          <w:sz w:val="20"/>
          <w:szCs w:val="20"/>
        </w:rPr>
        <w:t xml:space="preserve"> / LE </w:t>
      </w:r>
      <w:r>
        <w:rPr>
          <w:b/>
          <w:sz w:val="20"/>
          <w:szCs w:val="20"/>
        </w:rPr>
        <w:t>18 JANVIE</w:t>
      </w:r>
      <w:r w:rsidR="004E1E0A" w:rsidRPr="003B3977">
        <w:rPr>
          <w:b/>
          <w:sz w:val="20"/>
          <w:szCs w:val="20"/>
        </w:rPr>
        <w:t>R 201</w:t>
      </w:r>
      <w:r>
        <w:rPr>
          <w:b/>
          <w:sz w:val="20"/>
          <w:szCs w:val="20"/>
        </w:rPr>
        <w:t>3</w:t>
      </w:r>
    </w:p>
    <w:p w:rsidR="001A5318" w:rsidRPr="001A67ED" w:rsidRDefault="001A5318" w:rsidP="00AF1715">
      <w:pPr>
        <w:spacing w:line="0" w:lineRule="atLeast"/>
        <w:rPr>
          <w:rFonts w:cs="Times New Roman"/>
          <w:sz w:val="20"/>
          <w:szCs w:val="20"/>
        </w:rPr>
      </w:pPr>
    </w:p>
    <w:p w:rsidR="00AF1715" w:rsidRPr="006C5F7A" w:rsidRDefault="00CD48B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Times New Roman"/>
          <w:sz w:val="20"/>
          <w:szCs w:val="20"/>
        </w:rPr>
      </w:pPr>
      <w:r w:rsidRPr="006C5F7A">
        <w:rPr>
          <w:rFonts w:cs="Times New Roman"/>
          <w:b/>
          <w:sz w:val="20"/>
          <w:szCs w:val="20"/>
        </w:rPr>
        <w:fldChar w:fldCharType="begin"/>
      </w:r>
      <w:r w:rsidR="00AF1715" w:rsidRPr="006C5F7A">
        <w:rPr>
          <w:rFonts w:cs="Times New Roman"/>
          <w:b/>
          <w:sz w:val="20"/>
          <w:szCs w:val="20"/>
        </w:rPr>
        <w:instrText xml:space="preserve"> SEQ CHAPTER \h \r 1</w:instrText>
      </w:r>
      <w:r w:rsidRPr="006C5F7A">
        <w:rPr>
          <w:rFonts w:cs="Times New Roman"/>
          <w:b/>
          <w:sz w:val="20"/>
          <w:szCs w:val="20"/>
        </w:rPr>
        <w:fldChar w:fldCharType="end"/>
      </w:r>
      <w:r w:rsidR="00AF1715" w:rsidRPr="006C5F7A">
        <w:rPr>
          <w:rFonts w:cs="Times New Roman"/>
          <w:b/>
          <w:sz w:val="20"/>
          <w:szCs w:val="20"/>
        </w:rPr>
        <w:t>3</w:t>
      </w:r>
      <w:r w:rsidR="001A67ED">
        <w:rPr>
          <w:rFonts w:cs="Times New Roman"/>
          <w:b/>
          <w:sz w:val="20"/>
          <w:szCs w:val="20"/>
        </w:rPr>
        <w:t>4272</w:t>
      </w:r>
      <w:r w:rsidR="00AF1715" w:rsidRPr="006C5F7A">
        <w:rPr>
          <w:rFonts w:cs="Times New Roman"/>
          <w:sz w:val="20"/>
          <w:szCs w:val="20"/>
        </w:rPr>
        <w:tab/>
      </w:r>
      <w:r w:rsidR="00AF1715" w:rsidRPr="006C5F7A">
        <w:rPr>
          <w:rFonts w:cs="Times New Roman"/>
          <w:sz w:val="20"/>
          <w:szCs w:val="20"/>
        </w:rPr>
        <w:tab/>
      </w:r>
      <w:r w:rsidR="001A67ED" w:rsidRPr="00334802">
        <w:rPr>
          <w:rFonts w:cs="Times New Roman"/>
          <w:b/>
          <w:sz w:val="20"/>
          <w:szCs w:val="20"/>
          <w:u w:val="single"/>
        </w:rPr>
        <w:t>Her M</w:t>
      </w:r>
      <w:r w:rsidR="00AF1715" w:rsidRPr="00334802">
        <w:rPr>
          <w:rFonts w:cs="Times New Roman"/>
          <w:b/>
          <w:sz w:val="20"/>
          <w:szCs w:val="20"/>
          <w:u w:val="single"/>
        </w:rPr>
        <w:t>a</w:t>
      </w:r>
      <w:r w:rsidR="001A67ED" w:rsidRPr="00334802">
        <w:rPr>
          <w:rFonts w:cs="Times New Roman"/>
          <w:b/>
          <w:sz w:val="20"/>
          <w:szCs w:val="20"/>
          <w:u w:val="single"/>
        </w:rPr>
        <w:t>jesty the Quee</w:t>
      </w:r>
      <w:r w:rsidR="00AF1715" w:rsidRPr="00334802">
        <w:rPr>
          <w:rFonts w:cs="Times New Roman"/>
          <w:b/>
          <w:sz w:val="20"/>
          <w:szCs w:val="20"/>
          <w:u w:val="single"/>
        </w:rPr>
        <w:t>n</w:t>
      </w:r>
      <w:r w:rsidR="001A67ED" w:rsidRPr="00334802">
        <w:rPr>
          <w:rFonts w:cs="Times New Roman"/>
          <w:b/>
          <w:sz w:val="20"/>
          <w:szCs w:val="20"/>
          <w:u w:val="single"/>
        </w:rPr>
        <w:t xml:space="preserve"> </w:t>
      </w:r>
      <w:r w:rsidRPr="00334802">
        <w:rPr>
          <w:rFonts w:cs="Times New Roman"/>
          <w:b/>
          <w:sz w:val="20"/>
          <w:szCs w:val="20"/>
          <w:u w:val="single"/>
        </w:rPr>
        <w:fldChar w:fldCharType="begin"/>
      </w:r>
      <w:r w:rsidR="00AF1715" w:rsidRPr="00334802">
        <w:rPr>
          <w:rFonts w:cs="Times New Roman"/>
          <w:b/>
          <w:sz w:val="20"/>
          <w:szCs w:val="20"/>
          <w:u w:val="single"/>
        </w:rPr>
        <w:instrText xml:space="preserve"> SEQ CHAPTER \h \r 1</w:instrText>
      </w:r>
      <w:r w:rsidRPr="00334802">
        <w:rPr>
          <w:rFonts w:cs="Times New Roman"/>
          <w:b/>
          <w:sz w:val="20"/>
          <w:szCs w:val="20"/>
          <w:u w:val="single"/>
        </w:rPr>
        <w:fldChar w:fldCharType="end"/>
      </w:r>
      <w:r w:rsidRPr="00334802">
        <w:rPr>
          <w:rFonts w:cs="Times New Roman"/>
          <w:b/>
          <w:sz w:val="20"/>
          <w:szCs w:val="20"/>
          <w:u w:val="single"/>
        </w:rPr>
        <w:fldChar w:fldCharType="begin"/>
      </w:r>
      <w:r w:rsidR="00AF1715" w:rsidRPr="00334802">
        <w:rPr>
          <w:rFonts w:cs="Times New Roman"/>
          <w:b/>
          <w:sz w:val="20"/>
          <w:szCs w:val="20"/>
          <w:u w:val="single"/>
        </w:rPr>
        <w:instrText xml:space="preserve"> SEQ CHAPTER \h \r 1</w:instrText>
      </w:r>
      <w:r w:rsidRPr="00334802">
        <w:rPr>
          <w:rFonts w:cs="Times New Roman"/>
          <w:b/>
          <w:sz w:val="20"/>
          <w:szCs w:val="20"/>
          <w:u w:val="single"/>
        </w:rPr>
        <w:fldChar w:fldCharType="end"/>
      </w:r>
      <w:r w:rsidR="001A67ED" w:rsidRPr="00334802">
        <w:rPr>
          <w:rFonts w:cs="Times New Roman"/>
          <w:b/>
          <w:iCs/>
          <w:sz w:val="20"/>
          <w:szCs w:val="20"/>
          <w:u w:val="single"/>
        </w:rPr>
        <w:t>v. N</w:t>
      </w:r>
      <w:r w:rsidR="00AF1715" w:rsidRPr="00334802">
        <w:rPr>
          <w:rFonts w:cs="Times New Roman"/>
          <w:b/>
          <w:iCs/>
          <w:sz w:val="20"/>
          <w:szCs w:val="20"/>
          <w:u w:val="single"/>
        </w:rPr>
        <w:t>i</w:t>
      </w:r>
      <w:r w:rsidR="001A67ED" w:rsidRPr="00334802">
        <w:rPr>
          <w:rFonts w:cs="Times New Roman"/>
          <w:b/>
          <w:iCs/>
          <w:sz w:val="20"/>
          <w:szCs w:val="20"/>
          <w:u w:val="single"/>
        </w:rPr>
        <w:t>c</w:t>
      </w:r>
      <w:r w:rsidR="00AF1715" w:rsidRPr="00334802">
        <w:rPr>
          <w:rFonts w:cs="Times New Roman"/>
          <w:b/>
          <w:iCs/>
          <w:sz w:val="20"/>
          <w:szCs w:val="20"/>
          <w:u w:val="single"/>
        </w:rPr>
        <w:t>o</w:t>
      </w:r>
      <w:r w:rsidR="001A67ED" w:rsidRPr="00334802">
        <w:rPr>
          <w:rFonts w:cs="Times New Roman"/>
          <w:b/>
          <w:iCs/>
          <w:sz w:val="20"/>
          <w:szCs w:val="20"/>
          <w:u w:val="single"/>
        </w:rPr>
        <w:t>l</w:t>
      </w:r>
      <w:r w:rsidR="00AF1715" w:rsidRPr="00334802">
        <w:rPr>
          <w:rFonts w:cs="Times New Roman"/>
          <w:b/>
          <w:iCs/>
          <w:sz w:val="20"/>
          <w:szCs w:val="20"/>
          <w:u w:val="single"/>
        </w:rPr>
        <w:t>e</w:t>
      </w:r>
      <w:r w:rsidR="001A67ED" w:rsidRPr="00334802">
        <w:rPr>
          <w:rFonts w:cs="Times New Roman"/>
          <w:b/>
          <w:iCs/>
          <w:sz w:val="20"/>
          <w:szCs w:val="20"/>
          <w:u w:val="single"/>
        </w:rPr>
        <w:t xml:space="preserve"> Pa</w:t>
      </w:r>
      <w:r w:rsidR="00AF1715" w:rsidRPr="00334802">
        <w:rPr>
          <w:rFonts w:cs="Times New Roman"/>
          <w:b/>
          <w:iCs/>
          <w:sz w:val="20"/>
          <w:szCs w:val="20"/>
          <w:u w:val="single"/>
        </w:rPr>
        <w:t>t</w:t>
      </w:r>
      <w:r w:rsidR="001A67ED" w:rsidRPr="00334802">
        <w:rPr>
          <w:rFonts w:cs="Times New Roman"/>
          <w:b/>
          <w:iCs/>
          <w:sz w:val="20"/>
          <w:szCs w:val="20"/>
          <w:u w:val="single"/>
        </w:rPr>
        <w:t>ricia</w:t>
      </w:r>
      <w:r w:rsidR="00334802" w:rsidRPr="00334802">
        <w:rPr>
          <w:rFonts w:cs="Times New Roman"/>
          <w:b/>
          <w:iCs/>
          <w:sz w:val="20"/>
          <w:szCs w:val="20"/>
          <w:u w:val="single"/>
        </w:rPr>
        <w:t xml:space="preserve"> Ryan </w:t>
      </w:r>
      <w:r w:rsidR="00334802" w:rsidRPr="00334802">
        <w:rPr>
          <w:b/>
          <w:sz w:val="20"/>
          <w:szCs w:val="20"/>
          <w:u w:val="single"/>
        </w:rPr>
        <w:t>– and – Attorney General of Ontario, Canadian Association of Elizabeth Fry Societies and Women’s Legal Education and Action Fund and Criminal Lawyers’ Association of Ontario</w:t>
      </w:r>
      <w:r w:rsidR="00334802">
        <w:rPr>
          <w:sz w:val="20"/>
          <w:szCs w:val="20"/>
        </w:rPr>
        <w:t xml:space="preserve"> </w:t>
      </w:r>
      <w:r w:rsidR="00AF1715" w:rsidRPr="006C5F7A">
        <w:rPr>
          <w:rFonts w:cs="Times New Roman"/>
          <w:iCs/>
          <w:sz w:val="20"/>
          <w:szCs w:val="20"/>
        </w:rPr>
        <w:t>(Sask.)</w:t>
      </w: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rFonts w:cs="Times New Roman"/>
          <w:sz w:val="20"/>
          <w:szCs w:val="20"/>
        </w:rPr>
      </w:pPr>
      <w:r w:rsidRPr="006C5F7A">
        <w:rPr>
          <w:rFonts w:cs="Times New Roman"/>
          <w:b/>
          <w:sz w:val="20"/>
          <w:szCs w:val="20"/>
        </w:rPr>
        <w:t>201</w:t>
      </w:r>
      <w:r w:rsidR="00A44E42">
        <w:rPr>
          <w:rFonts w:cs="Times New Roman"/>
          <w:b/>
          <w:sz w:val="20"/>
          <w:szCs w:val="20"/>
        </w:rPr>
        <w:t>3</w:t>
      </w:r>
      <w:r w:rsidRPr="006C5F7A">
        <w:rPr>
          <w:rFonts w:cs="Times New Roman"/>
          <w:b/>
          <w:sz w:val="20"/>
          <w:szCs w:val="20"/>
        </w:rPr>
        <w:t xml:space="preserve"> SCC </w:t>
      </w:r>
      <w:r w:rsidR="00A44E42">
        <w:rPr>
          <w:rFonts w:cs="Times New Roman"/>
          <w:b/>
          <w:sz w:val="20"/>
          <w:szCs w:val="20"/>
        </w:rPr>
        <w:t xml:space="preserve">3 </w:t>
      </w:r>
      <w:r w:rsidRPr="006C5F7A">
        <w:rPr>
          <w:rFonts w:cs="Times New Roman"/>
          <w:b/>
          <w:sz w:val="20"/>
          <w:szCs w:val="20"/>
        </w:rPr>
        <w:t>/ 201</w:t>
      </w:r>
      <w:r w:rsidR="00A44E42">
        <w:rPr>
          <w:rFonts w:cs="Times New Roman"/>
          <w:b/>
          <w:sz w:val="20"/>
          <w:szCs w:val="20"/>
        </w:rPr>
        <w:t>3</w:t>
      </w:r>
      <w:r w:rsidRPr="006C5F7A">
        <w:rPr>
          <w:rFonts w:cs="Times New Roman"/>
          <w:b/>
          <w:sz w:val="20"/>
          <w:szCs w:val="20"/>
        </w:rPr>
        <w:t xml:space="preserve"> CSC </w:t>
      </w:r>
      <w:r w:rsidR="00A44E42">
        <w:rPr>
          <w:rFonts w:cs="Times New Roman"/>
          <w:b/>
          <w:sz w:val="20"/>
          <w:szCs w:val="20"/>
        </w:rPr>
        <w:t>3</w:t>
      </w: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rPr>
      </w:pPr>
    </w:p>
    <w:p w:rsidR="00AF1715" w:rsidRPr="006C5F7A" w:rsidRDefault="00AF1715" w:rsidP="00AF1715">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rFonts w:cs="Times New Roman"/>
          <w:sz w:val="20"/>
          <w:szCs w:val="20"/>
        </w:rPr>
      </w:pPr>
      <w:r w:rsidRPr="006C5F7A">
        <w:rPr>
          <w:rFonts w:cs="Times New Roman"/>
          <w:sz w:val="20"/>
          <w:szCs w:val="20"/>
        </w:rPr>
        <w:t>Coram:</w:t>
      </w:r>
      <w:r w:rsidRPr="006C5F7A">
        <w:rPr>
          <w:rFonts w:cs="Times New Roman"/>
          <w:sz w:val="20"/>
          <w:szCs w:val="20"/>
        </w:rPr>
        <w:tab/>
      </w:r>
      <w:r w:rsidRPr="006C5F7A">
        <w:rPr>
          <w:rFonts w:cs="Times New Roman"/>
          <w:sz w:val="20"/>
          <w:szCs w:val="20"/>
        </w:rPr>
        <w:tab/>
      </w:r>
      <w:r w:rsidRPr="006C5F7A">
        <w:rPr>
          <w:rFonts w:cs="Times New Roman"/>
          <w:sz w:val="20"/>
          <w:szCs w:val="20"/>
          <w:u w:val="single"/>
        </w:rPr>
        <w:t>McLachlin C.J. and LeBel, Deschamps, Fish, Abella, Rothstein</w:t>
      </w:r>
      <w:r w:rsidR="001A67ED">
        <w:rPr>
          <w:rFonts w:cs="Times New Roman"/>
          <w:sz w:val="20"/>
          <w:szCs w:val="20"/>
          <w:u w:val="single"/>
        </w:rPr>
        <w:t>,</w:t>
      </w:r>
      <w:r w:rsidRPr="006C5F7A">
        <w:rPr>
          <w:rFonts w:cs="Times New Roman"/>
          <w:sz w:val="20"/>
          <w:szCs w:val="20"/>
          <w:u w:val="single"/>
        </w:rPr>
        <w:t xml:space="preserve"> Cromwell</w:t>
      </w:r>
      <w:r w:rsidR="001A67ED">
        <w:rPr>
          <w:rFonts w:cs="Times New Roman"/>
          <w:sz w:val="20"/>
          <w:szCs w:val="20"/>
          <w:u w:val="single"/>
        </w:rPr>
        <w:t>, Moldaver and Karakatsanis</w:t>
      </w:r>
      <w:r w:rsidRPr="006C5F7A">
        <w:rPr>
          <w:rFonts w:cs="Times New Roman"/>
          <w:sz w:val="20"/>
          <w:szCs w:val="20"/>
          <w:u w:val="single"/>
        </w:rPr>
        <w:t> JJ.</w:t>
      </w:r>
      <w:r w:rsidR="00CD48BC" w:rsidRPr="006C5F7A">
        <w:rPr>
          <w:rFonts w:cs="Times New Roman"/>
          <w:sz w:val="20"/>
          <w:szCs w:val="20"/>
          <w:u w:val="single"/>
        </w:rPr>
        <w:fldChar w:fldCharType="begin"/>
      </w:r>
      <w:r w:rsidRPr="006C5F7A">
        <w:rPr>
          <w:rFonts w:cs="Times New Roman"/>
          <w:sz w:val="20"/>
          <w:szCs w:val="20"/>
          <w:u w:val="single"/>
        </w:rPr>
        <w:instrText xml:space="preserve"> SEQ CHAPTER \h \r 1</w:instrText>
      </w:r>
      <w:r w:rsidR="00CD48BC" w:rsidRPr="006C5F7A">
        <w:rPr>
          <w:rFonts w:cs="Times New Roman"/>
          <w:sz w:val="20"/>
          <w:szCs w:val="20"/>
          <w:u w:val="single"/>
        </w:rPr>
        <w:fldChar w:fldCharType="end"/>
      </w:r>
    </w:p>
    <w:p w:rsidR="00AF1715"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Times New Roman"/>
          <w:sz w:val="20"/>
          <w:szCs w:val="20"/>
        </w:rPr>
      </w:pPr>
    </w:p>
    <w:p w:rsidR="001A67ED" w:rsidRPr="00334802" w:rsidRDefault="001A67ED" w:rsidP="001A67ED">
      <w:pPr>
        <w:jc w:val="both"/>
        <w:rPr>
          <w:sz w:val="20"/>
          <w:szCs w:val="20"/>
          <w:lang w:val="fr-CA"/>
        </w:rPr>
      </w:pPr>
      <w:r w:rsidRPr="005E07E4">
        <w:rPr>
          <w:sz w:val="20"/>
          <w:szCs w:val="20"/>
        </w:rPr>
        <w:t xml:space="preserve">The appeal from the judgment </w:t>
      </w:r>
      <w:bookmarkStart w:id="2" w:name="BM_1_"/>
      <w:bookmarkEnd w:id="2"/>
      <w:r w:rsidRPr="005E07E4">
        <w:rPr>
          <w:sz w:val="20"/>
          <w:szCs w:val="20"/>
        </w:rPr>
        <w:t xml:space="preserve">of the Nova Scotia Court of Appeal, Number CAC 327746, 2011 NSCA 30, dated March 29, 2011, heard on June 14, 2012, is </w:t>
      </w:r>
      <w:r w:rsidRPr="005E07E4">
        <w:rPr>
          <w:rFonts w:cs="Times New Roman"/>
          <w:sz w:val="20"/>
          <w:szCs w:val="20"/>
        </w:rPr>
        <w:t xml:space="preserve"> allowed and a stay of proceedings is entered</w:t>
      </w:r>
      <w:r w:rsidRPr="005E07E4">
        <w:rPr>
          <w:sz w:val="20"/>
          <w:szCs w:val="20"/>
        </w:rPr>
        <w:t xml:space="preserve">. </w:t>
      </w:r>
      <w:r w:rsidRPr="00334802">
        <w:rPr>
          <w:sz w:val="20"/>
          <w:szCs w:val="20"/>
          <w:lang w:val="fr-CA"/>
        </w:rPr>
        <w:t>Fish J. is dissenting in part.</w:t>
      </w:r>
    </w:p>
    <w:p w:rsidR="00AF1715" w:rsidRPr="00334802"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i/>
          <w:iCs/>
          <w:sz w:val="20"/>
          <w:szCs w:val="20"/>
          <w:lang w:val="fr-CA"/>
        </w:rPr>
      </w:pPr>
    </w:p>
    <w:p w:rsidR="001A67ED" w:rsidRPr="005E07E4" w:rsidRDefault="001A67ED" w:rsidP="001A67ED">
      <w:pPr>
        <w:jc w:val="both"/>
        <w:rPr>
          <w:sz w:val="20"/>
          <w:szCs w:val="20"/>
          <w:lang w:val="fr-CA"/>
        </w:rPr>
      </w:pPr>
      <w:r w:rsidRPr="005E07E4">
        <w:rPr>
          <w:sz w:val="20"/>
          <w:szCs w:val="20"/>
          <w:lang w:val="fr-CA"/>
        </w:rPr>
        <w:t>L’appel interjeté contre l’arrêt de la Cour d’appel de la Nouvelle-Écosse, numéro CAC 327746, 2011 NSCA 30, en date du 29 mars 2011, entendu le 14 juin 2012, est accueilli et l’arrêt des procédures est ordonné. Le juge Fish est dissident en partie.</w:t>
      </w:r>
    </w:p>
    <w:p w:rsidR="00732DB7" w:rsidRPr="00C50A5C" w:rsidRDefault="00CD48BC" w:rsidP="00334802">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0"/>
          <w:szCs w:val="20"/>
        </w:rPr>
      </w:pPr>
      <w:r w:rsidRPr="00CD48BC">
        <w:rPr>
          <w:rFonts w:cs="Times New Roman"/>
          <w:b/>
          <w:sz w:val="20"/>
          <w:szCs w:val="20"/>
        </w:rPr>
        <w:pict>
          <v:rect id="_x0000_i1089" style="width:144.3pt;height:1pt" o:hrpct="300" o:hralign="center" o:hrstd="t" o:hrnoshade="t" o:hr="t" fillcolor="black [3213]" stroked="f"/>
        </w:pict>
      </w:r>
    </w:p>
    <w:p w:rsidR="00697C62" w:rsidRPr="00C50A5C" w:rsidRDefault="00697C62" w:rsidP="00732DB7">
      <w:pPr>
        <w:widowControl w:val="0"/>
        <w:rPr>
          <w:sz w:val="20"/>
          <w:szCs w:val="20"/>
        </w:rPr>
        <w:sectPr w:rsidR="00697C62" w:rsidRPr="00C50A5C" w:rsidSect="00782AE4">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F5709D" w:rsidRPr="00187C7B" w:rsidRDefault="00F5709D" w:rsidP="00F5709D">
      <w:pPr>
        <w:ind w:left="720" w:hanging="720"/>
        <w:rPr>
          <w:rFonts w:eastAsia="Calibri" w:cs="Times New Roman"/>
          <w:sz w:val="20"/>
          <w:szCs w:val="20"/>
          <w:lang w:val="fr-CA"/>
        </w:rPr>
      </w:pPr>
      <w:r w:rsidRPr="00187C7B">
        <w:rPr>
          <w:rFonts w:eastAsia="Calibri" w:cs="Times New Roman"/>
          <w:i/>
          <w:sz w:val="20"/>
          <w:szCs w:val="20"/>
          <w:lang w:val="fr-CA"/>
        </w:rPr>
        <w:t>Sa Majesté la Reine c. Alphide Manning</w:t>
      </w:r>
      <w:r w:rsidRPr="00187C7B">
        <w:rPr>
          <w:rFonts w:eastAsia="Calibri" w:cs="Times New Roman"/>
          <w:sz w:val="20"/>
          <w:szCs w:val="20"/>
          <w:lang w:val="fr-CA"/>
        </w:rPr>
        <w:t xml:space="preserve"> (Qc) (34358)</w:t>
      </w:r>
    </w:p>
    <w:p w:rsidR="006169A3" w:rsidRPr="000C0D34" w:rsidRDefault="006169A3" w:rsidP="006169A3">
      <w:pPr>
        <w:jc w:val="both"/>
        <w:rPr>
          <w:b/>
          <w:sz w:val="20"/>
          <w:szCs w:val="20"/>
          <w:lang w:val="en-US"/>
        </w:rPr>
      </w:pPr>
      <w:r w:rsidRPr="00BA5280">
        <w:rPr>
          <w:b/>
          <w:sz w:val="20"/>
          <w:szCs w:val="20"/>
        </w:rPr>
        <w:t xml:space="preserve">Indexed as:  R. </w:t>
      </w:r>
      <w:r w:rsidRPr="00BA5280">
        <w:rPr>
          <w:b/>
          <w:i/>
          <w:sz w:val="20"/>
          <w:szCs w:val="20"/>
        </w:rPr>
        <w:t>v.</w:t>
      </w:r>
      <w:r w:rsidRPr="00BA5280">
        <w:rPr>
          <w:b/>
          <w:sz w:val="20"/>
          <w:szCs w:val="20"/>
        </w:rPr>
        <w:t xml:space="preserve"> Manning</w:t>
      </w:r>
      <w:r>
        <w:rPr>
          <w:b/>
          <w:sz w:val="20"/>
          <w:szCs w:val="20"/>
        </w:rPr>
        <w:t xml:space="preserve"> / </w:t>
      </w:r>
      <w:r w:rsidRPr="000C0D34">
        <w:rPr>
          <w:b/>
          <w:sz w:val="20"/>
          <w:szCs w:val="20"/>
          <w:lang w:val="en-US"/>
        </w:rPr>
        <w:t>Répertorié : </w:t>
      </w:r>
      <w:r w:rsidRPr="000C0D34">
        <w:rPr>
          <w:b/>
          <w:sz w:val="20"/>
          <w:szCs w:val="20"/>
        </w:rPr>
        <w:t>R.</w:t>
      </w:r>
      <w:r w:rsidRPr="000C0D34">
        <w:rPr>
          <w:b/>
          <w:sz w:val="20"/>
          <w:szCs w:val="20"/>
          <w:lang w:val="en-US"/>
        </w:rPr>
        <w:t xml:space="preserve"> </w:t>
      </w:r>
      <w:r w:rsidRPr="000C0D34">
        <w:rPr>
          <w:b/>
          <w:i/>
          <w:sz w:val="20"/>
          <w:szCs w:val="20"/>
          <w:lang w:val="en-US"/>
        </w:rPr>
        <w:t>c.</w:t>
      </w:r>
      <w:r w:rsidRPr="000C0D34">
        <w:rPr>
          <w:b/>
          <w:sz w:val="20"/>
          <w:szCs w:val="20"/>
          <w:lang w:val="en-US"/>
        </w:rPr>
        <w:t xml:space="preserve"> </w:t>
      </w:r>
      <w:r w:rsidRPr="000C0D34">
        <w:rPr>
          <w:b/>
          <w:sz w:val="20"/>
          <w:szCs w:val="20"/>
        </w:rPr>
        <w:t>Manning</w:t>
      </w:r>
    </w:p>
    <w:p w:rsidR="005C6840" w:rsidRPr="003B3977" w:rsidRDefault="005C6840" w:rsidP="005C6840">
      <w:pPr>
        <w:pStyle w:val="SCCSystemYear"/>
        <w:jc w:val="both"/>
        <w:rPr>
          <w:sz w:val="20"/>
        </w:rPr>
      </w:pPr>
      <w:r w:rsidRPr="003B3977">
        <w:rPr>
          <w:sz w:val="20"/>
        </w:rPr>
        <w:t>Neutral citation:  201</w:t>
      </w:r>
      <w:r w:rsidR="00F761A3">
        <w:rPr>
          <w:sz w:val="20"/>
        </w:rPr>
        <w:t>3</w:t>
      </w:r>
      <w:r w:rsidRPr="003B3977">
        <w:rPr>
          <w:sz w:val="20"/>
        </w:rPr>
        <w:t xml:space="preserve"> SCC </w:t>
      </w:r>
      <w:r w:rsidR="007F387B">
        <w:rPr>
          <w:sz w:val="20"/>
        </w:rPr>
        <w:t>1</w:t>
      </w:r>
      <w:r w:rsidRPr="003B3977">
        <w:rPr>
          <w:sz w:val="20"/>
        </w:rPr>
        <w:t xml:space="preserve"> / Référence neutre : 201</w:t>
      </w:r>
      <w:r w:rsidR="00F761A3">
        <w:rPr>
          <w:sz w:val="20"/>
        </w:rPr>
        <w:t>3</w:t>
      </w:r>
      <w:r w:rsidRPr="003B3977">
        <w:rPr>
          <w:sz w:val="20"/>
        </w:rPr>
        <w:t xml:space="preserve"> CSC </w:t>
      </w:r>
      <w:r w:rsidR="007F387B">
        <w:rPr>
          <w:sz w:val="20"/>
        </w:rPr>
        <w:t>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6169A3">
        <w:rPr>
          <w:rFonts w:cs="Times New Roman"/>
          <w:sz w:val="20"/>
          <w:szCs w:val="20"/>
          <w:lang w:val="fr-CA"/>
        </w:rPr>
        <w:t>Decemb</w:t>
      </w:r>
      <w:r w:rsidRPr="003B3977">
        <w:rPr>
          <w:rFonts w:cs="Times New Roman"/>
          <w:sz w:val="20"/>
          <w:szCs w:val="20"/>
          <w:lang w:val="fr-CA"/>
        </w:rPr>
        <w:t xml:space="preserve">er </w:t>
      </w:r>
      <w:r w:rsidR="006169A3">
        <w:rPr>
          <w:rFonts w:cs="Times New Roman"/>
          <w:sz w:val="20"/>
          <w:szCs w:val="20"/>
          <w:lang w:val="fr-CA"/>
        </w:rPr>
        <w:t>5</w:t>
      </w:r>
      <w:r w:rsidRPr="003B3977">
        <w:rPr>
          <w:rFonts w:cs="Times New Roman"/>
          <w:sz w:val="20"/>
          <w:szCs w:val="20"/>
          <w:lang w:val="fr-CA"/>
        </w:rPr>
        <w:t>, 201</w:t>
      </w:r>
      <w:r w:rsidR="006169A3">
        <w:rPr>
          <w:rFonts w:cs="Times New Roman"/>
          <w:sz w:val="20"/>
          <w:szCs w:val="20"/>
          <w:lang w:val="fr-CA"/>
        </w:rPr>
        <w:t>2</w:t>
      </w:r>
      <w:r w:rsidRPr="003B3977">
        <w:rPr>
          <w:rFonts w:cs="Times New Roman"/>
          <w:sz w:val="20"/>
          <w:szCs w:val="20"/>
          <w:lang w:val="fr-CA"/>
        </w:rPr>
        <w:t xml:space="preserve"> / Judgment:  </w:t>
      </w:r>
      <w:r w:rsidR="006F5F34">
        <w:rPr>
          <w:rFonts w:cs="Times New Roman"/>
          <w:sz w:val="20"/>
          <w:szCs w:val="20"/>
          <w:lang w:val="fr-CA"/>
        </w:rPr>
        <w:t>Janua</w:t>
      </w:r>
      <w:r w:rsidRPr="003B3977">
        <w:rPr>
          <w:rFonts w:cs="Times New Roman"/>
          <w:sz w:val="20"/>
          <w:szCs w:val="20"/>
          <w:lang w:val="fr-CA"/>
        </w:rPr>
        <w:t>r</w:t>
      </w:r>
      <w:r w:rsidR="006F5F34">
        <w:rPr>
          <w:rFonts w:cs="Times New Roman"/>
          <w:sz w:val="20"/>
          <w:szCs w:val="20"/>
          <w:lang w:val="fr-CA"/>
        </w:rPr>
        <w:t>y</w:t>
      </w:r>
      <w:r w:rsidRPr="003B3977">
        <w:rPr>
          <w:rFonts w:cs="Times New Roman"/>
          <w:sz w:val="20"/>
          <w:szCs w:val="20"/>
          <w:lang w:val="fr-CA"/>
        </w:rPr>
        <w:t xml:space="preserve"> </w:t>
      </w:r>
      <w:r w:rsidR="006F5F34">
        <w:rPr>
          <w:rFonts w:cs="Times New Roman"/>
          <w:sz w:val="20"/>
          <w:szCs w:val="20"/>
          <w:lang w:val="fr-CA"/>
        </w:rPr>
        <w:t>1</w:t>
      </w:r>
      <w:r w:rsidR="006169A3">
        <w:rPr>
          <w:rFonts w:cs="Times New Roman"/>
          <w:sz w:val="20"/>
          <w:szCs w:val="20"/>
          <w:lang w:val="fr-CA"/>
        </w:rPr>
        <w:t>7</w:t>
      </w:r>
      <w:r w:rsidRPr="003B3977">
        <w:rPr>
          <w:rFonts w:cs="Times New Roman"/>
          <w:sz w:val="20"/>
          <w:szCs w:val="20"/>
          <w:lang w:val="fr-CA"/>
        </w:rPr>
        <w:t>, 201</w:t>
      </w:r>
      <w:r w:rsidR="006F5F34">
        <w:rPr>
          <w:rFonts w:cs="Times New Roman"/>
          <w:sz w:val="20"/>
          <w:szCs w:val="20"/>
          <w:lang w:val="fr-CA"/>
        </w:rPr>
        <w:t>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6169A3">
        <w:rPr>
          <w:rFonts w:cs="Times New Roman"/>
          <w:sz w:val="20"/>
          <w:szCs w:val="20"/>
          <w:lang w:val="fr-CA"/>
        </w:rPr>
        <w:t>5</w:t>
      </w:r>
      <w:r w:rsidRPr="003B3977">
        <w:rPr>
          <w:rFonts w:cs="Times New Roman"/>
          <w:sz w:val="20"/>
          <w:szCs w:val="20"/>
          <w:lang w:val="fr-CA"/>
        </w:rPr>
        <w:t xml:space="preserve"> </w:t>
      </w:r>
      <w:r w:rsidR="006169A3">
        <w:rPr>
          <w:rFonts w:cs="Times New Roman"/>
          <w:sz w:val="20"/>
          <w:szCs w:val="20"/>
          <w:lang w:val="fr-CA"/>
        </w:rPr>
        <w:t>décem</w:t>
      </w:r>
      <w:r w:rsidRPr="003B3977">
        <w:rPr>
          <w:rFonts w:cs="Times New Roman"/>
          <w:sz w:val="20"/>
          <w:szCs w:val="20"/>
          <w:lang w:val="fr-CA"/>
        </w:rPr>
        <w:t>bre 201</w:t>
      </w:r>
      <w:r w:rsidR="006169A3">
        <w:rPr>
          <w:rFonts w:cs="Times New Roman"/>
          <w:sz w:val="20"/>
          <w:szCs w:val="20"/>
          <w:lang w:val="fr-CA"/>
        </w:rPr>
        <w:t>2</w:t>
      </w:r>
      <w:r w:rsidRPr="003B3977">
        <w:rPr>
          <w:rFonts w:cs="Times New Roman"/>
          <w:sz w:val="20"/>
          <w:szCs w:val="20"/>
          <w:lang w:val="fr-CA"/>
        </w:rPr>
        <w:t xml:space="preserve"> / Jugement : Le </w:t>
      </w:r>
      <w:r w:rsidR="006F5F34">
        <w:rPr>
          <w:rFonts w:cs="Times New Roman"/>
          <w:sz w:val="20"/>
          <w:szCs w:val="20"/>
          <w:lang w:val="fr-CA"/>
        </w:rPr>
        <w:t>1</w:t>
      </w:r>
      <w:r w:rsidR="006169A3">
        <w:rPr>
          <w:rFonts w:cs="Times New Roman"/>
          <w:sz w:val="20"/>
          <w:szCs w:val="20"/>
          <w:lang w:val="fr-CA"/>
        </w:rPr>
        <w:t>7</w:t>
      </w:r>
      <w:r w:rsidR="006F5F34">
        <w:rPr>
          <w:rFonts w:cs="Times New Roman"/>
          <w:sz w:val="20"/>
          <w:szCs w:val="20"/>
          <w:lang w:val="fr-CA"/>
        </w:rPr>
        <w:t xml:space="preserve"> janvie</w:t>
      </w:r>
      <w:r w:rsidRPr="003B3977">
        <w:rPr>
          <w:rFonts w:cs="Times New Roman"/>
          <w:sz w:val="20"/>
          <w:szCs w:val="20"/>
          <w:lang w:val="fr-CA"/>
        </w:rPr>
        <w:t>r 201</w:t>
      </w:r>
      <w:r w:rsidR="006F5F34">
        <w:rPr>
          <w:rFonts w:cs="Times New Roman"/>
          <w:sz w:val="20"/>
          <w:szCs w:val="20"/>
          <w:lang w:val="fr-CA"/>
        </w:rPr>
        <w:t>3</w:t>
      </w:r>
    </w:p>
    <w:p w:rsidR="005C6840" w:rsidRPr="003B3977" w:rsidRDefault="00CD48BC" w:rsidP="005C6840">
      <w:pPr>
        <w:rPr>
          <w:rFonts w:cs="Times New Roman"/>
          <w:sz w:val="20"/>
          <w:szCs w:val="20"/>
          <w:lang w:val="fr-CA"/>
        </w:rPr>
      </w:pPr>
      <w:r w:rsidRPr="00CD48BC">
        <w:rPr>
          <w:rFonts w:cs="Times New Roman"/>
          <w:i/>
          <w:sz w:val="20"/>
          <w:szCs w:val="20"/>
        </w:rPr>
        <w:pict>
          <v:rect id="_x0000_i1092" style="width:480.95pt;height:1pt" o:hralign="center" o:hrstd="t" o:hrnoshade="t" o:hr="t" fillcolor="black [3213]" stroked="f"/>
        </w:pict>
      </w:r>
    </w:p>
    <w:p w:rsidR="005C6840" w:rsidRDefault="005C6840" w:rsidP="005C6840">
      <w:pPr>
        <w:rPr>
          <w:rFonts w:cs="Times New Roman"/>
          <w:sz w:val="20"/>
          <w:szCs w:val="20"/>
          <w:lang w:val="fr-CA"/>
        </w:rPr>
      </w:pPr>
    </w:p>
    <w:p w:rsidR="003B435E" w:rsidRPr="000C0D34" w:rsidRDefault="003B435E" w:rsidP="003B435E">
      <w:pPr>
        <w:jc w:val="both"/>
        <w:rPr>
          <w:sz w:val="20"/>
          <w:szCs w:val="20"/>
          <w:lang w:val="fr-CA"/>
        </w:rPr>
      </w:pPr>
      <w:r w:rsidRPr="000C0D34">
        <w:rPr>
          <w:sz w:val="20"/>
          <w:szCs w:val="20"/>
          <w:lang w:val="fr-CA"/>
        </w:rPr>
        <w:t>Présents : La juge en chef McLachlin et les juges LeBel, Fish, Abella, Cromwell, Karakatsanis et Wagner.</w:t>
      </w:r>
    </w:p>
    <w:p w:rsidR="003B435E" w:rsidRDefault="003B435E" w:rsidP="003B435E">
      <w:pPr>
        <w:jc w:val="both"/>
        <w:rPr>
          <w:smallCaps/>
          <w:sz w:val="20"/>
          <w:lang w:val="fr-CA"/>
        </w:rPr>
      </w:pPr>
    </w:p>
    <w:p w:rsidR="003B435E" w:rsidRPr="000C0D34" w:rsidRDefault="003B435E" w:rsidP="003B435E">
      <w:pPr>
        <w:pStyle w:val="SCCNormalDoubleSpacing"/>
        <w:spacing w:line="240" w:lineRule="auto"/>
        <w:rPr>
          <w:i/>
          <w:sz w:val="20"/>
          <w:lang w:val="fr-CA"/>
        </w:rPr>
      </w:pPr>
      <w:r w:rsidRPr="000C0D34">
        <w:rPr>
          <w:sz w:val="20"/>
          <w:lang w:val="fr-CA"/>
        </w:rPr>
        <w:tab/>
      </w:r>
      <w:r w:rsidRPr="000C0D34">
        <w:rPr>
          <w:i/>
          <w:sz w:val="20"/>
          <w:lang w:val="fr-CA"/>
        </w:rPr>
        <w:t>Droit criminel — Ordonnances de confiscation — Plaidoyer de culpabilité présenté à l’égard d’une accusation de conduite avec les facultés affaiblies par l’alcool ou une drogue par un accusé ayant déjà été déclaré coupable de multiples infractions relatives à la conduite sous l’effet de l’alcool et manquements à des ordonnances de probation et à des engagements — Demande de confiscation d’un véhicule automobile présentée par le ministère public — Le juge du procès a</w:t>
      </w:r>
      <w:r w:rsidRPr="000C0D34">
        <w:rPr>
          <w:i/>
          <w:sz w:val="20"/>
          <w:lang w:val="fr-CA"/>
        </w:rPr>
        <w:noBreakHyphen/>
        <w:t>t</w:t>
      </w:r>
      <w:r w:rsidRPr="000C0D34">
        <w:rPr>
          <w:i/>
          <w:sz w:val="20"/>
          <w:lang w:val="fr-CA"/>
        </w:rPr>
        <w:noBreakHyphen/>
        <w:t>il fait erreur en refusant de rendre l’ordonnance demandée?</w:t>
      </w:r>
    </w:p>
    <w:p w:rsidR="003B435E" w:rsidRDefault="003B435E" w:rsidP="003B435E">
      <w:pPr>
        <w:pStyle w:val="SCCNormalDoubleSpacing"/>
        <w:spacing w:line="240" w:lineRule="auto"/>
        <w:rPr>
          <w:i/>
          <w:sz w:val="20"/>
          <w:lang w:val="fr-CA"/>
        </w:rPr>
      </w:pPr>
    </w:p>
    <w:p w:rsidR="003B435E" w:rsidRPr="000C0D34" w:rsidRDefault="003B435E" w:rsidP="003B435E">
      <w:pPr>
        <w:pStyle w:val="SCCNormalDoubleSpacing"/>
        <w:spacing w:line="240" w:lineRule="auto"/>
        <w:rPr>
          <w:sz w:val="20"/>
          <w:lang w:val="fr-CA"/>
        </w:rPr>
      </w:pPr>
      <w:r w:rsidRPr="000C0D34">
        <w:rPr>
          <w:i/>
          <w:sz w:val="20"/>
          <w:lang w:val="fr-CA"/>
        </w:rPr>
        <w:tab/>
        <w:t>Arrêt </w:t>
      </w:r>
      <w:r w:rsidRPr="000C0D34">
        <w:rPr>
          <w:sz w:val="20"/>
          <w:lang w:val="fr-CA"/>
        </w:rPr>
        <w:t>: Le pourvoi est accueilli et l’ordonnance de confiscation est rendue.</w:t>
      </w:r>
    </w:p>
    <w:p w:rsidR="003B435E" w:rsidRDefault="003B435E" w:rsidP="003B435E">
      <w:pPr>
        <w:pStyle w:val="SCCNormalDoubleSpacing"/>
        <w:spacing w:line="240" w:lineRule="auto"/>
        <w:rPr>
          <w:sz w:val="20"/>
          <w:lang w:val="fr-CA"/>
        </w:rPr>
      </w:pPr>
    </w:p>
    <w:p w:rsidR="003B435E" w:rsidRDefault="003B435E" w:rsidP="003B435E">
      <w:pPr>
        <w:pStyle w:val="SCCNormalDoubleSpacing"/>
        <w:spacing w:line="240" w:lineRule="auto"/>
        <w:rPr>
          <w:sz w:val="20"/>
          <w:lang w:val="fr-CA"/>
        </w:rPr>
      </w:pPr>
      <w:r w:rsidRPr="000C0D34">
        <w:rPr>
          <w:sz w:val="20"/>
          <w:lang w:val="fr-CA"/>
        </w:rPr>
        <w:tab/>
        <w:t xml:space="preserve">Dans son application du par. 490.41(3) du </w:t>
      </w:r>
      <w:r w:rsidRPr="000C0D34">
        <w:rPr>
          <w:i/>
          <w:sz w:val="20"/>
          <w:lang w:val="fr-CA"/>
        </w:rPr>
        <w:t>Code criminel</w:t>
      </w:r>
      <w:r w:rsidRPr="000C0D34">
        <w:rPr>
          <w:sz w:val="20"/>
          <w:lang w:val="fr-CA"/>
        </w:rPr>
        <w:t xml:space="preserve">, le juge du procès a conclu qu’il était contraint de tenir compte des objectifs et des principes de détermination de la peine énoncés aux art. 718 et suivants du </w:t>
      </w:r>
      <w:r w:rsidRPr="000C0D34">
        <w:rPr>
          <w:i/>
          <w:sz w:val="20"/>
          <w:lang w:val="fr-CA"/>
        </w:rPr>
        <w:t>Code</w:t>
      </w:r>
      <w:r w:rsidRPr="000C0D34">
        <w:rPr>
          <w:sz w:val="20"/>
          <w:lang w:val="fr-CA"/>
        </w:rPr>
        <w:t>.  Cette erreur est fatale à sa conclusion.  L’intimé n’a pas été en mesure de convaincre la Cour que l’effet de la confiscation serait « démesuré » au sens du par. 490.41(3).  L’ordonnance de confiscation demandée par le ministère public doit donc être rendue.</w:t>
      </w:r>
    </w:p>
    <w:p w:rsidR="003B435E" w:rsidRDefault="003B435E" w:rsidP="003B435E">
      <w:pPr>
        <w:pStyle w:val="SCCNormalDoubleSpacing"/>
        <w:spacing w:line="240" w:lineRule="auto"/>
        <w:rPr>
          <w:sz w:val="20"/>
          <w:lang w:val="fr-CA"/>
        </w:rPr>
      </w:pPr>
    </w:p>
    <w:p w:rsidR="003B435E" w:rsidRPr="000C0D34" w:rsidRDefault="003B435E" w:rsidP="003B435E">
      <w:pPr>
        <w:pStyle w:val="SCCNormalDoubleSpacing"/>
        <w:spacing w:line="240" w:lineRule="auto"/>
        <w:rPr>
          <w:sz w:val="20"/>
          <w:lang w:val="fr-CA"/>
        </w:rPr>
      </w:pPr>
      <w:r w:rsidRPr="000C0D34">
        <w:rPr>
          <w:sz w:val="20"/>
          <w:lang w:val="fr-CA"/>
        </w:rPr>
        <w:tab/>
        <w:t>POURVOI contre un arrêt de la Cour d’appel du Québec (les juges Thibault, Pelletier et Dufresne), 2011 QCCA 900 (CanLII), [2011] J.Q. n</w:t>
      </w:r>
      <w:r w:rsidRPr="000C0D34">
        <w:rPr>
          <w:sz w:val="20"/>
          <w:vertAlign w:val="superscript"/>
          <w:lang w:val="fr-CA"/>
        </w:rPr>
        <w:t>o</w:t>
      </w:r>
      <w:r w:rsidRPr="000C0D34">
        <w:rPr>
          <w:sz w:val="20"/>
          <w:lang w:val="fr-CA"/>
        </w:rPr>
        <w:t> 5287 (QL), 2011 CarswellQue 5023, SOQUIJ AZ</w:t>
      </w:r>
      <w:r w:rsidRPr="000C0D34">
        <w:rPr>
          <w:sz w:val="20"/>
          <w:lang w:val="fr-CA"/>
        </w:rPr>
        <w:noBreakHyphen/>
        <w:t>50753167, qui a confirmé la décision du juge Boisjoli refusant d’ordonner la confiscation d’un bien infractionnel.  Pourvoi accueilli.</w:t>
      </w:r>
    </w:p>
    <w:p w:rsidR="003B435E" w:rsidRDefault="003B435E" w:rsidP="003B435E">
      <w:pPr>
        <w:pStyle w:val="SCCNormalDoubleSpacing"/>
        <w:spacing w:line="240" w:lineRule="auto"/>
        <w:rPr>
          <w:i/>
          <w:sz w:val="20"/>
          <w:lang w:val="fr-CA"/>
        </w:rPr>
      </w:pPr>
    </w:p>
    <w:p w:rsidR="003B435E" w:rsidRPr="000C0D34" w:rsidRDefault="003B435E" w:rsidP="003B435E">
      <w:pPr>
        <w:pStyle w:val="SCCNormalDoubleSpacing"/>
        <w:spacing w:line="240" w:lineRule="auto"/>
        <w:rPr>
          <w:sz w:val="20"/>
          <w:lang w:val="fr-CA"/>
        </w:rPr>
      </w:pPr>
      <w:r w:rsidRPr="000C0D34">
        <w:rPr>
          <w:i/>
          <w:sz w:val="20"/>
          <w:lang w:val="fr-CA"/>
        </w:rPr>
        <w:tab/>
        <w:t>Robin Tremblay</w:t>
      </w:r>
      <w:r w:rsidRPr="000C0D34">
        <w:rPr>
          <w:sz w:val="20"/>
          <w:lang w:val="fr-CA"/>
        </w:rPr>
        <w:t xml:space="preserve"> et </w:t>
      </w:r>
      <w:r w:rsidRPr="000C0D34">
        <w:rPr>
          <w:i/>
          <w:sz w:val="20"/>
          <w:lang w:val="fr-CA"/>
        </w:rPr>
        <w:t>Jean</w:t>
      </w:r>
      <w:r w:rsidRPr="000C0D34">
        <w:rPr>
          <w:i/>
          <w:sz w:val="20"/>
          <w:lang w:val="fr-CA"/>
        </w:rPr>
        <w:noBreakHyphen/>
        <w:t>François Bouvette</w:t>
      </w:r>
      <w:r w:rsidRPr="000C0D34">
        <w:rPr>
          <w:sz w:val="20"/>
          <w:lang w:val="fr-CA"/>
        </w:rPr>
        <w:t>, pour l’appelante.</w:t>
      </w:r>
    </w:p>
    <w:p w:rsidR="003B435E" w:rsidRDefault="003B435E" w:rsidP="003B435E">
      <w:pPr>
        <w:pStyle w:val="SCCNormalDoubleSpacing"/>
        <w:spacing w:line="240" w:lineRule="auto"/>
        <w:rPr>
          <w:i/>
          <w:sz w:val="20"/>
          <w:lang w:val="fr-CA"/>
        </w:rPr>
      </w:pPr>
    </w:p>
    <w:p w:rsidR="003B435E" w:rsidRPr="000C0D34" w:rsidRDefault="003B435E" w:rsidP="003B435E">
      <w:pPr>
        <w:pStyle w:val="SCCNormalDoubleSpacing"/>
        <w:spacing w:line="240" w:lineRule="auto"/>
        <w:rPr>
          <w:sz w:val="20"/>
          <w:lang w:val="fr-CA"/>
        </w:rPr>
      </w:pPr>
      <w:r w:rsidRPr="000C0D34">
        <w:rPr>
          <w:i/>
          <w:sz w:val="20"/>
          <w:lang w:val="fr-CA"/>
        </w:rPr>
        <w:tab/>
        <w:t>Patrick Jacques</w:t>
      </w:r>
      <w:r w:rsidRPr="000C0D34">
        <w:rPr>
          <w:sz w:val="20"/>
          <w:lang w:val="fr-CA"/>
        </w:rPr>
        <w:t>, pour l’intimé.</w:t>
      </w:r>
    </w:p>
    <w:p w:rsidR="003B435E" w:rsidRDefault="003B435E" w:rsidP="003B435E">
      <w:pPr>
        <w:pStyle w:val="SCCNormalDoubleSpacing"/>
        <w:spacing w:line="240" w:lineRule="auto"/>
        <w:rPr>
          <w:sz w:val="20"/>
          <w:lang w:val="fr-CA"/>
        </w:rPr>
      </w:pPr>
    </w:p>
    <w:p w:rsidR="003B435E" w:rsidRPr="000C0D34" w:rsidRDefault="003B435E" w:rsidP="003B435E">
      <w:pPr>
        <w:pStyle w:val="SCCNormalDoubleSpacing"/>
        <w:spacing w:line="240" w:lineRule="auto"/>
        <w:rPr>
          <w:sz w:val="20"/>
          <w:lang w:val="fr-CA"/>
        </w:rPr>
      </w:pPr>
      <w:r w:rsidRPr="000C0D34">
        <w:rPr>
          <w:sz w:val="20"/>
          <w:lang w:val="fr-CA"/>
        </w:rPr>
        <w:tab/>
        <w:t>Argumentation écrite seulement par</w:t>
      </w:r>
      <w:r w:rsidRPr="000C0D34">
        <w:rPr>
          <w:i/>
          <w:sz w:val="20"/>
          <w:lang w:val="fr-CA"/>
        </w:rPr>
        <w:t xml:space="preserve"> Simon William</w:t>
      </w:r>
      <w:r w:rsidRPr="000C0D34">
        <w:rPr>
          <w:sz w:val="20"/>
          <w:lang w:val="fr-CA"/>
        </w:rPr>
        <w:t xml:space="preserve"> et </w:t>
      </w:r>
      <w:r w:rsidRPr="000C0D34">
        <w:rPr>
          <w:i/>
          <w:sz w:val="20"/>
          <w:lang w:val="fr-CA"/>
        </w:rPr>
        <w:t>François Lacasse</w:t>
      </w:r>
      <w:r w:rsidRPr="000C0D34">
        <w:rPr>
          <w:sz w:val="20"/>
          <w:lang w:val="fr-CA"/>
        </w:rPr>
        <w:t>, pour l’intervenant le Directeur des poursuites pénales du Canada.</w:t>
      </w:r>
    </w:p>
    <w:p w:rsidR="003B435E" w:rsidRDefault="003B435E" w:rsidP="003B435E">
      <w:pPr>
        <w:pStyle w:val="SCCNormalDoubleSpacing"/>
        <w:spacing w:line="240" w:lineRule="auto"/>
        <w:rPr>
          <w:i/>
          <w:sz w:val="20"/>
          <w:lang w:val="fr-CA"/>
        </w:rPr>
      </w:pPr>
    </w:p>
    <w:p w:rsidR="003B435E" w:rsidRPr="000C0D34" w:rsidRDefault="003B435E" w:rsidP="003B435E">
      <w:pPr>
        <w:pStyle w:val="SCCNormalDoubleSpacing"/>
        <w:spacing w:line="240" w:lineRule="auto"/>
        <w:rPr>
          <w:sz w:val="20"/>
          <w:lang w:val="fr-CA"/>
        </w:rPr>
      </w:pPr>
      <w:r w:rsidRPr="000C0D34">
        <w:rPr>
          <w:i/>
          <w:sz w:val="20"/>
          <w:lang w:val="fr-CA"/>
        </w:rPr>
        <w:tab/>
        <w:t>Susan Ficek</w:t>
      </w:r>
      <w:r w:rsidRPr="000C0D34">
        <w:rPr>
          <w:sz w:val="20"/>
          <w:lang w:val="fr-CA"/>
        </w:rPr>
        <w:t xml:space="preserve"> et </w:t>
      </w:r>
      <w:r w:rsidRPr="000C0D34">
        <w:rPr>
          <w:i/>
          <w:sz w:val="20"/>
          <w:lang w:val="fr-CA"/>
        </w:rPr>
        <w:t>Melissa Adams</w:t>
      </w:r>
      <w:r w:rsidRPr="000C0D34">
        <w:rPr>
          <w:sz w:val="20"/>
          <w:lang w:val="fr-CA"/>
        </w:rPr>
        <w:t>, pour l’intervenant le procureur général de l’Ontario.</w:t>
      </w:r>
    </w:p>
    <w:p w:rsidR="003B435E" w:rsidRDefault="003B435E" w:rsidP="003B435E">
      <w:pPr>
        <w:pStyle w:val="SCCNormalDoubleSpacing"/>
        <w:spacing w:line="240" w:lineRule="auto"/>
        <w:rPr>
          <w:i/>
          <w:sz w:val="20"/>
          <w:lang w:val="fr-CA"/>
        </w:rPr>
      </w:pPr>
    </w:p>
    <w:p w:rsidR="003B435E" w:rsidRPr="000C0D34" w:rsidRDefault="003B435E" w:rsidP="003B435E">
      <w:pPr>
        <w:pStyle w:val="SCCNormalDoubleSpacing"/>
        <w:spacing w:line="240" w:lineRule="auto"/>
        <w:rPr>
          <w:sz w:val="20"/>
          <w:lang w:val="fr-CA"/>
        </w:rPr>
      </w:pPr>
      <w:r w:rsidRPr="000C0D34">
        <w:rPr>
          <w:i/>
          <w:sz w:val="20"/>
          <w:lang w:val="fr-CA"/>
        </w:rPr>
        <w:tab/>
        <w:t>Catherine Beagan Flood</w:t>
      </w:r>
      <w:r w:rsidRPr="000C0D34">
        <w:rPr>
          <w:sz w:val="20"/>
          <w:lang w:val="fr-CA"/>
        </w:rPr>
        <w:t xml:space="preserve"> et </w:t>
      </w:r>
      <w:r w:rsidRPr="000C0D34">
        <w:rPr>
          <w:i/>
          <w:sz w:val="20"/>
          <w:lang w:val="fr-CA"/>
        </w:rPr>
        <w:t>Joshua A. Krane</w:t>
      </w:r>
      <w:r w:rsidRPr="000C0D34">
        <w:rPr>
          <w:sz w:val="20"/>
          <w:lang w:val="fr-CA"/>
        </w:rPr>
        <w:t>, pour l’intervenante l’Association canadienne des libertés civiles.</w:t>
      </w:r>
    </w:p>
    <w:p w:rsidR="003B435E" w:rsidRDefault="003B435E" w:rsidP="003B435E">
      <w:pPr>
        <w:pStyle w:val="SCCNormalDoubleSpacing"/>
        <w:spacing w:line="240" w:lineRule="auto"/>
        <w:rPr>
          <w:i/>
          <w:sz w:val="20"/>
          <w:lang w:val="fr-CA"/>
        </w:rPr>
      </w:pPr>
    </w:p>
    <w:p w:rsidR="003B435E" w:rsidRPr="000C0D34" w:rsidRDefault="003B435E" w:rsidP="003B435E">
      <w:pPr>
        <w:pStyle w:val="SCCNormalDoubleSpacing"/>
        <w:spacing w:line="240" w:lineRule="auto"/>
        <w:rPr>
          <w:sz w:val="20"/>
          <w:lang w:val="fr-CA"/>
        </w:rPr>
      </w:pPr>
      <w:r w:rsidRPr="000C0D34">
        <w:rPr>
          <w:i/>
          <w:sz w:val="20"/>
          <w:lang w:val="fr-CA"/>
        </w:rPr>
        <w:tab/>
        <w:t>Audrey Boctor et Douglas C. Mitchell</w:t>
      </w:r>
      <w:r w:rsidRPr="000C0D34">
        <w:rPr>
          <w:sz w:val="20"/>
          <w:lang w:val="fr-CA"/>
        </w:rPr>
        <w:t>, pour l’intervenante l’Association des libertés civiles de la Colombie</w:t>
      </w:r>
      <w:r w:rsidRPr="000C0D34">
        <w:rPr>
          <w:sz w:val="20"/>
          <w:lang w:val="fr-CA"/>
        </w:rPr>
        <w:noBreakHyphen/>
        <w:t>Britannique.</w:t>
      </w:r>
    </w:p>
    <w:p w:rsidR="003B435E" w:rsidRDefault="003B435E" w:rsidP="003B435E">
      <w:pPr>
        <w:pStyle w:val="SCCLawFirm"/>
        <w:spacing w:line="240" w:lineRule="auto"/>
        <w:rPr>
          <w:sz w:val="20"/>
          <w:lang w:val="fr-CA"/>
        </w:rPr>
      </w:pPr>
    </w:p>
    <w:p w:rsidR="003B435E" w:rsidRPr="000C0D34" w:rsidRDefault="003B435E" w:rsidP="003B435E">
      <w:pPr>
        <w:pStyle w:val="SCCLawFirm"/>
        <w:spacing w:line="240" w:lineRule="auto"/>
        <w:rPr>
          <w:sz w:val="20"/>
          <w:lang w:val="fr-CA"/>
        </w:rPr>
      </w:pPr>
      <w:r w:rsidRPr="000C0D34">
        <w:rPr>
          <w:sz w:val="20"/>
          <w:lang w:val="fr-CA"/>
        </w:rPr>
        <w:tab/>
        <w:t>Procureur de l’appelante : Poursuites criminelles et pénales du Québec, Baie</w:t>
      </w:r>
      <w:r w:rsidRPr="000C0D34">
        <w:rPr>
          <w:sz w:val="20"/>
          <w:lang w:val="fr-CA"/>
        </w:rPr>
        <w:noBreakHyphen/>
        <w:t>Comeau, Québec.</w:t>
      </w:r>
    </w:p>
    <w:p w:rsidR="003B435E" w:rsidRDefault="003B435E" w:rsidP="003B435E">
      <w:pPr>
        <w:pStyle w:val="SCCLawFirm"/>
        <w:spacing w:line="240" w:lineRule="auto"/>
        <w:rPr>
          <w:sz w:val="20"/>
          <w:lang w:val="fr-CA"/>
        </w:rPr>
      </w:pPr>
    </w:p>
    <w:p w:rsidR="003B435E" w:rsidRPr="000C0D34" w:rsidRDefault="003B435E" w:rsidP="003B435E">
      <w:pPr>
        <w:pStyle w:val="SCCLawFirm"/>
        <w:spacing w:line="240" w:lineRule="auto"/>
        <w:rPr>
          <w:sz w:val="20"/>
          <w:lang w:val="fr-CA"/>
        </w:rPr>
      </w:pPr>
      <w:r w:rsidRPr="000C0D34">
        <w:rPr>
          <w:sz w:val="20"/>
          <w:lang w:val="fr-CA"/>
        </w:rPr>
        <w:tab/>
        <w:t>Procureur de l’intimé : Patrick Jacques, Beaupré, Québec.</w:t>
      </w:r>
    </w:p>
    <w:p w:rsidR="003B435E" w:rsidRDefault="003B435E" w:rsidP="003B435E">
      <w:pPr>
        <w:pStyle w:val="SCCLawFirm"/>
        <w:spacing w:line="240" w:lineRule="auto"/>
        <w:rPr>
          <w:sz w:val="20"/>
          <w:lang w:val="fr-CA"/>
        </w:rPr>
      </w:pPr>
    </w:p>
    <w:p w:rsidR="003B435E" w:rsidRPr="000C0D34" w:rsidRDefault="003B435E" w:rsidP="003B435E">
      <w:pPr>
        <w:pStyle w:val="SCCLawFirm"/>
        <w:spacing w:line="240" w:lineRule="auto"/>
        <w:rPr>
          <w:sz w:val="20"/>
          <w:lang w:val="fr-CA"/>
        </w:rPr>
      </w:pPr>
      <w:r w:rsidRPr="000C0D34">
        <w:rPr>
          <w:sz w:val="20"/>
          <w:lang w:val="fr-CA"/>
        </w:rPr>
        <w:tab/>
        <w:t>Procureur de l’intervenant le Directeur des poursuites pénales du Canada : Service des poursuites pénales du Canada, Ottawa.</w:t>
      </w:r>
    </w:p>
    <w:p w:rsidR="003B435E" w:rsidRDefault="003B435E" w:rsidP="003B435E">
      <w:pPr>
        <w:pStyle w:val="SCCLawFirm"/>
        <w:spacing w:line="240" w:lineRule="auto"/>
        <w:rPr>
          <w:sz w:val="20"/>
          <w:lang w:val="fr-CA"/>
        </w:rPr>
      </w:pPr>
    </w:p>
    <w:p w:rsidR="003B435E" w:rsidRPr="000C0D34" w:rsidRDefault="003B435E" w:rsidP="003B435E">
      <w:pPr>
        <w:pStyle w:val="SCCLawFirm"/>
        <w:spacing w:line="240" w:lineRule="auto"/>
        <w:rPr>
          <w:sz w:val="20"/>
          <w:lang w:val="fr-CA"/>
        </w:rPr>
      </w:pPr>
      <w:r w:rsidRPr="000C0D34">
        <w:rPr>
          <w:sz w:val="20"/>
          <w:lang w:val="fr-CA"/>
        </w:rPr>
        <w:tab/>
        <w:t>Procureur de l’intervenant le procureur général de l’Ontario : Procureur général de l’Ontario, Toronto.</w:t>
      </w:r>
    </w:p>
    <w:p w:rsidR="003B435E" w:rsidRDefault="003B435E" w:rsidP="003B435E">
      <w:pPr>
        <w:pStyle w:val="SCCLawFirm"/>
        <w:spacing w:line="240" w:lineRule="auto"/>
        <w:rPr>
          <w:sz w:val="20"/>
          <w:lang w:val="fr-CA"/>
        </w:rPr>
      </w:pPr>
    </w:p>
    <w:p w:rsidR="003B435E" w:rsidRPr="000C0D34" w:rsidRDefault="003B435E" w:rsidP="003B435E">
      <w:pPr>
        <w:pStyle w:val="SCCLawFirm"/>
        <w:spacing w:line="240" w:lineRule="auto"/>
        <w:rPr>
          <w:sz w:val="20"/>
          <w:lang w:val="fr-CA"/>
        </w:rPr>
      </w:pPr>
      <w:r w:rsidRPr="000C0D34">
        <w:rPr>
          <w:sz w:val="20"/>
          <w:lang w:val="fr-CA"/>
        </w:rPr>
        <w:tab/>
        <w:t>Procureurs de l’intervenante l’Association canadienne des libertés civiles : Blake, Cassels &amp; Graydon, Toronto.</w:t>
      </w:r>
    </w:p>
    <w:p w:rsidR="003B435E" w:rsidRDefault="003B435E" w:rsidP="003B435E">
      <w:pPr>
        <w:pStyle w:val="SCCLawFirm"/>
        <w:spacing w:line="240" w:lineRule="auto"/>
        <w:rPr>
          <w:sz w:val="20"/>
          <w:lang w:val="fr-CA"/>
        </w:rPr>
      </w:pPr>
    </w:p>
    <w:p w:rsidR="003B435E" w:rsidRDefault="003B435E" w:rsidP="003B435E">
      <w:pPr>
        <w:pStyle w:val="SCCLawFirm"/>
        <w:spacing w:line="240" w:lineRule="auto"/>
        <w:rPr>
          <w:sz w:val="20"/>
          <w:lang w:val="fr-CA"/>
        </w:rPr>
      </w:pPr>
      <w:r w:rsidRPr="000C0D34">
        <w:rPr>
          <w:sz w:val="20"/>
          <w:lang w:val="fr-CA"/>
        </w:rPr>
        <w:lastRenderedPageBreak/>
        <w:tab/>
        <w:t>Procureurs de l’intervenante l’Association des libertés civiles de la Colombie</w:t>
      </w:r>
      <w:r w:rsidRPr="000C0D34">
        <w:rPr>
          <w:sz w:val="20"/>
          <w:lang w:val="fr-CA"/>
        </w:rPr>
        <w:noBreakHyphen/>
        <w:t>Britannique : Irving Mitchell Kalichman, Montréal.</w:t>
      </w:r>
    </w:p>
    <w:p w:rsidR="00DD0B49" w:rsidRPr="003B435E" w:rsidRDefault="00DD0B49" w:rsidP="00DD0B49">
      <w:pPr>
        <w:rPr>
          <w:rFonts w:cs="Times New Roman"/>
          <w:sz w:val="20"/>
          <w:szCs w:val="20"/>
        </w:rPr>
      </w:pPr>
      <w:r w:rsidRPr="003B435E">
        <w:rPr>
          <w:rFonts w:cs="Times New Roman"/>
          <w:sz w:val="20"/>
          <w:szCs w:val="20"/>
        </w:rPr>
        <w:t>________________________</w:t>
      </w:r>
    </w:p>
    <w:p w:rsidR="00DD0B49" w:rsidRPr="003B435E" w:rsidRDefault="00DD0B49" w:rsidP="00DD0B49">
      <w:pPr>
        <w:rPr>
          <w:rFonts w:cs="Times New Roman"/>
          <w:sz w:val="20"/>
          <w:szCs w:val="20"/>
        </w:rPr>
      </w:pPr>
    </w:p>
    <w:p w:rsidR="003B435E" w:rsidRPr="00BA5280" w:rsidRDefault="003B435E" w:rsidP="003B435E">
      <w:pPr>
        <w:jc w:val="both"/>
        <w:rPr>
          <w:sz w:val="20"/>
          <w:szCs w:val="20"/>
        </w:rPr>
      </w:pPr>
      <w:r w:rsidRPr="00BA5280">
        <w:rPr>
          <w:sz w:val="20"/>
          <w:szCs w:val="20"/>
        </w:rPr>
        <w:t>Present:  McLachlin C.J. and LeBel, Fish, Abella, Cromwell, Karakatsanis and Wagner JJ.</w:t>
      </w:r>
    </w:p>
    <w:p w:rsidR="003B435E" w:rsidRDefault="003B435E" w:rsidP="003B435E">
      <w:pPr>
        <w:pStyle w:val="SCCLowerCourtNameLowercase"/>
        <w:spacing w:line="240" w:lineRule="auto"/>
        <w:rPr>
          <w:sz w:val="20"/>
        </w:rPr>
      </w:pPr>
    </w:p>
    <w:p w:rsidR="003B435E" w:rsidRDefault="003B435E" w:rsidP="003B435E">
      <w:pPr>
        <w:pStyle w:val="SCCNormalDoubleSpacing"/>
        <w:spacing w:line="240" w:lineRule="auto"/>
        <w:rPr>
          <w:i/>
          <w:sz w:val="20"/>
        </w:rPr>
      </w:pPr>
      <w:r w:rsidRPr="00BA5280">
        <w:rPr>
          <w:sz w:val="20"/>
        </w:rPr>
        <w:tab/>
      </w:r>
      <w:r w:rsidRPr="00BA5280">
        <w:rPr>
          <w:i/>
          <w:sz w:val="20"/>
        </w:rPr>
        <w:t>Criminal law — Forfeiture orders — Accused who had previously been convicted for multiple alcohol</w:t>
      </w:r>
      <w:r w:rsidRPr="00BA5280">
        <w:rPr>
          <w:i/>
          <w:sz w:val="20"/>
        </w:rPr>
        <w:noBreakHyphen/>
        <w:t>related driving offences and breaches of probation orders and undertakings pleading guilty to the charge of driving a motor vehicle while impaired by drugs or alcohol — Crown requesting order of forfeiture of motor vehicle — Whether trial judge erred in refusing to issue order.</w:t>
      </w:r>
    </w:p>
    <w:p w:rsidR="003B435E" w:rsidRPr="00BA5280" w:rsidRDefault="003B435E" w:rsidP="003B435E">
      <w:pPr>
        <w:pStyle w:val="SCCNormalDoubleSpacing"/>
        <w:spacing w:line="240" w:lineRule="auto"/>
        <w:rPr>
          <w:i/>
          <w:sz w:val="20"/>
        </w:rPr>
      </w:pPr>
    </w:p>
    <w:p w:rsidR="003B435E" w:rsidRDefault="003B435E" w:rsidP="003B435E">
      <w:pPr>
        <w:pStyle w:val="SCCNormalDoubleSpacing"/>
        <w:spacing w:line="240" w:lineRule="auto"/>
        <w:rPr>
          <w:sz w:val="20"/>
        </w:rPr>
      </w:pPr>
      <w:r>
        <w:rPr>
          <w:i/>
          <w:sz w:val="20"/>
        </w:rPr>
        <w:tab/>
      </w:r>
      <w:r w:rsidRPr="00BA5280">
        <w:rPr>
          <w:i/>
          <w:sz w:val="20"/>
        </w:rPr>
        <w:t>Held</w:t>
      </w:r>
      <w:r w:rsidRPr="00BA5280">
        <w:rPr>
          <w:sz w:val="20"/>
        </w:rPr>
        <w:t>:  The appeal should be allowed and the forfeiture order granted.</w:t>
      </w:r>
    </w:p>
    <w:p w:rsidR="003B435E" w:rsidRPr="00BA5280" w:rsidRDefault="003B435E" w:rsidP="003B435E">
      <w:pPr>
        <w:pStyle w:val="SCCNormalDoubleSpacing"/>
        <w:spacing w:line="240" w:lineRule="auto"/>
        <w:ind w:left="1168"/>
        <w:rPr>
          <w:sz w:val="20"/>
        </w:rPr>
      </w:pPr>
    </w:p>
    <w:p w:rsidR="003B435E" w:rsidRDefault="003B435E" w:rsidP="003B435E">
      <w:pPr>
        <w:pStyle w:val="SCCNormalDoubleSpacing"/>
        <w:spacing w:line="240" w:lineRule="auto"/>
        <w:rPr>
          <w:sz w:val="20"/>
        </w:rPr>
      </w:pPr>
      <w:r w:rsidRPr="00BA5280">
        <w:rPr>
          <w:sz w:val="20"/>
        </w:rPr>
        <w:tab/>
        <w:t xml:space="preserve">In applying s. 490.41(3) of the </w:t>
      </w:r>
      <w:r w:rsidRPr="00BA5280">
        <w:rPr>
          <w:i/>
          <w:sz w:val="20"/>
        </w:rPr>
        <w:t>Criminal Code</w:t>
      </w:r>
      <w:r w:rsidRPr="00BA5280">
        <w:rPr>
          <w:sz w:val="20"/>
        </w:rPr>
        <w:t xml:space="preserve">, the trial judge held that he was bound to consider the objectives and principles of sentencing set out in s. 718 and following of the </w:t>
      </w:r>
      <w:r w:rsidRPr="00BA5280">
        <w:rPr>
          <w:i/>
          <w:sz w:val="20"/>
        </w:rPr>
        <w:t>Code</w:t>
      </w:r>
      <w:r w:rsidRPr="00BA5280">
        <w:rPr>
          <w:sz w:val="20"/>
        </w:rPr>
        <w:t>.  This error is fatal to his conclusion.  The respondent failed to satisfy this Court that the impact of forfeiture would be “disproportionate” within the meaning of s. 490.41(3).  The order of forfeiture sought by the Crown should therefore be granted.</w:t>
      </w:r>
    </w:p>
    <w:p w:rsidR="003B435E" w:rsidRDefault="003B435E" w:rsidP="003B435E">
      <w:pPr>
        <w:pStyle w:val="SCCNormalDoubleSpacing"/>
        <w:spacing w:line="240" w:lineRule="auto"/>
        <w:rPr>
          <w:sz w:val="20"/>
        </w:rPr>
      </w:pPr>
    </w:p>
    <w:p w:rsidR="003B435E" w:rsidRPr="00BA5280" w:rsidRDefault="003B435E" w:rsidP="003B435E">
      <w:pPr>
        <w:pStyle w:val="SCCNormalDoubleSpacing"/>
        <w:spacing w:line="240" w:lineRule="auto"/>
        <w:rPr>
          <w:sz w:val="20"/>
        </w:rPr>
      </w:pPr>
      <w:r w:rsidRPr="00BA5280">
        <w:rPr>
          <w:sz w:val="20"/>
          <w:lang w:val="en-US"/>
        </w:rPr>
        <w:tab/>
      </w:r>
      <w:r w:rsidRPr="00BA5280">
        <w:rPr>
          <w:sz w:val="20"/>
        </w:rPr>
        <w:t>APPEAL from a judgment of the Quebec Court of Appeal (Thibault, Pelletier and Dufresne JJ.A.), 2011 QCCA 900 (CanLII), [2011] Q.J. No. 5287 (QL), 2011 CarswellQue 15720, SOQUIJ AZ</w:t>
      </w:r>
      <w:r w:rsidRPr="00BA5280">
        <w:rPr>
          <w:sz w:val="20"/>
        </w:rPr>
        <w:noBreakHyphen/>
        <w:t>50753167, affirming a decision of Boisjoli J. refusing to order the forfeiture of offence</w:t>
      </w:r>
      <w:r w:rsidRPr="00BA5280">
        <w:rPr>
          <w:sz w:val="20"/>
        </w:rPr>
        <w:noBreakHyphen/>
        <w:t>related property.  Appeal allowed.</w:t>
      </w:r>
    </w:p>
    <w:p w:rsidR="003B435E" w:rsidRDefault="003B435E" w:rsidP="003B435E">
      <w:pPr>
        <w:pStyle w:val="SCCNormalDoubleSpacing"/>
        <w:spacing w:line="240" w:lineRule="auto"/>
        <w:rPr>
          <w:i/>
          <w:sz w:val="20"/>
        </w:rPr>
      </w:pPr>
    </w:p>
    <w:p w:rsidR="003B435E" w:rsidRPr="00BA5280" w:rsidRDefault="003B435E" w:rsidP="003B435E">
      <w:pPr>
        <w:pStyle w:val="SCCNormalDoubleSpacing"/>
        <w:spacing w:line="240" w:lineRule="auto"/>
        <w:rPr>
          <w:sz w:val="20"/>
        </w:rPr>
      </w:pPr>
      <w:r w:rsidRPr="00BA5280">
        <w:rPr>
          <w:i/>
          <w:sz w:val="20"/>
        </w:rPr>
        <w:tab/>
        <w:t>Robin Tremblay</w:t>
      </w:r>
      <w:r w:rsidRPr="00BA5280">
        <w:rPr>
          <w:sz w:val="20"/>
        </w:rPr>
        <w:t xml:space="preserve"> and </w:t>
      </w:r>
      <w:r w:rsidRPr="00BA5280">
        <w:rPr>
          <w:i/>
          <w:sz w:val="20"/>
        </w:rPr>
        <w:t>Jean</w:t>
      </w:r>
      <w:r w:rsidRPr="00BA5280">
        <w:rPr>
          <w:i/>
          <w:sz w:val="20"/>
        </w:rPr>
        <w:noBreakHyphen/>
        <w:t>François Bouvette</w:t>
      </w:r>
      <w:r w:rsidRPr="00BA5280">
        <w:rPr>
          <w:sz w:val="20"/>
        </w:rPr>
        <w:t>, for the appellant.</w:t>
      </w:r>
    </w:p>
    <w:p w:rsidR="003B435E" w:rsidRDefault="003B435E" w:rsidP="003B435E">
      <w:pPr>
        <w:pStyle w:val="SCCNormalDoubleSpacing"/>
        <w:spacing w:line="240" w:lineRule="auto"/>
        <w:rPr>
          <w:i/>
          <w:sz w:val="20"/>
        </w:rPr>
      </w:pPr>
    </w:p>
    <w:p w:rsidR="003B435E" w:rsidRPr="00BA5280" w:rsidRDefault="003B435E" w:rsidP="003B435E">
      <w:pPr>
        <w:pStyle w:val="SCCNormalDoubleSpacing"/>
        <w:spacing w:line="240" w:lineRule="auto"/>
        <w:rPr>
          <w:sz w:val="20"/>
        </w:rPr>
      </w:pPr>
      <w:r w:rsidRPr="00BA5280">
        <w:rPr>
          <w:i/>
          <w:sz w:val="20"/>
        </w:rPr>
        <w:tab/>
        <w:t>Patrick Jacques</w:t>
      </w:r>
      <w:r w:rsidRPr="00BA5280">
        <w:rPr>
          <w:sz w:val="20"/>
        </w:rPr>
        <w:t>, for the respondent.</w:t>
      </w:r>
    </w:p>
    <w:p w:rsidR="003B435E" w:rsidRDefault="003B435E" w:rsidP="003B435E">
      <w:pPr>
        <w:pStyle w:val="SCCNormalDoubleSpacing"/>
        <w:spacing w:line="240" w:lineRule="auto"/>
        <w:rPr>
          <w:sz w:val="20"/>
        </w:rPr>
      </w:pPr>
    </w:p>
    <w:p w:rsidR="003B435E" w:rsidRPr="00BA5280" w:rsidRDefault="003B435E" w:rsidP="003B435E">
      <w:pPr>
        <w:pStyle w:val="SCCNormalDoubleSpacing"/>
        <w:spacing w:line="240" w:lineRule="auto"/>
        <w:rPr>
          <w:sz w:val="20"/>
        </w:rPr>
      </w:pPr>
      <w:r w:rsidRPr="00BA5280">
        <w:rPr>
          <w:sz w:val="20"/>
        </w:rPr>
        <w:tab/>
        <w:t xml:space="preserve">Written submissions only by </w:t>
      </w:r>
      <w:r w:rsidRPr="00BA5280">
        <w:rPr>
          <w:i/>
          <w:sz w:val="20"/>
        </w:rPr>
        <w:t>Simon William</w:t>
      </w:r>
      <w:r w:rsidRPr="00BA5280">
        <w:rPr>
          <w:sz w:val="20"/>
        </w:rPr>
        <w:t xml:space="preserve"> and </w:t>
      </w:r>
      <w:r w:rsidRPr="00BA5280">
        <w:rPr>
          <w:i/>
          <w:sz w:val="20"/>
        </w:rPr>
        <w:t>François Lacasse</w:t>
      </w:r>
      <w:r w:rsidRPr="00BA5280">
        <w:rPr>
          <w:sz w:val="20"/>
        </w:rPr>
        <w:t>, for the intervener the Director of Public Prosecutions of Canada.</w:t>
      </w:r>
    </w:p>
    <w:p w:rsidR="003B435E" w:rsidRDefault="003B435E" w:rsidP="003B435E">
      <w:pPr>
        <w:pStyle w:val="SCCNormalDoubleSpacing"/>
        <w:spacing w:line="240" w:lineRule="auto"/>
        <w:rPr>
          <w:i/>
          <w:sz w:val="20"/>
        </w:rPr>
      </w:pPr>
    </w:p>
    <w:p w:rsidR="003B435E" w:rsidRPr="00BA5280" w:rsidRDefault="003B435E" w:rsidP="003B435E">
      <w:pPr>
        <w:pStyle w:val="SCCNormalDoubleSpacing"/>
        <w:spacing w:line="240" w:lineRule="auto"/>
        <w:rPr>
          <w:sz w:val="20"/>
        </w:rPr>
      </w:pPr>
      <w:r w:rsidRPr="00BA5280">
        <w:rPr>
          <w:i/>
          <w:sz w:val="20"/>
        </w:rPr>
        <w:tab/>
        <w:t>Susan Ficek</w:t>
      </w:r>
      <w:r w:rsidRPr="00BA5280">
        <w:rPr>
          <w:sz w:val="20"/>
        </w:rPr>
        <w:t xml:space="preserve"> and </w:t>
      </w:r>
      <w:r w:rsidRPr="00BA5280">
        <w:rPr>
          <w:i/>
          <w:sz w:val="20"/>
        </w:rPr>
        <w:t>Melissa Adams</w:t>
      </w:r>
      <w:r w:rsidRPr="00BA5280">
        <w:rPr>
          <w:sz w:val="20"/>
        </w:rPr>
        <w:t>, for the intervener the Attorney General of Ontario.</w:t>
      </w:r>
    </w:p>
    <w:p w:rsidR="003B435E" w:rsidRDefault="003B435E" w:rsidP="003B435E">
      <w:pPr>
        <w:pStyle w:val="SCCNormalDoubleSpacing"/>
        <w:spacing w:line="240" w:lineRule="auto"/>
        <w:rPr>
          <w:i/>
          <w:sz w:val="20"/>
        </w:rPr>
      </w:pPr>
    </w:p>
    <w:p w:rsidR="003B435E" w:rsidRPr="00BA5280" w:rsidRDefault="003B435E" w:rsidP="003B435E">
      <w:pPr>
        <w:pStyle w:val="SCCNormalDoubleSpacing"/>
        <w:spacing w:line="240" w:lineRule="auto"/>
        <w:rPr>
          <w:sz w:val="20"/>
        </w:rPr>
      </w:pPr>
      <w:r w:rsidRPr="00BA5280">
        <w:rPr>
          <w:i/>
          <w:sz w:val="20"/>
        </w:rPr>
        <w:tab/>
        <w:t>Catherine Beagan Flood</w:t>
      </w:r>
      <w:r w:rsidRPr="00BA5280">
        <w:rPr>
          <w:sz w:val="20"/>
        </w:rPr>
        <w:t xml:space="preserve"> and </w:t>
      </w:r>
      <w:r w:rsidRPr="00BA5280">
        <w:rPr>
          <w:i/>
          <w:sz w:val="20"/>
        </w:rPr>
        <w:t>Joshua A. Krane</w:t>
      </w:r>
      <w:r w:rsidRPr="00BA5280">
        <w:rPr>
          <w:sz w:val="20"/>
        </w:rPr>
        <w:t>, for the intervener the Canadian Civil Liberties Association.</w:t>
      </w:r>
    </w:p>
    <w:p w:rsidR="003B435E" w:rsidRDefault="003B435E" w:rsidP="003B435E">
      <w:pPr>
        <w:pStyle w:val="SCCNormalDoubleSpacing"/>
        <w:spacing w:line="240" w:lineRule="auto"/>
        <w:rPr>
          <w:i/>
          <w:sz w:val="20"/>
        </w:rPr>
      </w:pPr>
    </w:p>
    <w:p w:rsidR="003B435E" w:rsidRPr="00BA5280" w:rsidRDefault="003B435E" w:rsidP="003B435E">
      <w:pPr>
        <w:pStyle w:val="SCCNormalDoubleSpacing"/>
        <w:spacing w:line="240" w:lineRule="auto"/>
        <w:rPr>
          <w:sz w:val="20"/>
        </w:rPr>
      </w:pPr>
      <w:r w:rsidRPr="00BA5280">
        <w:rPr>
          <w:i/>
          <w:sz w:val="20"/>
        </w:rPr>
        <w:tab/>
        <w:t>Audrey Boctor and Douglas C. Mitchell</w:t>
      </w:r>
      <w:r w:rsidRPr="00BA5280">
        <w:rPr>
          <w:sz w:val="20"/>
        </w:rPr>
        <w:t>, for the intervener the British Columbia Civil Liberties Association.</w:t>
      </w:r>
    </w:p>
    <w:p w:rsidR="003B435E" w:rsidRDefault="003B435E" w:rsidP="003B435E">
      <w:pPr>
        <w:pStyle w:val="SCCLawFirm"/>
        <w:spacing w:line="240" w:lineRule="auto"/>
        <w:rPr>
          <w:sz w:val="20"/>
        </w:rPr>
      </w:pPr>
    </w:p>
    <w:p w:rsidR="003B435E" w:rsidRPr="00BA5280" w:rsidRDefault="003B435E" w:rsidP="003B435E">
      <w:pPr>
        <w:pStyle w:val="SCCLawFirm"/>
        <w:spacing w:line="240" w:lineRule="auto"/>
        <w:rPr>
          <w:sz w:val="20"/>
          <w:lang w:val="fr-CA"/>
        </w:rPr>
      </w:pPr>
      <w:r w:rsidRPr="00BA5280">
        <w:rPr>
          <w:sz w:val="20"/>
        </w:rPr>
        <w:tab/>
      </w:r>
      <w:r w:rsidRPr="00BA5280">
        <w:rPr>
          <w:sz w:val="20"/>
          <w:lang w:val="fr-CA"/>
        </w:rPr>
        <w:t>Solicitor for the appellant:  Poursuites criminelles et pénales du Québec, Baie</w:t>
      </w:r>
      <w:r w:rsidRPr="00BA5280">
        <w:rPr>
          <w:sz w:val="20"/>
          <w:lang w:val="fr-CA"/>
        </w:rPr>
        <w:noBreakHyphen/>
        <w:t>Comeau, Quebec.</w:t>
      </w:r>
    </w:p>
    <w:p w:rsidR="003B435E" w:rsidRDefault="003B435E" w:rsidP="003B435E">
      <w:pPr>
        <w:pStyle w:val="SCCLawFirm"/>
        <w:spacing w:line="240" w:lineRule="auto"/>
        <w:rPr>
          <w:sz w:val="20"/>
          <w:lang w:val="fr-CA"/>
        </w:rPr>
      </w:pPr>
    </w:p>
    <w:p w:rsidR="003B435E" w:rsidRPr="00BA5280" w:rsidRDefault="003B435E" w:rsidP="003B435E">
      <w:pPr>
        <w:pStyle w:val="SCCLawFirm"/>
        <w:spacing w:line="240" w:lineRule="auto"/>
        <w:rPr>
          <w:sz w:val="20"/>
        </w:rPr>
      </w:pPr>
      <w:r w:rsidRPr="00BA5280">
        <w:rPr>
          <w:sz w:val="20"/>
          <w:lang w:val="fr-CA"/>
        </w:rPr>
        <w:tab/>
      </w:r>
      <w:r w:rsidRPr="00BA5280">
        <w:rPr>
          <w:sz w:val="20"/>
        </w:rPr>
        <w:t>Solicitor for the respondent:  Patrick Jacques, Beaupré, Quebec.</w:t>
      </w:r>
    </w:p>
    <w:p w:rsidR="003B435E" w:rsidRDefault="003B435E" w:rsidP="003B435E">
      <w:pPr>
        <w:pStyle w:val="SCCLawFirm"/>
        <w:spacing w:line="240" w:lineRule="auto"/>
        <w:rPr>
          <w:sz w:val="20"/>
        </w:rPr>
      </w:pPr>
    </w:p>
    <w:p w:rsidR="003B435E" w:rsidRPr="00BA5280" w:rsidRDefault="003B435E" w:rsidP="003B435E">
      <w:pPr>
        <w:pStyle w:val="SCCLawFirm"/>
        <w:spacing w:line="240" w:lineRule="auto"/>
        <w:rPr>
          <w:sz w:val="20"/>
        </w:rPr>
      </w:pPr>
      <w:r w:rsidRPr="00BA5280">
        <w:rPr>
          <w:sz w:val="20"/>
        </w:rPr>
        <w:tab/>
        <w:t>Solicitor for the intervener the Director of Public Prosecutions of Canada:  Public Prosecution Service of Canada, Ottawa.</w:t>
      </w:r>
    </w:p>
    <w:p w:rsidR="003B435E" w:rsidRDefault="003B435E" w:rsidP="003B435E">
      <w:pPr>
        <w:pStyle w:val="SCCLawFirm"/>
        <w:spacing w:line="240" w:lineRule="auto"/>
        <w:rPr>
          <w:sz w:val="20"/>
        </w:rPr>
      </w:pPr>
    </w:p>
    <w:p w:rsidR="003B435E" w:rsidRPr="00BA5280" w:rsidRDefault="003B435E" w:rsidP="003B435E">
      <w:pPr>
        <w:pStyle w:val="SCCLawFirm"/>
        <w:spacing w:line="240" w:lineRule="auto"/>
        <w:rPr>
          <w:sz w:val="20"/>
        </w:rPr>
      </w:pPr>
      <w:r w:rsidRPr="00BA5280">
        <w:rPr>
          <w:sz w:val="20"/>
        </w:rPr>
        <w:tab/>
        <w:t>Solicitor for the intervener the Attorney General of Ontario:  Attorney General of Ontario, Toronto.</w:t>
      </w:r>
    </w:p>
    <w:p w:rsidR="003B435E" w:rsidRDefault="003B435E" w:rsidP="003B435E">
      <w:pPr>
        <w:pStyle w:val="SCCLawFirm"/>
        <w:spacing w:line="240" w:lineRule="auto"/>
        <w:rPr>
          <w:sz w:val="20"/>
        </w:rPr>
      </w:pPr>
    </w:p>
    <w:p w:rsidR="003B435E" w:rsidRPr="00BA5280" w:rsidRDefault="003B435E" w:rsidP="003B435E">
      <w:pPr>
        <w:pStyle w:val="SCCLawFirm"/>
        <w:spacing w:line="240" w:lineRule="auto"/>
        <w:rPr>
          <w:sz w:val="20"/>
        </w:rPr>
      </w:pPr>
      <w:r w:rsidRPr="00BA5280">
        <w:rPr>
          <w:sz w:val="20"/>
        </w:rPr>
        <w:tab/>
        <w:t>Solicitors for the intervener the Canadian Civil Liberties Association:  Blake, Cassels &amp; Graydon, Toronto.</w:t>
      </w:r>
    </w:p>
    <w:p w:rsidR="003B435E" w:rsidRDefault="003B435E" w:rsidP="003B435E">
      <w:pPr>
        <w:pStyle w:val="SCCLawFirm"/>
        <w:spacing w:line="240" w:lineRule="auto"/>
        <w:rPr>
          <w:sz w:val="20"/>
        </w:rPr>
      </w:pPr>
    </w:p>
    <w:p w:rsidR="003B435E" w:rsidRDefault="003B435E" w:rsidP="003B435E">
      <w:pPr>
        <w:pStyle w:val="SCCLawFirm"/>
        <w:spacing w:line="240" w:lineRule="auto"/>
        <w:rPr>
          <w:sz w:val="20"/>
        </w:rPr>
      </w:pPr>
      <w:r w:rsidRPr="00BA5280">
        <w:rPr>
          <w:sz w:val="20"/>
        </w:rPr>
        <w:tab/>
        <w:t>Solicitors for the intervener the British Columbia Civil Liberties Association:  Irving Mitchell Kalichman, Montréal.</w:t>
      </w:r>
    </w:p>
    <w:p w:rsidR="003B3977" w:rsidRDefault="003B3977" w:rsidP="005C6840">
      <w:pPr>
        <w:rPr>
          <w:rFonts w:cs="Times New Roman"/>
          <w:sz w:val="20"/>
          <w:szCs w:val="20"/>
          <w:lang w:val="fr-CA"/>
        </w:rPr>
      </w:pPr>
    </w:p>
    <w:p w:rsidR="005C6840" w:rsidRDefault="00CD48BC" w:rsidP="005C6840">
      <w:pPr>
        <w:rPr>
          <w:lang w:val="fr-CA"/>
        </w:rPr>
      </w:pPr>
      <w:r w:rsidRPr="00CD48BC">
        <w:rPr>
          <w:rFonts w:cs="Times New Roman"/>
          <w:sz w:val="20"/>
          <w:szCs w:val="20"/>
          <w:lang w:val="fr-CA"/>
        </w:rPr>
        <w:pict>
          <v:rect id="_x0000_i1093" style="width:144.3pt;height:1pt" o:hrpct="300" o:hralign="center" o:hrstd="t" o:hrnoshade="t" o:hr="t" fillcolor="black [3213]" stroked="f"/>
        </w:pict>
      </w:r>
      <w:r w:rsidR="005C6840">
        <w:rPr>
          <w:lang w:val="fr-CA"/>
        </w:rPr>
        <w:br w:type="page"/>
      </w:r>
    </w:p>
    <w:p w:rsidR="00F5709D" w:rsidRPr="00187C7B" w:rsidRDefault="00F5709D" w:rsidP="00F5709D">
      <w:pPr>
        <w:ind w:left="720" w:hanging="720"/>
        <w:rPr>
          <w:rFonts w:eastAsia="Calibri" w:cs="Times New Roman"/>
          <w:sz w:val="20"/>
          <w:szCs w:val="20"/>
        </w:rPr>
      </w:pPr>
      <w:r w:rsidRPr="00187C7B">
        <w:rPr>
          <w:rFonts w:eastAsia="Calibri" w:cs="Times New Roman"/>
          <w:i/>
          <w:sz w:val="20"/>
          <w:szCs w:val="20"/>
        </w:rPr>
        <w:lastRenderedPageBreak/>
        <w:t>Her Majesty the Queen v. Kelly Joseph O'Brien</w:t>
      </w:r>
      <w:r w:rsidRPr="00187C7B">
        <w:rPr>
          <w:rFonts w:eastAsia="Calibri" w:cs="Times New Roman"/>
          <w:sz w:val="20"/>
          <w:szCs w:val="20"/>
        </w:rPr>
        <w:t xml:space="preserve"> (Man.) (34694)</w:t>
      </w:r>
    </w:p>
    <w:p w:rsidR="00C80145" w:rsidRPr="00CC6879" w:rsidRDefault="00C80145" w:rsidP="00C80145">
      <w:pPr>
        <w:jc w:val="both"/>
        <w:rPr>
          <w:b/>
          <w:sz w:val="20"/>
          <w:szCs w:val="20"/>
        </w:rPr>
      </w:pPr>
      <w:r w:rsidRPr="00CC6879">
        <w:rPr>
          <w:b/>
          <w:sz w:val="20"/>
          <w:szCs w:val="20"/>
        </w:rPr>
        <w:t xml:space="preserve">Indexed as:  R. </w:t>
      </w:r>
      <w:r w:rsidRPr="00CC6879">
        <w:rPr>
          <w:b/>
          <w:i/>
          <w:sz w:val="20"/>
          <w:szCs w:val="20"/>
        </w:rPr>
        <w:t>v.</w:t>
      </w:r>
      <w:r w:rsidRPr="00CC6879">
        <w:rPr>
          <w:b/>
          <w:sz w:val="20"/>
          <w:szCs w:val="20"/>
        </w:rPr>
        <w:t xml:space="preserve"> O’Brien</w:t>
      </w:r>
      <w:r>
        <w:rPr>
          <w:b/>
          <w:sz w:val="20"/>
          <w:szCs w:val="20"/>
        </w:rPr>
        <w:t xml:space="preserve"> / </w:t>
      </w:r>
      <w:r w:rsidRPr="00D953C9">
        <w:rPr>
          <w:b/>
          <w:sz w:val="20"/>
          <w:szCs w:val="20"/>
        </w:rPr>
        <w:t xml:space="preserve">Répertorié : R. </w:t>
      </w:r>
      <w:r w:rsidRPr="00D953C9">
        <w:rPr>
          <w:b/>
          <w:i/>
          <w:sz w:val="20"/>
          <w:szCs w:val="20"/>
        </w:rPr>
        <w:t>c.</w:t>
      </w:r>
      <w:r w:rsidRPr="00D953C9">
        <w:rPr>
          <w:b/>
          <w:sz w:val="20"/>
          <w:szCs w:val="20"/>
        </w:rPr>
        <w:t xml:space="preserve"> O’Brien</w:t>
      </w:r>
    </w:p>
    <w:p w:rsidR="005C6840" w:rsidRPr="00D953C9" w:rsidRDefault="005C6840" w:rsidP="005C6840">
      <w:pPr>
        <w:pStyle w:val="SCCSystemYear"/>
        <w:jc w:val="both"/>
        <w:rPr>
          <w:sz w:val="20"/>
          <w:lang w:val="en-CA"/>
        </w:rPr>
      </w:pPr>
      <w:r w:rsidRPr="00D953C9">
        <w:rPr>
          <w:sz w:val="20"/>
          <w:lang w:val="en-CA"/>
        </w:rPr>
        <w:t>Neutral citation:  201</w:t>
      </w:r>
      <w:r w:rsidR="00F761A3" w:rsidRPr="00D953C9">
        <w:rPr>
          <w:sz w:val="20"/>
          <w:lang w:val="en-CA"/>
        </w:rPr>
        <w:t>3</w:t>
      </w:r>
      <w:r w:rsidRPr="00D953C9">
        <w:rPr>
          <w:sz w:val="20"/>
          <w:lang w:val="en-CA"/>
        </w:rPr>
        <w:t xml:space="preserve"> SCC </w:t>
      </w:r>
      <w:r w:rsidR="007F387B" w:rsidRPr="00D953C9">
        <w:rPr>
          <w:sz w:val="20"/>
          <w:lang w:val="en-CA"/>
        </w:rPr>
        <w:t>2</w:t>
      </w:r>
      <w:r w:rsidRPr="00D953C9">
        <w:rPr>
          <w:sz w:val="20"/>
          <w:lang w:val="en-CA"/>
        </w:rPr>
        <w:t xml:space="preserve"> / Référence neutre : 201</w:t>
      </w:r>
      <w:r w:rsidR="00F761A3" w:rsidRPr="00D953C9">
        <w:rPr>
          <w:sz w:val="20"/>
          <w:lang w:val="en-CA"/>
        </w:rPr>
        <w:t>3</w:t>
      </w:r>
      <w:r w:rsidRPr="00D953C9">
        <w:rPr>
          <w:sz w:val="20"/>
          <w:lang w:val="en-CA"/>
        </w:rPr>
        <w:t xml:space="preserve"> CSC </w:t>
      </w:r>
      <w:r w:rsidR="007F387B" w:rsidRPr="00D953C9">
        <w:rPr>
          <w:sz w:val="20"/>
          <w:lang w:val="en-CA"/>
        </w:rPr>
        <w:t>2</w:t>
      </w:r>
    </w:p>
    <w:p w:rsidR="005C6840" w:rsidRPr="00D953C9" w:rsidRDefault="005C6840" w:rsidP="005C6840">
      <w:pPr>
        <w:rPr>
          <w:sz w:val="20"/>
          <w:szCs w:val="20"/>
        </w:rPr>
      </w:pPr>
      <w:r w:rsidRPr="00D953C9">
        <w:rPr>
          <w:sz w:val="20"/>
          <w:szCs w:val="20"/>
        </w:rPr>
        <w:t xml:space="preserve">Hearing:  </w:t>
      </w:r>
      <w:r w:rsidR="00C80145" w:rsidRPr="00D953C9">
        <w:rPr>
          <w:sz w:val="20"/>
          <w:szCs w:val="20"/>
        </w:rPr>
        <w:t>December 6</w:t>
      </w:r>
      <w:r w:rsidRPr="00D953C9">
        <w:rPr>
          <w:sz w:val="20"/>
          <w:szCs w:val="20"/>
        </w:rPr>
        <w:t>, 201</w:t>
      </w:r>
      <w:r w:rsidR="00C80145" w:rsidRPr="00D953C9">
        <w:rPr>
          <w:sz w:val="20"/>
          <w:szCs w:val="20"/>
        </w:rPr>
        <w:t>2</w:t>
      </w:r>
      <w:r w:rsidRPr="00D953C9">
        <w:rPr>
          <w:sz w:val="20"/>
          <w:szCs w:val="20"/>
        </w:rPr>
        <w:t xml:space="preserve"> / Judgment:  </w:t>
      </w:r>
      <w:r w:rsidR="00981881" w:rsidRPr="00D953C9">
        <w:rPr>
          <w:sz w:val="20"/>
          <w:szCs w:val="20"/>
        </w:rPr>
        <w:t>January 17</w:t>
      </w:r>
      <w:r w:rsidRPr="00D953C9">
        <w:rPr>
          <w:sz w:val="20"/>
          <w:szCs w:val="20"/>
        </w:rPr>
        <w:t>, 201</w:t>
      </w:r>
      <w:r w:rsidR="00981881" w:rsidRPr="00D953C9">
        <w:rPr>
          <w:sz w:val="20"/>
          <w:szCs w:val="20"/>
        </w:rPr>
        <w:t>3</w:t>
      </w:r>
    </w:p>
    <w:p w:rsidR="005C6840" w:rsidRPr="003B3977" w:rsidRDefault="005C6840" w:rsidP="005C6840">
      <w:pPr>
        <w:rPr>
          <w:sz w:val="20"/>
          <w:szCs w:val="20"/>
          <w:lang w:val="fr-CA"/>
        </w:rPr>
      </w:pPr>
      <w:r w:rsidRPr="003B3977">
        <w:rPr>
          <w:sz w:val="20"/>
          <w:szCs w:val="20"/>
          <w:lang w:val="fr-CA"/>
        </w:rPr>
        <w:t xml:space="preserve">Audition : Le </w:t>
      </w:r>
      <w:r w:rsidR="00C80145">
        <w:rPr>
          <w:sz w:val="20"/>
          <w:szCs w:val="20"/>
          <w:lang w:val="fr-CA"/>
        </w:rPr>
        <w:t>6 décembre</w:t>
      </w:r>
      <w:r w:rsidRPr="003B3977">
        <w:rPr>
          <w:sz w:val="20"/>
          <w:szCs w:val="20"/>
          <w:lang w:val="fr-CA"/>
        </w:rPr>
        <w:t xml:space="preserve"> 201</w:t>
      </w:r>
      <w:r w:rsidR="00C80145">
        <w:rPr>
          <w:sz w:val="20"/>
          <w:szCs w:val="20"/>
          <w:lang w:val="fr-CA"/>
        </w:rPr>
        <w:t>2</w:t>
      </w:r>
      <w:r w:rsidRPr="003B3977">
        <w:rPr>
          <w:sz w:val="20"/>
          <w:szCs w:val="20"/>
          <w:lang w:val="fr-CA"/>
        </w:rPr>
        <w:t xml:space="preserve"> / Jugement : Le </w:t>
      </w:r>
      <w:r w:rsidR="00981881">
        <w:rPr>
          <w:sz w:val="20"/>
          <w:szCs w:val="20"/>
          <w:lang w:val="fr-CA"/>
        </w:rPr>
        <w:t>17 janvie</w:t>
      </w:r>
      <w:r w:rsidRPr="003B3977">
        <w:rPr>
          <w:sz w:val="20"/>
          <w:szCs w:val="20"/>
          <w:lang w:val="fr-CA"/>
        </w:rPr>
        <w:t>r 201</w:t>
      </w:r>
      <w:r w:rsidR="00981881">
        <w:rPr>
          <w:sz w:val="20"/>
          <w:szCs w:val="20"/>
          <w:lang w:val="fr-CA"/>
        </w:rPr>
        <w:t>3</w:t>
      </w:r>
    </w:p>
    <w:p w:rsidR="005C6840" w:rsidRPr="003B3977" w:rsidRDefault="00CD48BC" w:rsidP="005C6840">
      <w:pPr>
        <w:rPr>
          <w:sz w:val="20"/>
          <w:szCs w:val="20"/>
          <w:lang w:val="fr-CA"/>
        </w:rPr>
      </w:pPr>
      <w:r w:rsidRPr="00CD48BC">
        <w:rPr>
          <w:i/>
          <w:sz w:val="20"/>
          <w:szCs w:val="20"/>
        </w:rPr>
        <w:pict>
          <v:rect id="_x0000_i1094" style="width:480.95pt;height:1pt" o:hralign="center" o:hrstd="t" o:hrnoshade="t" o:hr="t" fillcolor="black [3213]" stroked="f"/>
        </w:pict>
      </w:r>
    </w:p>
    <w:p w:rsidR="005C6840" w:rsidRDefault="005C6840" w:rsidP="005C6840">
      <w:pPr>
        <w:spacing w:line="0" w:lineRule="atLeast"/>
        <w:rPr>
          <w:sz w:val="20"/>
          <w:szCs w:val="20"/>
          <w:lang w:val="fr-CA"/>
        </w:rPr>
      </w:pPr>
    </w:p>
    <w:p w:rsidR="00C80145" w:rsidRPr="00CC6879" w:rsidRDefault="00C80145" w:rsidP="00C80145">
      <w:pPr>
        <w:jc w:val="both"/>
        <w:rPr>
          <w:sz w:val="20"/>
          <w:szCs w:val="20"/>
        </w:rPr>
      </w:pPr>
      <w:r w:rsidRPr="00CC6879">
        <w:rPr>
          <w:sz w:val="20"/>
          <w:szCs w:val="20"/>
        </w:rPr>
        <w:t>Present:  McLachlin C.J. and Fish, Abella, Rothstein, Cromwell, Moldaver and Wagner JJ.</w:t>
      </w:r>
    </w:p>
    <w:p w:rsidR="00C80145" w:rsidRDefault="00C80145" w:rsidP="00C80145">
      <w:pPr>
        <w:pStyle w:val="SCCLowerCourtNameLowercase"/>
        <w:spacing w:line="240" w:lineRule="auto"/>
        <w:rPr>
          <w:sz w:val="20"/>
        </w:rPr>
      </w:pPr>
    </w:p>
    <w:p w:rsidR="00C80145" w:rsidRPr="00CC6879" w:rsidRDefault="00C80145" w:rsidP="00C80145">
      <w:pPr>
        <w:pStyle w:val="SCCNormalDoubleSpacing"/>
        <w:spacing w:line="240" w:lineRule="auto"/>
        <w:rPr>
          <w:i/>
          <w:sz w:val="20"/>
          <w:lang w:val="en-US"/>
        </w:rPr>
      </w:pPr>
      <w:r w:rsidRPr="00CC6879">
        <w:rPr>
          <w:i/>
          <w:sz w:val="20"/>
          <w:lang w:val="en-US"/>
        </w:rPr>
        <w:tab/>
        <w:t>Criminal law — Offences — Uttering threats — Elements of offence — Mens rea — Respondent repeatedly telling ex</w:t>
      </w:r>
      <w:r w:rsidRPr="00CC6879">
        <w:rPr>
          <w:i/>
          <w:sz w:val="20"/>
          <w:lang w:val="en-US"/>
        </w:rPr>
        <w:noBreakHyphen/>
        <w:t>girlfriend that he would kill her — Ex</w:t>
      </w:r>
      <w:r w:rsidRPr="00CC6879">
        <w:rPr>
          <w:i/>
          <w:sz w:val="20"/>
          <w:lang w:val="en-US"/>
        </w:rPr>
        <w:noBreakHyphen/>
        <w:t>girlfriend testifying that words uttered by accused did not intimidate her or cause her fear as accused frequently talked in that manner — Whether trial judge erred in law in determining that accused did not have requisite mens rea — Criminal Code, R.S.C. 1985, c. C</w:t>
      </w:r>
      <w:r w:rsidRPr="00CC6879">
        <w:rPr>
          <w:i/>
          <w:sz w:val="20"/>
          <w:lang w:val="en-US"/>
        </w:rPr>
        <w:noBreakHyphen/>
        <w:t>46, s. 264.1(1)(a).</w:t>
      </w:r>
    </w:p>
    <w:p w:rsidR="00C80145" w:rsidRDefault="00C80145" w:rsidP="00C80145">
      <w:pPr>
        <w:pStyle w:val="SCCNormalDoubleSpacing"/>
        <w:spacing w:line="240" w:lineRule="auto"/>
        <w:rPr>
          <w:sz w:val="20"/>
          <w:lang w:val="en-US"/>
        </w:rPr>
      </w:pPr>
    </w:p>
    <w:p w:rsidR="00C80145" w:rsidRPr="00CC6879" w:rsidRDefault="00C80145" w:rsidP="00C80145">
      <w:pPr>
        <w:pStyle w:val="SCCNormalDoubleSpacing"/>
        <w:spacing w:line="240" w:lineRule="auto"/>
        <w:rPr>
          <w:sz w:val="20"/>
          <w:lang w:val="en-US"/>
        </w:rPr>
      </w:pPr>
      <w:r w:rsidRPr="00CC6879">
        <w:rPr>
          <w:sz w:val="20"/>
          <w:lang w:val="en-US"/>
        </w:rPr>
        <w:tab/>
        <w:t>While the accused was incarcerated, he had a telephone conversation with his ex</w:t>
      </w:r>
      <w:r w:rsidRPr="00CC6879">
        <w:rPr>
          <w:sz w:val="20"/>
          <w:lang w:val="en-US"/>
        </w:rPr>
        <w:noBreakHyphen/>
        <w:t>girlfriend during which he repeatedly told her that he would kill her upon his release if she proceeded with her planned abortion of their child.  The accused was charged with uttering threats.  At trial, the ex</w:t>
      </w:r>
      <w:r w:rsidRPr="00CC6879">
        <w:rPr>
          <w:sz w:val="20"/>
          <w:lang w:val="en-US"/>
        </w:rPr>
        <w:noBreakHyphen/>
        <w:t>girlfriend testified that the words uttered by the accused had not intimidated her or caused her fear as the accused frequently talked in that manner.  The accused was acquitted, the trial judge having a reasonable doubt whether the accused intended his words to intimidate or be taken seriously.  The Court of Appeal dismissed the Crown’s appeal. </w:t>
      </w:r>
    </w:p>
    <w:p w:rsidR="00C80145" w:rsidRDefault="00C80145" w:rsidP="00C80145">
      <w:pPr>
        <w:pStyle w:val="SCCNormalDoubleSpacing"/>
        <w:spacing w:line="240" w:lineRule="auto"/>
        <w:rPr>
          <w:i/>
          <w:sz w:val="20"/>
          <w:lang w:val="en-US"/>
        </w:rPr>
      </w:pPr>
    </w:p>
    <w:p w:rsidR="00C80145" w:rsidRPr="00CC6879" w:rsidRDefault="00C80145" w:rsidP="00C80145">
      <w:pPr>
        <w:pStyle w:val="SCCNormalDoubleSpacing"/>
        <w:spacing w:line="240" w:lineRule="auto"/>
        <w:rPr>
          <w:sz w:val="20"/>
          <w:lang w:val="en-US"/>
        </w:rPr>
      </w:pPr>
      <w:r w:rsidRPr="00CC6879">
        <w:rPr>
          <w:i/>
          <w:sz w:val="20"/>
          <w:lang w:val="en-US"/>
        </w:rPr>
        <w:tab/>
        <w:t>Held</w:t>
      </w:r>
      <w:r w:rsidRPr="00CC6879">
        <w:rPr>
          <w:sz w:val="20"/>
          <w:lang w:val="en-US"/>
        </w:rPr>
        <w:t xml:space="preserve"> (McLachlin C.J. and Abella and Rothstein JJ. dissenting):  The appeal should be dismissed.</w:t>
      </w:r>
    </w:p>
    <w:p w:rsidR="00C80145" w:rsidRDefault="00C80145" w:rsidP="00C80145">
      <w:pPr>
        <w:pStyle w:val="SCCNormalDoubleSpacing"/>
        <w:spacing w:line="240" w:lineRule="auto"/>
        <w:rPr>
          <w:i/>
          <w:sz w:val="20"/>
          <w:lang w:val="en-US"/>
        </w:rPr>
      </w:pPr>
    </w:p>
    <w:p w:rsidR="00C80145" w:rsidRPr="00CC6879" w:rsidRDefault="00C80145" w:rsidP="00C80145">
      <w:pPr>
        <w:pStyle w:val="SCCNormalDoubleSpacing"/>
        <w:spacing w:line="240" w:lineRule="auto"/>
        <w:rPr>
          <w:sz w:val="20"/>
          <w:lang w:val="en-US"/>
        </w:rPr>
      </w:pPr>
      <w:r w:rsidRPr="00CC6879">
        <w:rPr>
          <w:i/>
          <w:sz w:val="20"/>
          <w:lang w:val="en-US"/>
        </w:rPr>
        <w:tab/>
        <w:t>Per</w:t>
      </w:r>
      <w:r w:rsidRPr="00CC6879">
        <w:rPr>
          <w:sz w:val="20"/>
          <w:lang w:val="en-US"/>
        </w:rPr>
        <w:t xml:space="preserve"> </w:t>
      </w:r>
      <w:r w:rsidRPr="00CC6879">
        <w:rPr>
          <w:b/>
          <w:sz w:val="20"/>
          <w:lang w:val="en-US"/>
        </w:rPr>
        <w:t>Fish</w:t>
      </w:r>
      <w:r w:rsidRPr="00CC6879">
        <w:rPr>
          <w:sz w:val="20"/>
          <w:lang w:val="en-US"/>
        </w:rPr>
        <w:t>, Cromwell, Moldaver and Wagner JJ.:  It is an essential element of the offence under s. 264.1(1)(</w:t>
      </w:r>
      <w:r w:rsidRPr="00CC6879">
        <w:rPr>
          <w:i/>
          <w:sz w:val="20"/>
          <w:lang w:val="en-US"/>
        </w:rPr>
        <w:t>a</w:t>
      </w:r>
      <w:r w:rsidRPr="00CC6879">
        <w:rPr>
          <w:sz w:val="20"/>
          <w:lang w:val="en-US"/>
        </w:rPr>
        <w:t xml:space="preserve">) of the </w:t>
      </w:r>
      <w:r w:rsidRPr="00CC6879">
        <w:rPr>
          <w:i/>
          <w:sz w:val="20"/>
          <w:lang w:val="en-US"/>
        </w:rPr>
        <w:t>Criminal Code</w:t>
      </w:r>
      <w:r w:rsidRPr="00CC6879">
        <w:rPr>
          <w:sz w:val="20"/>
          <w:lang w:val="en-US"/>
        </w:rPr>
        <w:t xml:space="preserve"> that the accused intended his or her words to intimidate or to be taken seriously.  The trial judge properly considered the words uttered in the context of the evidence of the recipient of the threats and concluded that the evidence left her with a reasonable doubt as to whether the accused had the requisite intent.  There is no basis on which to conclude that the trial judge committed any error of law in concluding as she did. </w:t>
      </w:r>
    </w:p>
    <w:p w:rsidR="00C80145" w:rsidRDefault="00C80145" w:rsidP="00C80145">
      <w:pPr>
        <w:pStyle w:val="SCCNormalDoubleSpacing"/>
        <w:spacing w:line="240" w:lineRule="auto"/>
        <w:rPr>
          <w:i/>
          <w:sz w:val="20"/>
          <w:lang w:val="en-US"/>
        </w:rPr>
      </w:pPr>
    </w:p>
    <w:p w:rsidR="00C80145" w:rsidRDefault="00C80145" w:rsidP="00C80145">
      <w:pPr>
        <w:pStyle w:val="SCCNormalDoubleSpacing"/>
        <w:spacing w:line="240" w:lineRule="auto"/>
        <w:rPr>
          <w:sz w:val="20"/>
          <w:lang w:val="en-US"/>
        </w:rPr>
      </w:pPr>
      <w:r w:rsidRPr="00CC6879">
        <w:rPr>
          <w:i/>
          <w:sz w:val="20"/>
          <w:lang w:val="en-US"/>
        </w:rPr>
        <w:tab/>
        <w:t>Per</w:t>
      </w:r>
      <w:r w:rsidRPr="00CC6879">
        <w:rPr>
          <w:sz w:val="20"/>
          <w:lang w:val="en-US"/>
        </w:rPr>
        <w:t xml:space="preserve"> McLachlin C.J. and Abella and </w:t>
      </w:r>
      <w:r w:rsidRPr="00CC6879">
        <w:rPr>
          <w:b/>
          <w:sz w:val="20"/>
          <w:lang w:val="en-US"/>
        </w:rPr>
        <w:t>Rothstein</w:t>
      </w:r>
      <w:r w:rsidRPr="00CC6879">
        <w:rPr>
          <w:sz w:val="20"/>
          <w:lang w:val="en-US"/>
        </w:rPr>
        <w:t xml:space="preserve"> JJ. (dissenting):  The trial judge erred in making the perception of the recipient of the threat the determinative factor in the assessment of the accused’s intent.  The nature of the relationship between the accused and the recipient of a threat forms part of the circumstances surrounding the offence.  However, whether the recipient of a threat takes that threat seriously is not an element of the </w:t>
      </w:r>
      <w:r w:rsidRPr="00CC6879">
        <w:rPr>
          <w:i/>
          <w:sz w:val="20"/>
          <w:lang w:val="en-US"/>
        </w:rPr>
        <w:t>mens rea</w:t>
      </w:r>
      <w:r w:rsidRPr="00CC6879">
        <w:rPr>
          <w:sz w:val="20"/>
          <w:lang w:val="en-US"/>
        </w:rPr>
        <w:t xml:space="preserve"> of the accused. </w:t>
      </w:r>
    </w:p>
    <w:p w:rsidR="00C80145" w:rsidRDefault="00C80145" w:rsidP="00C80145">
      <w:pPr>
        <w:pStyle w:val="SCCNormalDoubleSpacing"/>
        <w:spacing w:line="240" w:lineRule="auto"/>
        <w:rPr>
          <w:sz w:val="20"/>
          <w:lang w:val="en-US"/>
        </w:rPr>
      </w:pPr>
    </w:p>
    <w:p w:rsidR="00C80145" w:rsidRPr="00CC6879" w:rsidRDefault="00C80145" w:rsidP="00C80145">
      <w:pPr>
        <w:pStyle w:val="SCCNormalDoubleSpacing"/>
        <w:spacing w:line="240" w:lineRule="auto"/>
        <w:rPr>
          <w:sz w:val="20"/>
        </w:rPr>
      </w:pPr>
      <w:r w:rsidRPr="00C80145">
        <w:rPr>
          <w:sz w:val="20"/>
        </w:rPr>
        <w:tab/>
      </w:r>
      <w:r w:rsidRPr="00CC6879">
        <w:rPr>
          <w:sz w:val="20"/>
        </w:rPr>
        <w:t>APPEAL from a judgment of the Manitoba Court of Appeal (Steel, Beard and MacInnes JJ.A.), 2012 MBCA 6, 275 Man. R. (2d) 144, 280 C.C.C. (3d) 481, [2012] 5 W.W.R. 265, 538 W.A.C. 144, [2012] M.J. No. 28 (QL), 2012 CarswellMan 25, affirming the acquittal of the accused.  Appeal dismissed, McLachlin C.J. and Abella and Rothstein JJ. dissenting.</w:t>
      </w:r>
    </w:p>
    <w:p w:rsidR="00C80145" w:rsidRDefault="00C80145" w:rsidP="00C80145">
      <w:pPr>
        <w:pStyle w:val="SCCNormalDoubleSpacing"/>
        <w:spacing w:line="240" w:lineRule="auto"/>
        <w:rPr>
          <w:i/>
          <w:sz w:val="20"/>
        </w:rPr>
      </w:pPr>
    </w:p>
    <w:p w:rsidR="00C80145" w:rsidRPr="00CC6879" w:rsidRDefault="00C80145" w:rsidP="00C80145">
      <w:pPr>
        <w:pStyle w:val="SCCNormalDoubleSpacing"/>
        <w:spacing w:line="240" w:lineRule="auto"/>
        <w:rPr>
          <w:sz w:val="20"/>
        </w:rPr>
      </w:pPr>
      <w:r w:rsidRPr="00CC6879">
        <w:rPr>
          <w:i/>
          <w:sz w:val="20"/>
        </w:rPr>
        <w:tab/>
        <w:t xml:space="preserve">Rekha Malaviya </w:t>
      </w:r>
      <w:r w:rsidRPr="00CC6879">
        <w:rPr>
          <w:sz w:val="20"/>
        </w:rPr>
        <w:t>and</w:t>
      </w:r>
      <w:r w:rsidRPr="00CC6879">
        <w:rPr>
          <w:i/>
          <w:sz w:val="20"/>
        </w:rPr>
        <w:t xml:space="preserve"> Amiram Kotler</w:t>
      </w:r>
      <w:r w:rsidRPr="00CC6879">
        <w:rPr>
          <w:sz w:val="20"/>
        </w:rPr>
        <w:t>, for the appellant.</w:t>
      </w:r>
    </w:p>
    <w:p w:rsidR="00C80145" w:rsidRDefault="00C80145" w:rsidP="00C80145">
      <w:pPr>
        <w:pStyle w:val="SCCNormalDoubleSpacing"/>
        <w:spacing w:line="240" w:lineRule="auto"/>
        <w:rPr>
          <w:i/>
          <w:sz w:val="20"/>
        </w:rPr>
      </w:pPr>
    </w:p>
    <w:p w:rsidR="00C80145" w:rsidRPr="00CC6879" w:rsidRDefault="00C80145" w:rsidP="00C80145">
      <w:pPr>
        <w:pStyle w:val="SCCNormalDoubleSpacing"/>
        <w:spacing w:line="240" w:lineRule="auto"/>
        <w:rPr>
          <w:sz w:val="20"/>
        </w:rPr>
      </w:pPr>
      <w:r w:rsidRPr="00CC6879">
        <w:rPr>
          <w:i/>
          <w:sz w:val="20"/>
        </w:rPr>
        <w:tab/>
        <w:t>Michael P. Cook and Marie</w:t>
      </w:r>
      <w:r w:rsidRPr="00CC6879">
        <w:rPr>
          <w:i/>
          <w:sz w:val="20"/>
        </w:rPr>
        <w:noBreakHyphen/>
        <w:t>France Major</w:t>
      </w:r>
      <w:r w:rsidRPr="00CC6879">
        <w:rPr>
          <w:sz w:val="20"/>
        </w:rPr>
        <w:t>, for the respondent.</w:t>
      </w:r>
    </w:p>
    <w:p w:rsidR="00C80145" w:rsidRDefault="00C80145" w:rsidP="00C80145">
      <w:pPr>
        <w:pStyle w:val="SCCLawFirm"/>
        <w:spacing w:line="240" w:lineRule="auto"/>
        <w:rPr>
          <w:sz w:val="20"/>
        </w:rPr>
      </w:pPr>
    </w:p>
    <w:p w:rsidR="00C80145" w:rsidRPr="00CC6879" w:rsidRDefault="00C80145" w:rsidP="00C80145">
      <w:pPr>
        <w:pStyle w:val="SCCLawFirm"/>
        <w:spacing w:line="240" w:lineRule="auto"/>
        <w:rPr>
          <w:sz w:val="20"/>
        </w:rPr>
      </w:pPr>
      <w:r w:rsidRPr="00CC6879">
        <w:rPr>
          <w:sz w:val="20"/>
        </w:rPr>
        <w:tab/>
        <w:t>Solicitor for the appellant:  Attorney General of Manitoba, Winnipeg.</w:t>
      </w:r>
    </w:p>
    <w:p w:rsidR="00C80145" w:rsidRDefault="00C80145" w:rsidP="00C80145">
      <w:pPr>
        <w:pStyle w:val="SCCLawFirm"/>
        <w:spacing w:line="240" w:lineRule="auto"/>
        <w:rPr>
          <w:sz w:val="20"/>
        </w:rPr>
      </w:pPr>
    </w:p>
    <w:p w:rsidR="00C80145" w:rsidRDefault="00C80145" w:rsidP="00C80145">
      <w:pPr>
        <w:pStyle w:val="SCCLawFirm"/>
        <w:spacing w:line="240" w:lineRule="auto"/>
        <w:rPr>
          <w:sz w:val="20"/>
        </w:rPr>
      </w:pPr>
      <w:r w:rsidRPr="00CC6879">
        <w:rPr>
          <w:sz w:val="20"/>
        </w:rPr>
        <w:tab/>
        <w:t>Solicitors for the respondent:  Smith Corona Van Dongen &amp; Cook, Winnipeg; Supreme Advocacy, Ottawa.</w:t>
      </w:r>
    </w:p>
    <w:p w:rsidR="003B3977" w:rsidRPr="00C80145" w:rsidRDefault="003B3977" w:rsidP="003B3977">
      <w:pPr>
        <w:rPr>
          <w:sz w:val="20"/>
          <w:szCs w:val="20"/>
          <w:lang w:val="fr-CA"/>
        </w:rPr>
      </w:pPr>
      <w:r w:rsidRPr="00C80145">
        <w:rPr>
          <w:sz w:val="20"/>
          <w:szCs w:val="20"/>
          <w:lang w:val="fr-CA"/>
        </w:rPr>
        <w:t>________________________</w:t>
      </w:r>
    </w:p>
    <w:p w:rsidR="003B3977" w:rsidRPr="00C80145" w:rsidRDefault="003B3977" w:rsidP="003B3977">
      <w:pPr>
        <w:rPr>
          <w:sz w:val="20"/>
          <w:szCs w:val="20"/>
          <w:lang w:val="fr-CA"/>
        </w:rPr>
      </w:pPr>
    </w:p>
    <w:p w:rsidR="00C80145" w:rsidRPr="00154A50" w:rsidRDefault="00C80145" w:rsidP="00C80145">
      <w:pPr>
        <w:jc w:val="both"/>
        <w:rPr>
          <w:sz w:val="20"/>
          <w:szCs w:val="20"/>
          <w:lang w:val="fr-CA"/>
        </w:rPr>
      </w:pPr>
      <w:r w:rsidRPr="00154A50">
        <w:rPr>
          <w:sz w:val="20"/>
          <w:szCs w:val="20"/>
          <w:lang w:val="fr-CA"/>
        </w:rPr>
        <w:t>Présents : La juge en chef McLachlin et les juges Fish, Abella, Rothstein, Cromwell, Moldaver et Wagner.</w:t>
      </w:r>
    </w:p>
    <w:p w:rsidR="00C80145" w:rsidRDefault="00C80145" w:rsidP="00C80145">
      <w:pPr>
        <w:jc w:val="both"/>
        <w:rPr>
          <w:smallCaps/>
          <w:sz w:val="20"/>
          <w:lang w:val="fr-CA"/>
        </w:rPr>
      </w:pPr>
    </w:p>
    <w:p w:rsidR="00C80145" w:rsidRPr="00154A50" w:rsidRDefault="00C80145" w:rsidP="00C80145">
      <w:pPr>
        <w:pStyle w:val="SCCNormalDoubleSpacing"/>
        <w:spacing w:line="240" w:lineRule="auto"/>
        <w:rPr>
          <w:i/>
          <w:sz w:val="20"/>
          <w:lang w:val="fr-CA"/>
        </w:rPr>
      </w:pPr>
      <w:r w:rsidRPr="00154A50">
        <w:rPr>
          <w:i/>
          <w:sz w:val="20"/>
          <w:lang w:val="fr-CA"/>
        </w:rPr>
        <w:tab/>
        <w:t>Droit criminel — Infractions — Menaces — Éléments de l’infraction — Mens rea — Intimé ayant dit à plusieurs reprises à son ex</w:t>
      </w:r>
      <w:r w:rsidRPr="00154A50">
        <w:rPr>
          <w:i/>
          <w:sz w:val="20"/>
          <w:lang w:val="fr-CA"/>
        </w:rPr>
        <w:noBreakHyphen/>
        <w:t>petite amie qu’il la tuerait — Ex</w:t>
      </w:r>
      <w:r w:rsidRPr="00154A50">
        <w:rPr>
          <w:i/>
          <w:sz w:val="20"/>
          <w:lang w:val="fr-CA"/>
        </w:rPr>
        <w:noBreakHyphen/>
        <w:t>petite amie témoignant ne pas avoir été intimidée ni effrayée par les paroles de l’accusé parce qu’il lui parlait souvent ainsi — Le juge du procès a</w:t>
      </w:r>
      <w:r w:rsidRPr="00154A50">
        <w:rPr>
          <w:i/>
          <w:sz w:val="20"/>
          <w:lang w:val="fr-CA"/>
        </w:rPr>
        <w:noBreakHyphen/>
        <w:t>t</w:t>
      </w:r>
      <w:r w:rsidRPr="00154A50">
        <w:rPr>
          <w:i/>
          <w:sz w:val="20"/>
          <w:lang w:val="fr-CA"/>
        </w:rPr>
        <w:noBreakHyphen/>
        <w:t>il commis une erreur de droit en concluant que l’accusé n’avait pas la mens rea requise? — Code criminel, L.R.C. 1985, ch. C</w:t>
      </w:r>
      <w:r w:rsidRPr="00154A50">
        <w:rPr>
          <w:i/>
          <w:sz w:val="20"/>
          <w:lang w:val="fr-CA"/>
        </w:rPr>
        <w:noBreakHyphen/>
        <w:t>46, art. 264.1(1)a).</w:t>
      </w:r>
    </w:p>
    <w:p w:rsidR="00C80145" w:rsidRDefault="00C80145" w:rsidP="00C80145">
      <w:pPr>
        <w:pStyle w:val="SCCNormalDoubleSpacing"/>
        <w:spacing w:line="240" w:lineRule="auto"/>
        <w:rPr>
          <w:sz w:val="20"/>
          <w:lang w:val="fr-CA"/>
        </w:rPr>
      </w:pPr>
    </w:p>
    <w:p w:rsidR="00C80145" w:rsidRPr="00154A50" w:rsidRDefault="00C80145" w:rsidP="00C80145">
      <w:pPr>
        <w:pStyle w:val="SCCNormalDoubleSpacing"/>
        <w:spacing w:line="240" w:lineRule="auto"/>
        <w:rPr>
          <w:sz w:val="20"/>
          <w:lang w:val="fr-FR"/>
        </w:rPr>
      </w:pPr>
      <w:r w:rsidRPr="00154A50">
        <w:rPr>
          <w:sz w:val="20"/>
          <w:lang w:val="fr-CA"/>
        </w:rPr>
        <w:tab/>
        <w:t>Lors d’une conversation téléphonique tenue pendant son incarcération, l’accusé a dit à plusieurs reprises à son ex</w:t>
      </w:r>
      <w:r w:rsidRPr="00154A50">
        <w:rPr>
          <w:sz w:val="20"/>
          <w:lang w:val="fr-CA"/>
        </w:rPr>
        <w:noBreakHyphen/>
        <w:t xml:space="preserve">petite amie, enceinte de lui, qu’il la tuerait à sa libération si elle se faisait avorter comme elle le prévoyait.  </w:t>
      </w:r>
      <w:r w:rsidRPr="00154A50">
        <w:rPr>
          <w:sz w:val="20"/>
          <w:lang w:val="fr-FR"/>
        </w:rPr>
        <w:t>Il a été accusé d’avoir proféré des menaces.  Dans son témoignage au procès, l’ex</w:t>
      </w:r>
      <w:r w:rsidRPr="00154A50">
        <w:rPr>
          <w:sz w:val="20"/>
          <w:lang w:val="fr-FR"/>
        </w:rPr>
        <w:noBreakHyphen/>
        <w:t xml:space="preserve">petite amie a affirmé que les paroles de l’accusé ne l’avaient pas intimidée ni effrayée, parce que l’accusé lui parlait souvent ainsi.  L’accusé a été acquitté, le juge du procès ayant un doute raisonnable quant à savoir si l’accusé avait prononcé ces paroles dans l’intention d’intimider ou d’être pris au sérieux.  La Cour d’appel a rejeté l’appel du ministère public. </w:t>
      </w:r>
    </w:p>
    <w:p w:rsidR="00C80145" w:rsidRDefault="00C80145" w:rsidP="00C80145">
      <w:pPr>
        <w:pStyle w:val="SCCNormalDoubleSpacing"/>
        <w:spacing w:line="240" w:lineRule="auto"/>
        <w:rPr>
          <w:i/>
          <w:sz w:val="20"/>
          <w:lang w:val="fr-FR"/>
        </w:rPr>
      </w:pPr>
    </w:p>
    <w:p w:rsidR="00C80145" w:rsidRPr="00154A50" w:rsidRDefault="00C80145" w:rsidP="00C80145">
      <w:pPr>
        <w:pStyle w:val="SCCNormalDoubleSpacing"/>
        <w:spacing w:line="240" w:lineRule="auto"/>
        <w:rPr>
          <w:sz w:val="20"/>
          <w:lang w:val="fr-FR"/>
        </w:rPr>
      </w:pPr>
      <w:r w:rsidRPr="00154A50">
        <w:rPr>
          <w:i/>
          <w:sz w:val="20"/>
          <w:lang w:val="fr-FR"/>
        </w:rPr>
        <w:tab/>
        <w:t>Arrêt</w:t>
      </w:r>
      <w:r w:rsidRPr="00154A50">
        <w:rPr>
          <w:sz w:val="20"/>
          <w:lang w:val="fr-FR"/>
        </w:rPr>
        <w:t xml:space="preserve"> (la juge en chef McLachlin et les juges Abella et Rothstein sont dissidents) : Le pourvoi est rejeté.  </w:t>
      </w:r>
    </w:p>
    <w:p w:rsidR="00C80145" w:rsidRDefault="00C80145" w:rsidP="00C80145">
      <w:pPr>
        <w:pStyle w:val="SCCNormalDoubleSpacing"/>
        <w:spacing w:line="240" w:lineRule="auto"/>
        <w:rPr>
          <w:i/>
          <w:sz w:val="20"/>
          <w:lang w:val="fr-FR"/>
        </w:rPr>
      </w:pPr>
    </w:p>
    <w:p w:rsidR="00C80145" w:rsidRPr="00154A50" w:rsidRDefault="00C80145" w:rsidP="00C80145">
      <w:pPr>
        <w:pStyle w:val="SCCNormalDoubleSpacing"/>
        <w:spacing w:line="240" w:lineRule="auto"/>
        <w:rPr>
          <w:sz w:val="20"/>
          <w:lang w:val="fr-FR"/>
        </w:rPr>
      </w:pPr>
      <w:r w:rsidRPr="00154A50">
        <w:rPr>
          <w:i/>
          <w:sz w:val="20"/>
          <w:lang w:val="fr-FR"/>
        </w:rPr>
        <w:tab/>
        <w:t xml:space="preserve">Les </w:t>
      </w:r>
      <w:r w:rsidRPr="00154A50">
        <w:rPr>
          <w:sz w:val="20"/>
          <w:lang w:val="fr-FR"/>
        </w:rPr>
        <w:t xml:space="preserve">juge </w:t>
      </w:r>
      <w:r w:rsidRPr="00154A50">
        <w:rPr>
          <w:b/>
          <w:sz w:val="20"/>
          <w:lang w:val="fr-FR"/>
        </w:rPr>
        <w:t>Fish</w:t>
      </w:r>
      <w:r w:rsidRPr="00154A50">
        <w:rPr>
          <w:sz w:val="20"/>
          <w:lang w:val="fr-FR"/>
        </w:rPr>
        <w:t>, Cromwell, Moldaver et Wagner : Le fait que l’accusé prononce les paroles en cause dans l’intention d’intimider ou d’être pris au sérieux constitue un élément essentiel de l’infraction consistant à proférer des menaces prévue à l’al. </w:t>
      </w:r>
      <w:r w:rsidRPr="00154A50">
        <w:rPr>
          <w:sz w:val="20"/>
          <w:lang w:val="fr-CA"/>
        </w:rPr>
        <w:t>264.1(1)</w:t>
      </w:r>
      <w:r w:rsidRPr="00154A50">
        <w:rPr>
          <w:i/>
          <w:sz w:val="20"/>
          <w:lang w:val="fr-CA"/>
        </w:rPr>
        <w:t>a</w:t>
      </w:r>
      <w:r w:rsidRPr="00154A50">
        <w:rPr>
          <w:sz w:val="20"/>
          <w:lang w:val="fr-CA"/>
        </w:rPr>
        <w:t xml:space="preserve">) du </w:t>
      </w:r>
      <w:r w:rsidRPr="00154A50">
        <w:rPr>
          <w:i/>
          <w:sz w:val="20"/>
          <w:lang w:val="fr-CA"/>
        </w:rPr>
        <w:t>Code criminel</w:t>
      </w:r>
      <w:r w:rsidRPr="00154A50">
        <w:rPr>
          <w:sz w:val="20"/>
          <w:lang w:val="fr-CA"/>
        </w:rPr>
        <w:t>.</w:t>
      </w:r>
      <w:r w:rsidRPr="00154A50">
        <w:rPr>
          <w:i/>
          <w:sz w:val="20"/>
          <w:lang w:val="fr-CA"/>
        </w:rPr>
        <w:t xml:space="preserve">  </w:t>
      </w:r>
      <w:r w:rsidRPr="00154A50">
        <w:rPr>
          <w:sz w:val="20"/>
          <w:lang w:val="fr-FR"/>
        </w:rPr>
        <w:t>La juge du procès a envisagé à juste titre les mots prononcés à la lumière du témoignage de la personne à qui ils étaient destinés et elle a conclu qu’il subsistait un doute quant à savoir si l’accusé avait l’intention requise.  Rien ne permet de conclure que la juge du procès a commis une erreur de droit en concluant comme elle l’a fait.</w:t>
      </w:r>
    </w:p>
    <w:p w:rsidR="00C80145" w:rsidRDefault="00C80145" w:rsidP="00C80145">
      <w:pPr>
        <w:pStyle w:val="SCCNormalDoubleSpacing"/>
        <w:spacing w:line="240" w:lineRule="auto"/>
        <w:rPr>
          <w:i/>
          <w:sz w:val="20"/>
          <w:lang w:val="fr-FR"/>
        </w:rPr>
      </w:pPr>
    </w:p>
    <w:p w:rsidR="00C80145" w:rsidRDefault="00C80145" w:rsidP="00C80145">
      <w:pPr>
        <w:pStyle w:val="SCCNormalDoubleSpacing"/>
        <w:spacing w:line="240" w:lineRule="auto"/>
        <w:rPr>
          <w:sz w:val="20"/>
          <w:lang w:val="fr-FR"/>
        </w:rPr>
      </w:pPr>
      <w:r w:rsidRPr="00154A50">
        <w:rPr>
          <w:i/>
          <w:sz w:val="20"/>
          <w:lang w:val="fr-FR"/>
        </w:rPr>
        <w:tab/>
        <w:t>La</w:t>
      </w:r>
      <w:r w:rsidRPr="00154A50">
        <w:rPr>
          <w:sz w:val="20"/>
          <w:lang w:val="fr-FR"/>
        </w:rPr>
        <w:t xml:space="preserve"> juge en chef McLachlin et les juges Abella et </w:t>
      </w:r>
      <w:r w:rsidRPr="00154A50">
        <w:rPr>
          <w:b/>
          <w:sz w:val="20"/>
          <w:lang w:val="fr-FR"/>
        </w:rPr>
        <w:t>Rothstein</w:t>
      </w:r>
      <w:r w:rsidRPr="00154A50">
        <w:rPr>
          <w:sz w:val="20"/>
          <w:lang w:val="fr-FR"/>
        </w:rPr>
        <w:t xml:space="preserve"> (dissidents) : La juge du procès a commis une erreur en considérant</w:t>
      </w:r>
      <w:r w:rsidRPr="00154A50">
        <w:rPr>
          <w:sz w:val="20"/>
          <w:lang w:val="fr-CA"/>
        </w:rPr>
        <w:t xml:space="preserve"> la perception de la personne ayant fait l’objet des menaces comme le facteur déterminant de l’analyse de l’intention de l’accusé.  La nature des rapports entre l’accusé et la personne ayant fait l’objet des menaces font partie des circonstances dans lesquelles s’inscrit l’infraction.  Toutefois, le fait que le destinataire d’une menace la prenne ou non au sérieux ne constitue pas un élément de la </w:t>
      </w:r>
      <w:r w:rsidRPr="00154A50">
        <w:rPr>
          <w:i/>
          <w:sz w:val="20"/>
          <w:lang w:val="fr-CA"/>
        </w:rPr>
        <w:t xml:space="preserve">mens rea </w:t>
      </w:r>
      <w:r w:rsidRPr="00154A50">
        <w:rPr>
          <w:sz w:val="20"/>
          <w:lang w:val="fr-CA"/>
        </w:rPr>
        <w:t>requise</w:t>
      </w:r>
      <w:r w:rsidRPr="00154A50">
        <w:rPr>
          <w:sz w:val="20"/>
          <w:lang w:val="fr-FR"/>
        </w:rPr>
        <w:t>.</w:t>
      </w:r>
    </w:p>
    <w:p w:rsidR="00C80145" w:rsidRDefault="00C80145" w:rsidP="00C80145">
      <w:pPr>
        <w:pStyle w:val="SCCNormalDoubleSpacing"/>
        <w:spacing w:line="240" w:lineRule="auto"/>
        <w:rPr>
          <w:sz w:val="20"/>
          <w:lang w:val="fr-FR"/>
        </w:rPr>
      </w:pPr>
    </w:p>
    <w:p w:rsidR="00C80145" w:rsidRPr="00154A50" w:rsidRDefault="00C80145" w:rsidP="00C80145">
      <w:pPr>
        <w:pStyle w:val="SCCNormalDoubleSpacing"/>
        <w:spacing w:line="240" w:lineRule="auto"/>
        <w:rPr>
          <w:sz w:val="20"/>
          <w:lang w:val="fr-CA"/>
        </w:rPr>
      </w:pPr>
      <w:r w:rsidRPr="00154A50">
        <w:rPr>
          <w:sz w:val="20"/>
          <w:lang w:val="fr-CA"/>
        </w:rPr>
        <w:tab/>
        <w:t>POURVOI contre un arrêt de la Cour d’appel du Manitoba (les juges Steel, Beard et MacInnes), 2012 MBCA 6, 275 Man. R. (2d) 144, 280 C.C.C. (3d) 481, [2012] 5 W.W.R. 265, 538 W.A.C. 144, [2012] M.J. No. 28 (QL), 2012 CarswellMan 25, qui a confirmé l’acquittement de l’intimé.  Pourvoi rejeté, la juge en chef McLachlin et les juges Abella et Rothstein sont dissidents.</w:t>
      </w:r>
    </w:p>
    <w:p w:rsidR="00C80145" w:rsidRDefault="00C80145" w:rsidP="00C80145">
      <w:pPr>
        <w:pStyle w:val="SCCNormalDoubleSpacing"/>
        <w:spacing w:line="240" w:lineRule="auto"/>
        <w:rPr>
          <w:i/>
          <w:sz w:val="20"/>
          <w:lang w:val="fr-CA"/>
        </w:rPr>
      </w:pPr>
    </w:p>
    <w:p w:rsidR="00C80145" w:rsidRPr="00154A50" w:rsidRDefault="00C80145" w:rsidP="00C80145">
      <w:pPr>
        <w:pStyle w:val="SCCNormalDoubleSpacing"/>
        <w:spacing w:line="240" w:lineRule="auto"/>
        <w:rPr>
          <w:sz w:val="20"/>
          <w:lang w:val="fr-CA"/>
        </w:rPr>
      </w:pPr>
      <w:r w:rsidRPr="00154A50">
        <w:rPr>
          <w:i/>
          <w:sz w:val="20"/>
          <w:lang w:val="fr-CA"/>
        </w:rPr>
        <w:tab/>
        <w:t>Rekha Malaviya et Amiram Kotler</w:t>
      </w:r>
      <w:r w:rsidRPr="00154A50">
        <w:rPr>
          <w:sz w:val="20"/>
          <w:lang w:val="fr-CA"/>
        </w:rPr>
        <w:t>, pour l’appelante.</w:t>
      </w:r>
    </w:p>
    <w:p w:rsidR="00C80145" w:rsidRDefault="00C80145" w:rsidP="00C80145">
      <w:pPr>
        <w:pStyle w:val="SCCNormalDoubleSpacing"/>
        <w:spacing w:line="240" w:lineRule="auto"/>
        <w:rPr>
          <w:i/>
          <w:sz w:val="20"/>
          <w:lang w:val="fr-CA"/>
        </w:rPr>
      </w:pPr>
    </w:p>
    <w:p w:rsidR="00C80145" w:rsidRPr="00154A50" w:rsidRDefault="00C80145" w:rsidP="00C80145">
      <w:pPr>
        <w:pStyle w:val="SCCNormalDoubleSpacing"/>
        <w:spacing w:line="240" w:lineRule="auto"/>
        <w:rPr>
          <w:sz w:val="20"/>
          <w:lang w:val="fr-CA"/>
        </w:rPr>
      </w:pPr>
      <w:r w:rsidRPr="00154A50">
        <w:rPr>
          <w:i/>
          <w:sz w:val="20"/>
          <w:lang w:val="fr-CA"/>
        </w:rPr>
        <w:tab/>
        <w:t>Michael P. Cook et Marie</w:t>
      </w:r>
      <w:r w:rsidRPr="00154A50">
        <w:rPr>
          <w:i/>
          <w:sz w:val="20"/>
          <w:lang w:val="fr-CA"/>
        </w:rPr>
        <w:noBreakHyphen/>
        <w:t>France Major</w:t>
      </w:r>
      <w:r w:rsidRPr="00154A50">
        <w:rPr>
          <w:sz w:val="20"/>
          <w:lang w:val="fr-CA"/>
        </w:rPr>
        <w:t>, pour l’intimé.</w:t>
      </w:r>
    </w:p>
    <w:p w:rsidR="00C80145" w:rsidRDefault="00C80145" w:rsidP="00C80145">
      <w:pPr>
        <w:pStyle w:val="SCCLawFirm"/>
        <w:spacing w:line="240" w:lineRule="auto"/>
        <w:rPr>
          <w:sz w:val="20"/>
          <w:lang w:val="fr-CA"/>
        </w:rPr>
      </w:pPr>
    </w:p>
    <w:p w:rsidR="00C80145" w:rsidRPr="00154A50" w:rsidRDefault="00C80145" w:rsidP="00C80145">
      <w:pPr>
        <w:pStyle w:val="SCCLawFirm"/>
        <w:spacing w:line="240" w:lineRule="auto"/>
        <w:rPr>
          <w:sz w:val="20"/>
          <w:lang w:val="fr-CA"/>
        </w:rPr>
      </w:pPr>
      <w:r w:rsidRPr="00154A50">
        <w:rPr>
          <w:sz w:val="20"/>
          <w:lang w:val="fr-CA"/>
        </w:rPr>
        <w:tab/>
        <w:t>Procureur de l’appelante : Procureur général du Manitoba, Winnipeg.</w:t>
      </w:r>
    </w:p>
    <w:p w:rsidR="00C80145" w:rsidRDefault="00C80145" w:rsidP="00C80145">
      <w:pPr>
        <w:pStyle w:val="SCCLawFirm"/>
        <w:spacing w:line="240" w:lineRule="auto"/>
        <w:rPr>
          <w:sz w:val="20"/>
          <w:lang w:val="fr-CA"/>
        </w:rPr>
      </w:pPr>
    </w:p>
    <w:p w:rsidR="00981881" w:rsidRDefault="00C80145" w:rsidP="00C80145">
      <w:pPr>
        <w:rPr>
          <w:sz w:val="20"/>
          <w:szCs w:val="20"/>
        </w:rPr>
      </w:pPr>
      <w:r w:rsidRPr="00154A50">
        <w:rPr>
          <w:sz w:val="20"/>
          <w:szCs w:val="20"/>
          <w:lang w:val="fr-CA"/>
        </w:rPr>
        <w:tab/>
      </w:r>
      <w:r w:rsidRPr="00154A50">
        <w:rPr>
          <w:sz w:val="20"/>
          <w:szCs w:val="20"/>
        </w:rPr>
        <w:t>Procureurs de l’intimé : Smith Corona Van Dongen &amp; Cook, Winnipeg; Supreme Advocacy, Ottawa.</w:t>
      </w:r>
    </w:p>
    <w:p w:rsidR="00C80145" w:rsidRDefault="00C80145" w:rsidP="00C80145">
      <w:pPr>
        <w:rPr>
          <w:sz w:val="20"/>
          <w:szCs w:val="20"/>
        </w:rPr>
      </w:pPr>
    </w:p>
    <w:p w:rsidR="00981881" w:rsidRDefault="00CD48BC" w:rsidP="003B3977">
      <w:pPr>
        <w:rPr>
          <w:rFonts w:cs="Times New Roman"/>
          <w:sz w:val="20"/>
          <w:szCs w:val="20"/>
          <w:lang w:val="fr-CA"/>
        </w:rPr>
      </w:pPr>
      <w:r w:rsidRPr="00CD48BC">
        <w:rPr>
          <w:rFonts w:cs="Times New Roman"/>
          <w:sz w:val="20"/>
          <w:szCs w:val="20"/>
          <w:lang w:val="fr-CA"/>
        </w:rPr>
        <w:pict>
          <v:rect id="_x0000_i1095" style="width:144.3pt;height:1pt" o:hrpct="300" o:hralign="center" o:hrstd="t" o:hrnoshade="t" o:hr="t" fillcolor="black [3213]" stroked="f"/>
        </w:pict>
      </w:r>
    </w:p>
    <w:p w:rsidR="00981881" w:rsidRDefault="00981881" w:rsidP="003B3977">
      <w:pPr>
        <w:rPr>
          <w:rFonts w:cs="Times New Roman"/>
          <w:sz w:val="20"/>
          <w:szCs w:val="20"/>
          <w:lang w:val="fr-CA"/>
        </w:rPr>
      </w:pPr>
    </w:p>
    <w:p w:rsidR="00981881" w:rsidRDefault="00981881">
      <w:pPr>
        <w:rPr>
          <w:rFonts w:cs="Times New Roman"/>
          <w:sz w:val="20"/>
          <w:szCs w:val="20"/>
          <w:lang w:val="fr-CA"/>
        </w:rPr>
      </w:pPr>
      <w:r>
        <w:rPr>
          <w:rFonts w:cs="Times New Roman"/>
          <w:sz w:val="20"/>
          <w:szCs w:val="20"/>
          <w:lang w:val="fr-CA"/>
        </w:rPr>
        <w:br w:type="page"/>
      </w:r>
    </w:p>
    <w:p w:rsidR="00981881" w:rsidRPr="00D07426" w:rsidRDefault="00981881" w:rsidP="00981881">
      <w:pPr>
        <w:jc w:val="both"/>
        <w:rPr>
          <w:rFonts w:eastAsia="Calibri" w:cs="Times New Roman"/>
          <w:sz w:val="20"/>
          <w:szCs w:val="20"/>
        </w:rPr>
      </w:pPr>
      <w:r w:rsidRPr="00D07426">
        <w:rPr>
          <w:rFonts w:eastAsia="Calibri" w:cs="Times New Roman"/>
          <w:i/>
          <w:sz w:val="20"/>
          <w:szCs w:val="20"/>
        </w:rPr>
        <w:lastRenderedPageBreak/>
        <w:t xml:space="preserve">Her Majesty the Queen v. Nicole Patricia Ryan </w:t>
      </w:r>
      <w:r w:rsidRPr="00D07426">
        <w:rPr>
          <w:rFonts w:eastAsia="Calibri" w:cs="Times New Roman"/>
          <w:sz w:val="20"/>
          <w:szCs w:val="20"/>
        </w:rPr>
        <w:t>(N.S.) (34272)</w:t>
      </w:r>
    </w:p>
    <w:p w:rsidR="00981881" w:rsidRDefault="00B43549" w:rsidP="00981881">
      <w:pPr>
        <w:tabs>
          <w:tab w:val="left" w:pos="-1440"/>
          <w:tab w:val="left" w:pos="-720"/>
          <w:tab w:val="left" w:pos="1152"/>
          <w:tab w:val="left" w:pos="1570"/>
          <w:tab w:val="left" w:pos="1843"/>
          <w:tab w:val="left" w:pos="2261"/>
          <w:tab w:val="left" w:pos="6480"/>
        </w:tabs>
        <w:rPr>
          <w:b/>
          <w:spacing w:val="3"/>
          <w:sz w:val="20"/>
          <w:szCs w:val="20"/>
        </w:rPr>
      </w:pPr>
      <w:r w:rsidRPr="00DB6CF2">
        <w:rPr>
          <w:b/>
          <w:sz w:val="20"/>
          <w:szCs w:val="20"/>
        </w:rPr>
        <w:t xml:space="preserve">Indexed as:  R. </w:t>
      </w:r>
      <w:r w:rsidRPr="00DB6CF2">
        <w:rPr>
          <w:b/>
          <w:i/>
          <w:sz w:val="20"/>
          <w:szCs w:val="20"/>
        </w:rPr>
        <w:t>v.</w:t>
      </w:r>
      <w:r w:rsidRPr="00DB6CF2">
        <w:rPr>
          <w:b/>
          <w:sz w:val="20"/>
          <w:szCs w:val="20"/>
        </w:rPr>
        <w:t xml:space="preserve"> Ryan</w:t>
      </w:r>
      <w:r>
        <w:rPr>
          <w:b/>
          <w:sz w:val="20"/>
          <w:szCs w:val="20"/>
        </w:rPr>
        <w:t xml:space="preserve"> / </w:t>
      </w:r>
      <w:r w:rsidRPr="00B43549">
        <w:rPr>
          <w:b/>
          <w:sz w:val="20"/>
          <w:szCs w:val="20"/>
        </w:rPr>
        <w:t xml:space="preserve">Répertorié : R. </w:t>
      </w:r>
      <w:r w:rsidRPr="00B43549">
        <w:rPr>
          <w:b/>
          <w:i/>
          <w:sz w:val="20"/>
          <w:szCs w:val="20"/>
        </w:rPr>
        <w:t>c.</w:t>
      </w:r>
      <w:r w:rsidRPr="00B43549">
        <w:rPr>
          <w:b/>
          <w:sz w:val="20"/>
          <w:szCs w:val="20"/>
        </w:rPr>
        <w:t xml:space="preserve"> Ryan</w:t>
      </w:r>
    </w:p>
    <w:p w:rsidR="00981881" w:rsidRPr="00E804BA" w:rsidRDefault="00981881" w:rsidP="00981881">
      <w:pPr>
        <w:pStyle w:val="SCCSystemYear"/>
        <w:jc w:val="both"/>
        <w:rPr>
          <w:sz w:val="20"/>
          <w:lang w:val="en-CA"/>
        </w:rPr>
      </w:pPr>
      <w:r w:rsidRPr="00E804BA">
        <w:rPr>
          <w:sz w:val="20"/>
          <w:lang w:val="en-CA"/>
        </w:rPr>
        <w:t>Neutral citation:  2013 SCC 3 / Référence neutre : 2013 CSC 3</w:t>
      </w:r>
    </w:p>
    <w:p w:rsidR="00981881" w:rsidRPr="00981881" w:rsidRDefault="00981881" w:rsidP="00981881">
      <w:pPr>
        <w:rPr>
          <w:sz w:val="20"/>
          <w:szCs w:val="20"/>
        </w:rPr>
      </w:pPr>
      <w:r w:rsidRPr="00981881">
        <w:rPr>
          <w:sz w:val="20"/>
          <w:szCs w:val="20"/>
        </w:rPr>
        <w:t xml:space="preserve">Hearing:  </w:t>
      </w:r>
      <w:r w:rsidR="00B43549">
        <w:rPr>
          <w:sz w:val="20"/>
          <w:szCs w:val="20"/>
        </w:rPr>
        <w:t xml:space="preserve">June </w:t>
      </w:r>
      <w:r w:rsidRPr="00981881">
        <w:rPr>
          <w:sz w:val="20"/>
          <w:szCs w:val="20"/>
        </w:rPr>
        <w:t>1</w:t>
      </w:r>
      <w:r w:rsidR="00B43549">
        <w:rPr>
          <w:sz w:val="20"/>
          <w:szCs w:val="20"/>
        </w:rPr>
        <w:t>4</w:t>
      </w:r>
      <w:r w:rsidRPr="00981881">
        <w:rPr>
          <w:sz w:val="20"/>
          <w:szCs w:val="20"/>
        </w:rPr>
        <w:t>, 201</w:t>
      </w:r>
      <w:r w:rsidR="00B43549">
        <w:rPr>
          <w:sz w:val="20"/>
          <w:szCs w:val="20"/>
        </w:rPr>
        <w:t>2</w:t>
      </w:r>
      <w:r w:rsidRPr="00981881">
        <w:rPr>
          <w:sz w:val="20"/>
          <w:szCs w:val="20"/>
        </w:rPr>
        <w:t xml:space="preserve"> / Judgment:  </w:t>
      </w:r>
      <w:r>
        <w:rPr>
          <w:sz w:val="20"/>
          <w:szCs w:val="20"/>
        </w:rPr>
        <w:t>Janua</w:t>
      </w:r>
      <w:r w:rsidRPr="00981881">
        <w:rPr>
          <w:sz w:val="20"/>
          <w:szCs w:val="20"/>
        </w:rPr>
        <w:t>r</w:t>
      </w:r>
      <w:r>
        <w:rPr>
          <w:sz w:val="20"/>
          <w:szCs w:val="20"/>
        </w:rPr>
        <w:t>y</w:t>
      </w:r>
      <w:r w:rsidRPr="00981881">
        <w:rPr>
          <w:sz w:val="20"/>
          <w:szCs w:val="20"/>
        </w:rPr>
        <w:t xml:space="preserve"> </w:t>
      </w:r>
      <w:r>
        <w:rPr>
          <w:sz w:val="20"/>
          <w:szCs w:val="20"/>
        </w:rPr>
        <w:t>1</w:t>
      </w:r>
      <w:r w:rsidRPr="00981881">
        <w:rPr>
          <w:sz w:val="20"/>
          <w:szCs w:val="20"/>
        </w:rPr>
        <w:t>8, 201</w:t>
      </w:r>
      <w:r>
        <w:rPr>
          <w:sz w:val="20"/>
          <w:szCs w:val="20"/>
        </w:rPr>
        <w:t>3</w:t>
      </w:r>
    </w:p>
    <w:p w:rsidR="00981881" w:rsidRPr="003B3977" w:rsidRDefault="00981881" w:rsidP="00981881">
      <w:pPr>
        <w:rPr>
          <w:sz w:val="20"/>
          <w:szCs w:val="20"/>
          <w:lang w:val="fr-CA"/>
        </w:rPr>
      </w:pPr>
      <w:r w:rsidRPr="003B3977">
        <w:rPr>
          <w:sz w:val="20"/>
          <w:szCs w:val="20"/>
          <w:lang w:val="fr-CA"/>
        </w:rPr>
        <w:t>Audition : Le 1</w:t>
      </w:r>
      <w:r w:rsidR="00B43549">
        <w:rPr>
          <w:sz w:val="20"/>
          <w:szCs w:val="20"/>
          <w:lang w:val="fr-CA"/>
        </w:rPr>
        <w:t>4</w:t>
      </w:r>
      <w:r w:rsidRPr="003B3977">
        <w:rPr>
          <w:sz w:val="20"/>
          <w:szCs w:val="20"/>
          <w:lang w:val="fr-CA"/>
        </w:rPr>
        <w:t xml:space="preserve"> </w:t>
      </w:r>
      <w:r w:rsidR="00B43549">
        <w:rPr>
          <w:sz w:val="20"/>
          <w:szCs w:val="20"/>
          <w:lang w:val="fr-CA"/>
        </w:rPr>
        <w:t>ju</w:t>
      </w:r>
      <w:r w:rsidRPr="003B3977">
        <w:rPr>
          <w:sz w:val="20"/>
          <w:szCs w:val="20"/>
          <w:lang w:val="fr-CA"/>
        </w:rPr>
        <w:t>i</w:t>
      </w:r>
      <w:r w:rsidR="00B43549">
        <w:rPr>
          <w:sz w:val="20"/>
          <w:szCs w:val="20"/>
          <w:lang w:val="fr-CA"/>
        </w:rPr>
        <w:t>n</w:t>
      </w:r>
      <w:r w:rsidRPr="003B3977">
        <w:rPr>
          <w:sz w:val="20"/>
          <w:szCs w:val="20"/>
          <w:lang w:val="fr-CA"/>
        </w:rPr>
        <w:t xml:space="preserve"> 201</w:t>
      </w:r>
      <w:r w:rsidR="00B43549">
        <w:rPr>
          <w:sz w:val="20"/>
          <w:szCs w:val="20"/>
          <w:lang w:val="fr-CA"/>
        </w:rPr>
        <w:t>2</w:t>
      </w:r>
      <w:r w:rsidRPr="003B3977">
        <w:rPr>
          <w:sz w:val="20"/>
          <w:szCs w:val="20"/>
          <w:lang w:val="fr-CA"/>
        </w:rPr>
        <w:t xml:space="preserve"> / Jugement : Le </w:t>
      </w:r>
      <w:r>
        <w:rPr>
          <w:sz w:val="20"/>
          <w:szCs w:val="20"/>
          <w:lang w:val="fr-CA"/>
        </w:rPr>
        <w:t>1</w:t>
      </w:r>
      <w:r w:rsidRPr="003B3977">
        <w:rPr>
          <w:sz w:val="20"/>
          <w:szCs w:val="20"/>
          <w:lang w:val="fr-CA"/>
        </w:rPr>
        <w:t xml:space="preserve">8 </w:t>
      </w:r>
      <w:r>
        <w:rPr>
          <w:sz w:val="20"/>
          <w:szCs w:val="20"/>
          <w:lang w:val="fr-CA"/>
        </w:rPr>
        <w:t>janvie</w:t>
      </w:r>
      <w:r w:rsidRPr="003B3977">
        <w:rPr>
          <w:sz w:val="20"/>
          <w:szCs w:val="20"/>
          <w:lang w:val="fr-CA"/>
        </w:rPr>
        <w:t>r 201</w:t>
      </w:r>
      <w:r>
        <w:rPr>
          <w:sz w:val="20"/>
          <w:szCs w:val="20"/>
          <w:lang w:val="fr-CA"/>
        </w:rPr>
        <w:t>3</w:t>
      </w:r>
    </w:p>
    <w:p w:rsidR="00981881" w:rsidRPr="003B3977" w:rsidRDefault="00CD48BC" w:rsidP="00981881">
      <w:pPr>
        <w:rPr>
          <w:sz w:val="20"/>
          <w:szCs w:val="20"/>
          <w:lang w:val="fr-CA"/>
        </w:rPr>
      </w:pPr>
      <w:r w:rsidRPr="00CD48BC">
        <w:rPr>
          <w:i/>
          <w:sz w:val="20"/>
          <w:szCs w:val="20"/>
        </w:rPr>
        <w:pict>
          <v:rect id="_x0000_i1096" style="width:480.95pt;height:1pt" o:hralign="center" o:hrstd="t" o:hrnoshade="t" o:hr="t" fillcolor="black [3213]" stroked="f"/>
        </w:pict>
      </w:r>
    </w:p>
    <w:p w:rsidR="00981881" w:rsidRDefault="00981881" w:rsidP="00981881">
      <w:pPr>
        <w:spacing w:line="0" w:lineRule="atLeast"/>
        <w:rPr>
          <w:sz w:val="20"/>
          <w:szCs w:val="20"/>
          <w:lang w:val="fr-CA"/>
        </w:rPr>
      </w:pPr>
    </w:p>
    <w:p w:rsidR="00B43549" w:rsidRPr="00DB6CF2" w:rsidRDefault="00B43549" w:rsidP="00B43549">
      <w:pPr>
        <w:jc w:val="both"/>
        <w:rPr>
          <w:sz w:val="20"/>
          <w:szCs w:val="20"/>
        </w:rPr>
      </w:pPr>
      <w:r w:rsidRPr="00DB6CF2">
        <w:rPr>
          <w:sz w:val="20"/>
          <w:szCs w:val="20"/>
        </w:rPr>
        <w:t>Present:  McLachlin C.J. and LeBel, Deschamps, Fish, Abella, Rothstein, Cromwell, Moldaver and Karakatsanis JJ.</w:t>
      </w:r>
    </w:p>
    <w:p w:rsidR="00B43549" w:rsidRDefault="00B43549" w:rsidP="00B43549">
      <w:pPr>
        <w:pStyle w:val="SCCLowerCourtNameLowercase"/>
        <w:spacing w:line="240" w:lineRule="auto"/>
        <w:rPr>
          <w:sz w:val="20"/>
        </w:rPr>
      </w:pPr>
    </w:p>
    <w:p w:rsidR="00B43549" w:rsidRPr="00DB6CF2" w:rsidRDefault="00B43549" w:rsidP="00B43549">
      <w:pPr>
        <w:pStyle w:val="SCCNormalDoubleSpacing"/>
        <w:spacing w:line="240" w:lineRule="auto"/>
        <w:rPr>
          <w:i/>
          <w:sz w:val="20"/>
        </w:rPr>
      </w:pPr>
      <w:r w:rsidRPr="00DB6CF2">
        <w:rPr>
          <w:i/>
          <w:sz w:val="20"/>
        </w:rPr>
        <w:tab/>
        <w:t>Criminal Law — Defences — Duress — Abused wife paying “hit man” to murder husband who has threatened her life — Whether duress is available in law as a defence where the threats made against the accused were not made for the purpose of compelling the commission of an offence — Statutory and common law parameters of defence of duress — Whether stay of proceedings is appropriate in circumstances of case.</w:t>
      </w:r>
    </w:p>
    <w:p w:rsidR="00B43549" w:rsidRDefault="00B43549" w:rsidP="00B43549">
      <w:pPr>
        <w:pStyle w:val="SCCNormalDoubleSpacing"/>
        <w:spacing w:line="240" w:lineRule="auto"/>
        <w:rPr>
          <w:sz w:val="20"/>
        </w:rPr>
      </w:pPr>
    </w:p>
    <w:p w:rsidR="00B43549" w:rsidRPr="00DB6CF2" w:rsidRDefault="00B43549" w:rsidP="00B43549">
      <w:pPr>
        <w:pStyle w:val="SCCNormalDoubleSpacing"/>
        <w:spacing w:line="240" w:lineRule="auto"/>
        <w:rPr>
          <w:sz w:val="20"/>
        </w:rPr>
      </w:pPr>
      <w:r w:rsidRPr="00DB6CF2">
        <w:rPr>
          <w:sz w:val="20"/>
        </w:rPr>
        <w:tab/>
        <w:t>R was the victim of a violent, abusive and controlling husband.  She believed that he would cause her and their daughter serious bodily harm or death and and that she had no safe avenue of escape other than having him killed. She spoke to an undercover RCMP officer posing as a hit man and agreed to pay him $25,000 to kill her husband.  She gave $2,000, an address and a picture of her husband to the officer.  She was arrested and charged with counselling the commission of an offence not committed contrary to s. 464(</w:t>
      </w:r>
      <w:r w:rsidRPr="00DB6CF2">
        <w:rPr>
          <w:i/>
          <w:sz w:val="20"/>
        </w:rPr>
        <w:t>a</w:t>
      </w:r>
      <w:r w:rsidRPr="00DB6CF2">
        <w:rPr>
          <w:sz w:val="20"/>
        </w:rPr>
        <w:t xml:space="preserve">) of the </w:t>
      </w:r>
      <w:r w:rsidRPr="00DB6CF2">
        <w:rPr>
          <w:i/>
          <w:sz w:val="20"/>
        </w:rPr>
        <w:t>Criminal Code</w:t>
      </w:r>
      <w:r w:rsidRPr="00DB6CF2">
        <w:rPr>
          <w:sz w:val="20"/>
        </w:rPr>
        <w:t>.  The trial judge was satisfied beyond a reasonable doubt that the requisite elements of the offence were established.  The only issue at trial was whether the defence of duress applied.  The trial judge accepted R’s evidence that the sole reason for her actions was intense and reasonable fear arising from her husband’s threats of death and serious bodily harm to herself and their daughter.  The trial judge found that the common law defence of duress applied and acquitted R.  On appeal, for the first time, the Crown argued that duress was not available to R in law. The Court of Appeal upheld the acquittal. </w:t>
      </w:r>
    </w:p>
    <w:p w:rsidR="00B43549" w:rsidRDefault="00B43549" w:rsidP="00B43549">
      <w:pPr>
        <w:pStyle w:val="SCCNormalDoubleSpacing"/>
        <w:spacing w:line="240" w:lineRule="auto"/>
        <w:rPr>
          <w:i/>
          <w:sz w:val="20"/>
        </w:rPr>
      </w:pPr>
    </w:p>
    <w:p w:rsidR="00B43549" w:rsidRPr="00DB6CF2" w:rsidRDefault="00B43549" w:rsidP="00B43549">
      <w:pPr>
        <w:pStyle w:val="SCCNormalDoubleSpacing"/>
        <w:spacing w:line="240" w:lineRule="auto"/>
        <w:rPr>
          <w:sz w:val="20"/>
        </w:rPr>
      </w:pPr>
      <w:r w:rsidRPr="00DB6CF2">
        <w:rPr>
          <w:i/>
          <w:sz w:val="20"/>
        </w:rPr>
        <w:tab/>
        <w:t xml:space="preserve">Held </w:t>
      </w:r>
      <w:r w:rsidRPr="00DB6CF2">
        <w:rPr>
          <w:sz w:val="20"/>
        </w:rPr>
        <w:t xml:space="preserve">(Fish J. dissenting in part):  The appeal should be allowed and the proceedings should be stayed. </w:t>
      </w:r>
    </w:p>
    <w:p w:rsidR="00B43549" w:rsidRDefault="00B43549" w:rsidP="00B43549">
      <w:pPr>
        <w:pStyle w:val="SCCNormalDoubleSpacing"/>
        <w:spacing w:line="240" w:lineRule="auto"/>
        <w:rPr>
          <w:i/>
          <w:sz w:val="20"/>
        </w:rPr>
      </w:pPr>
    </w:p>
    <w:p w:rsidR="00B43549" w:rsidRPr="00DB6CF2" w:rsidRDefault="00B43549" w:rsidP="00B43549">
      <w:pPr>
        <w:pStyle w:val="SCCNormalDoubleSpacing"/>
        <w:spacing w:line="240" w:lineRule="auto"/>
        <w:rPr>
          <w:sz w:val="20"/>
        </w:rPr>
      </w:pPr>
      <w:r w:rsidRPr="00DB6CF2">
        <w:rPr>
          <w:i/>
          <w:sz w:val="20"/>
        </w:rPr>
        <w:tab/>
        <w:t>Per</w:t>
      </w:r>
      <w:r w:rsidRPr="00DB6CF2">
        <w:rPr>
          <w:sz w:val="20"/>
        </w:rPr>
        <w:t xml:space="preserve"> McLachlin C.J. and </w:t>
      </w:r>
      <w:r w:rsidRPr="00DB6CF2">
        <w:rPr>
          <w:b/>
          <w:sz w:val="20"/>
        </w:rPr>
        <w:t>LeBel</w:t>
      </w:r>
      <w:r w:rsidRPr="00DB6CF2">
        <w:rPr>
          <w:sz w:val="20"/>
        </w:rPr>
        <w:t xml:space="preserve">, Deschamps, Abella, Rothstein, </w:t>
      </w:r>
      <w:r w:rsidRPr="00DB6CF2">
        <w:rPr>
          <w:b/>
          <w:sz w:val="20"/>
        </w:rPr>
        <w:t>Cromwell,</w:t>
      </w:r>
      <w:r w:rsidRPr="00DB6CF2">
        <w:rPr>
          <w:sz w:val="20"/>
        </w:rPr>
        <w:t xml:space="preserve"> Moldaver and Karakatsanis JJ.:  The defence of duress is only available when a person commits an offence while under compulsion of a threat made for the purpose of compelling him or her to commit the offence.  This was not R's situation and the defence of duress was not available to her.  If an accused is threatened without compulsion, his or her only defence is self</w:t>
      </w:r>
      <w:r w:rsidRPr="00DB6CF2">
        <w:rPr>
          <w:sz w:val="20"/>
        </w:rPr>
        <w:noBreakHyphen/>
        <w:t>defence.</w:t>
      </w:r>
    </w:p>
    <w:p w:rsidR="00B43549" w:rsidRDefault="00B43549" w:rsidP="00B43549">
      <w:pPr>
        <w:pStyle w:val="SCCNormalDoubleSpacing"/>
        <w:spacing w:line="240" w:lineRule="auto"/>
        <w:rPr>
          <w:sz w:val="20"/>
        </w:rPr>
      </w:pPr>
    </w:p>
    <w:p w:rsidR="00B43549" w:rsidRPr="00DB6CF2" w:rsidRDefault="00B43549" w:rsidP="00B43549">
      <w:pPr>
        <w:pStyle w:val="SCCNormalDoubleSpacing"/>
        <w:spacing w:line="240" w:lineRule="auto"/>
        <w:rPr>
          <w:sz w:val="20"/>
        </w:rPr>
      </w:pPr>
      <w:r w:rsidRPr="00DB6CF2">
        <w:rPr>
          <w:sz w:val="20"/>
        </w:rPr>
        <w:tab/>
        <w:t>The Court of Appeal erred in law in finding that there was no principled basis upon which to exclude R from relying on the defence of duress.  Although the defences of duress and self</w:t>
      </w:r>
      <w:r w:rsidRPr="00DB6CF2">
        <w:rPr>
          <w:sz w:val="20"/>
        </w:rPr>
        <w:noBreakHyphen/>
        <w:t>defence are both based on the idea of normative involuntariness and both apply where the accused acted in response to an external threat, significant differences between these defences justify maintaining a meaningful juridical difference between them.  The rationale underlying each defence is profoundly distinct.  Duress, like the defence of necessity, is an excuse.  The act, usually committed against an innocent third party, remains wrong but the law excuses those who commit the act in a morally involuntary manner, where there was realistically no choice but to commit the act. Self</w:t>
      </w:r>
      <w:r w:rsidRPr="00DB6CF2">
        <w:rPr>
          <w:sz w:val="20"/>
        </w:rPr>
        <w:noBreakHyphen/>
        <w:t>defence, in contrast, is a justification based on the principle that it is lawful in defined circumstances to resist force or a threat of force with force.  The victim, also the attacker, is the author of his or her own misfortune.  Generally, the justification of self</w:t>
      </w:r>
      <w:r w:rsidRPr="00DB6CF2">
        <w:rPr>
          <w:sz w:val="20"/>
        </w:rPr>
        <w:noBreakHyphen/>
        <w:t>defence ought to be more readily available than the excuse of duress.  Thus, if infliction of harm on a person who threatened or attacked the accused is not justified by the law of self</w:t>
      </w:r>
      <w:r w:rsidRPr="00DB6CF2">
        <w:rPr>
          <w:sz w:val="20"/>
        </w:rPr>
        <w:noBreakHyphen/>
        <w:t xml:space="preserve">defence, it would be curious if the accused’s response would nonetheless be excused by the more restrictive law of duress.  Duress, which is an amalgam of statutory and common law elements, cannot be extended to apply where the accused meets force with force in situations where self defence is not available.  Duress is, and must remain, an applicable defence only in situations where the accused has been compelled to commit a specific offence under threats of death or bodily harm. </w:t>
      </w:r>
    </w:p>
    <w:p w:rsidR="00B43549" w:rsidRDefault="00B43549" w:rsidP="00B43549">
      <w:pPr>
        <w:pStyle w:val="SCCNormalDoubleSpacing"/>
        <w:spacing w:line="240" w:lineRule="auto"/>
        <w:rPr>
          <w:sz w:val="20"/>
        </w:rPr>
      </w:pPr>
    </w:p>
    <w:p w:rsidR="00B43549" w:rsidRPr="00DB6CF2" w:rsidRDefault="00B43549" w:rsidP="00B43549">
      <w:pPr>
        <w:pStyle w:val="SCCNormalDoubleSpacing"/>
        <w:spacing w:line="240" w:lineRule="auto"/>
        <w:rPr>
          <w:sz w:val="20"/>
          <w:lang w:val="en-US"/>
        </w:rPr>
      </w:pPr>
      <w:r w:rsidRPr="00DB6CF2">
        <w:rPr>
          <w:sz w:val="20"/>
        </w:rPr>
        <w:tab/>
        <w:t xml:space="preserve">This appeal underlines the need for further clarification of the law of duress.  The statutory version of the defence applies to principals and the common law to parties.  The statutory version of the offence also excludes a long list of offences from its operation.  Nonetheless, </w:t>
      </w:r>
      <w:r w:rsidRPr="00DB6CF2">
        <w:rPr>
          <w:sz w:val="20"/>
          <w:lang w:val="en-US"/>
        </w:rPr>
        <w:t>the defence of duress, in its statutory and common law forms, is largely the same and both forms share the following common elements: there must be an explicit or implicit threat of present or future death or bodily harm — this threat can be directed at the accused or a third party; the accused must reasonably believe that the threat will be carried out; th</w:t>
      </w:r>
      <w:r w:rsidRPr="00DB6CF2">
        <w:rPr>
          <w:sz w:val="20"/>
        </w:rPr>
        <w:t xml:space="preserve">ere must be no safe avenue of escape, evaluated on a modified objective standard; there must be a close temporal connection between the threat and the harm threatened; there must be proportionality between the harm threatened and the harm inflicted by the accused, also evaluated on a modified objective standard; and the accused cannot be a party to a conspiracy or association whereby he or she is subject to compulsion and actually knew that </w:t>
      </w:r>
      <w:r w:rsidRPr="00DB6CF2">
        <w:rPr>
          <w:sz w:val="20"/>
          <w:lang w:val="en-US"/>
        </w:rPr>
        <w:t xml:space="preserve">threats and coercion to commit an offence were a possible result of this criminal activity, conspiracy or association. </w:t>
      </w:r>
    </w:p>
    <w:p w:rsidR="00B43549" w:rsidRDefault="00B43549" w:rsidP="00B43549">
      <w:pPr>
        <w:pStyle w:val="SCCNormalDoubleSpacing"/>
        <w:spacing w:line="240" w:lineRule="auto"/>
        <w:rPr>
          <w:sz w:val="20"/>
        </w:rPr>
      </w:pPr>
    </w:p>
    <w:p w:rsidR="00B43549" w:rsidRPr="00DB6CF2" w:rsidRDefault="00B43549" w:rsidP="00B43549">
      <w:pPr>
        <w:pStyle w:val="SCCNormalDoubleSpacing"/>
        <w:spacing w:line="240" w:lineRule="auto"/>
        <w:rPr>
          <w:sz w:val="20"/>
        </w:rPr>
      </w:pPr>
      <w:r w:rsidRPr="00DB6CF2">
        <w:rPr>
          <w:sz w:val="20"/>
        </w:rPr>
        <w:tab/>
        <w:t xml:space="preserve">The circumstances of this case are exceptional and warrant a stay of proceedings.  Although the appeal should be allowed, it would not be fair to subject R to another trial.  The abuse she suffered and the protracted nature of these proceeding have taken an enormous toll on her.  The law of duress was unclear which made resort to the defence at trial unusually difficult.  Furthermore, the Crown changed its position about the applicable law between the trial and appeal process, raising a serious risk that the consequences of decisions made during the conduct of R’s defence cannot be undone in the context of a new trial. </w:t>
      </w:r>
    </w:p>
    <w:p w:rsidR="00B43549" w:rsidRDefault="00B43549" w:rsidP="00B43549">
      <w:pPr>
        <w:pStyle w:val="SCCNormalDoubleSpacing"/>
        <w:spacing w:line="240" w:lineRule="auto"/>
        <w:rPr>
          <w:i/>
          <w:sz w:val="20"/>
        </w:rPr>
      </w:pPr>
    </w:p>
    <w:p w:rsidR="00B43549" w:rsidRDefault="00B43549" w:rsidP="00B43549">
      <w:pPr>
        <w:pStyle w:val="SCCNormalDoubleSpacing"/>
        <w:spacing w:line="240" w:lineRule="auto"/>
        <w:rPr>
          <w:sz w:val="20"/>
        </w:rPr>
      </w:pPr>
      <w:r w:rsidRPr="00DB6CF2">
        <w:rPr>
          <w:i/>
          <w:sz w:val="20"/>
        </w:rPr>
        <w:tab/>
        <w:t>Per</w:t>
      </w:r>
      <w:r w:rsidRPr="00DB6CF2">
        <w:rPr>
          <w:sz w:val="20"/>
        </w:rPr>
        <w:t xml:space="preserve"> Fish J. (dissenting in part):  The defence of duress was not available to R and the acquittal must be set aside.  However, a judicial stay of proceedings is not warranted on the record.  A stay is a drastic remedy of last resort and available only in the clearest of cases.  These criteria are not satisfied.  A new trial should be ordered, leaving it to the Crown to decide whether the public interest requires a new trial in the particular circumstances of the case.  </w:t>
      </w:r>
    </w:p>
    <w:p w:rsidR="00B43549" w:rsidRDefault="00B43549" w:rsidP="00B43549">
      <w:pPr>
        <w:pStyle w:val="SCCNormalDoubleSpacing"/>
        <w:spacing w:line="240" w:lineRule="auto"/>
        <w:rPr>
          <w:sz w:val="20"/>
        </w:rPr>
      </w:pPr>
    </w:p>
    <w:p w:rsidR="00B43549" w:rsidRPr="00DB6CF2" w:rsidRDefault="00B43549" w:rsidP="00B43549">
      <w:pPr>
        <w:pStyle w:val="SCCNormalDoubleSpacing"/>
        <w:spacing w:line="240" w:lineRule="auto"/>
        <w:rPr>
          <w:sz w:val="20"/>
        </w:rPr>
      </w:pPr>
      <w:r w:rsidRPr="00DB6CF2">
        <w:rPr>
          <w:sz w:val="20"/>
        </w:rPr>
        <w:tab/>
        <w:t>APPEAL from a judgment of the Nova Scotia Court of Appeal (</w:t>
      </w:r>
      <w:r w:rsidR="00CD48BC" w:rsidRPr="00DB6CF2">
        <w:rPr>
          <w:sz w:val="20"/>
        </w:rPr>
        <w:fldChar w:fldCharType="begin"/>
      </w:r>
      <w:r w:rsidRPr="00DB6CF2">
        <w:rPr>
          <w:sz w:val="20"/>
        </w:rPr>
        <w:instrText xml:space="preserve"> SEQ CHAPTER \h \r 1</w:instrText>
      </w:r>
      <w:r w:rsidR="00CD48BC" w:rsidRPr="00DB6CF2">
        <w:rPr>
          <w:sz w:val="20"/>
        </w:rPr>
        <w:fldChar w:fldCharType="end"/>
      </w:r>
      <w:r w:rsidRPr="00DB6CF2">
        <w:rPr>
          <w:sz w:val="20"/>
        </w:rPr>
        <w:t xml:space="preserve">MacDonald C.J.N.S. and Saunders and Oland JJ.A.), </w:t>
      </w:r>
      <w:r w:rsidR="00CD48BC" w:rsidRPr="00DB6CF2">
        <w:rPr>
          <w:sz w:val="20"/>
        </w:rPr>
        <w:fldChar w:fldCharType="begin"/>
      </w:r>
      <w:r w:rsidRPr="00DB6CF2">
        <w:rPr>
          <w:sz w:val="20"/>
        </w:rPr>
        <w:instrText xml:space="preserve"> SEQ CHAPTER \h \r 1</w:instrText>
      </w:r>
      <w:r w:rsidR="00CD48BC" w:rsidRPr="00DB6CF2">
        <w:rPr>
          <w:sz w:val="20"/>
        </w:rPr>
        <w:fldChar w:fldCharType="end"/>
      </w:r>
      <w:r w:rsidRPr="00DB6CF2">
        <w:rPr>
          <w:sz w:val="20"/>
        </w:rPr>
        <w:t>2011 NSCA 30, 301 N.S.R. (2d) 255, 953 A.P.R. 255, 269 C.C.C. (3d) 480, 84 C.R. (6th) 249, [2011] N.S.J. No. 157 (QL), 2011 CarswellNS 177, affirming an acquittal entered by Farrar J., 2010 NSSC 114, 289 N.S.R. (2d) 273, 916 A.P.R. 273, [2010] N.S.J. No. 154 (QL), 2010 CarswellNS 182.  Appeal allowed, Fish J. dissenting in part.</w:t>
      </w:r>
    </w:p>
    <w:p w:rsidR="00B43549" w:rsidRDefault="00B43549" w:rsidP="00B43549">
      <w:pPr>
        <w:pStyle w:val="SCCNormalDoubleSpacing"/>
        <w:spacing w:line="240" w:lineRule="auto"/>
        <w:rPr>
          <w:i/>
          <w:sz w:val="20"/>
        </w:rPr>
      </w:pPr>
    </w:p>
    <w:p w:rsidR="00B43549" w:rsidRPr="00DB6CF2" w:rsidRDefault="00B43549" w:rsidP="00B43549">
      <w:pPr>
        <w:pStyle w:val="SCCNormalDoubleSpacing"/>
        <w:spacing w:line="240" w:lineRule="auto"/>
        <w:rPr>
          <w:sz w:val="20"/>
        </w:rPr>
      </w:pPr>
      <w:r w:rsidRPr="00DB6CF2">
        <w:rPr>
          <w:i/>
          <w:sz w:val="20"/>
        </w:rPr>
        <w:tab/>
        <w:t>William D. Delaney, Q.C.</w:t>
      </w:r>
      <w:r w:rsidRPr="00DB6CF2">
        <w:rPr>
          <w:sz w:val="20"/>
        </w:rPr>
        <w:t xml:space="preserve">, and </w:t>
      </w:r>
      <w:r w:rsidRPr="00DB6CF2">
        <w:rPr>
          <w:i/>
          <w:sz w:val="20"/>
          <w:lang w:val="en-US"/>
        </w:rPr>
        <w:t>Jennifer A. MacLellan</w:t>
      </w:r>
      <w:r w:rsidRPr="00DB6CF2">
        <w:rPr>
          <w:sz w:val="20"/>
          <w:lang w:val="en-US"/>
        </w:rPr>
        <w:t xml:space="preserve">, </w:t>
      </w:r>
      <w:r w:rsidRPr="00DB6CF2">
        <w:rPr>
          <w:sz w:val="20"/>
        </w:rPr>
        <w:t>for the appellant.</w:t>
      </w:r>
    </w:p>
    <w:p w:rsidR="00B43549" w:rsidRDefault="00B43549" w:rsidP="00B43549">
      <w:pPr>
        <w:pStyle w:val="SCCNormalDoubleSpacing"/>
        <w:spacing w:line="240" w:lineRule="auto"/>
        <w:rPr>
          <w:i/>
          <w:sz w:val="20"/>
        </w:rPr>
      </w:pPr>
    </w:p>
    <w:p w:rsidR="00B43549" w:rsidRPr="00DB6CF2" w:rsidRDefault="00B43549" w:rsidP="00B43549">
      <w:pPr>
        <w:pStyle w:val="SCCNormalDoubleSpacing"/>
        <w:spacing w:line="240" w:lineRule="auto"/>
        <w:rPr>
          <w:sz w:val="20"/>
        </w:rPr>
      </w:pPr>
      <w:r w:rsidRPr="00DB6CF2">
        <w:rPr>
          <w:i/>
          <w:sz w:val="20"/>
        </w:rPr>
        <w:tab/>
        <w:t>Joel E. Pink, Q.C.</w:t>
      </w:r>
      <w:r w:rsidRPr="00DB6CF2">
        <w:rPr>
          <w:sz w:val="20"/>
        </w:rPr>
        <w:t xml:space="preserve">, </w:t>
      </w:r>
      <w:r w:rsidRPr="00DB6CF2">
        <w:rPr>
          <w:i/>
          <w:sz w:val="20"/>
        </w:rPr>
        <w:t>Brian H. Greenspan, Andrew Nielsen</w:t>
      </w:r>
      <w:r w:rsidRPr="00DB6CF2">
        <w:rPr>
          <w:sz w:val="20"/>
        </w:rPr>
        <w:t xml:space="preserve"> and </w:t>
      </w:r>
      <w:r w:rsidRPr="00DB6CF2">
        <w:rPr>
          <w:i/>
          <w:sz w:val="20"/>
        </w:rPr>
        <w:t>Naomi M. Lutes</w:t>
      </w:r>
      <w:r w:rsidRPr="00DB6CF2">
        <w:rPr>
          <w:sz w:val="20"/>
        </w:rPr>
        <w:t>, for the respondent.</w:t>
      </w:r>
    </w:p>
    <w:p w:rsidR="00B43549" w:rsidRDefault="00B43549" w:rsidP="00B43549">
      <w:pPr>
        <w:pStyle w:val="SCCNormalDoubleSpacing"/>
        <w:spacing w:line="240" w:lineRule="auto"/>
        <w:rPr>
          <w:i/>
          <w:sz w:val="20"/>
        </w:rPr>
      </w:pPr>
    </w:p>
    <w:p w:rsidR="00B43549" w:rsidRPr="00DB6CF2" w:rsidRDefault="00B43549" w:rsidP="00B43549">
      <w:pPr>
        <w:pStyle w:val="SCCNormalDoubleSpacing"/>
        <w:spacing w:line="240" w:lineRule="auto"/>
        <w:rPr>
          <w:sz w:val="20"/>
        </w:rPr>
      </w:pPr>
      <w:r w:rsidRPr="00DB6CF2">
        <w:rPr>
          <w:i/>
          <w:sz w:val="20"/>
        </w:rPr>
        <w:tab/>
        <w:t>John Corelli and Holly Loubert</w:t>
      </w:r>
      <w:r w:rsidRPr="00DB6CF2">
        <w:rPr>
          <w:sz w:val="20"/>
        </w:rPr>
        <w:t>, for the intervener the Attorney General of Ontario.</w:t>
      </w:r>
    </w:p>
    <w:p w:rsidR="00B43549" w:rsidRDefault="00B43549" w:rsidP="00B43549">
      <w:pPr>
        <w:pStyle w:val="SCCNormalDoubleSpacing"/>
        <w:spacing w:line="240" w:lineRule="auto"/>
        <w:rPr>
          <w:i/>
          <w:sz w:val="20"/>
        </w:rPr>
      </w:pPr>
    </w:p>
    <w:p w:rsidR="00B43549" w:rsidRPr="00DB6CF2" w:rsidRDefault="00B43549" w:rsidP="00B43549">
      <w:pPr>
        <w:pStyle w:val="SCCNormalDoubleSpacing"/>
        <w:spacing w:line="240" w:lineRule="auto"/>
        <w:rPr>
          <w:sz w:val="20"/>
        </w:rPr>
      </w:pPr>
      <w:r w:rsidRPr="00DB6CF2">
        <w:rPr>
          <w:i/>
          <w:sz w:val="20"/>
        </w:rPr>
        <w:tab/>
        <w:t>Christine Boyle</w:t>
      </w:r>
      <w:r w:rsidRPr="00DB6CF2">
        <w:rPr>
          <w:sz w:val="20"/>
        </w:rPr>
        <w:t xml:space="preserve">, </w:t>
      </w:r>
      <w:r w:rsidRPr="00DB6CF2">
        <w:rPr>
          <w:i/>
          <w:sz w:val="20"/>
        </w:rPr>
        <w:t>Q.C.</w:t>
      </w:r>
      <w:r w:rsidRPr="00DB6CF2">
        <w:rPr>
          <w:sz w:val="20"/>
        </w:rPr>
        <w:t>, for the interveners the Canadian Association of Elizabeth Fry Societies and the Women’s Legal Education and Action Fund.</w:t>
      </w:r>
    </w:p>
    <w:p w:rsidR="00B43549" w:rsidRDefault="00B43549" w:rsidP="00B43549">
      <w:pPr>
        <w:pStyle w:val="SCCNormalDoubleSpacing"/>
        <w:spacing w:line="240" w:lineRule="auto"/>
        <w:rPr>
          <w:i/>
          <w:sz w:val="20"/>
        </w:rPr>
      </w:pPr>
    </w:p>
    <w:p w:rsidR="00B43549" w:rsidRPr="00DB6CF2" w:rsidRDefault="00B43549" w:rsidP="00B43549">
      <w:pPr>
        <w:pStyle w:val="SCCNormalDoubleSpacing"/>
        <w:spacing w:line="240" w:lineRule="auto"/>
        <w:rPr>
          <w:sz w:val="20"/>
        </w:rPr>
      </w:pPr>
      <w:r w:rsidRPr="00DB6CF2">
        <w:rPr>
          <w:i/>
          <w:sz w:val="20"/>
        </w:rPr>
        <w:tab/>
        <w:t>Susan M. Chapman</w:t>
      </w:r>
      <w:r w:rsidRPr="00DB6CF2">
        <w:rPr>
          <w:sz w:val="20"/>
        </w:rPr>
        <w:t xml:space="preserve"> and </w:t>
      </w:r>
      <w:r w:rsidRPr="00DB6CF2">
        <w:rPr>
          <w:i/>
          <w:sz w:val="20"/>
        </w:rPr>
        <w:t>Howard Krongold</w:t>
      </w:r>
      <w:r w:rsidRPr="00DB6CF2">
        <w:rPr>
          <w:sz w:val="20"/>
        </w:rPr>
        <w:t>, for the intervener the Criminal Lawyers’ Association (Ontario).</w:t>
      </w:r>
    </w:p>
    <w:p w:rsidR="00B43549" w:rsidRDefault="00B43549" w:rsidP="00B43549">
      <w:pPr>
        <w:pStyle w:val="SCCLawFirm"/>
        <w:spacing w:line="240" w:lineRule="auto"/>
        <w:rPr>
          <w:sz w:val="20"/>
        </w:rPr>
      </w:pPr>
    </w:p>
    <w:p w:rsidR="00B43549" w:rsidRPr="00DB6CF2" w:rsidRDefault="00B43549" w:rsidP="00B43549">
      <w:pPr>
        <w:pStyle w:val="SCCLawFirm"/>
        <w:spacing w:line="240" w:lineRule="auto"/>
        <w:rPr>
          <w:sz w:val="20"/>
        </w:rPr>
      </w:pPr>
      <w:r w:rsidRPr="00DB6CF2">
        <w:rPr>
          <w:sz w:val="20"/>
        </w:rPr>
        <w:tab/>
        <w:t>Solicitor for the appellant:  Public Prosecution Service of Nova Scotia, Halifax.</w:t>
      </w:r>
    </w:p>
    <w:p w:rsidR="00B43549" w:rsidRDefault="00B43549" w:rsidP="00B43549">
      <w:pPr>
        <w:pStyle w:val="SCCLawFirm"/>
        <w:spacing w:line="240" w:lineRule="auto"/>
        <w:rPr>
          <w:sz w:val="20"/>
        </w:rPr>
      </w:pPr>
    </w:p>
    <w:p w:rsidR="00B43549" w:rsidRPr="00DB6CF2" w:rsidRDefault="00B43549" w:rsidP="00B43549">
      <w:pPr>
        <w:pStyle w:val="SCCLawFirm"/>
        <w:spacing w:line="240" w:lineRule="auto"/>
        <w:rPr>
          <w:sz w:val="20"/>
        </w:rPr>
      </w:pPr>
      <w:r w:rsidRPr="00DB6CF2">
        <w:rPr>
          <w:sz w:val="20"/>
        </w:rPr>
        <w:tab/>
        <w:t>Solicitors for the respondent:  Pink Larkin, Halifax; Greenspan Humphrey Lavine, Toronto.</w:t>
      </w:r>
    </w:p>
    <w:p w:rsidR="00B43549" w:rsidRDefault="00B43549" w:rsidP="00B43549">
      <w:pPr>
        <w:pStyle w:val="SCCLawFirm"/>
        <w:spacing w:line="240" w:lineRule="auto"/>
        <w:rPr>
          <w:sz w:val="20"/>
        </w:rPr>
      </w:pPr>
    </w:p>
    <w:p w:rsidR="00B43549" w:rsidRPr="00DB6CF2" w:rsidRDefault="00B43549" w:rsidP="00B43549">
      <w:pPr>
        <w:pStyle w:val="SCCLawFirm"/>
        <w:spacing w:line="240" w:lineRule="auto"/>
        <w:rPr>
          <w:sz w:val="20"/>
        </w:rPr>
      </w:pPr>
      <w:r w:rsidRPr="00DB6CF2">
        <w:rPr>
          <w:sz w:val="20"/>
        </w:rPr>
        <w:tab/>
        <w:t>Solicitor for the intervener the Attorney General of Ontario:  Attorney General of Ontario, Toronto.</w:t>
      </w:r>
    </w:p>
    <w:p w:rsidR="00B43549" w:rsidRDefault="00B43549" w:rsidP="00B43549">
      <w:pPr>
        <w:pStyle w:val="SCCLawFirm"/>
        <w:spacing w:line="240" w:lineRule="auto"/>
        <w:rPr>
          <w:sz w:val="20"/>
        </w:rPr>
      </w:pPr>
    </w:p>
    <w:p w:rsidR="00B43549" w:rsidRPr="00DB6CF2" w:rsidRDefault="00B43549" w:rsidP="00B43549">
      <w:pPr>
        <w:pStyle w:val="SCCLawFirm"/>
        <w:spacing w:line="240" w:lineRule="auto"/>
        <w:rPr>
          <w:sz w:val="20"/>
        </w:rPr>
      </w:pPr>
      <w:r w:rsidRPr="00DB6CF2">
        <w:rPr>
          <w:sz w:val="20"/>
        </w:rPr>
        <w:tab/>
        <w:t>Solicitors for the interveners the Canadian Association of Elizabeth Fry Societies and the Women’s Legal Education and Action Fund:  University of British Columbia, Vancouver.</w:t>
      </w:r>
    </w:p>
    <w:p w:rsidR="00B43549" w:rsidRDefault="00B43549" w:rsidP="00B43549">
      <w:pPr>
        <w:pStyle w:val="SCCLawFirm"/>
        <w:spacing w:line="240" w:lineRule="auto"/>
        <w:rPr>
          <w:sz w:val="20"/>
        </w:rPr>
      </w:pPr>
    </w:p>
    <w:p w:rsidR="00B43549" w:rsidRDefault="00B43549" w:rsidP="00B43549">
      <w:pPr>
        <w:pStyle w:val="SCCLawFirm"/>
        <w:spacing w:line="240" w:lineRule="auto"/>
        <w:rPr>
          <w:sz w:val="20"/>
        </w:rPr>
      </w:pPr>
      <w:r w:rsidRPr="00DB6CF2">
        <w:rPr>
          <w:sz w:val="20"/>
        </w:rPr>
        <w:tab/>
        <w:t>Solicitors for the intervener the Criminal Lawyers’ Association (Ontario):  Ursel Phillips Fellows Hopkinson, Toronto; Webber Schroeder Goldstein Abergel, Ottawa.</w:t>
      </w:r>
    </w:p>
    <w:p w:rsidR="00981881" w:rsidRPr="00B43549" w:rsidRDefault="00981881" w:rsidP="00981881">
      <w:pPr>
        <w:rPr>
          <w:sz w:val="20"/>
          <w:szCs w:val="20"/>
          <w:lang w:val="fr-CA"/>
        </w:rPr>
      </w:pPr>
      <w:r w:rsidRPr="00B43549">
        <w:rPr>
          <w:sz w:val="20"/>
          <w:szCs w:val="20"/>
          <w:lang w:val="fr-CA"/>
        </w:rPr>
        <w:t>________________________</w:t>
      </w:r>
    </w:p>
    <w:p w:rsidR="00981881" w:rsidRPr="00B43549" w:rsidRDefault="00981881" w:rsidP="00981881">
      <w:pPr>
        <w:rPr>
          <w:sz w:val="20"/>
          <w:szCs w:val="20"/>
          <w:lang w:val="fr-CA"/>
        </w:rPr>
      </w:pPr>
    </w:p>
    <w:p w:rsidR="00B43549" w:rsidRPr="00FE1BAF" w:rsidRDefault="00B43549" w:rsidP="00B43549">
      <w:pPr>
        <w:jc w:val="both"/>
        <w:rPr>
          <w:sz w:val="20"/>
          <w:szCs w:val="20"/>
          <w:lang w:val="fr-CA"/>
        </w:rPr>
      </w:pPr>
      <w:r w:rsidRPr="00FE1BAF">
        <w:rPr>
          <w:sz w:val="20"/>
          <w:szCs w:val="20"/>
          <w:lang w:val="fr-CA"/>
        </w:rPr>
        <w:t>Présents : La juge en chef McLachlin et les juges LeBel, Deschamps, Fish, Abella, Rothstein, Cromwell, Moldaver et Karakatsanis.</w:t>
      </w:r>
    </w:p>
    <w:p w:rsidR="00B43549" w:rsidRDefault="00B43549" w:rsidP="00B43549">
      <w:pPr>
        <w:jc w:val="both"/>
        <w:rPr>
          <w:smallCaps/>
          <w:sz w:val="20"/>
          <w:lang w:val="fr-CA"/>
        </w:rPr>
      </w:pPr>
    </w:p>
    <w:p w:rsidR="00B43549" w:rsidRPr="00FE1BAF" w:rsidRDefault="00B43549" w:rsidP="00B43549">
      <w:pPr>
        <w:pStyle w:val="SCCNormalDoubleSpacing"/>
        <w:spacing w:line="240" w:lineRule="auto"/>
        <w:rPr>
          <w:i/>
          <w:sz w:val="20"/>
          <w:lang w:val="fr-CA"/>
        </w:rPr>
      </w:pPr>
      <w:r w:rsidRPr="00FE1BAF">
        <w:rPr>
          <w:sz w:val="20"/>
          <w:lang w:val="fr-CA"/>
        </w:rPr>
        <w:tab/>
      </w:r>
      <w:r w:rsidRPr="00FE1BAF">
        <w:rPr>
          <w:i/>
          <w:sz w:val="20"/>
          <w:lang w:val="fr-CA"/>
        </w:rPr>
        <w:t>Droit criminel — Moyens de défense — Contrainte — « Tueur à gages » payé par une femme battue dont la vie est menacée par son mari pour assassiner ce dernier — Le moyen de défense fondé sur la contrainte peut</w:t>
      </w:r>
      <w:r w:rsidRPr="00FE1BAF">
        <w:rPr>
          <w:i/>
          <w:sz w:val="20"/>
          <w:lang w:val="fr-CA"/>
        </w:rPr>
        <w:noBreakHyphen/>
        <w:t>il être invoqué en droit lorsque les menaces à l’endroit de l’accusée n’ont pas été proférées dans le but de la forcer à commettre une infraction? — Paramètres législatifs et de common law du moyen de défense fondé sur la contrainte — L’arrêt des procédures est</w:t>
      </w:r>
      <w:r w:rsidRPr="00FE1BAF">
        <w:rPr>
          <w:i/>
          <w:sz w:val="20"/>
          <w:lang w:val="fr-CA"/>
        </w:rPr>
        <w:noBreakHyphen/>
        <w:t xml:space="preserve">il approprié en l’espèce? </w:t>
      </w:r>
    </w:p>
    <w:p w:rsidR="00B43549" w:rsidRDefault="00B43549" w:rsidP="00B43549">
      <w:pPr>
        <w:pStyle w:val="SCCNormalDoubleSpacing"/>
        <w:spacing w:line="240" w:lineRule="auto"/>
        <w:rPr>
          <w:sz w:val="20"/>
          <w:lang w:val="fr-CA"/>
        </w:rPr>
      </w:pPr>
    </w:p>
    <w:p w:rsidR="00B43549" w:rsidRPr="00FE1BAF" w:rsidRDefault="00B43549" w:rsidP="00B43549">
      <w:pPr>
        <w:pStyle w:val="SCCNormalDoubleSpacing"/>
        <w:spacing w:line="240" w:lineRule="auto"/>
        <w:rPr>
          <w:sz w:val="20"/>
          <w:lang w:val="fr-CA"/>
        </w:rPr>
      </w:pPr>
      <w:r w:rsidRPr="00FE1BAF">
        <w:rPr>
          <w:sz w:val="20"/>
          <w:lang w:val="fr-CA"/>
        </w:rPr>
        <w:tab/>
        <w:t>R était victime d’un époux violent et dominateur.  Elle craignait qu’il les blesse gravement ou les tue, elle et leur fille, et croyait que le seul moyen de s’en sortir sans danger était de le faire tuer.  Elle a communiqué avec un agent d’infiltration de la GRC se faisant passer pour un tueur à gages et a accepté de lui verser 25 000 $ pour qu’il tue son époux.  Elle a versé 2 000 $ à l’agent et lui a fourni l’adresse et une photo de son époux.  Elle a été arrêtée et accusée, en vertu de l’al. 464</w:t>
      </w:r>
      <w:r w:rsidRPr="00FE1BAF">
        <w:rPr>
          <w:i/>
          <w:sz w:val="20"/>
          <w:lang w:val="fr-CA"/>
        </w:rPr>
        <w:t>a</w:t>
      </w:r>
      <w:r w:rsidRPr="00FE1BAF">
        <w:rPr>
          <w:sz w:val="20"/>
          <w:lang w:val="fr-CA"/>
        </w:rPr>
        <w:t xml:space="preserve">) du </w:t>
      </w:r>
      <w:r w:rsidRPr="00FE1BAF">
        <w:rPr>
          <w:i/>
          <w:sz w:val="20"/>
          <w:lang w:val="fr-CA"/>
        </w:rPr>
        <w:t>Code criminel</w:t>
      </w:r>
      <w:r w:rsidRPr="00FE1BAF">
        <w:rPr>
          <w:sz w:val="20"/>
          <w:lang w:val="fr-CA"/>
        </w:rPr>
        <w:t xml:space="preserve">, d’avoir conseillé la perpétration d’une infraction qui n’a pas été commise.  Le juge de première instance était convaincu hors de tout doute raisonnable que les éléments essentiels de l’infraction avaient été établis.  La seule question en litige au procès consistait à déterminer si la défense fondée sur la contrainte s’appliquait.  Le juge de première instance a ajouté foi au témoignage de R selon lequel l’unique motif invoqué par elle pour justifier ses actes était la crainte intense et raisonnable que lui inspirait son époux lorsqu’il les menaçait, elle et leur fille, de les tuer ou de leur infliger des lésions corporelles graves.  Estimant que le moyen de défense de common law fondé sur la contrainte s’appliquait, le juge de première instance a acquitté R.  Lors de l’appel, pour la première fois, le ministère public a soutenu que R ne pouvait pas invoquer la contrainte comme moyen de défense en droit.  La Cour d’appel a confirmé l’acquittement. </w:t>
      </w:r>
    </w:p>
    <w:p w:rsidR="00B43549" w:rsidRDefault="00B43549" w:rsidP="00B43549">
      <w:pPr>
        <w:pStyle w:val="SCCNormalDoubleSpacing"/>
        <w:spacing w:line="240" w:lineRule="auto"/>
        <w:rPr>
          <w:i/>
          <w:sz w:val="20"/>
          <w:lang w:val="fr-CA"/>
        </w:rPr>
      </w:pPr>
    </w:p>
    <w:p w:rsidR="00B43549" w:rsidRPr="00FE1BAF" w:rsidRDefault="00B43549" w:rsidP="00B43549">
      <w:pPr>
        <w:pStyle w:val="SCCNormalDoubleSpacing"/>
        <w:spacing w:line="240" w:lineRule="auto"/>
        <w:rPr>
          <w:sz w:val="20"/>
          <w:lang w:val="fr-CA"/>
        </w:rPr>
      </w:pPr>
      <w:r w:rsidRPr="00FE1BAF">
        <w:rPr>
          <w:i/>
          <w:sz w:val="20"/>
          <w:lang w:val="fr-CA"/>
        </w:rPr>
        <w:tab/>
        <w:t>Arrêt :</w:t>
      </w:r>
      <w:r w:rsidRPr="00FE1BAF">
        <w:rPr>
          <w:sz w:val="20"/>
          <w:lang w:val="fr-CA"/>
        </w:rPr>
        <w:t xml:space="preserve"> (le juge Fish est dissident en partie)  Le pourvoi est accueilli et l’arrêt des procédures est ordonné. </w:t>
      </w:r>
    </w:p>
    <w:p w:rsidR="00B43549" w:rsidRDefault="00B43549" w:rsidP="00B43549">
      <w:pPr>
        <w:pStyle w:val="SCCNormalDoubleSpacing"/>
        <w:spacing w:line="240" w:lineRule="auto"/>
        <w:rPr>
          <w:i/>
          <w:sz w:val="20"/>
          <w:lang w:val="fr-CA"/>
        </w:rPr>
      </w:pPr>
    </w:p>
    <w:p w:rsidR="00B43549" w:rsidRPr="00FE1BAF" w:rsidRDefault="00B43549" w:rsidP="00B43549">
      <w:pPr>
        <w:pStyle w:val="SCCNormalDoubleSpacing"/>
        <w:spacing w:line="240" w:lineRule="auto"/>
        <w:rPr>
          <w:sz w:val="20"/>
          <w:lang w:val="fr-CA"/>
        </w:rPr>
      </w:pPr>
      <w:r w:rsidRPr="00FE1BAF">
        <w:rPr>
          <w:i/>
          <w:sz w:val="20"/>
          <w:lang w:val="fr-CA"/>
        </w:rPr>
        <w:tab/>
        <w:t>La</w:t>
      </w:r>
      <w:r w:rsidRPr="00FE1BAF">
        <w:rPr>
          <w:sz w:val="20"/>
          <w:lang w:val="fr-CA"/>
        </w:rPr>
        <w:t xml:space="preserve"> juge en chef McLachlin et les juges </w:t>
      </w:r>
      <w:r w:rsidRPr="00FE1BAF">
        <w:rPr>
          <w:b/>
          <w:sz w:val="20"/>
          <w:lang w:val="fr-CA"/>
        </w:rPr>
        <w:t>LeBel</w:t>
      </w:r>
      <w:r w:rsidRPr="00FE1BAF">
        <w:rPr>
          <w:sz w:val="20"/>
          <w:lang w:val="fr-CA"/>
        </w:rPr>
        <w:t xml:space="preserve">, Deschamps, Abella, Rothstein, </w:t>
      </w:r>
      <w:r w:rsidRPr="00FE1BAF">
        <w:rPr>
          <w:b/>
          <w:sz w:val="20"/>
          <w:lang w:val="fr-CA"/>
        </w:rPr>
        <w:t>Cromwell</w:t>
      </w:r>
      <w:r w:rsidRPr="00FE1BAF">
        <w:rPr>
          <w:sz w:val="20"/>
          <w:lang w:val="fr-CA"/>
        </w:rPr>
        <w:t xml:space="preserve">, Moldaver et Karakatsanis : Le moyen de défense fondé sur la contrainte peut seulement être invoqué lorsqu’une personne commet une infraction sous la contrainte d’une menace proférée dans le but de la forcer à commettre cette infraction.  Ce n’était pas le cas de R et elle ne pouvait pas invoquer ce moyen de défense.  Si un accusé a été menacé sans aucun élément de contrainte, son seul moyen de défense est la légitime défense.  </w:t>
      </w:r>
    </w:p>
    <w:p w:rsidR="00B43549" w:rsidRDefault="00B43549" w:rsidP="00B43549">
      <w:pPr>
        <w:pStyle w:val="SCCNormalDoubleSpacing"/>
        <w:spacing w:line="240" w:lineRule="auto"/>
        <w:rPr>
          <w:sz w:val="20"/>
          <w:lang w:val="fr-CA"/>
        </w:rPr>
      </w:pPr>
    </w:p>
    <w:p w:rsidR="00B43549" w:rsidRPr="00FE1BAF" w:rsidRDefault="00B43549" w:rsidP="00B43549">
      <w:pPr>
        <w:pStyle w:val="SCCNormalDoubleSpacing"/>
        <w:spacing w:line="240" w:lineRule="auto"/>
        <w:rPr>
          <w:sz w:val="20"/>
          <w:lang w:val="fr-CA"/>
        </w:rPr>
      </w:pPr>
      <w:r w:rsidRPr="00FE1BAF">
        <w:rPr>
          <w:sz w:val="20"/>
          <w:lang w:val="fr-CA"/>
        </w:rPr>
        <w:tab/>
        <w:t>La Cour d’appel a commis une erreur de droit en déclarant qu’il n’existait aucune raison de principe permettant d’interdire à R d’invoquer le moyen de défense fondé sur la contrainte.  Bien que la contrainte et la légitime défense reposent toutes deux sur l’idée de caractère involontaire normatif et qu’elles s’appliquent dans les cas où l’accusé a agi en réaction à une menace extérieure, les différences importantes entre ces moyens de défense justifient le maintien d’une différence juridique importante entre eux.  Le principe sous</w:t>
      </w:r>
      <w:r w:rsidRPr="00FE1BAF">
        <w:rPr>
          <w:sz w:val="20"/>
          <w:lang w:val="fr-CA"/>
        </w:rPr>
        <w:noBreakHyphen/>
        <w:t xml:space="preserve">jacent à chacun est nettement distinct.  La contrainte, à l’instar de la nécessité, constitue une excuse.  L’acte, habituellement perpétré à l’endroit d’un tiers innocent, demeure répréhensible, mais la loi en excuse l’auteur qui a agi d’une manière involontaire au sens moral, s’il a commis l’acte dans des circonstances où il ne disposait vraiment d’aucun autre choix.  La légitime défense, par ailleurs, est une justification qui repose sur le principe voulant qu’il est légitime, dans des circonstances bien définies, d’opposer la force à la force ou à une menace d’employer la force.  La victime, qui est également l’agresseur, est l’auteur de son propre malheur.  En règle générale, la justification de la légitime défense devrait être plus facile à invoquer que l’excuse de la contrainte.  Par conséquent, si le fait d’infliger une blessure à une personne ayant menacé ou attaqué l’accusé n’est pas justifié par le droit applicable en matière de légitime défense, il serait étrange que la réplique de l’accusé soit néanmoins excusée par le droit plus astreignant de la contrainte.  Le moyen de défense fondé sur la contrainte, qui s’appuie sur un amalgame d’éléments issus tant de dispositions législatives que de la common law, ne saurait être élargi de manière à s’appliquer aux situations où l’accusé oppose la force à la force lorsque la légitime défense ne peut être invoquée.  La contrainte est, et doit demeurer, un moyen de défense qui ne peut être invoqué que dans des cas où l’accusé a été forcé de commettre une infraction précise en réplique à des menaces de mort ou de lésions corporelles.  </w:t>
      </w:r>
    </w:p>
    <w:p w:rsidR="00B43549" w:rsidRDefault="00B43549" w:rsidP="00B43549">
      <w:pPr>
        <w:pStyle w:val="SCCNormalDoubleSpacing"/>
        <w:spacing w:line="240" w:lineRule="auto"/>
        <w:rPr>
          <w:sz w:val="20"/>
          <w:lang w:val="fr-CA"/>
        </w:rPr>
      </w:pPr>
    </w:p>
    <w:p w:rsidR="00B43549" w:rsidRPr="00FE1BAF" w:rsidRDefault="00B43549" w:rsidP="00B43549">
      <w:pPr>
        <w:pStyle w:val="SCCNormalDoubleSpacing"/>
        <w:spacing w:line="240" w:lineRule="auto"/>
        <w:rPr>
          <w:sz w:val="20"/>
          <w:lang w:val="fr-CA"/>
        </w:rPr>
      </w:pPr>
      <w:r w:rsidRPr="00FE1BAF">
        <w:rPr>
          <w:sz w:val="20"/>
          <w:lang w:val="fr-CA"/>
        </w:rPr>
        <w:tab/>
        <w:t xml:space="preserve">Le présent pourvoi souligne la nécessité d’apporter des éclaircissements supplémentaires au droit en matière de contrainte.  La version législative du moyen de défense s’applique aux auteurs principaux d’infractions et la common law aux participants à des infractions.  La version législative de l’infraction exclut également de son application une longue liste d’infractions.  Néanmoins, la version législative ainsi que la version de common law du moyen de défense fondé sur la contrainte sont en grande partie identiques et partagent les éléments constitutifs suivants : il doit y avoir eu des menaces explicites ou implicites de causer la mort ou des lésions corporelles, dans l’immédiat ou dans le futur — ces menaces peuvent viser l’accusé ou un tiers; l’accusé doit croire, pour des motifs raisonnables, que ces menaces seront mises à exécution; il doit n’exister aucun moyen de s’en sortir sans danger, et cet élément est évalué en fonction d’une norme objective modifiée; il doit exister un lien temporel étroit entre les menaces proférées et le préjudice qu’on menace de causer; il doit y avoir proportionnalité entre le préjudice dont l’accusé est menacé et celui qu’il inflige, et cet élément est lui aussi évalué en fonction d’une norme objective modifiée; l’accusé ne peut avoir participé à aucun complot ni à aucune association le soumettant à la contrainte et avoir su vraiment que les menaces et la contrainte l’incitant à commettre une infraction criminelle constituaient une conséquence possible de cette activité, de ce complot ou de cette association criminels. </w:t>
      </w:r>
    </w:p>
    <w:p w:rsidR="00B43549" w:rsidRDefault="00B43549" w:rsidP="00B43549">
      <w:pPr>
        <w:pStyle w:val="SCCNormalDoubleSpacing"/>
        <w:spacing w:line="240" w:lineRule="auto"/>
        <w:rPr>
          <w:sz w:val="20"/>
          <w:lang w:val="fr-CA"/>
        </w:rPr>
      </w:pPr>
    </w:p>
    <w:p w:rsidR="00B43549" w:rsidRPr="00FE1BAF" w:rsidRDefault="00B43549" w:rsidP="00B43549">
      <w:pPr>
        <w:pStyle w:val="SCCNormalDoubleSpacing"/>
        <w:spacing w:line="240" w:lineRule="auto"/>
        <w:rPr>
          <w:sz w:val="20"/>
          <w:lang w:val="fr-CA"/>
        </w:rPr>
      </w:pPr>
      <w:r w:rsidRPr="00FE1BAF">
        <w:rPr>
          <w:sz w:val="20"/>
          <w:lang w:val="fr-CA"/>
        </w:rPr>
        <w:tab/>
        <w:t>Les circonstances exceptionnelles de l’espèce commandent l’arrêt des procédures.  Bien qu’il y ait lieu d’accueillir l’appel, il serait injuste d’imposer à R un autre procès.  Elle a été sérieusement affectée par les mauvais traitements qu’elle a subis, ainsi que par ces interminables procédures.  Le droit applicable en matière de contrainte manque de clarté, d’où la difficulté particulière d’y recourir en première instance comme moyen de défense.  En outre, le changement du point de vue du ministère public concernant le droit applicable, intervenu entre la tenue du procès et la procédure d’appel, se traduisait par un risque sérieux que les conséquences des décisions prises dans la conduite de la défense de R ne puissent pas être annulées dans le contexte d’un nouveau procès.</w:t>
      </w:r>
    </w:p>
    <w:p w:rsidR="00B43549" w:rsidRDefault="00B43549" w:rsidP="00B43549">
      <w:pPr>
        <w:pStyle w:val="SCCNormalDoubleSpacing"/>
        <w:spacing w:line="240" w:lineRule="auto"/>
        <w:rPr>
          <w:i/>
          <w:sz w:val="20"/>
          <w:lang w:val="fr-CA"/>
        </w:rPr>
      </w:pPr>
    </w:p>
    <w:p w:rsidR="00B43549" w:rsidRDefault="00B43549" w:rsidP="00B43549">
      <w:pPr>
        <w:pStyle w:val="SCCNormalDoubleSpacing"/>
        <w:spacing w:line="240" w:lineRule="auto"/>
        <w:rPr>
          <w:sz w:val="20"/>
          <w:lang w:val="fr-CA"/>
        </w:rPr>
      </w:pPr>
      <w:r w:rsidRPr="00FE1BAF">
        <w:rPr>
          <w:i/>
          <w:sz w:val="20"/>
          <w:lang w:val="fr-CA"/>
        </w:rPr>
        <w:tab/>
        <w:t>Le</w:t>
      </w:r>
      <w:r w:rsidRPr="00FE1BAF">
        <w:rPr>
          <w:sz w:val="20"/>
          <w:lang w:val="fr-CA"/>
        </w:rPr>
        <w:t xml:space="preserve"> juge Fish (dissident en partie) : L’intimée ne pouvait invoquer le moyen de défense fondé sur la contrainte et l’acquittement doit être annulé.  Toutefois, le dossier qui nous a été présenté ne justifie pas un arrêt judiciaire des procédures.  L’arrêt des procédures constitue une réparation draconienne de dernier recours et ne peut être accordé que dans les cas les plus manifestes.  Ces critères ne sont pas remplis.  Il y a lieu d’ordonner la tenue d’un nouveau procès et de laisser au ministère public le soin de décider s’il est dans l’intérêt public de tenir un nouveau procès compte tenu des circonstances particulières de l’espèce. </w:t>
      </w:r>
    </w:p>
    <w:p w:rsidR="00B43549" w:rsidRDefault="00B43549" w:rsidP="00B43549">
      <w:pPr>
        <w:pStyle w:val="SCCNormalDoubleSpacing"/>
        <w:spacing w:line="240" w:lineRule="auto"/>
        <w:rPr>
          <w:sz w:val="20"/>
          <w:lang w:val="fr-CA"/>
        </w:rPr>
      </w:pPr>
    </w:p>
    <w:p w:rsidR="00B43549" w:rsidRPr="00FE1BAF" w:rsidRDefault="00B43549" w:rsidP="00B43549">
      <w:pPr>
        <w:pStyle w:val="SCCNormalDoubleSpacing"/>
        <w:spacing w:line="240" w:lineRule="auto"/>
        <w:rPr>
          <w:sz w:val="20"/>
          <w:lang w:val="fr-CA"/>
        </w:rPr>
      </w:pPr>
      <w:r w:rsidRPr="00B43549">
        <w:rPr>
          <w:sz w:val="20"/>
          <w:lang w:val="fr-CA"/>
        </w:rPr>
        <w:tab/>
      </w:r>
      <w:r w:rsidRPr="00FE1BAF">
        <w:rPr>
          <w:sz w:val="20"/>
          <w:lang w:val="fr-CA"/>
        </w:rPr>
        <w:t>POURVOI contre un arrêt de la Cour d’appel de la Nouvelle</w:t>
      </w:r>
      <w:r w:rsidRPr="00FE1BAF">
        <w:rPr>
          <w:sz w:val="20"/>
          <w:lang w:val="fr-CA"/>
        </w:rPr>
        <w:noBreakHyphen/>
        <w:t xml:space="preserve">Écosse (le juge en chef </w:t>
      </w:r>
      <w:r w:rsidR="00CD48BC" w:rsidRPr="00FE1BAF">
        <w:rPr>
          <w:sz w:val="20"/>
        </w:rPr>
        <w:fldChar w:fldCharType="begin"/>
      </w:r>
      <w:r w:rsidRPr="00FE1BAF">
        <w:rPr>
          <w:sz w:val="20"/>
          <w:lang w:val="fr-CA"/>
        </w:rPr>
        <w:instrText xml:space="preserve"> SEQ CHAPTER \h \r 1</w:instrText>
      </w:r>
      <w:r w:rsidR="00CD48BC" w:rsidRPr="00FE1BAF">
        <w:rPr>
          <w:sz w:val="20"/>
        </w:rPr>
        <w:fldChar w:fldCharType="end"/>
      </w:r>
      <w:r w:rsidRPr="00FE1BAF">
        <w:rPr>
          <w:sz w:val="20"/>
          <w:lang w:val="fr-CA"/>
        </w:rPr>
        <w:t xml:space="preserve">MacDonald et les juges Saunders et Oland), </w:t>
      </w:r>
      <w:r w:rsidR="00CD48BC" w:rsidRPr="00FE1BAF">
        <w:rPr>
          <w:sz w:val="20"/>
        </w:rPr>
        <w:fldChar w:fldCharType="begin"/>
      </w:r>
      <w:r w:rsidRPr="00FE1BAF">
        <w:rPr>
          <w:sz w:val="20"/>
          <w:lang w:val="fr-CA"/>
        </w:rPr>
        <w:instrText xml:space="preserve"> SEQ CHAPTER \h \r 1</w:instrText>
      </w:r>
      <w:r w:rsidR="00CD48BC" w:rsidRPr="00FE1BAF">
        <w:rPr>
          <w:sz w:val="20"/>
        </w:rPr>
        <w:fldChar w:fldCharType="end"/>
      </w:r>
      <w:r w:rsidRPr="00FE1BAF">
        <w:rPr>
          <w:sz w:val="20"/>
          <w:lang w:val="fr-CA"/>
        </w:rPr>
        <w:t>2011 NSCA 30, 301 N.S.R. (2d) 255, 953 A.P.R. 255, 269 C.C.C. (3d) 480, 84 C.R. (6th) 249, [2011] N.S.J. No. 157 (QL), 2011 CarswellNS 177, qui a confirmé un acquittement prononcé par le juge Farrar, 2010 NSSC 114, 289 N.S.R. (2d) 273, 916 A.P.R. 273, [2010] N.S.J. No. 154 (QL), 2010 CarswellNS 182.  Pourvoi accueilli, le juge Fish est dissident en partie.</w:t>
      </w:r>
    </w:p>
    <w:p w:rsidR="00B43549" w:rsidRDefault="00B43549" w:rsidP="00B43549">
      <w:pPr>
        <w:pStyle w:val="SCCNormalDoubleSpacing"/>
        <w:spacing w:line="240" w:lineRule="auto"/>
        <w:rPr>
          <w:i/>
          <w:sz w:val="20"/>
          <w:lang w:val="fr-CA"/>
        </w:rPr>
      </w:pPr>
    </w:p>
    <w:p w:rsidR="00B43549" w:rsidRPr="00FE1BAF" w:rsidRDefault="00B43549" w:rsidP="00B43549">
      <w:pPr>
        <w:pStyle w:val="SCCNormalDoubleSpacing"/>
        <w:spacing w:line="240" w:lineRule="auto"/>
        <w:rPr>
          <w:sz w:val="20"/>
          <w:lang w:val="fr-CA"/>
        </w:rPr>
      </w:pPr>
      <w:r w:rsidRPr="00FE1BAF">
        <w:rPr>
          <w:i/>
          <w:sz w:val="20"/>
          <w:lang w:val="fr-CA"/>
        </w:rPr>
        <w:tab/>
        <w:t>William D. Delaney, c.r.</w:t>
      </w:r>
      <w:r w:rsidRPr="00FE1BAF">
        <w:rPr>
          <w:sz w:val="20"/>
          <w:lang w:val="fr-CA"/>
        </w:rPr>
        <w:t xml:space="preserve">, et </w:t>
      </w:r>
      <w:r w:rsidRPr="00FE1BAF">
        <w:rPr>
          <w:i/>
          <w:sz w:val="20"/>
          <w:lang w:val="fr-CA"/>
        </w:rPr>
        <w:t>Jennifer A. MacLellan</w:t>
      </w:r>
      <w:r w:rsidRPr="00FE1BAF">
        <w:rPr>
          <w:sz w:val="20"/>
          <w:lang w:val="fr-CA"/>
        </w:rPr>
        <w:t>, pour l’appelante.</w:t>
      </w:r>
    </w:p>
    <w:p w:rsidR="00B43549" w:rsidRDefault="00B43549" w:rsidP="00B43549">
      <w:pPr>
        <w:pStyle w:val="SCCNormalDoubleSpacing"/>
        <w:spacing w:line="240" w:lineRule="auto"/>
        <w:rPr>
          <w:i/>
          <w:sz w:val="20"/>
          <w:lang w:val="fr-CA"/>
        </w:rPr>
      </w:pPr>
    </w:p>
    <w:p w:rsidR="00B43549" w:rsidRPr="00FE1BAF" w:rsidRDefault="00B43549" w:rsidP="00B43549">
      <w:pPr>
        <w:pStyle w:val="SCCNormalDoubleSpacing"/>
        <w:spacing w:line="240" w:lineRule="auto"/>
        <w:rPr>
          <w:sz w:val="20"/>
          <w:lang w:val="fr-CA"/>
        </w:rPr>
      </w:pPr>
      <w:r w:rsidRPr="00FE1BAF">
        <w:rPr>
          <w:i/>
          <w:sz w:val="20"/>
          <w:lang w:val="fr-CA"/>
        </w:rPr>
        <w:tab/>
        <w:t>Joel E. Pink, c.r.</w:t>
      </w:r>
      <w:r w:rsidRPr="00FE1BAF">
        <w:rPr>
          <w:sz w:val="20"/>
          <w:lang w:val="fr-CA"/>
        </w:rPr>
        <w:t xml:space="preserve">, </w:t>
      </w:r>
      <w:r w:rsidRPr="00FE1BAF">
        <w:rPr>
          <w:i/>
          <w:sz w:val="20"/>
          <w:lang w:val="fr-CA"/>
        </w:rPr>
        <w:t>Brian H. Greenspan, Andrew Nielsen</w:t>
      </w:r>
      <w:r w:rsidRPr="00FE1BAF">
        <w:rPr>
          <w:sz w:val="20"/>
          <w:lang w:val="fr-CA"/>
        </w:rPr>
        <w:t xml:space="preserve"> et </w:t>
      </w:r>
      <w:r w:rsidRPr="00FE1BAF">
        <w:rPr>
          <w:i/>
          <w:sz w:val="20"/>
          <w:lang w:val="fr-CA"/>
        </w:rPr>
        <w:t>Naomi M. Lutes</w:t>
      </w:r>
      <w:r w:rsidRPr="00FE1BAF">
        <w:rPr>
          <w:sz w:val="20"/>
          <w:lang w:val="fr-CA"/>
        </w:rPr>
        <w:t>, pour l’intimée.</w:t>
      </w:r>
    </w:p>
    <w:p w:rsidR="00B43549" w:rsidRDefault="00B43549" w:rsidP="00B43549">
      <w:pPr>
        <w:pStyle w:val="SCCNormalDoubleSpacing"/>
        <w:spacing w:line="240" w:lineRule="auto"/>
        <w:rPr>
          <w:i/>
          <w:sz w:val="20"/>
          <w:lang w:val="fr-CA"/>
        </w:rPr>
      </w:pPr>
    </w:p>
    <w:p w:rsidR="00B43549" w:rsidRPr="00FE1BAF" w:rsidRDefault="00B43549" w:rsidP="00B43549">
      <w:pPr>
        <w:pStyle w:val="SCCNormalDoubleSpacing"/>
        <w:spacing w:line="240" w:lineRule="auto"/>
        <w:rPr>
          <w:sz w:val="20"/>
          <w:lang w:val="fr-CA"/>
        </w:rPr>
      </w:pPr>
      <w:r w:rsidRPr="00FE1BAF">
        <w:rPr>
          <w:i/>
          <w:sz w:val="20"/>
          <w:lang w:val="fr-CA"/>
        </w:rPr>
        <w:tab/>
        <w:t>John Corelli et Holly Loubert</w:t>
      </w:r>
      <w:r w:rsidRPr="00FE1BAF">
        <w:rPr>
          <w:sz w:val="20"/>
          <w:lang w:val="fr-CA"/>
        </w:rPr>
        <w:t>, pour l’intervenant le procureur général de l’Ontario.</w:t>
      </w:r>
    </w:p>
    <w:p w:rsidR="00B43549" w:rsidRDefault="00B43549" w:rsidP="00B43549">
      <w:pPr>
        <w:pStyle w:val="SCCNormalDoubleSpacing"/>
        <w:spacing w:line="240" w:lineRule="auto"/>
        <w:rPr>
          <w:i/>
          <w:sz w:val="20"/>
          <w:lang w:val="fr-CA"/>
        </w:rPr>
      </w:pPr>
    </w:p>
    <w:p w:rsidR="00B43549" w:rsidRPr="00FE1BAF" w:rsidRDefault="00B43549" w:rsidP="00B43549">
      <w:pPr>
        <w:pStyle w:val="SCCNormalDoubleSpacing"/>
        <w:spacing w:line="240" w:lineRule="auto"/>
        <w:rPr>
          <w:sz w:val="20"/>
          <w:lang w:val="fr-CA"/>
        </w:rPr>
      </w:pPr>
      <w:r w:rsidRPr="00FE1BAF">
        <w:rPr>
          <w:i/>
          <w:sz w:val="20"/>
          <w:lang w:val="fr-CA"/>
        </w:rPr>
        <w:tab/>
        <w:t>Christine Boyle</w:t>
      </w:r>
      <w:r w:rsidRPr="00FE1BAF">
        <w:rPr>
          <w:sz w:val="20"/>
          <w:lang w:val="fr-CA"/>
        </w:rPr>
        <w:t xml:space="preserve">, </w:t>
      </w:r>
      <w:r w:rsidRPr="00FE1BAF">
        <w:rPr>
          <w:i/>
          <w:sz w:val="20"/>
          <w:lang w:val="fr-CA"/>
        </w:rPr>
        <w:t>c.r.</w:t>
      </w:r>
      <w:r w:rsidRPr="00FE1BAF">
        <w:rPr>
          <w:sz w:val="20"/>
          <w:lang w:val="fr-CA"/>
        </w:rPr>
        <w:t>, pour les intervenants l’Association canadienne des Sociétés Elizabeth Fry et le Fonds d’action et d’éducation juridiques pour les femmes.</w:t>
      </w:r>
    </w:p>
    <w:p w:rsidR="00B43549" w:rsidRDefault="00B43549" w:rsidP="00B43549">
      <w:pPr>
        <w:pStyle w:val="SCCNormalDoubleSpacing"/>
        <w:spacing w:line="240" w:lineRule="auto"/>
        <w:rPr>
          <w:i/>
          <w:sz w:val="20"/>
          <w:lang w:val="fr-CA"/>
        </w:rPr>
      </w:pPr>
    </w:p>
    <w:p w:rsidR="00B43549" w:rsidRPr="00FE1BAF" w:rsidRDefault="00B43549" w:rsidP="00B43549">
      <w:pPr>
        <w:pStyle w:val="SCCNormalDoubleSpacing"/>
        <w:spacing w:line="240" w:lineRule="auto"/>
        <w:rPr>
          <w:sz w:val="20"/>
          <w:lang w:val="fr-CA"/>
        </w:rPr>
      </w:pPr>
      <w:r w:rsidRPr="00FE1BAF">
        <w:rPr>
          <w:i/>
          <w:sz w:val="20"/>
          <w:lang w:val="fr-CA"/>
        </w:rPr>
        <w:tab/>
        <w:t>Susan M. Chapman</w:t>
      </w:r>
      <w:r w:rsidRPr="00FE1BAF">
        <w:rPr>
          <w:sz w:val="20"/>
          <w:lang w:val="fr-CA"/>
        </w:rPr>
        <w:t xml:space="preserve"> et </w:t>
      </w:r>
      <w:r w:rsidRPr="00FE1BAF">
        <w:rPr>
          <w:i/>
          <w:sz w:val="20"/>
          <w:lang w:val="fr-CA"/>
        </w:rPr>
        <w:t>Howard Krongold</w:t>
      </w:r>
      <w:r w:rsidRPr="00FE1BAF">
        <w:rPr>
          <w:sz w:val="20"/>
          <w:lang w:val="fr-CA"/>
        </w:rPr>
        <w:t>, pour l’intervenante Criminal Lawyers’ Association (Ontario).</w:t>
      </w:r>
    </w:p>
    <w:p w:rsidR="00B43549" w:rsidRDefault="00B43549" w:rsidP="00B43549">
      <w:pPr>
        <w:pStyle w:val="SCCLawFirm"/>
        <w:spacing w:line="240" w:lineRule="auto"/>
        <w:rPr>
          <w:sz w:val="20"/>
          <w:lang w:val="fr-CA"/>
        </w:rPr>
      </w:pPr>
    </w:p>
    <w:p w:rsidR="00B43549" w:rsidRPr="00FE1BAF" w:rsidRDefault="00B43549" w:rsidP="00B43549">
      <w:pPr>
        <w:pStyle w:val="SCCLawFirm"/>
        <w:spacing w:line="240" w:lineRule="auto"/>
        <w:rPr>
          <w:sz w:val="20"/>
          <w:lang w:val="fr-CA"/>
        </w:rPr>
      </w:pPr>
      <w:r w:rsidRPr="00FE1BAF">
        <w:rPr>
          <w:sz w:val="20"/>
          <w:lang w:val="fr-CA"/>
        </w:rPr>
        <w:tab/>
        <w:t>Procureur de l’appelante : Public Prosecution Service of Nova Scotia, Halifax.</w:t>
      </w:r>
    </w:p>
    <w:p w:rsidR="00B43549" w:rsidRDefault="00B43549" w:rsidP="00B43549">
      <w:pPr>
        <w:pStyle w:val="SCCLawFirm"/>
        <w:spacing w:line="240" w:lineRule="auto"/>
        <w:rPr>
          <w:sz w:val="20"/>
          <w:lang w:val="fr-CA"/>
        </w:rPr>
      </w:pPr>
    </w:p>
    <w:p w:rsidR="00B43549" w:rsidRPr="00FE1BAF" w:rsidRDefault="00B43549" w:rsidP="00B43549">
      <w:pPr>
        <w:pStyle w:val="SCCLawFirm"/>
        <w:spacing w:line="240" w:lineRule="auto"/>
        <w:rPr>
          <w:sz w:val="20"/>
          <w:lang w:val="fr-CA"/>
        </w:rPr>
      </w:pPr>
      <w:r w:rsidRPr="00FE1BAF">
        <w:rPr>
          <w:sz w:val="20"/>
          <w:lang w:val="fr-CA"/>
        </w:rPr>
        <w:tab/>
        <w:t>Procureurs de l’intimée : Pink Larkin, Halifax; Greenspan Humphrey Lavine, Toronto.</w:t>
      </w:r>
    </w:p>
    <w:p w:rsidR="00B43549" w:rsidRDefault="00B43549" w:rsidP="00B43549">
      <w:pPr>
        <w:pStyle w:val="SCCLawFirm"/>
        <w:spacing w:line="240" w:lineRule="auto"/>
        <w:rPr>
          <w:sz w:val="20"/>
          <w:lang w:val="fr-CA"/>
        </w:rPr>
      </w:pPr>
    </w:p>
    <w:p w:rsidR="00B43549" w:rsidRPr="00FE1BAF" w:rsidRDefault="00B43549" w:rsidP="00B43549">
      <w:pPr>
        <w:pStyle w:val="SCCLawFirm"/>
        <w:spacing w:line="240" w:lineRule="auto"/>
        <w:rPr>
          <w:sz w:val="20"/>
          <w:lang w:val="fr-CA"/>
        </w:rPr>
      </w:pPr>
      <w:r w:rsidRPr="00FE1BAF">
        <w:rPr>
          <w:sz w:val="20"/>
          <w:lang w:val="fr-CA"/>
        </w:rPr>
        <w:tab/>
        <w:t>Procureur de l’intervenant le procureur général de l’Ontario : Procureur général de l’Ontario, Toronto.</w:t>
      </w:r>
    </w:p>
    <w:p w:rsidR="00B43549" w:rsidRDefault="00B43549" w:rsidP="00B43549">
      <w:pPr>
        <w:pStyle w:val="SCCLawFirm"/>
        <w:spacing w:line="240" w:lineRule="auto"/>
        <w:rPr>
          <w:sz w:val="20"/>
          <w:lang w:val="fr-CA"/>
        </w:rPr>
      </w:pPr>
    </w:p>
    <w:p w:rsidR="00B43549" w:rsidRPr="00FE1BAF" w:rsidRDefault="00B43549" w:rsidP="00B43549">
      <w:pPr>
        <w:pStyle w:val="SCCLawFirm"/>
        <w:spacing w:line="240" w:lineRule="auto"/>
        <w:rPr>
          <w:sz w:val="20"/>
          <w:lang w:val="fr-CA"/>
        </w:rPr>
      </w:pPr>
      <w:r w:rsidRPr="00FE1BAF">
        <w:rPr>
          <w:sz w:val="20"/>
          <w:lang w:val="fr-CA"/>
        </w:rPr>
        <w:tab/>
        <w:t>Procureurs des intervenants l’Association canadienne des Sociétés Elizabeth Fry et le Fonds d’action et d’éducation juridiques pour les femmes : Université de la Colombie</w:t>
      </w:r>
      <w:r w:rsidRPr="00FE1BAF">
        <w:rPr>
          <w:sz w:val="20"/>
          <w:lang w:val="fr-CA"/>
        </w:rPr>
        <w:noBreakHyphen/>
        <w:t>Britannique, Vancouver.</w:t>
      </w:r>
    </w:p>
    <w:p w:rsidR="00B43549" w:rsidRDefault="00B43549" w:rsidP="00B43549">
      <w:pPr>
        <w:pStyle w:val="SCCLawFirm"/>
        <w:spacing w:line="240" w:lineRule="auto"/>
        <w:rPr>
          <w:sz w:val="20"/>
          <w:lang w:val="fr-CA"/>
        </w:rPr>
      </w:pPr>
    </w:p>
    <w:p w:rsidR="00B43549" w:rsidRDefault="00B43549" w:rsidP="00B43549">
      <w:pPr>
        <w:pStyle w:val="SCCLawFirm"/>
        <w:spacing w:line="240" w:lineRule="auto"/>
        <w:rPr>
          <w:sz w:val="20"/>
          <w:lang w:val="fr-CA"/>
        </w:rPr>
      </w:pPr>
      <w:r w:rsidRPr="00FE1BAF">
        <w:rPr>
          <w:sz w:val="20"/>
          <w:lang w:val="fr-CA"/>
        </w:rPr>
        <w:tab/>
        <w:t>Procureurs de l’intervenante Criminal Lawyers’ Association (Ontario) : Ursel Phillips Fellows Hopkinson, Toronto; Webber Schroeder Goldstein Abergel, Ottawa.</w:t>
      </w:r>
    </w:p>
    <w:p w:rsidR="00981881" w:rsidRDefault="00981881" w:rsidP="00981881">
      <w:pPr>
        <w:rPr>
          <w:sz w:val="20"/>
          <w:szCs w:val="20"/>
        </w:rPr>
      </w:pPr>
    </w:p>
    <w:p w:rsidR="00981881" w:rsidRDefault="00CD48BC" w:rsidP="00981881">
      <w:pPr>
        <w:rPr>
          <w:rFonts w:cs="Times New Roman"/>
          <w:sz w:val="20"/>
          <w:szCs w:val="20"/>
          <w:lang w:val="fr-CA"/>
        </w:rPr>
      </w:pPr>
      <w:r w:rsidRPr="00CD48BC">
        <w:rPr>
          <w:rFonts w:cs="Times New Roman"/>
          <w:sz w:val="20"/>
          <w:szCs w:val="20"/>
          <w:lang w:val="fr-CA"/>
        </w:rPr>
        <w:pict>
          <v:rect id="_x0000_i1097" style="width:144.3pt;height:1pt" o:hrpct="300" o:hralign="center" o:hrstd="t" o:hrnoshade="t" o:hr="t" fillcolor="black [3213]" stroked="f"/>
        </w:pict>
      </w:r>
    </w:p>
    <w:p w:rsidR="00981881" w:rsidRDefault="00981881" w:rsidP="00981881">
      <w:pPr>
        <w:rPr>
          <w:rFonts w:cs="Times New Roman"/>
          <w:sz w:val="20"/>
          <w:szCs w:val="20"/>
          <w:lang w:val="fr-CA"/>
        </w:rPr>
      </w:pPr>
    </w:p>
    <w:p w:rsidR="00981881" w:rsidRPr="003F4721" w:rsidRDefault="00981881"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576" w:footer="960" w:gutter="0"/>
          <w:cols w:space="720"/>
          <w:titlePg/>
          <w:docGrid w:linePitch="272"/>
        </w:sectPr>
      </w:pPr>
    </w:p>
    <w:p w:rsidR="00091FA6" w:rsidRPr="002E0C7E" w:rsidRDefault="00CD48BC"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ED09CD">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ED09CD">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ED09CD">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ED09CD">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ED09CD">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ED09CD">
            <w:pPr>
              <w:widowControl w:val="0"/>
              <w:jc w:val="center"/>
              <w:rPr>
                <w:rFonts w:ascii="Arial" w:hAnsi="Arial"/>
                <w:sz w:val="14"/>
              </w:rPr>
            </w:pPr>
            <w:r w:rsidRPr="002E0C7E">
              <w:rPr>
                <w:rFonts w:ascii="Arial" w:hAnsi="Arial"/>
                <w:b/>
                <w:sz w:val="14"/>
              </w:rPr>
              <w:t>DECEMBER - DÉCEMBRE</w:t>
            </w:r>
          </w:p>
        </w:tc>
      </w:tr>
      <w:tr w:rsidR="00091FA6" w:rsidRPr="002E0C7E" w:rsidTr="00ED09CD">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S</w:t>
            </w:r>
          </w:p>
          <w:p w:rsidR="00091FA6" w:rsidRPr="002E0C7E" w:rsidRDefault="00091FA6" w:rsidP="00ED09CD">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M</w:t>
            </w:r>
          </w:p>
          <w:p w:rsidR="00091FA6" w:rsidRPr="002E0C7E" w:rsidRDefault="00091FA6" w:rsidP="00ED09CD">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T</w:t>
            </w:r>
          </w:p>
          <w:p w:rsidR="00091FA6" w:rsidRPr="002E0C7E" w:rsidRDefault="00091FA6" w:rsidP="00ED09CD">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W</w:t>
            </w:r>
          </w:p>
          <w:p w:rsidR="00091FA6" w:rsidRPr="002E0C7E" w:rsidRDefault="00091FA6" w:rsidP="00ED09CD">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T</w:t>
            </w:r>
          </w:p>
          <w:p w:rsidR="00091FA6" w:rsidRPr="002E0C7E" w:rsidRDefault="00091FA6" w:rsidP="00ED09CD">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F</w:t>
            </w:r>
          </w:p>
          <w:p w:rsidR="00091FA6" w:rsidRPr="002E0C7E" w:rsidRDefault="00091FA6" w:rsidP="00ED09CD">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S</w:t>
            </w:r>
          </w:p>
          <w:p w:rsidR="00091FA6" w:rsidRPr="002E0C7E" w:rsidRDefault="00091FA6" w:rsidP="00ED09CD">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S</w:t>
            </w:r>
          </w:p>
          <w:p w:rsidR="00091FA6" w:rsidRPr="002E0C7E" w:rsidRDefault="00091FA6" w:rsidP="00ED09CD">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M</w:t>
            </w:r>
          </w:p>
          <w:p w:rsidR="00091FA6" w:rsidRPr="002E0C7E" w:rsidRDefault="00091FA6" w:rsidP="00ED09CD">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T</w:t>
            </w:r>
          </w:p>
          <w:p w:rsidR="00091FA6" w:rsidRPr="002E0C7E" w:rsidRDefault="00091FA6" w:rsidP="00ED09CD">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W</w:t>
            </w:r>
          </w:p>
          <w:p w:rsidR="00091FA6" w:rsidRPr="002E0C7E" w:rsidRDefault="00091FA6" w:rsidP="00ED09CD">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T</w:t>
            </w:r>
          </w:p>
          <w:p w:rsidR="00091FA6" w:rsidRPr="002E0C7E" w:rsidRDefault="00091FA6" w:rsidP="00ED09CD">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F</w:t>
            </w:r>
          </w:p>
          <w:p w:rsidR="00091FA6" w:rsidRPr="002E0C7E" w:rsidRDefault="00091FA6" w:rsidP="00ED09CD">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S</w:t>
            </w:r>
          </w:p>
          <w:p w:rsidR="00091FA6" w:rsidRPr="002E0C7E" w:rsidRDefault="00091FA6" w:rsidP="00ED09CD">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S</w:t>
            </w:r>
          </w:p>
          <w:p w:rsidR="00091FA6" w:rsidRPr="002E0C7E" w:rsidRDefault="00091FA6" w:rsidP="00ED09CD">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M</w:t>
            </w:r>
          </w:p>
          <w:p w:rsidR="00091FA6" w:rsidRPr="002E0C7E" w:rsidRDefault="00091FA6" w:rsidP="00ED09CD">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T</w:t>
            </w:r>
          </w:p>
          <w:p w:rsidR="00091FA6" w:rsidRPr="002E0C7E" w:rsidRDefault="00091FA6" w:rsidP="00ED09CD">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W</w:t>
            </w:r>
          </w:p>
          <w:p w:rsidR="00091FA6" w:rsidRPr="002E0C7E" w:rsidRDefault="00091FA6" w:rsidP="00ED09CD">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T</w:t>
            </w:r>
          </w:p>
          <w:p w:rsidR="00091FA6" w:rsidRPr="002E0C7E" w:rsidRDefault="00091FA6" w:rsidP="00ED09CD">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F</w:t>
            </w:r>
          </w:p>
          <w:p w:rsidR="00091FA6" w:rsidRPr="002E0C7E" w:rsidRDefault="00091FA6" w:rsidP="00ED09CD">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S</w:t>
            </w:r>
          </w:p>
          <w:p w:rsidR="00091FA6" w:rsidRPr="002E0C7E" w:rsidRDefault="00091FA6" w:rsidP="00ED09CD">
            <w:pPr>
              <w:widowControl w:val="0"/>
              <w:jc w:val="center"/>
              <w:rPr>
                <w:rFonts w:ascii="Arial" w:hAnsi="Arial"/>
                <w:sz w:val="14"/>
              </w:rPr>
            </w:pPr>
            <w:r w:rsidRPr="002E0C7E">
              <w:rPr>
                <w:rFonts w:ascii="Arial" w:hAnsi="Arial"/>
                <w:sz w:val="14"/>
              </w:rPr>
              <w:t>S</w:t>
            </w:r>
          </w:p>
        </w:tc>
      </w:tr>
      <w:tr w:rsidR="00091FA6" w:rsidRPr="002E0C7E" w:rsidTr="00ED09CD">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1</w:t>
            </w:r>
          </w:p>
        </w:tc>
      </w:tr>
      <w:tr w:rsidR="00091FA6" w:rsidRPr="002E0C7E" w:rsidTr="00ED09CD">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ED09CD">
            <w:pPr>
              <w:widowControl w:val="0"/>
              <w:jc w:val="center"/>
              <w:rPr>
                <w:rFonts w:ascii="Arial" w:hAnsi="Arial"/>
                <w:b/>
                <w:sz w:val="14"/>
              </w:rPr>
            </w:pPr>
            <w:r w:rsidRPr="000C583B">
              <w:rPr>
                <w:rFonts w:ascii="Arial" w:hAnsi="Arial"/>
                <w:b/>
                <w:sz w:val="14"/>
              </w:rPr>
              <w:t>H</w:t>
            </w:r>
          </w:p>
          <w:p w:rsidR="00091FA6" w:rsidRPr="002E0C7E" w:rsidRDefault="00091FA6" w:rsidP="00ED09CD">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ED09CD">
            <w:pPr>
              <w:widowControl w:val="0"/>
              <w:jc w:val="center"/>
              <w:rPr>
                <w:rFonts w:ascii="Arial" w:hAnsi="Arial"/>
                <w:b/>
                <w:sz w:val="14"/>
              </w:rPr>
            </w:pPr>
            <w:r w:rsidRPr="000C583B">
              <w:rPr>
                <w:rFonts w:ascii="Arial" w:hAnsi="Arial"/>
                <w:b/>
                <w:sz w:val="14"/>
              </w:rPr>
              <w:t>M</w:t>
            </w:r>
          </w:p>
          <w:p w:rsidR="00091FA6" w:rsidRPr="002E0C7E" w:rsidRDefault="00091FA6" w:rsidP="00ED09CD">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b/>
                <w:sz w:val="14"/>
              </w:rPr>
              <w:t>M</w:t>
            </w:r>
          </w:p>
          <w:p w:rsidR="00091FA6" w:rsidRPr="002E0C7E" w:rsidRDefault="00091FA6" w:rsidP="00ED09CD">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b/>
                <w:sz w:val="14"/>
              </w:rPr>
              <w:t>M</w:t>
            </w:r>
          </w:p>
          <w:p w:rsidR="00091FA6" w:rsidRPr="002E0C7E" w:rsidRDefault="00091FA6" w:rsidP="00ED09CD">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8</w:t>
            </w:r>
          </w:p>
        </w:tc>
      </w:tr>
      <w:tr w:rsidR="00091FA6" w:rsidRPr="002E0C7E" w:rsidTr="00ED09CD">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ED09CD">
            <w:pPr>
              <w:widowControl w:val="0"/>
              <w:jc w:val="center"/>
              <w:rPr>
                <w:rFonts w:ascii="Arial" w:hAnsi="Arial"/>
                <w:b/>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ED09CD">
            <w:pPr>
              <w:widowControl w:val="0"/>
              <w:jc w:val="center"/>
              <w:rPr>
                <w:rFonts w:ascii="Arial" w:hAnsi="Arial"/>
                <w:sz w:val="14"/>
              </w:rPr>
            </w:pPr>
            <w:r>
              <w:rPr>
                <w:rFonts w:ascii="Arial" w:hAnsi="Arial"/>
                <w:b/>
                <w:sz w:val="14"/>
              </w:rPr>
              <w:t>H</w:t>
            </w: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ED09CD">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ED09CD">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Pr>
                <w:rFonts w:ascii="Arial" w:hAnsi="Arial"/>
                <w:sz w:val="14"/>
              </w:rPr>
              <w:t>23</w:t>
            </w:r>
          </w:p>
          <w:p w:rsidR="00091FA6" w:rsidRPr="002E0C7E" w:rsidRDefault="00091FA6" w:rsidP="00ED09CD">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Pr>
                <w:rFonts w:ascii="Arial" w:hAnsi="Arial"/>
                <w:sz w:val="14"/>
              </w:rPr>
              <w:t>24</w:t>
            </w:r>
          </w:p>
          <w:p w:rsidR="00091FA6" w:rsidRPr="002E0C7E" w:rsidRDefault="00091FA6" w:rsidP="00ED09CD">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b/>
                <w:sz w:val="14"/>
              </w:rPr>
              <w:t>H</w:t>
            </w: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ED09CD">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ED09CD">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ED09CD">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ED09CD">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ED09CD">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ED09CD">
            <w:pPr>
              <w:widowControl w:val="0"/>
              <w:jc w:val="center"/>
              <w:rPr>
                <w:rFonts w:ascii="Arial" w:hAnsi="Arial"/>
                <w:sz w:val="14"/>
              </w:rPr>
            </w:pPr>
            <w:r w:rsidRPr="002E0C7E">
              <w:rPr>
                <w:rFonts w:ascii="Arial" w:hAnsi="Arial"/>
                <w:b/>
                <w:sz w:val="14"/>
              </w:rPr>
              <w:t>MARCH - MARS</w:t>
            </w:r>
          </w:p>
        </w:tc>
      </w:tr>
      <w:tr w:rsidR="00091FA6" w:rsidRPr="002E0C7E" w:rsidTr="00ED09CD">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S</w:t>
            </w:r>
          </w:p>
          <w:p w:rsidR="00091FA6" w:rsidRPr="002E0C7E" w:rsidRDefault="00091FA6" w:rsidP="00ED09CD">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M</w:t>
            </w:r>
          </w:p>
          <w:p w:rsidR="00091FA6" w:rsidRPr="002E0C7E" w:rsidRDefault="00091FA6" w:rsidP="00ED09CD">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T</w:t>
            </w:r>
          </w:p>
          <w:p w:rsidR="00091FA6" w:rsidRPr="002E0C7E" w:rsidRDefault="00091FA6" w:rsidP="00ED09CD">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W</w:t>
            </w:r>
          </w:p>
          <w:p w:rsidR="00091FA6" w:rsidRPr="002E0C7E" w:rsidRDefault="00091FA6" w:rsidP="00ED09CD">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T</w:t>
            </w:r>
          </w:p>
          <w:p w:rsidR="00091FA6" w:rsidRPr="002E0C7E" w:rsidRDefault="00091FA6" w:rsidP="00ED09CD">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F</w:t>
            </w:r>
          </w:p>
          <w:p w:rsidR="00091FA6" w:rsidRPr="002E0C7E" w:rsidRDefault="00091FA6" w:rsidP="00ED09CD">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S</w:t>
            </w:r>
          </w:p>
          <w:p w:rsidR="00091FA6" w:rsidRPr="002E0C7E" w:rsidRDefault="00091FA6" w:rsidP="00ED09CD">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S</w:t>
            </w:r>
          </w:p>
          <w:p w:rsidR="00091FA6" w:rsidRPr="002E0C7E" w:rsidRDefault="00091FA6" w:rsidP="00ED09CD">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M</w:t>
            </w:r>
          </w:p>
          <w:p w:rsidR="00091FA6" w:rsidRPr="002E0C7E" w:rsidRDefault="00091FA6" w:rsidP="00ED09CD">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T</w:t>
            </w:r>
          </w:p>
          <w:p w:rsidR="00091FA6" w:rsidRPr="002E0C7E" w:rsidRDefault="00091FA6" w:rsidP="00ED09CD">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W</w:t>
            </w:r>
          </w:p>
          <w:p w:rsidR="00091FA6" w:rsidRPr="002E0C7E" w:rsidRDefault="00091FA6" w:rsidP="00ED09CD">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T</w:t>
            </w:r>
          </w:p>
          <w:p w:rsidR="00091FA6" w:rsidRPr="002E0C7E" w:rsidRDefault="00091FA6" w:rsidP="00ED09CD">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F</w:t>
            </w:r>
          </w:p>
          <w:p w:rsidR="00091FA6" w:rsidRPr="002E0C7E" w:rsidRDefault="00091FA6" w:rsidP="00ED09CD">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S</w:t>
            </w:r>
          </w:p>
          <w:p w:rsidR="00091FA6" w:rsidRPr="002E0C7E" w:rsidRDefault="00091FA6" w:rsidP="00ED09CD">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S</w:t>
            </w:r>
          </w:p>
          <w:p w:rsidR="00091FA6" w:rsidRPr="002E0C7E" w:rsidRDefault="00091FA6" w:rsidP="00ED09CD">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M</w:t>
            </w:r>
          </w:p>
          <w:p w:rsidR="00091FA6" w:rsidRPr="002E0C7E" w:rsidRDefault="00091FA6" w:rsidP="00ED09CD">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T</w:t>
            </w:r>
          </w:p>
          <w:p w:rsidR="00091FA6" w:rsidRPr="002E0C7E" w:rsidRDefault="00091FA6" w:rsidP="00ED09CD">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W</w:t>
            </w:r>
          </w:p>
          <w:p w:rsidR="00091FA6" w:rsidRPr="002E0C7E" w:rsidRDefault="00091FA6" w:rsidP="00ED09CD">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T</w:t>
            </w:r>
          </w:p>
          <w:p w:rsidR="00091FA6" w:rsidRPr="002E0C7E" w:rsidRDefault="00091FA6" w:rsidP="00ED09CD">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F</w:t>
            </w:r>
          </w:p>
          <w:p w:rsidR="00091FA6" w:rsidRPr="002E0C7E" w:rsidRDefault="00091FA6" w:rsidP="00ED09CD">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S</w:t>
            </w:r>
          </w:p>
          <w:p w:rsidR="00091FA6" w:rsidRPr="002E0C7E" w:rsidRDefault="00091FA6" w:rsidP="00ED09CD">
            <w:pPr>
              <w:widowControl w:val="0"/>
              <w:jc w:val="center"/>
              <w:rPr>
                <w:rFonts w:ascii="Arial" w:hAnsi="Arial"/>
                <w:sz w:val="14"/>
              </w:rPr>
            </w:pPr>
            <w:r w:rsidRPr="002E0C7E">
              <w:rPr>
                <w:rFonts w:ascii="Arial" w:hAnsi="Arial"/>
                <w:sz w:val="14"/>
              </w:rPr>
              <w:t>S</w:t>
            </w:r>
          </w:p>
        </w:tc>
      </w:tr>
      <w:tr w:rsidR="00091FA6" w:rsidRPr="002E0C7E" w:rsidTr="00ED09CD">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ED09CD">
            <w:pPr>
              <w:widowControl w:val="0"/>
              <w:jc w:val="center"/>
              <w:rPr>
                <w:rFonts w:ascii="Arial" w:hAnsi="Arial"/>
                <w:b/>
                <w:sz w:val="14"/>
              </w:rPr>
            </w:pPr>
            <w:r>
              <w:rPr>
                <w:rFonts w:ascii="Arial" w:hAnsi="Arial"/>
                <w:b/>
                <w:sz w:val="14"/>
              </w:rPr>
              <w:t>H</w:t>
            </w:r>
          </w:p>
          <w:p w:rsidR="00091FA6" w:rsidRPr="002E0C7E" w:rsidRDefault="00091FA6" w:rsidP="00ED09CD">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2</w:t>
            </w:r>
          </w:p>
        </w:tc>
      </w:tr>
      <w:tr w:rsidR="00091FA6" w:rsidRPr="002E0C7E" w:rsidTr="00ED09CD">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9</w:t>
            </w:r>
          </w:p>
        </w:tc>
      </w:tr>
      <w:tr w:rsidR="00091FA6" w:rsidRPr="002E0C7E" w:rsidTr="00ED09CD">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ED09CD">
            <w:pPr>
              <w:widowControl w:val="0"/>
              <w:jc w:val="center"/>
              <w:rPr>
                <w:rFonts w:ascii="Arial" w:hAnsi="Arial"/>
                <w:b/>
                <w:sz w:val="14"/>
              </w:rPr>
            </w:pPr>
            <w:r>
              <w:rPr>
                <w:rFonts w:ascii="Arial" w:hAnsi="Arial"/>
                <w:b/>
                <w:sz w:val="14"/>
              </w:rPr>
              <w:t>M</w:t>
            </w: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ED09CD">
            <w:pPr>
              <w:widowControl w:val="0"/>
              <w:jc w:val="center"/>
              <w:rPr>
                <w:rFonts w:ascii="Arial" w:hAnsi="Arial"/>
                <w:b/>
                <w:sz w:val="14"/>
              </w:rPr>
            </w:pPr>
            <w:r>
              <w:rPr>
                <w:rFonts w:ascii="Arial" w:hAnsi="Arial"/>
                <w:b/>
                <w:sz w:val="14"/>
              </w:rPr>
              <w:t>M</w:t>
            </w: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ED09CD">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ED09CD">
            <w:pPr>
              <w:widowControl w:val="0"/>
              <w:jc w:val="center"/>
              <w:rPr>
                <w:rFonts w:ascii="Arial" w:hAnsi="Arial"/>
                <w:b/>
                <w:sz w:val="14"/>
              </w:rPr>
            </w:pPr>
            <w:r>
              <w:rPr>
                <w:rFonts w:ascii="Arial" w:hAnsi="Arial"/>
                <w:b/>
                <w:sz w:val="14"/>
              </w:rPr>
              <w:t>M</w:t>
            </w: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ED09CD">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Pr>
                <w:rFonts w:ascii="Arial" w:hAnsi="Arial"/>
                <w:sz w:val="14"/>
              </w:rPr>
              <w:t>24</w:t>
            </w:r>
          </w:p>
          <w:p w:rsidR="00091FA6" w:rsidRPr="002E0C7E" w:rsidRDefault="00091FA6" w:rsidP="00ED09CD">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ED09CD">
            <w:pPr>
              <w:widowControl w:val="0"/>
              <w:jc w:val="center"/>
              <w:rPr>
                <w:rFonts w:ascii="Arial" w:hAnsi="Arial"/>
                <w:b/>
                <w:sz w:val="14"/>
              </w:rPr>
            </w:pPr>
            <w:r w:rsidRPr="00261B35">
              <w:rPr>
                <w:rFonts w:ascii="Arial" w:hAnsi="Arial"/>
                <w:b/>
                <w:sz w:val="14"/>
              </w:rPr>
              <w:t>H</w:t>
            </w:r>
          </w:p>
          <w:p w:rsidR="00091FA6" w:rsidRPr="002E0C7E" w:rsidRDefault="00091FA6" w:rsidP="00ED09CD">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ED09CD">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ED09CD">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ED09CD">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ED09CD">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ED09CD">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ED09CD">
            <w:pPr>
              <w:widowControl w:val="0"/>
              <w:jc w:val="center"/>
              <w:rPr>
                <w:rFonts w:ascii="Arial" w:hAnsi="Arial"/>
                <w:sz w:val="14"/>
              </w:rPr>
            </w:pPr>
            <w:r w:rsidRPr="002E0C7E">
              <w:rPr>
                <w:rFonts w:ascii="Arial" w:hAnsi="Arial"/>
                <w:b/>
                <w:sz w:val="14"/>
              </w:rPr>
              <w:t>JUNE - JUIN</w:t>
            </w:r>
          </w:p>
        </w:tc>
      </w:tr>
      <w:tr w:rsidR="00091FA6" w:rsidRPr="002E0C7E" w:rsidTr="00ED09CD">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S</w:t>
            </w:r>
          </w:p>
          <w:p w:rsidR="00091FA6" w:rsidRPr="002E0C7E" w:rsidRDefault="00091FA6" w:rsidP="00ED09CD">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M</w:t>
            </w:r>
          </w:p>
          <w:p w:rsidR="00091FA6" w:rsidRPr="002E0C7E" w:rsidRDefault="00091FA6" w:rsidP="00ED09CD">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T</w:t>
            </w:r>
          </w:p>
          <w:p w:rsidR="00091FA6" w:rsidRPr="002E0C7E" w:rsidRDefault="00091FA6" w:rsidP="00ED09CD">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W</w:t>
            </w:r>
          </w:p>
          <w:p w:rsidR="00091FA6" w:rsidRPr="002E0C7E" w:rsidRDefault="00091FA6" w:rsidP="00ED09CD">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T</w:t>
            </w:r>
          </w:p>
          <w:p w:rsidR="00091FA6" w:rsidRPr="002E0C7E" w:rsidRDefault="00091FA6" w:rsidP="00ED09CD">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F</w:t>
            </w:r>
          </w:p>
          <w:p w:rsidR="00091FA6" w:rsidRPr="002E0C7E" w:rsidRDefault="00091FA6" w:rsidP="00ED09CD">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S</w:t>
            </w:r>
          </w:p>
          <w:p w:rsidR="00091FA6" w:rsidRPr="002E0C7E" w:rsidRDefault="00091FA6" w:rsidP="00ED09CD">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S</w:t>
            </w:r>
          </w:p>
          <w:p w:rsidR="00091FA6" w:rsidRPr="002E0C7E" w:rsidRDefault="00091FA6" w:rsidP="00ED09CD">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M</w:t>
            </w:r>
          </w:p>
          <w:p w:rsidR="00091FA6" w:rsidRPr="002E0C7E" w:rsidRDefault="00091FA6" w:rsidP="00ED09CD">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T</w:t>
            </w:r>
          </w:p>
          <w:p w:rsidR="00091FA6" w:rsidRPr="002E0C7E" w:rsidRDefault="00091FA6" w:rsidP="00ED09CD">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W</w:t>
            </w:r>
          </w:p>
          <w:p w:rsidR="00091FA6" w:rsidRPr="002E0C7E" w:rsidRDefault="00091FA6" w:rsidP="00ED09CD">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T</w:t>
            </w:r>
          </w:p>
          <w:p w:rsidR="00091FA6" w:rsidRPr="002E0C7E" w:rsidRDefault="00091FA6" w:rsidP="00ED09CD">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F</w:t>
            </w:r>
          </w:p>
          <w:p w:rsidR="00091FA6" w:rsidRPr="002E0C7E" w:rsidRDefault="00091FA6" w:rsidP="00ED09CD">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S</w:t>
            </w:r>
          </w:p>
          <w:p w:rsidR="00091FA6" w:rsidRPr="002E0C7E" w:rsidRDefault="00091FA6" w:rsidP="00ED09CD">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S</w:t>
            </w:r>
          </w:p>
          <w:p w:rsidR="00091FA6" w:rsidRPr="002E0C7E" w:rsidRDefault="00091FA6" w:rsidP="00ED09CD">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M</w:t>
            </w:r>
          </w:p>
          <w:p w:rsidR="00091FA6" w:rsidRPr="002E0C7E" w:rsidRDefault="00091FA6" w:rsidP="00ED09CD">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T</w:t>
            </w:r>
          </w:p>
          <w:p w:rsidR="00091FA6" w:rsidRPr="002E0C7E" w:rsidRDefault="00091FA6" w:rsidP="00ED09CD">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W</w:t>
            </w:r>
          </w:p>
          <w:p w:rsidR="00091FA6" w:rsidRPr="002E0C7E" w:rsidRDefault="00091FA6" w:rsidP="00ED09CD">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T</w:t>
            </w:r>
          </w:p>
          <w:p w:rsidR="00091FA6" w:rsidRPr="002E0C7E" w:rsidRDefault="00091FA6" w:rsidP="00ED09CD">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F</w:t>
            </w:r>
          </w:p>
          <w:p w:rsidR="00091FA6" w:rsidRPr="002E0C7E" w:rsidRDefault="00091FA6" w:rsidP="00ED09CD">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sidRPr="002E0C7E">
              <w:rPr>
                <w:rFonts w:ascii="Arial" w:hAnsi="Arial"/>
                <w:sz w:val="14"/>
              </w:rPr>
              <w:t>s</w:t>
            </w:r>
          </w:p>
          <w:p w:rsidR="00091FA6" w:rsidRPr="002E0C7E" w:rsidRDefault="00091FA6" w:rsidP="00ED09CD">
            <w:pPr>
              <w:widowControl w:val="0"/>
              <w:jc w:val="center"/>
              <w:rPr>
                <w:rFonts w:ascii="Arial" w:hAnsi="Arial"/>
                <w:sz w:val="14"/>
              </w:rPr>
            </w:pPr>
            <w:r w:rsidRPr="002E0C7E">
              <w:rPr>
                <w:rFonts w:ascii="Arial" w:hAnsi="Arial"/>
                <w:sz w:val="14"/>
              </w:rPr>
              <w:t>s</w:t>
            </w:r>
          </w:p>
        </w:tc>
      </w:tr>
      <w:tr w:rsidR="00091FA6" w:rsidRPr="002E0C7E" w:rsidTr="00ED09CD">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ED09CD">
            <w:pPr>
              <w:widowControl w:val="0"/>
              <w:jc w:val="center"/>
              <w:rPr>
                <w:rFonts w:ascii="Arial" w:hAnsi="Arial"/>
                <w:b/>
                <w:sz w:val="14"/>
              </w:rPr>
            </w:pPr>
            <w:r w:rsidRPr="002453E3">
              <w:rPr>
                <w:rFonts w:ascii="Arial" w:hAnsi="Arial"/>
                <w:b/>
                <w:sz w:val="14"/>
              </w:rPr>
              <w:t>H</w:t>
            </w:r>
          </w:p>
          <w:p w:rsidR="00091FA6" w:rsidRPr="002E0C7E" w:rsidRDefault="00091FA6" w:rsidP="00ED09CD">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b/>
                <w:sz w:val="14"/>
              </w:rPr>
            </w:pPr>
          </w:p>
          <w:p w:rsidR="00091FA6" w:rsidRPr="002E0C7E" w:rsidRDefault="00091FA6" w:rsidP="00ED09CD">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1</w:t>
            </w:r>
          </w:p>
        </w:tc>
      </w:tr>
      <w:tr w:rsidR="00091FA6" w:rsidRPr="002E0C7E" w:rsidTr="00ED09CD">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ED09CD">
            <w:pPr>
              <w:widowControl w:val="0"/>
              <w:jc w:val="center"/>
              <w:rPr>
                <w:rFonts w:ascii="Arial" w:hAnsi="Arial"/>
                <w:b/>
                <w:sz w:val="14"/>
              </w:rPr>
            </w:pPr>
          </w:p>
          <w:p w:rsidR="00091FA6" w:rsidRPr="002E0C7E" w:rsidRDefault="00091FA6" w:rsidP="00ED09C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8</w:t>
            </w:r>
          </w:p>
        </w:tc>
      </w:tr>
      <w:tr w:rsidR="00091FA6" w:rsidRPr="002E0C7E" w:rsidTr="00ED09CD">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ED09CD">
            <w:pPr>
              <w:widowControl w:val="0"/>
              <w:jc w:val="center"/>
              <w:rPr>
                <w:rFonts w:ascii="Arial" w:hAnsi="Arial"/>
                <w:b/>
                <w:sz w:val="14"/>
              </w:rPr>
            </w:pPr>
            <w:r w:rsidRPr="00DB5777">
              <w:rPr>
                <w:rFonts w:ascii="Arial" w:hAnsi="Arial"/>
                <w:b/>
                <w:sz w:val="14"/>
              </w:rPr>
              <w:t>M</w:t>
            </w: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ED09CD">
            <w:pPr>
              <w:widowControl w:val="0"/>
              <w:jc w:val="center"/>
              <w:rPr>
                <w:rFonts w:ascii="Arial" w:hAnsi="Arial"/>
                <w:b/>
                <w:sz w:val="14"/>
              </w:rPr>
            </w:pPr>
            <w:r w:rsidRPr="002453E3">
              <w:rPr>
                <w:rFonts w:ascii="Arial" w:hAnsi="Arial"/>
                <w:b/>
                <w:sz w:val="14"/>
              </w:rPr>
              <w:t>M</w:t>
            </w: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ED09CD">
            <w:pPr>
              <w:widowControl w:val="0"/>
              <w:jc w:val="center"/>
              <w:rPr>
                <w:rFonts w:ascii="Arial" w:hAnsi="Arial"/>
                <w:b/>
                <w:sz w:val="14"/>
              </w:rPr>
            </w:pPr>
            <w:r w:rsidRPr="006A1E8D">
              <w:rPr>
                <w:rFonts w:ascii="Arial" w:hAnsi="Arial"/>
                <w:b/>
                <w:sz w:val="14"/>
              </w:rPr>
              <w:t>M</w:t>
            </w: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ED09CD">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ED09CD">
            <w:pPr>
              <w:widowControl w:val="0"/>
              <w:jc w:val="center"/>
              <w:rPr>
                <w:rFonts w:ascii="Arial" w:hAnsi="Arial"/>
                <w:b/>
                <w:sz w:val="14"/>
              </w:rPr>
            </w:pPr>
            <w:r>
              <w:rPr>
                <w:rFonts w:ascii="Arial" w:hAnsi="Arial"/>
                <w:b/>
                <w:sz w:val="14"/>
              </w:rPr>
              <w:t>H</w:t>
            </w: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ED09CD">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r>
              <w:rPr>
                <w:rFonts w:ascii="Arial" w:hAnsi="Arial"/>
                <w:sz w:val="14"/>
              </w:rPr>
              <w:t>23</w:t>
            </w:r>
          </w:p>
          <w:p w:rsidR="00091FA6" w:rsidRPr="002E0C7E" w:rsidRDefault="00091FA6" w:rsidP="00ED09CD">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ED09CD">
            <w:pPr>
              <w:widowControl w:val="0"/>
              <w:jc w:val="center"/>
              <w:rPr>
                <w:rFonts w:ascii="Arial" w:hAnsi="Arial"/>
                <w:sz w:val="14"/>
              </w:rPr>
            </w:pPr>
          </w:p>
          <w:p w:rsidR="00091FA6" w:rsidRPr="002E0C7E" w:rsidRDefault="00091FA6" w:rsidP="00ED09CD">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ED09CD">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ED09CD">
            <w:pPr>
              <w:widowControl w:val="0"/>
              <w:rPr>
                <w:rFonts w:ascii="Arial" w:hAnsi="Arial"/>
                <w:sz w:val="16"/>
              </w:rPr>
            </w:pPr>
            <w:r w:rsidRPr="002E0C7E">
              <w:rPr>
                <w:rFonts w:ascii="Arial" w:hAnsi="Arial"/>
                <w:sz w:val="16"/>
              </w:rPr>
              <w:t>Sittings of the court:</w:t>
            </w:r>
          </w:p>
          <w:p w:rsidR="00091FA6" w:rsidRPr="002E0C7E" w:rsidRDefault="00091FA6" w:rsidP="00ED09CD">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ED09CD">
            <w:pPr>
              <w:widowControl w:val="0"/>
              <w:rPr>
                <w:rFonts w:ascii="Arial" w:hAnsi="Arial"/>
                <w:sz w:val="16"/>
              </w:rPr>
            </w:pPr>
          </w:p>
          <w:p w:rsidR="00091FA6" w:rsidRPr="002E0C7E" w:rsidRDefault="00091FA6" w:rsidP="00ED09CD">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ED09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ED09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ED09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ED09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ED09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ED09CD">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ED09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ED09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ED09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ED09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ED09CD">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ED09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ED09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ED09CD">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ED09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0"/>
      <w:footerReference w:type="default" r:id="rId61"/>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35E" w:rsidRDefault="003B435E" w:rsidP="00A87207">
      <w:r>
        <w:separator/>
      </w:r>
    </w:p>
  </w:endnote>
  <w:endnote w:type="continuationSeparator" w:id="0">
    <w:p w:rsidR="003B435E" w:rsidRDefault="003B435E"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3B435E">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CD48BC">
    <w:pPr>
      <w:pStyle w:val="Footer"/>
      <w:rPr>
        <w:lang w:val="fr-CA"/>
      </w:rPr>
    </w:pPr>
    <w:r w:rsidRPr="00CD48BC">
      <w:rPr>
        <w:lang w:val="fr-CA"/>
      </w:rPr>
      <w:pict>
        <v:rect id="_x0000_i1069" style="width:480.95pt;height:1pt" o:hralign="center" o:hrstd="t" o:hrnoshade="t" o:hr="t" fillcolor="black [3213]" stroked="f"/>
      </w:pict>
    </w:r>
  </w:p>
  <w:p w:rsidR="003B435E" w:rsidRDefault="003B435E" w:rsidP="00245129">
    <w:pPr>
      <w:tabs>
        <w:tab w:val="center" w:pos="4680"/>
      </w:tabs>
    </w:pPr>
    <w:r>
      <w:tab/>
    </w:r>
    <w:r w:rsidRPr="0009648D">
      <w:t xml:space="preserve">- </w:t>
    </w:r>
    <w:fldSimple w:instr=" PAGE   \* MERGEFORMAT ">
      <w:r w:rsidR="00970EF1">
        <w:rPr>
          <w:noProof/>
        </w:rPr>
        <w:t>56</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3B4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B435E" w:rsidRDefault="003B4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B435E" w:rsidRDefault="003B435E">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CD48BC" w:rsidP="00755F22">
    <w:pPr>
      <w:tabs>
        <w:tab w:val="left" w:pos="-1440"/>
        <w:tab w:val="left" w:pos="-720"/>
      </w:tabs>
    </w:pPr>
    <w:r>
      <w:pict>
        <v:rect id="_x0000_i1077" style="width:480.95pt;height:1pt" o:hralign="center" o:hrstd="t" o:hrnoshade="t" o:hr="t" fillcolor="black [3213]" stroked="f"/>
      </w:pict>
    </w:r>
  </w:p>
  <w:p w:rsidR="003B435E" w:rsidRDefault="003B435E" w:rsidP="00EB2B90">
    <w:pPr>
      <w:tabs>
        <w:tab w:val="center" w:pos="4680"/>
      </w:tabs>
    </w:pPr>
    <w:r>
      <w:tab/>
      <w:t xml:space="preserve">- </w:t>
    </w:r>
    <w:fldSimple w:instr=" PAGE   \* MERGEFORMAT ">
      <w:r w:rsidR="00970EF1">
        <w:rPr>
          <w:noProof/>
        </w:rPr>
        <w:t>92</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CD48BC" w:rsidP="00EB2B90">
    <w:pPr>
      <w:tabs>
        <w:tab w:val="center" w:pos="4680"/>
      </w:tabs>
    </w:pPr>
    <w:r>
      <w:pict>
        <v:rect id="_x0000_i1078" style="width:480.95pt;height:1pt" o:hralign="center" o:hrstd="t" o:hrnoshade="t" o:hr="t" fillcolor="black [3213]" stroked="f"/>
      </w:pict>
    </w:r>
  </w:p>
  <w:p w:rsidR="003B435E" w:rsidRPr="0031432F" w:rsidRDefault="003B435E" w:rsidP="00EB2B90">
    <w:pPr>
      <w:tabs>
        <w:tab w:val="center" w:pos="4680"/>
      </w:tabs>
    </w:pPr>
    <w:r>
      <w:tab/>
      <w:t xml:space="preserve">- </w:t>
    </w:r>
    <w:fldSimple w:instr=" PAGE   \* MERGEFORMAT ">
      <w:r w:rsidR="00970EF1">
        <w:rPr>
          <w:noProof/>
        </w:rPr>
        <w:t>85</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3B4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B435E" w:rsidRDefault="003B4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B435E" w:rsidRDefault="003B435E">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CD48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D48BC">
      <w:rPr>
        <w:lang w:val="fr-CA"/>
      </w:rPr>
      <w:pict>
        <v:rect id="_x0000_i1080" style="width:480.95pt;height:1pt" o:hralign="center" o:hrstd="t" o:hrnoshade="t" o:hr="t" fillcolor="black [3213]" stroked="f"/>
      </w:pict>
    </w:r>
  </w:p>
  <w:p w:rsidR="003B435E" w:rsidRDefault="003B435E"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CD48BC">
    <w:pPr>
      <w:pStyle w:val="Footer"/>
      <w:rPr>
        <w:lang w:val="fr-CA"/>
      </w:rPr>
    </w:pPr>
    <w:r w:rsidRPr="00CD48BC">
      <w:rPr>
        <w:lang w:val="fr-CA"/>
      </w:rPr>
      <w:pict>
        <v:rect id="_x0000_i1081" style="width:480.95pt;height:1pt" o:hralign="center" o:hrstd="t" o:hrnoshade="t" o:hr="t" fillcolor="black [3213]" stroked="f"/>
      </w:pict>
    </w:r>
  </w:p>
  <w:p w:rsidR="003B435E" w:rsidRDefault="003B435E" w:rsidP="00EB2B90">
    <w:pPr>
      <w:tabs>
        <w:tab w:val="center" w:pos="4680"/>
      </w:tabs>
    </w:pPr>
    <w:r>
      <w:tab/>
      <w:t xml:space="preserve">- </w:t>
    </w:r>
    <w:fldSimple w:instr=" PAGE   \* MERGEFORMAT ">
      <w:r w:rsidR="00970EF1">
        <w:rPr>
          <w:noProof/>
        </w:rPr>
        <w:t>93</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3B4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B435E" w:rsidRDefault="003B4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B435E" w:rsidRDefault="003B435E">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CD48BC" w:rsidP="00732DB7">
    <w:r>
      <w:pict>
        <v:rect id="_x0000_i1085" style="width:480.95pt;height:1pt" o:hralign="center" o:hrstd="t" o:hrnoshade="t" o:hr="t" fillcolor="black" stroked="f"/>
      </w:pict>
    </w:r>
  </w:p>
  <w:p w:rsidR="003B435E" w:rsidRDefault="003B435E">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CD48BC">
    <w:pPr>
      <w:pStyle w:val="Footer"/>
    </w:pPr>
    <w:r>
      <w:pict>
        <v:rect id="_x0000_i1086" style="width:480.95pt;height:1pt" o:hralign="center" o:hrstd="t" o:hrnoshade="t" o:hr="t" fillcolor="black" stroked="f"/>
      </w:pict>
    </w:r>
  </w:p>
  <w:p w:rsidR="003B435E" w:rsidRPr="00283C52" w:rsidRDefault="003B435E">
    <w:pPr>
      <w:pStyle w:val="Footer"/>
    </w:pPr>
    <w:r>
      <w:tab/>
    </w:r>
    <w:r w:rsidRPr="00283C52">
      <w:t xml:space="preserve">- </w:t>
    </w:r>
    <w:r w:rsidRPr="00283C52">
      <w:pgNum/>
    </w:r>
    <w:r w:rsidRPr="00283C52">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3B435E">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3B4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B435E" w:rsidRDefault="003B4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B435E" w:rsidRDefault="003B435E">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CD48BC" w:rsidP="00732DB7">
    <w:r>
      <w:pict>
        <v:rect id="_x0000_i1090" style="width:480.95pt;height:1pt" o:hralign="center" o:hrstd="t" o:hrnoshade="t" o:hr="t" fillcolor="black" stroked="f"/>
      </w:pict>
    </w:r>
  </w:p>
  <w:p w:rsidR="003B435E" w:rsidRDefault="003B435E">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CD48BC">
    <w:pPr>
      <w:pStyle w:val="Footer"/>
    </w:pPr>
    <w:r>
      <w:pict>
        <v:rect id="_x0000_i1091" style="width:480.95pt;height:1pt" o:hralign="center" o:hrstd="t" o:hrnoshade="t" o:hr="t" fillcolor="black [3213]" stroked="f"/>
      </w:pict>
    </w:r>
  </w:p>
  <w:p w:rsidR="003B435E" w:rsidRPr="003C2C0F" w:rsidRDefault="003B435E" w:rsidP="00697C62">
    <w:pPr>
      <w:tabs>
        <w:tab w:val="center" w:pos="4680"/>
      </w:tabs>
    </w:pPr>
    <w:r>
      <w:tab/>
      <w:t xml:space="preserve">- </w:t>
    </w:r>
    <w:fldSimple w:instr=" PAGE   \* MERGEFORMAT ">
      <w:r w:rsidR="00970EF1">
        <w:rPr>
          <w:noProof/>
        </w:rPr>
        <w:t>97</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3B4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B435E" w:rsidRDefault="003B4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B435E" w:rsidRDefault="003B435E">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3B4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B435E" w:rsidRDefault="00CD48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8" style="width:480.95pt;height:1pt" o:hralign="center" o:hrstd="t" o:hrnoshade="t" o:hr="t" fillcolor="black [3213]" stroked="f"/>
      </w:pict>
    </w:r>
  </w:p>
  <w:p w:rsidR="003B435E" w:rsidRDefault="003B435E" w:rsidP="00782AE4">
    <w:pPr>
      <w:tabs>
        <w:tab w:val="center" w:pos="4680"/>
      </w:tabs>
    </w:pPr>
    <w:r>
      <w:tab/>
      <w:t xml:space="preserve">- </w:t>
    </w:r>
    <w:r w:rsidR="00CD48BC" w:rsidRPr="001775C1">
      <w:rPr>
        <w:szCs w:val="24"/>
      </w:rPr>
      <w:fldChar w:fldCharType="begin"/>
    </w:r>
    <w:r w:rsidRPr="001775C1">
      <w:rPr>
        <w:szCs w:val="24"/>
      </w:rPr>
      <w:instrText xml:space="preserve"> PAGE   \* MERGEFORMAT </w:instrText>
    </w:r>
    <w:r w:rsidR="00CD48BC" w:rsidRPr="001775C1">
      <w:rPr>
        <w:szCs w:val="24"/>
      </w:rPr>
      <w:fldChar w:fldCharType="separate"/>
    </w:r>
    <w:r w:rsidR="00970EF1">
      <w:rPr>
        <w:noProof/>
        <w:szCs w:val="24"/>
      </w:rPr>
      <w:t>101</w:t>
    </w:r>
    <w:r w:rsidR="00CD48BC" w:rsidRPr="001775C1">
      <w:rPr>
        <w:szCs w:val="24"/>
      </w:rPr>
      <w:fldChar w:fldCharType="end"/>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CD48BC" w:rsidP="00782AE4">
    <w:pPr>
      <w:tabs>
        <w:tab w:val="center" w:pos="4680"/>
      </w:tabs>
    </w:pPr>
    <w:r>
      <w:pict>
        <v:rect id="_x0000_i1099" style="width:480.95pt;height:1pt" o:hralign="center" o:hrstd="t" o:hrnoshade="t" o:hr="t" fillcolor="black [3213]" stroked="f"/>
      </w:pict>
    </w:r>
  </w:p>
  <w:p w:rsidR="003B435E" w:rsidRDefault="003B435E" w:rsidP="00782AE4">
    <w:pPr>
      <w:tabs>
        <w:tab w:val="center" w:pos="4680"/>
      </w:tabs>
    </w:pPr>
    <w:r>
      <w:tab/>
      <w:t xml:space="preserve">- </w:t>
    </w:r>
    <w:r w:rsidR="00CD48BC" w:rsidRPr="001775C1">
      <w:rPr>
        <w:szCs w:val="24"/>
      </w:rPr>
      <w:fldChar w:fldCharType="begin"/>
    </w:r>
    <w:r w:rsidRPr="001775C1">
      <w:rPr>
        <w:szCs w:val="24"/>
      </w:rPr>
      <w:instrText xml:space="preserve"> PAGE   \* MERGEFORMAT </w:instrText>
    </w:r>
    <w:r w:rsidR="00CD48BC" w:rsidRPr="001775C1">
      <w:rPr>
        <w:szCs w:val="24"/>
      </w:rPr>
      <w:fldChar w:fldCharType="separate"/>
    </w:r>
    <w:r w:rsidR="00970EF1">
      <w:rPr>
        <w:noProof/>
        <w:szCs w:val="24"/>
      </w:rPr>
      <w:t>98</w:t>
    </w:r>
    <w:r w:rsidR="00CD48BC" w:rsidRPr="001775C1">
      <w:rPr>
        <w:szCs w:val="24"/>
      </w:rPr>
      <w:fldChar w:fldCharType="end"/>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Pr="00924065" w:rsidRDefault="003B435E"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3B435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CD48BC" w:rsidP="00A87207">
    <w:pPr>
      <w:pStyle w:val="Footer"/>
    </w:pPr>
    <w:r>
      <w:pict>
        <v:rect id="_x0000_i1033" style="width:480.95pt;height:1pt" o:hralign="center" o:hrstd="t" o:hrnoshade="t" o:hr="t" fillcolor="black [3213]" stroked="f"/>
      </w:pict>
    </w:r>
  </w:p>
  <w:p w:rsidR="003B435E" w:rsidRPr="00B7374B" w:rsidRDefault="003B435E" w:rsidP="00B7374B">
    <w:pPr>
      <w:tabs>
        <w:tab w:val="center" w:pos="4680"/>
      </w:tabs>
      <w:rPr>
        <w:szCs w:val="24"/>
      </w:rPr>
    </w:pPr>
    <w:r w:rsidRPr="00954D22">
      <w:rPr>
        <w:szCs w:val="24"/>
      </w:rPr>
      <w:tab/>
      <w:t xml:space="preserve">- </w:t>
    </w:r>
    <w:r w:rsidR="00CD48BC" w:rsidRPr="00954D22">
      <w:rPr>
        <w:szCs w:val="24"/>
      </w:rPr>
      <w:fldChar w:fldCharType="begin"/>
    </w:r>
    <w:r w:rsidRPr="00954D22">
      <w:rPr>
        <w:szCs w:val="24"/>
      </w:rPr>
      <w:instrText xml:space="preserve"> PAGE   \* MERGEFORMAT </w:instrText>
    </w:r>
    <w:r w:rsidR="00CD48BC" w:rsidRPr="00954D22">
      <w:rPr>
        <w:szCs w:val="24"/>
      </w:rPr>
      <w:fldChar w:fldCharType="separate"/>
    </w:r>
    <w:r>
      <w:rPr>
        <w:noProof/>
        <w:szCs w:val="24"/>
      </w:rPr>
      <w:t>55</w:t>
    </w:r>
    <w:r w:rsidR="00CD48BC"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CD48BC" w:rsidP="00755F22">
    <w:pPr>
      <w:tabs>
        <w:tab w:val="left" w:pos="-1440"/>
        <w:tab w:val="left" w:pos="-720"/>
      </w:tabs>
    </w:pPr>
    <w:r>
      <w:pict>
        <v:rect id="_x0000_i1034" style="width:480.95pt;height:1pt" o:hralign="center" o:hrstd="t" o:hrnoshade="t" o:hr="t" fillcolor="black [3213]" stroked="f"/>
      </w:pict>
    </w:r>
  </w:p>
  <w:p w:rsidR="003B435E" w:rsidRPr="00954D22" w:rsidRDefault="003B435E" w:rsidP="00B7374B">
    <w:pPr>
      <w:tabs>
        <w:tab w:val="center" w:pos="4680"/>
      </w:tabs>
      <w:rPr>
        <w:szCs w:val="24"/>
      </w:rPr>
    </w:pPr>
    <w:r w:rsidRPr="00954D22">
      <w:rPr>
        <w:szCs w:val="24"/>
      </w:rPr>
      <w:tab/>
      <w:t xml:space="preserve">- </w:t>
    </w:r>
    <w:r w:rsidR="00CD48BC">
      <w:rPr>
        <w:szCs w:val="24"/>
      </w:rPr>
      <w:fldChar w:fldCharType="begin"/>
    </w:r>
    <w:r>
      <w:rPr>
        <w:szCs w:val="24"/>
      </w:rPr>
      <w:instrText xml:space="preserve"> PAGE   \* MERGEFORMAT </w:instrText>
    </w:r>
    <w:r w:rsidR="00CD48BC">
      <w:rPr>
        <w:szCs w:val="24"/>
      </w:rPr>
      <w:fldChar w:fldCharType="separate"/>
    </w:r>
    <w:r w:rsidR="00970EF1">
      <w:rPr>
        <w:noProof/>
        <w:szCs w:val="24"/>
      </w:rPr>
      <w:t>54</w:t>
    </w:r>
    <w:r w:rsidR="00CD48BC">
      <w:rPr>
        <w:szCs w:val="24"/>
      </w:rPr>
      <w:fldChar w:fldCharType="end"/>
    </w:r>
    <w:r w:rsidRPr="00954D22">
      <w:rPr>
        <w:szCs w:val="24"/>
      </w:rPr>
      <w:t xml:space="preserve"> -</w:t>
    </w:r>
  </w:p>
  <w:p w:rsidR="003B435E" w:rsidRDefault="003B435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CD48BC" w:rsidP="00A87207">
    <w:pPr>
      <w:pStyle w:val="Footer"/>
    </w:pPr>
    <w:r>
      <w:pict>
        <v:rect id="_x0000_i1036" style="width:480.95pt;height:1pt" o:hralign="center" o:hrstd="t" o:hrnoshade="t" o:hr="t" fillcolor="black [3213]" stroked="f"/>
      </w:pict>
    </w:r>
  </w:p>
  <w:p w:rsidR="003B435E" w:rsidRPr="00B7374B" w:rsidRDefault="003B435E" w:rsidP="00B7374B">
    <w:pPr>
      <w:tabs>
        <w:tab w:val="center" w:pos="4680"/>
      </w:tabs>
      <w:rPr>
        <w:szCs w:val="24"/>
      </w:rPr>
    </w:pPr>
    <w:r w:rsidRPr="00954D22">
      <w:rPr>
        <w:szCs w:val="24"/>
      </w:rPr>
      <w:tab/>
      <w:t xml:space="preserve">- </w:t>
    </w:r>
    <w:r w:rsidR="00CD48BC" w:rsidRPr="00954D22">
      <w:rPr>
        <w:szCs w:val="24"/>
      </w:rPr>
      <w:fldChar w:fldCharType="begin"/>
    </w:r>
    <w:r w:rsidRPr="00954D22">
      <w:rPr>
        <w:szCs w:val="24"/>
      </w:rPr>
      <w:instrText xml:space="preserve"> PAGE   \* MERGEFORMAT </w:instrText>
    </w:r>
    <w:r w:rsidR="00CD48BC" w:rsidRPr="00954D22">
      <w:rPr>
        <w:szCs w:val="24"/>
      </w:rPr>
      <w:fldChar w:fldCharType="separate"/>
    </w:r>
    <w:r>
      <w:rPr>
        <w:noProof/>
        <w:szCs w:val="24"/>
      </w:rPr>
      <w:t>57</w:t>
    </w:r>
    <w:r w:rsidR="00CD48BC"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CD48B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3B435E" w:rsidRPr="00954D22" w:rsidRDefault="003B435E" w:rsidP="00B7374B">
    <w:pPr>
      <w:tabs>
        <w:tab w:val="center" w:pos="4680"/>
      </w:tabs>
      <w:rPr>
        <w:szCs w:val="24"/>
      </w:rPr>
    </w:pPr>
    <w:r w:rsidRPr="00954D22">
      <w:rPr>
        <w:szCs w:val="24"/>
      </w:rPr>
      <w:tab/>
      <w:t xml:space="preserve">- </w:t>
    </w:r>
    <w:r w:rsidR="00CD48BC" w:rsidRPr="00954D22">
      <w:rPr>
        <w:szCs w:val="24"/>
      </w:rPr>
      <w:fldChar w:fldCharType="begin"/>
    </w:r>
    <w:r w:rsidRPr="00954D22">
      <w:rPr>
        <w:szCs w:val="24"/>
      </w:rPr>
      <w:instrText xml:space="preserve"> PAGE   \* MERGEFORMAT </w:instrText>
    </w:r>
    <w:r w:rsidR="00CD48BC" w:rsidRPr="00954D22">
      <w:rPr>
        <w:szCs w:val="24"/>
      </w:rPr>
      <w:fldChar w:fldCharType="separate"/>
    </w:r>
    <w:r w:rsidR="00970EF1">
      <w:rPr>
        <w:noProof/>
        <w:szCs w:val="24"/>
      </w:rPr>
      <w:t>55</w:t>
    </w:r>
    <w:r w:rsidR="00CD48BC"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3B4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B435E" w:rsidRDefault="003B4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B435E" w:rsidRDefault="003B435E">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CD48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D48BC">
      <w:rPr>
        <w:lang w:val="fr-CA"/>
      </w:rPr>
      <w:pict>
        <v:rect id="_x0000_i1068" style="width:480.95pt;height:1pt" o:hralign="center" o:hrstd="t" o:hrnoshade="t" o:hr="t" fillcolor="black [3213]" stroked="f"/>
      </w:pict>
    </w:r>
  </w:p>
  <w:p w:rsidR="003B435E" w:rsidRPr="0009648D" w:rsidRDefault="003B435E" w:rsidP="00ED7E83">
    <w:pPr>
      <w:tabs>
        <w:tab w:val="center" w:pos="4680"/>
      </w:tabs>
    </w:pPr>
    <w:r>
      <w:tab/>
    </w:r>
    <w:r w:rsidRPr="0009648D">
      <w:t xml:space="preserve">- </w:t>
    </w:r>
    <w:fldSimple w:instr=" PAGE   \* MERGEFORMAT ">
      <w:r w:rsidR="00970EF1">
        <w:rPr>
          <w:noProof/>
        </w:rPr>
        <w:t>84</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35E" w:rsidRDefault="003B435E" w:rsidP="00A87207">
      <w:r>
        <w:separator/>
      </w:r>
    </w:p>
  </w:footnote>
  <w:footnote w:type="continuationSeparator" w:id="0">
    <w:p w:rsidR="003B435E" w:rsidRDefault="003B435E"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3B435E">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3B435E">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3B435E">
      <w:tc>
        <w:tcPr>
          <w:tcW w:w="4230" w:type="dxa"/>
          <w:tcMar>
            <w:left w:w="0" w:type="dxa"/>
            <w:right w:w="0" w:type="dxa"/>
          </w:tcMar>
        </w:tcPr>
        <w:p w:rsidR="003B435E" w:rsidRDefault="003B43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B435E" w:rsidRDefault="003B435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B435E" w:rsidRDefault="003B435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B435E">
      <w:trPr>
        <w:gridAfter w:val="2"/>
        <w:wAfter w:w="5250" w:type="dxa"/>
      </w:trPr>
      <w:tc>
        <w:tcPr>
          <w:tcW w:w="4230" w:type="dxa"/>
          <w:tcMar>
            <w:left w:w="0" w:type="dxa"/>
            <w:right w:w="0" w:type="dxa"/>
          </w:tcMar>
        </w:tcPr>
        <w:p w:rsidR="003B435E" w:rsidRDefault="003B4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B435E" w:rsidRDefault="003B4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3B435E" w:rsidRPr="00755F22" w:rsidTr="00245129">
      <w:tc>
        <w:tcPr>
          <w:tcW w:w="4230" w:type="dxa"/>
          <w:tcMar>
            <w:left w:w="0" w:type="dxa"/>
            <w:right w:w="0" w:type="dxa"/>
          </w:tcMar>
        </w:tcPr>
        <w:p w:rsidR="003B435E" w:rsidRPr="00755F22" w:rsidRDefault="003B435E" w:rsidP="00831CA9">
          <w:pPr>
            <w:keepNext/>
            <w:keepLines/>
            <w:rPr>
              <w:sz w:val="20"/>
              <w:szCs w:val="20"/>
            </w:rPr>
          </w:pPr>
          <w:r w:rsidRPr="00755F22">
            <w:rPr>
              <w:sz w:val="20"/>
              <w:szCs w:val="20"/>
            </w:rPr>
            <w:t>MOTIONS</w:t>
          </w:r>
        </w:p>
      </w:tc>
      <w:tc>
        <w:tcPr>
          <w:tcW w:w="1170" w:type="dxa"/>
          <w:tcMar>
            <w:left w:w="0" w:type="dxa"/>
            <w:right w:w="0" w:type="dxa"/>
          </w:tcMar>
        </w:tcPr>
        <w:p w:rsidR="003B435E" w:rsidRPr="00755F22" w:rsidRDefault="003B435E" w:rsidP="00831CA9">
          <w:pPr>
            <w:keepLines/>
            <w:jc w:val="center"/>
            <w:rPr>
              <w:sz w:val="20"/>
              <w:szCs w:val="20"/>
            </w:rPr>
          </w:pPr>
        </w:p>
        <w:p w:rsidR="003B435E" w:rsidRPr="00755F22" w:rsidRDefault="003B435E" w:rsidP="00831CA9">
          <w:pPr>
            <w:keepLines/>
            <w:tabs>
              <w:tab w:val="left" w:pos="-1440"/>
              <w:tab w:val="left" w:pos="-720"/>
            </w:tabs>
            <w:jc w:val="center"/>
            <w:rPr>
              <w:sz w:val="20"/>
              <w:szCs w:val="20"/>
            </w:rPr>
          </w:pPr>
        </w:p>
      </w:tc>
      <w:tc>
        <w:tcPr>
          <w:tcW w:w="4080" w:type="dxa"/>
          <w:tcMar>
            <w:left w:w="0" w:type="dxa"/>
            <w:right w:w="0" w:type="dxa"/>
          </w:tcMar>
        </w:tcPr>
        <w:p w:rsidR="003B435E" w:rsidRPr="00BA6468" w:rsidRDefault="003B435E" w:rsidP="00BA6468">
          <w:pPr>
            <w:keepLines/>
            <w:rPr>
              <w:sz w:val="20"/>
              <w:szCs w:val="20"/>
              <w:lang w:val="fr-CA"/>
            </w:rPr>
          </w:pPr>
          <w:r w:rsidRPr="00BA6468">
            <w:rPr>
              <w:sz w:val="20"/>
              <w:szCs w:val="20"/>
              <w:lang w:val="fr-CA"/>
            </w:rPr>
            <w:t>REQUÊTES</w:t>
          </w:r>
        </w:p>
      </w:tc>
    </w:tr>
  </w:tbl>
  <w:p w:rsidR="003B435E" w:rsidRDefault="003B435E"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3B435E">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B435E" w:rsidRPr="00970EF1">
      <w:tc>
        <w:tcPr>
          <w:tcW w:w="4200" w:type="dxa"/>
          <w:tcMar>
            <w:left w:w="0" w:type="dxa"/>
            <w:right w:w="0" w:type="dxa"/>
          </w:tcMar>
        </w:tcPr>
        <w:p w:rsidR="003B435E" w:rsidRDefault="003B43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3B435E" w:rsidRDefault="003B43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B435E" w:rsidRPr="00B01A03" w:rsidRDefault="003B435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3B435E" w:rsidRPr="00B01A03" w:rsidRDefault="003B4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B435E" w:rsidRPr="00B01A03" w:rsidRDefault="003B4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3B435E" w:rsidRPr="00970EF1" w:rsidTr="00245129">
      <w:tc>
        <w:tcPr>
          <w:tcW w:w="4200" w:type="dxa"/>
          <w:tcMar>
            <w:left w:w="0" w:type="dxa"/>
            <w:right w:w="0" w:type="dxa"/>
          </w:tcMar>
        </w:tcPr>
        <w:p w:rsidR="003B435E" w:rsidRPr="00F40249" w:rsidRDefault="003B435E"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3B435E" w:rsidRDefault="003B435E" w:rsidP="00102926">
          <w:pPr>
            <w:keepNext/>
            <w:keepLines/>
            <w:tabs>
              <w:tab w:val="left" w:pos="-1440"/>
              <w:tab w:val="left" w:pos="-720"/>
            </w:tabs>
            <w:jc w:val="center"/>
            <w:rPr>
              <w:sz w:val="20"/>
              <w:szCs w:val="20"/>
            </w:rPr>
          </w:pPr>
        </w:p>
        <w:p w:rsidR="003B435E" w:rsidRDefault="003B435E" w:rsidP="00102926">
          <w:pPr>
            <w:keepNext/>
            <w:keepLines/>
            <w:tabs>
              <w:tab w:val="left" w:pos="-1440"/>
              <w:tab w:val="left" w:pos="-720"/>
            </w:tabs>
            <w:jc w:val="center"/>
            <w:rPr>
              <w:sz w:val="20"/>
              <w:szCs w:val="20"/>
            </w:rPr>
          </w:pPr>
        </w:p>
        <w:p w:rsidR="003B435E" w:rsidRPr="00F40249" w:rsidRDefault="003B435E" w:rsidP="00102926">
          <w:pPr>
            <w:keepNext/>
            <w:keepLines/>
            <w:tabs>
              <w:tab w:val="left" w:pos="-1440"/>
              <w:tab w:val="left" w:pos="-720"/>
            </w:tabs>
            <w:jc w:val="center"/>
            <w:rPr>
              <w:sz w:val="20"/>
              <w:szCs w:val="20"/>
            </w:rPr>
          </w:pPr>
        </w:p>
      </w:tc>
      <w:tc>
        <w:tcPr>
          <w:tcW w:w="4230" w:type="dxa"/>
          <w:tcMar>
            <w:left w:w="0" w:type="dxa"/>
            <w:right w:w="0" w:type="dxa"/>
          </w:tcMar>
        </w:tcPr>
        <w:p w:rsidR="003B435E" w:rsidRPr="00F40249" w:rsidRDefault="003B435E"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3B435E" w:rsidRPr="00B01A03" w:rsidRDefault="003B435E"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3B435E">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B435E" w:rsidRPr="00970EF1">
      <w:tc>
        <w:tcPr>
          <w:tcW w:w="4200" w:type="dxa"/>
          <w:tcMar>
            <w:left w:w="0" w:type="dxa"/>
            <w:right w:w="0" w:type="dxa"/>
          </w:tcMar>
        </w:tcPr>
        <w:p w:rsidR="003B435E" w:rsidRDefault="003B43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3B435E" w:rsidRDefault="003B43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B435E" w:rsidRPr="00283C52" w:rsidRDefault="003B435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3B435E" w:rsidRPr="00283C52" w:rsidRDefault="003B4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B435E" w:rsidRPr="00283C52" w:rsidRDefault="003B4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B435E" w:rsidRPr="00970EF1" w:rsidTr="00245129">
      <w:tc>
        <w:tcPr>
          <w:tcW w:w="4200" w:type="dxa"/>
          <w:tcMar>
            <w:left w:w="0" w:type="dxa"/>
            <w:right w:w="0" w:type="dxa"/>
          </w:tcMar>
        </w:tcPr>
        <w:p w:rsidR="003B435E" w:rsidRPr="00732DB7" w:rsidRDefault="003B435E"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3B435E" w:rsidRPr="00732DB7" w:rsidRDefault="003B435E" w:rsidP="00732DB7">
          <w:pPr>
            <w:keepNext/>
            <w:keepLines/>
            <w:tabs>
              <w:tab w:val="left" w:pos="-1440"/>
              <w:tab w:val="left" w:pos="-720"/>
            </w:tabs>
            <w:jc w:val="center"/>
            <w:rPr>
              <w:sz w:val="20"/>
              <w:szCs w:val="20"/>
            </w:rPr>
          </w:pPr>
        </w:p>
        <w:p w:rsidR="003B435E" w:rsidRPr="00732DB7" w:rsidRDefault="003B435E" w:rsidP="00732DB7">
          <w:pPr>
            <w:keepNext/>
            <w:keepLines/>
            <w:tabs>
              <w:tab w:val="left" w:pos="-1440"/>
              <w:tab w:val="left" w:pos="-720"/>
            </w:tabs>
            <w:jc w:val="center"/>
            <w:rPr>
              <w:sz w:val="20"/>
              <w:szCs w:val="20"/>
            </w:rPr>
          </w:pPr>
        </w:p>
        <w:p w:rsidR="003B435E" w:rsidRPr="00732DB7" w:rsidRDefault="003B435E" w:rsidP="00732DB7">
          <w:pPr>
            <w:keepNext/>
            <w:keepLines/>
            <w:tabs>
              <w:tab w:val="left" w:pos="-1440"/>
              <w:tab w:val="left" w:pos="-720"/>
            </w:tabs>
            <w:jc w:val="center"/>
            <w:rPr>
              <w:sz w:val="20"/>
              <w:szCs w:val="20"/>
            </w:rPr>
          </w:pPr>
        </w:p>
      </w:tc>
      <w:tc>
        <w:tcPr>
          <w:tcW w:w="4080" w:type="dxa"/>
          <w:tcMar>
            <w:left w:w="0" w:type="dxa"/>
            <w:right w:w="0" w:type="dxa"/>
          </w:tcMar>
        </w:tcPr>
        <w:p w:rsidR="003B435E" w:rsidRPr="00732DB7" w:rsidRDefault="003B435E"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3B435E" w:rsidRPr="00283C52" w:rsidRDefault="003B435E"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3B43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3B435E">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B435E" w:rsidRPr="00970EF1">
      <w:tc>
        <w:tcPr>
          <w:tcW w:w="4200" w:type="dxa"/>
          <w:tcMar>
            <w:left w:w="0" w:type="dxa"/>
            <w:right w:w="0" w:type="dxa"/>
          </w:tcMar>
        </w:tcPr>
        <w:p w:rsidR="003B435E" w:rsidRDefault="003B43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3B435E" w:rsidRDefault="003B43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3B435E" w:rsidRDefault="003B43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3B435E" w:rsidRPr="003C2C0F" w:rsidRDefault="003B435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3B435E" w:rsidRPr="003C2C0F" w:rsidRDefault="003B4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3B435E" w:rsidRPr="003C2C0F" w:rsidRDefault="003B4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B435E" w:rsidRPr="00970EF1" w:rsidTr="00245129">
      <w:tc>
        <w:tcPr>
          <w:tcW w:w="4200" w:type="dxa"/>
          <w:tcMar>
            <w:left w:w="0" w:type="dxa"/>
            <w:right w:w="0" w:type="dxa"/>
          </w:tcMar>
        </w:tcPr>
        <w:p w:rsidR="003B435E" w:rsidRPr="00FF6EEC" w:rsidRDefault="003B435E" w:rsidP="00FF6EEC">
          <w:pPr>
            <w:rPr>
              <w:sz w:val="20"/>
              <w:szCs w:val="20"/>
            </w:rPr>
          </w:pPr>
          <w:r w:rsidRPr="00FF6EEC">
            <w:rPr>
              <w:sz w:val="20"/>
              <w:szCs w:val="20"/>
            </w:rPr>
            <w:t>PRONOUNCEMENTS OF APPEALS RESERVED</w:t>
          </w:r>
        </w:p>
      </w:tc>
      <w:tc>
        <w:tcPr>
          <w:tcW w:w="1200" w:type="dxa"/>
          <w:tcMar>
            <w:left w:w="0" w:type="dxa"/>
            <w:right w:w="0" w:type="dxa"/>
          </w:tcMar>
        </w:tcPr>
        <w:p w:rsidR="003B435E" w:rsidRPr="00FF6EEC" w:rsidRDefault="003B435E" w:rsidP="00FF6EEC">
          <w:pPr>
            <w:jc w:val="center"/>
            <w:rPr>
              <w:sz w:val="20"/>
              <w:szCs w:val="20"/>
            </w:rPr>
          </w:pPr>
        </w:p>
        <w:p w:rsidR="003B435E" w:rsidRPr="00FF6EEC" w:rsidRDefault="003B435E" w:rsidP="00FF6EEC">
          <w:pPr>
            <w:jc w:val="center"/>
            <w:rPr>
              <w:sz w:val="20"/>
              <w:szCs w:val="20"/>
            </w:rPr>
          </w:pPr>
        </w:p>
        <w:p w:rsidR="003B435E" w:rsidRPr="00FF6EEC" w:rsidRDefault="003B435E" w:rsidP="00FF6EEC">
          <w:pPr>
            <w:jc w:val="center"/>
            <w:rPr>
              <w:sz w:val="20"/>
              <w:szCs w:val="20"/>
            </w:rPr>
          </w:pPr>
        </w:p>
      </w:tc>
      <w:tc>
        <w:tcPr>
          <w:tcW w:w="4080" w:type="dxa"/>
          <w:tcMar>
            <w:left w:w="0" w:type="dxa"/>
            <w:right w:w="0" w:type="dxa"/>
          </w:tcMar>
        </w:tcPr>
        <w:p w:rsidR="003B435E" w:rsidRPr="00FF6EEC" w:rsidRDefault="003B435E" w:rsidP="00FF6EEC">
          <w:pPr>
            <w:rPr>
              <w:sz w:val="20"/>
              <w:szCs w:val="20"/>
              <w:lang w:val="fr-CA"/>
            </w:rPr>
          </w:pPr>
          <w:r w:rsidRPr="00FF6EEC">
            <w:rPr>
              <w:sz w:val="20"/>
              <w:szCs w:val="20"/>
              <w:lang w:val="fr-CA"/>
            </w:rPr>
            <w:t>JUGEMENTS RENDUS SUR LES APPELS EN DÉLIBÉRÉ</w:t>
          </w:r>
        </w:p>
      </w:tc>
    </w:tr>
  </w:tbl>
  <w:p w:rsidR="003B435E" w:rsidRPr="003C2C0F" w:rsidRDefault="003B435E"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3B435E">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3B435E">
      <w:tc>
        <w:tcPr>
          <w:tcW w:w="4230" w:type="dxa"/>
          <w:tcMar>
            <w:left w:w="0" w:type="dxa"/>
            <w:right w:w="0" w:type="dxa"/>
          </w:tcMar>
        </w:tcPr>
        <w:p w:rsidR="003B435E" w:rsidRDefault="003B43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3B435E" w:rsidRDefault="003B43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3B435E" w:rsidRDefault="003B43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3B435E" w:rsidRDefault="003B43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B435E" w:rsidRDefault="003B43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3B435E" w:rsidRDefault="003B435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3B435E" w:rsidRDefault="003B4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B435E" w:rsidRDefault="003B4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3B435E" w:rsidRPr="00782AE4" w:rsidTr="00245129">
      <w:tc>
        <w:tcPr>
          <w:tcW w:w="4230" w:type="dxa"/>
          <w:tcMar>
            <w:left w:w="0" w:type="dxa"/>
            <w:right w:w="0" w:type="dxa"/>
          </w:tcMar>
        </w:tcPr>
        <w:p w:rsidR="003B435E" w:rsidRPr="00782AE4" w:rsidRDefault="003B435E" w:rsidP="00102926">
          <w:pPr>
            <w:keepNext/>
            <w:keepLines/>
            <w:tabs>
              <w:tab w:val="left" w:pos="-1440"/>
              <w:tab w:val="left" w:pos="-720"/>
            </w:tabs>
            <w:rPr>
              <w:sz w:val="20"/>
              <w:szCs w:val="20"/>
            </w:rPr>
          </w:pPr>
          <w:r w:rsidRPr="00782AE4">
            <w:rPr>
              <w:sz w:val="20"/>
              <w:szCs w:val="20"/>
            </w:rPr>
            <w:t xml:space="preserve">HEADNOTES OF RECENT </w:t>
          </w:r>
        </w:p>
        <w:p w:rsidR="003B435E" w:rsidRPr="00782AE4" w:rsidRDefault="003B43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3B435E" w:rsidRDefault="003B435E" w:rsidP="00102926">
          <w:pPr>
            <w:keepNext/>
            <w:keepLines/>
            <w:tabs>
              <w:tab w:val="left" w:pos="-1440"/>
              <w:tab w:val="left" w:pos="-720"/>
            </w:tabs>
            <w:jc w:val="center"/>
            <w:rPr>
              <w:sz w:val="20"/>
              <w:szCs w:val="20"/>
            </w:rPr>
          </w:pPr>
        </w:p>
        <w:p w:rsidR="003B435E" w:rsidRDefault="003B435E" w:rsidP="00102926">
          <w:pPr>
            <w:keepNext/>
            <w:keepLines/>
            <w:tabs>
              <w:tab w:val="left" w:pos="-1440"/>
              <w:tab w:val="left" w:pos="-720"/>
            </w:tabs>
            <w:jc w:val="center"/>
            <w:rPr>
              <w:sz w:val="20"/>
              <w:szCs w:val="20"/>
            </w:rPr>
          </w:pPr>
        </w:p>
        <w:p w:rsidR="003B435E" w:rsidRPr="00782AE4" w:rsidRDefault="003B435E" w:rsidP="00102926">
          <w:pPr>
            <w:keepNext/>
            <w:keepLines/>
            <w:tabs>
              <w:tab w:val="left" w:pos="-1440"/>
              <w:tab w:val="left" w:pos="-720"/>
            </w:tabs>
            <w:jc w:val="center"/>
            <w:rPr>
              <w:sz w:val="20"/>
              <w:szCs w:val="20"/>
            </w:rPr>
          </w:pPr>
        </w:p>
      </w:tc>
      <w:tc>
        <w:tcPr>
          <w:tcW w:w="4080" w:type="dxa"/>
          <w:tcMar>
            <w:left w:w="0" w:type="dxa"/>
            <w:right w:w="0" w:type="dxa"/>
          </w:tcMar>
        </w:tcPr>
        <w:p w:rsidR="003B435E" w:rsidRPr="00102926" w:rsidRDefault="003B43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3B435E" w:rsidRPr="00782AE4" w:rsidRDefault="003B435E" w:rsidP="00102926">
          <w:pPr>
            <w:keepLines/>
            <w:tabs>
              <w:tab w:val="left" w:pos="-1440"/>
              <w:tab w:val="left" w:pos="-720"/>
            </w:tabs>
            <w:rPr>
              <w:sz w:val="20"/>
              <w:szCs w:val="20"/>
            </w:rPr>
          </w:pPr>
          <w:r w:rsidRPr="00102926">
            <w:rPr>
              <w:sz w:val="20"/>
              <w:szCs w:val="20"/>
              <w:lang w:val="fr-CA"/>
            </w:rPr>
            <w:t>RÉCENTS</w:t>
          </w:r>
        </w:p>
      </w:tc>
    </w:tr>
  </w:tbl>
  <w:p w:rsidR="003B435E" w:rsidRDefault="003B435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3B435E">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3B43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3B435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3B435E" w:rsidRPr="0044776A" w:rsidTr="00245129">
      <w:tc>
        <w:tcPr>
          <w:tcW w:w="4290" w:type="dxa"/>
          <w:tcMar>
            <w:left w:w="0" w:type="dxa"/>
            <w:right w:w="0" w:type="dxa"/>
          </w:tcMar>
        </w:tcPr>
        <w:p w:rsidR="003B435E" w:rsidRPr="0044776A" w:rsidRDefault="003B435E"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3B435E" w:rsidRPr="0044776A" w:rsidRDefault="003B435E" w:rsidP="002E2327">
          <w:pPr>
            <w:keepNext/>
            <w:keepLines/>
            <w:tabs>
              <w:tab w:val="left" w:pos="-1440"/>
              <w:tab w:val="left" w:pos="-720"/>
            </w:tabs>
            <w:jc w:val="center"/>
            <w:rPr>
              <w:sz w:val="20"/>
              <w:szCs w:val="20"/>
            </w:rPr>
          </w:pPr>
        </w:p>
        <w:p w:rsidR="003B435E" w:rsidRPr="0044776A" w:rsidRDefault="003B435E" w:rsidP="002E2327">
          <w:pPr>
            <w:keepNext/>
            <w:keepLines/>
            <w:tabs>
              <w:tab w:val="left" w:pos="-1440"/>
              <w:tab w:val="left" w:pos="-720"/>
            </w:tabs>
            <w:jc w:val="center"/>
            <w:rPr>
              <w:sz w:val="20"/>
              <w:szCs w:val="20"/>
            </w:rPr>
          </w:pPr>
        </w:p>
        <w:p w:rsidR="003B435E" w:rsidRPr="0044776A" w:rsidRDefault="003B435E" w:rsidP="002E2327">
          <w:pPr>
            <w:keepNext/>
            <w:keepLines/>
            <w:tabs>
              <w:tab w:val="left" w:pos="-1440"/>
              <w:tab w:val="left" w:pos="-720"/>
            </w:tabs>
            <w:jc w:val="center"/>
            <w:rPr>
              <w:sz w:val="20"/>
              <w:szCs w:val="20"/>
            </w:rPr>
          </w:pPr>
        </w:p>
      </w:tc>
      <w:tc>
        <w:tcPr>
          <w:tcW w:w="4320" w:type="dxa"/>
          <w:tcMar>
            <w:left w:w="0" w:type="dxa"/>
            <w:right w:w="0" w:type="dxa"/>
          </w:tcMar>
        </w:tcPr>
        <w:p w:rsidR="003B435E" w:rsidRPr="0044776A" w:rsidRDefault="003B435E" w:rsidP="002E2327">
          <w:pPr>
            <w:keepLines/>
            <w:rPr>
              <w:sz w:val="20"/>
              <w:szCs w:val="20"/>
              <w:lang w:val="fr-CA"/>
            </w:rPr>
          </w:pPr>
          <w:r w:rsidRPr="0044776A">
            <w:rPr>
              <w:sz w:val="20"/>
              <w:szCs w:val="20"/>
              <w:lang w:val="fr-CA"/>
            </w:rPr>
            <w:t>DEMANDES D'AUTORISATION D'APPEL DÉPOSÉES</w:t>
          </w:r>
        </w:p>
      </w:tc>
    </w:tr>
  </w:tbl>
  <w:p w:rsidR="003B435E" w:rsidRDefault="003B435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3B435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B435E" w:rsidRPr="00970EF1" w:rsidTr="00245129">
      <w:tc>
        <w:tcPr>
          <w:tcW w:w="4200" w:type="dxa"/>
          <w:tcMar>
            <w:left w:w="0" w:type="dxa"/>
            <w:right w:w="0" w:type="dxa"/>
          </w:tcMar>
        </w:tcPr>
        <w:p w:rsidR="003B435E" w:rsidRPr="0044776A" w:rsidRDefault="003B435E" w:rsidP="0044776A">
          <w:pPr>
            <w:keepNext/>
            <w:keepLines/>
            <w:widowControl w:val="0"/>
            <w:rPr>
              <w:sz w:val="20"/>
              <w:szCs w:val="20"/>
            </w:rPr>
          </w:pPr>
          <w:r>
            <w:rPr>
              <w:sz w:val="20"/>
              <w:szCs w:val="20"/>
            </w:rPr>
            <w:t>APPLICATIONS FOR LEAVE</w:t>
          </w:r>
        </w:p>
        <w:p w:rsidR="003B435E" w:rsidRPr="0044776A" w:rsidRDefault="003B435E"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3B435E" w:rsidRPr="0044776A" w:rsidRDefault="003B435E" w:rsidP="0044776A">
          <w:pPr>
            <w:keepNext/>
            <w:keepLines/>
            <w:widowControl w:val="0"/>
            <w:jc w:val="center"/>
            <w:rPr>
              <w:sz w:val="20"/>
              <w:szCs w:val="20"/>
            </w:rPr>
          </w:pPr>
        </w:p>
        <w:p w:rsidR="003B435E" w:rsidRPr="0044776A" w:rsidRDefault="003B435E" w:rsidP="0044776A">
          <w:pPr>
            <w:keepNext/>
            <w:keepLines/>
            <w:widowControl w:val="0"/>
            <w:jc w:val="center"/>
            <w:rPr>
              <w:sz w:val="20"/>
              <w:szCs w:val="20"/>
            </w:rPr>
          </w:pPr>
        </w:p>
        <w:p w:rsidR="003B435E" w:rsidRPr="0044776A" w:rsidRDefault="003B435E" w:rsidP="0044776A">
          <w:pPr>
            <w:keepNext/>
            <w:keepLines/>
            <w:widowControl w:val="0"/>
            <w:jc w:val="center"/>
            <w:rPr>
              <w:sz w:val="20"/>
              <w:szCs w:val="20"/>
            </w:rPr>
          </w:pPr>
        </w:p>
      </w:tc>
      <w:tc>
        <w:tcPr>
          <w:tcW w:w="4080" w:type="dxa"/>
          <w:tcMar>
            <w:left w:w="0" w:type="dxa"/>
            <w:right w:w="0" w:type="dxa"/>
          </w:tcMar>
        </w:tcPr>
        <w:p w:rsidR="003B435E" w:rsidRPr="0044776A" w:rsidRDefault="003B435E" w:rsidP="0044776A">
          <w:pPr>
            <w:keepLines/>
            <w:widowControl w:val="0"/>
            <w:rPr>
              <w:sz w:val="20"/>
              <w:szCs w:val="20"/>
              <w:lang w:val="fr-CA"/>
            </w:rPr>
          </w:pPr>
          <w:r w:rsidRPr="0044776A">
            <w:rPr>
              <w:sz w:val="20"/>
              <w:szCs w:val="20"/>
              <w:lang w:val="fr-CA"/>
            </w:rPr>
            <w:t>DEMANDES SOUMISES À LA COUR DEPUIS LA DERNIÈRE PARUTION</w:t>
          </w:r>
        </w:p>
        <w:p w:rsidR="003B435E" w:rsidRPr="0044776A" w:rsidRDefault="003B435E" w:rsidP="0044776A">
          <w:pPr>
            <w:widowControl w:val="0"/>
            <w:rPr>
              <w:sz w:val="20"/>
              <w:szCs w:val="20"/>
              <w:lang w:val="fr-CA"/>
            </w:rPr>
          </w:pPr>
        </w:p>
      </w:tc>
    </w:tr>
  </w:tbl>
  <w:p w:rsidR="003B435E" w:rsidRPr="002E2327" w:rsidRDefault="003B435E">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E" w:rsidRDefault="003B435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B435E" w:rsidRPr="00970EF1">
      <w:tc>
        <w:tcPr>
          <w:tcW w:w="4200" w:type="dxa"/>
          <w:tcMar>
            <w:left w:w="0" w:type="dxa"/>
            <w:right w:w="0" w:type="dxa"/>
          </w:tcMar>
        </w:tcPr>
        <w:p w:rsidR="003B435E" w:rsidRDefault="003B43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B435E" w:rsidRDefault="003B43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B435E" w:rsidRDefault="003B435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B435E" w:rsidRPr="00FF6BA5" w:rsidRDefault="003B435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B435E" w:rsidRPr="00FF6BA5" w:rsidRDefault="003B4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B435E" w:rsidRPr="00FF6BA5" w:rsidRDefault="003B4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B435E" w:rsidRPr="00FF6BA5" w:rsidRDefault="003B4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B435E" w:rsidRPr="00970EF1" w:rsidTr="00245129">
      <w:tc>
        <w:tcPr>
          <w:tcW w:w="4200" w:type="dxa"/>
          <w:tcMar>
            <w:left w:w="0" w:type="dxa"/>
            <w:right w:w="0" w:type="dxa"/>
          </w:tcMar>
        </w:tcPr>
        <w:p w:rsidR="003B435E" w:rsidRPr="00755F22" w:rsidRDefault="003B43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3B435E" w:rsidRPr="00755F22" w:rsidRDefault="003B43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3B435E" w:rsidRPr="00755F22" w:rsidRDefault="003B435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B435E" w:rsidRPr="00755F22" w:rsidRDefault="003B435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B435E" w:rsidRPr="00755F22" w:rsidRDefault="003B435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B435E" w:rsidRPr="00755F22" w:rsidRDefault="003B435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3B435E" w:rsidRPr="00FF6BA5" w:rsidRDefault="003B435E"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defaultTabStop w:val="720"/>
  <w:drawingGridHorizontalSpacing w:val="120"/>
  <w:displayHorizontalDrawingGridEvery w:val="2"/>
  <w:characterSpacingControl w:val="doNotCompress"/>
  <w:hdrShapeDefaults>
    <o:shapedefaults v:ext="edit" spidmax="53265"/>
  </w:hdrShapeDefaults>
  <w:footnotePr>
    <w:footnote w:id="-1"/>
    <w:footnote w:id="0"/>
  </w:footnotePr>
  <w:endnotePr>
    <w:endnote w:id="-1"/>
    <w:endnote w:id="0"/>
  </w:endnotePr>
  <w:compat/>
  <w:rsids>
    <w:rsidRoot w:val="00A56AB1"/>
    <w:rsid w:val="00012123"/>
    <w:rsid w:val="00013468"/>
    <w:rsid w:val="0003223B"/>
    <w:rsid w:val="000327B2"/>
    <w:rsid w:val="000751EF"/>
    <w:rsid w:val="00091FA6"/>
    <w:rsid w:val="00096BD9"/>
    <w:rsid w:val="000A75E7"/>
    <w:rsid w:val="000B3C9A"/>
    <w:rsid w:val="000B40A2"/>
    <w:rsid w:val="000B4624"/>
    <w:rsid w:val="000C0ACD"/>
    <w:rsid w:val="00102926"/>
    <w:rsid w:val="0010587F"/>
    <w:rsid w:val="00111C6B"/>
    <w:rsid w:val="0012102B"/>
    <w:rsid w:val="00121FCA"/>
    <w:rsid w:val="00125F58"/>
    <w:rsid w:val="0013369E"/>
    <w:rsid w:val="00142B6F"/>
    <w:rsid w:val="0014623F"/>
    <w:rsid w:val="00164E6D"/>
    <w:rsid w:val="00177ACF"/>
    <w:rsid w:val="001A42F3"/>
    <w:rsid w:val="001A5318"/>
    <w:rsid w:val="001A67ED"/>
    <w:rsid w:val="001B157C"/>
    <w:rsid w:val="001B5C23"/>
    <w:rsid w:val="001D0D5F"/>
    <w:rsid w:val="001D6B8C"/>
    <w:rsid w:val="001F1F83"/>
    <w:rsid w:val="002021A9"/>
    <w:rsid w:val="002139A7"/>
    <w:rsid w:val="00215F7C"/>
    <w:rsid w:val="0022323B"/>
    <w:rsid w:val="002410B8"/>
    <w:rsid w:val="00242AEE"/>
    <w:rsid w:val="00245129"/>
    <w:rsid w:val="00245879"/>
    <w:rsid w:val="00267FD5"/>
    <w:rsid w:val="00274D34"/>
    <w:rsid w:val="002868D0"/>
    <w:rsid w:val="00293741"/>
    <w:rsid w:val="0029547A"/>
    <w:rsid w:val="002A27D1"/>
    <w:rsid w:val="002A4AFA"/>
    <w:rsid w:val="002B516C"/>
    <w:rsid w:val="002D72EB"/>
    <w:rsid w:val="002E2327"/>
    <w:rsid w:val="002E3583"/>
    <w:rsid w:val="002E5576"/>
    <w:rsid w:val="002E70B1"/>
    <w:rsid w:val="00331B52"/>
    <w:rsid w:val="00334802"/>
    <w:rsid w:val="003359D3"/>
    <w:rsid w:val="00342C5A"/>
    <w:rsid w:val="00355967"/>
    <w:rsid w:val="00382C47"/>
    <w:rsid w:val="00384384"/>
    <w:rsid w:val="003866AE"/>
    <w:rsid w:val="003B3977"/>
    <w:rsid w:val="003B435E"/>
    <w:rsid w:val="003C1FA2"/>
    <w:rsid w:val="003D056C"/>
    <w:rsid w:val="003D1275"/>
    <w:rsid w:val="003F45C5"/>
    <w:rsid w:val="00432989"/>
    <w:rsid w:val="00436606"/>
    <w:rsid w:val="00440E24"/>
    <w:rsid w:val="0044776A"/>
    <w:rsid w:val="00460AFC"/>
    <w:rsid w:val="0047471F"/>
    <w:rsid w:val="004B13BE"/>
    <w:rsid w:val="004B195E"/>
    <w:rsid w:val="004B66B4"/>
    <w:rsid w:val="004B7F60"/>
    <w:rsid w:val="004C1AAC"/>
    <w:rsid w:val="004C31A1"/>
    <w:rsid w:val="004E1E0A"/>
    <w:rsid w:val="004E5CCC"/>
    <w:rsid w:val="004F090E"/>
    <w:rsid w:val="00527CC7"/>
    <w:rsid w:val="00571CA4"/>
    <w:rsid w:val="00582136"/>
    <w:rsid w:val="00584545"/>
    <w:rsid w:val="005C6840"/>
    <w:rsid w:val="005E1E92"/>
    <w:rsid w:val="005F263E"/>
    <w:rsid w:val="00600252"/>
    <w:rsid w:val="00612A40"/>
    <w:rsid w:val="006169A3"/>
    <w:rsid w:val="00616F97"/>
    <w:rsid w:val="00626948"/>
    <w:rsid w:val="0062714A"/>
    <w:rsid w:val="0064253C"/>
    <w:rsid w:val="00660D73"/>
    <w:rsid w:val="00675479"/>
    <w:rsid w:val="00680709"/>
    <w:rsid w:val="00696BF9"/>
    <w:rsid w:val="00697C62"/>
    <w:rsid w:val="006A329B"/>
    <w:rsid w:val="006A7EB8"/>
    <w:rsid w:val="006B6926"/>
    <w:rsid w:val="006C3F47"/>
    <w:rsid w:val="006C5F7A"/>
    <w:rsid w:val="006D4E84"/>
    <w:rsid w:val="006E06AF"/>
    <w:rsid w:val="006F350F"/>
    <w:rsid w:val="006F53FB"/>
    <w:rsid w:val="006F5F34"/>
    <w:rsid w:val="00732DB7"/>
    <w:rsid w:val="0074238B"/>
    <w:rsid w:val="00745EF7"/>
    <w:rsid w:val="00755F22"/>
    <w:rsid w:val="00764F15"/>
    <w:rsid w:val="00766E4A"/>
    <w:rsid w:val="007820CE"/>
    <w:rsid w:val="00782AE4"/>
    <w:rsid w:val="0079565C"/>
    <w:rsid w:val="0079724F"/>
    <w:rsid w:val="007A3EAE"/>
    <w:rsid w:val="007C04FC"/>
    <w:rsid w:val="007D3E0F"/>
    <w:rsid w:val="007E4282"/>
    <w:rsid w:val="007F387B"/>
    <w:rsid w:val="007F7936"/>
    <w:rsid w:val="00802863"/>
    <w:rsid w:val="00815B3C"/>
    <w:rsid w:val="0082783A"/>
    <w:rsid w:val="00831CA9"/>
    <w:rsid w:val="008476C9"/>
    <w:rsid w:val="00850E1F"/>
    <w:rsid w:val="0085476B"/>
    <w:rsid w:val="00865EE1"/>
    <w:rsid w:val="008668CB"/>
    <w:rsid w:val="00890FEB"/>
    <w:rsid w:val="008C0831"/>
    <w:rsid w:val="008D292F"/>
    <w:rsid w:val="008E03DC"/>
    <w:rsid w:val="008E0D23"/>
    <w:rsid w:val="00900D05"/>
    <w:rsid w:val="009208D4"/>
    <w:rsid w:val="00924065"/>
    <w:rsid w:val="00930D68"/>
    <w:rsid w:val="00932DB4"/>
    <w:rsid w:val="0094192E"/>
    <w:rsid w:val="00941A4B"/>
    <w:rsid w:val="00946242"/>
    <w:rsid w:val="0095096B"/>
    <w:rsid w:val="00970CD3"/>
    <w:rsid w:val="00970EF1"/>
    <w:rsid w:val="009723FA"/>
    <w:rsid w:val="00981881"/>
    <w:rsid w:val="00984546"/>
    <w:rsid w:val="00996510"/>
    <w:rsid w:val="009C4237"/>
    <w:rsid w:val="009D1F15"/>
    <w:rsid w:val="009D555E"/>
    <w:rsid w:val="009F3024"/>
    <w:rsid w:val="00A0355E"/>
    <w:rsid w:val="00A34615"/>
    <w:rsid w:val="00A34E57"/>
    <w:rsid w:val="00A375D1"/>
    <w:rsid w:val="00A44E42"/>
    <w:rsid w:val="00A51D10"/>
    <w:rsid w:val="00A52A83"/>
    <w:rsid w:val="00A56AB1"/>
    <w:rsid w:val="00A629AC"/>
    <w:rsid w:val="00A6552C"/>
    <w:rsid w:val="00A87207"/>
    <w:rsid w:val="00A935AA"/>
    <w:rsid w:val="00AB2201"/>
    <w:rsid w:val="00AC6775"/>
    <w:rsid w:val="00AD0D33"/>
    <w:rsid w:val="00AD3259"/>
    <w:rsid w:val="00AF1715"/>
    <w:rsid w:val="00AF3904"/>
    <w:rsid w:val="00B010C0"/>
    <w:rsid w:val="00B43549"/>
    <w:rsid w:val="00B471F4"/>
    <w:rsid w:val="00B4740D"/>
    <w:rsid w:val="00B61629"/>
    <w:rsid w:val="00B7374B"/>
    <w:rsid w:val="00B90DC0"/>
    <w:rsid w:val="00B923AD"/>
    <w:rsid w:val="00BA0346"/>
    <w:rsid w:val="00BA116A"/>
    <w:rsid w:val="00BA5582"/>
    <w:rsid w:val="00BA6468"/>
    <w:rsid w:val="00BB1D44"/>
    <w:rsid w:val="00BD06DA"/>
    <w:rsid w:val="00BD4217"/>
    <w:rsid w:val="00BF25F3"/>
    <w:rsid w:val="00C05761"/>
    <w:rsid w:val="00C1697B"/>
    <w:rsid w:val="00C21CB5"/>
    <w:rsid w:val="00C3132C"/>
    <w:rsid w:val="00C50A5C"/>
    <w:rsid w:val="00C50FDF"/>
    <w:rsid w:val="00C63381"/>
    <w:rsid w:val="00C73D06"/>
    <w:rsid w:val="00C73E1B"/>
    <w:rsid w:val="00C759B4"/>
    <w:rsid w:val="00C765E9"/>
    <w:rsid w:val="00C77713"/>
    <w:rsid w:val="00C80145"/>
    <w:rsid w:val="00C85BB7"/>
    <w:rsid w:val="00CB43D5"/>
    <w:rsid w:val="00CC4D84"/>
    <w:rsid w:val="00CD48BC"/>
    <w:rsid w:val="00CE198A"/>
    <w:rsid w:val="00CE322F"/>
    <w:rsid w:val="00CF6DC9"/>
    <w:rsid w:val="00D02524"/>
    <w:rsid w:val="00D067DE"/>
    <w:rsid w:val="00D15C7F"/>
    <w:rsid w:val="00D4528B"/>
    <w:rsid w:val="00D60250"/>
    <w:rsid w:val="00D64901"/>
    <w:rsid w:val="00D76BDF"/>
    <w:rsid w:val="00D862C1"/>
    <w:rsid w:val="00D87BF0"/>
    <w:rsid w:val="00D92932"/>
    <w:rsid w:val="00D93B50"/>
    <w:rsid w:val="00D94226"/>
    <w:rsid w:val="00D94670"/>
    <w:rsid w:val="00D953C9"/>
    <w:rsid w:val="00DA46F6"/>
    <w:rsid w:val="00DA63C7"/>
    <w:rsid w:val="00DB00CA"/>
    <w:rsid w:val="00DC0770"/>
    <w:rsid w:val="00DC280A"/>
    <w:rsid w:val="00DD0B49"/>
    <w:rsid w:val="00E06DFA"/>
    <w:rsid w:val="00E20A0A"/>
    <w:rsid w:val="00E356C7"/>
    <w:rsid w:val="00E45FE4"/>
    <w:rsid w:val="00E64FA7"/>
    <w:rsid w:val="00E66638"/>
    <w:rsid w:val="00E7325D"/>
    <w:rsid w:val="00E770CB"/>
    <w:rsid w:val="00E804BA"/>
    <w:rsid w:val="00E903A1"/>
    <w:rsid w:val="00E940EB"/>
    <w:rsid w:val="00E9703F"/>
    <w:rsid w:val="00EA08C6"/>
    <w:rsid w:val="00EB2B90"/>
    <w:rsid w:val="00EB4523"/>
    <w:rsid w:val="00ED09CD"/>
    <w:rsid w:val="00ED7E83"/>
    <w:rsid w:val="00EF4B63"/>
    <w:rsid w:val="00F0068D"/>
    <w:rsid w:val="00F02CD9"/>
    <w:rsid w:val="00F0576D"/>
    <w:rsid w:val="00F14E6D"/>
    <w:rsid w:val="00F15EA8"/>
    <w:rsid w:val="00F16C8D"/>
    <w:rsid w:val="00F26C61"/>
    <w:rsid w:val="00F33CCE"/>
    <w:rsid w:val="00F40249"/>
    <w:rsid w:val="00F526C8"/>
    <w:rsid w:val="00F5709D"/>
    <w:rsid w:val="00F761A3"/>
    <w:rsid w:val="00F83453"/>
    <w:rsid w:val="00F84DC7"/>
    <w:rsid w:val="00F9272D"/>
    <w:rsid w:val="00F9518C"/>
    <w:rsid w:val="00FA316E"/>
    <w:rsid w:val="00FA59EF"/>
    <w:rsid w:val="00FA6530"/>
    <w:rsid w:val="00FB19A2"/>
    <w:rsid w:val="00FD2176"/>
    <w:rsid w:val="00FF450A"/>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LsocParty">
    <w:name w:val="SCC.Lsoc.Party"/>
    <w:basedOn w:val="Normal"/>
    <w:next w:val="Normal"/>
    <w:link w:val="SCCLsocPartyChar"/>
    <w:rsid w:val="00FD2176"/>
    <w:pPr>
      <w:jc w:val="center"/>
    </w:pPr>
    <w:rPr>
      <w:rFonts w:eastAsia="Calibri" w:cs="Times New Roman"/>
      <w:lang w:val="fr-CA"/>
    </w:rPr>
  </w:style>
  <w:style w:type="character" w:customStyle="1" w:styleId="SCCLsocPartyChar">
    <w:name w:val="SCC.Lsoc.Party Char"/>
    <w:basedOn w:val="DefaultParagraphFont"/>
    <w:link w:val="SCCLsocParty"/>
    <w:rsid w:val="00FD2176"/>
    <w:rPr>
      <w:rFonts w:eastAsia="Calibri" w:cs="Times New Roman"/>
      <w:lang w:val="fr-CA"/>
    </w:rPr>
  </w:style>
  <w:style w:type="paragraph" w:customStyle="1" w:styleId="SCCLowerCourtNameLowercase">
    <w:name w:val="SCC.LowerCourtNameLowercase"/>
    <w:basedOn w:val="SCCNormalDoubleSpacing"/>
    <w:next w:val="SCCNormalDoubleSpacing"/>
    <w:rsid w:val="006169A3"/>
    <w:pPr>
      <w:tabs>
        <w:tab w:val="left" w:pos="1168"/>
      </w:tabs>
    </w:pPr>
    <w:rPr>
      <w:smallCaps/>
    </w:rPr>
  </w:style>
  <w:style w:type="table" w:customStyle="1" w:styleId="TableGrid1">
    <w:name w:val="Table Grid1"/>
    <w:basedOn w:val="TableNormal"/>
    <w:next w:val="TableGrid"/>
    <w:uiPriority w:val="59"/>
    <w:rsid w:val="00A34615"/>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header" Target="header24.xml"/><Relationship Id="rId63"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60" Type="http://schemas.openxmlformats.org/officeDocument/2006/relationships/header" Target="header26.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oter" Target="footer23.xml"/><Relationship Id="rId8" Type="http://schemas.openxmlformats.org/officeDocument/2006/relationships/hyperlink" Target="http://www.scc-csc.gc.ca" TargetMode="Externa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59"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22976</Words>
  <Characters>130967</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2013-01-18T17:09:00Z</dcterms:created>
  <dcterms:modified xsi:type="dcterms:W3CDTF">2013-01-18T17:09:00Z</dcterms:modified>
</cp:coreProperties>
</file>