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87B4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87B4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87B4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87B4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87B4B" w:rsidTr="002E5576">
        <w:tc>
          <w:tcPr>
            <w:tcW w:w="4518" w:type="dxa"/>
          </w:tcPr>
          <w:p w:rsidR="00BF25F3" w:rsidRPr="002E2327" w:rsidRDefault="00BE6ED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E6ED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87B4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714A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515AA" w:rsidP="00F0068D">
      <w:pPr>
        <w:pBdr>
          <w:bottom w:val="single" w:sz="6" w:space="1" w:color="auto"/>
        </w:pBdr>
        <w:tabs>
          <w:tab w:val="center" w:pos="4680"/>
          <w:tab w:val="right" w:pos="9360"/>
        </w:tabs>
        <w:rPr>
          <w:lang w:val="fr-CA"/>
        </w:rPr>
      </w:pPr>
      <w:r>
        <w:rPr>
          <w:lang w:val="fr-CA"/>
        </w:rPr>
        <w:t>April</w:t>
      </w:r>
      <w:r w:rsidR="00440E24" w:rsidRPr="00675479">
        <w:rPr>
          <w:lang w:val="fr-CA"/>
        </w:rPr>
        <w:t xml:space="preserve"> </w:t>
      </w:r>
      <w:r>
        <w:rPr>
          <w:lang w:val="fr-CA"/>
        </w:rPr>
        <w:t>12</w:t>
      </w:r>
      <w:r w:rsidR="00440E24" w:rsidRPr="00675479">
        <w:rPr>
          <w:lang w:val="fr-CA"/>
        </w:rPr>
        <w:t>, 201</w:t>
      </w:r>
      <w:r w:rsidR="00F761A3">
        <w:rPr>
          <w:lang w:val="fr-CA"/>
        </w:rPr>
        <w:t>3</w:t>
      </w:r>
      <w:r w:rsidR="00F0068D" w:rsidRPr="00675479">
        <w:rPr>
          <w:lang w:val="fr-CA"/>
        </w:rPr>
        <w:tab/>
      </w:r>
      <w:r>
        <w:rPr>
          <w:lang w:val="fr-CA"/>
        </w:rPr>
        <w:t>64</w:t>
      </w:r>
      <w:r w:rsidR="00CB50DA">
        <w:rPr>
          <w:lang w:val="fr-CA"/>
        </w:rPr>
        <w:t>1</w:t>
      </w:r>
      <w:r w:rsidR="00F0068D" w:rsidRPr="00675479">
        <w:rPr>
          <w:lang w:val="fr-CA"/>
        </w:rPr>
        <w:t xml:space="preserve"> - </w:t>
      </w:r>
      <w:r w:rsidR="00A73ADB">
        <w:rPr>
          <w:lang w:val="fr-CA"/>
        </w:rPr>
        <w:t>68</w:t>
      </w:r>
      <w:r w:rsidR="00454067">
        <w:rPr>
          <w:lang w:val="fr-CA"/>
        </w:rPr>
        <w:t>7</w:t>
      </w:r>
      <w:r w:rsidR="00440E24" w:rsidRPr="00675479">
        <w:rPr>
          <w:lang w:val="fr-CA"/>
        </w:rPr>
        <w:tab/>
      </w:r>
      <w:r w:rsidR="00440E24" w:rsidRPr="002E2327">
        <w:rPr>
          <w:lang w:val="fr-CA"/>
        </w:rPr>
        <w:t>Le</w:t>
      </w:r>
      <w:r w:rsidR="00C73D06">
        <w:rPr>
          <w:lang w:val="fr-CA"/>
        </w:rPr>
        <w:t xml:space="preserve"> </w:t>
      </w:r>
      <w:r>
        <w:rPr>
          <w:lang w:val="fr-CA"/>
        </w:rPr>
        <w:t>12 avril</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BB40E6" w:rsidRDefault="00440E24" w:rsidP="00440E24">
      <w:pPr>
        <w:pBdr>
          <w:bottom w:val="single" w:sz="6" w:space="1" w:color="auto"/>
        </w:pBdr>
        <w:tabs>
          <w:tab w:val="right" w:pos="9360"/>
        </w:tabs>
        <w:rPr>
          <w:sz w:val="18"/>
          <w:szCs w:val="18"/>
        </w:rPr>
      </w:pPr>
      <w:r w:rsidRPr="00BB40E6">
        <w:rPr>
          <w:sz w:val="18"/>
          <w:szCs w:val="18"/>
        </w:rPr>
        <w:lastRenderedPageBreak/>
        <w:t>© Supreme Court of Canada (201</w:t>
      </w:r>
      <w:r w:rsidR="00F761A3" w:rsidRPr="00BB40E6">
        <w:rPr>
          <w:sz w:val="18"/>
          <w:szCs w:val="18"/>
        </w:rPr>
        <w:t>3</w:t>
      </w:r>
      <w:r w:rsidRPr="00BB40E6">
        <w:rPr>
          <w:sz w:val="18"/>
          <w:szCs w:val="18"/>
        </w:rPr>
        <w:t>)</w:t>
      </w:r>
      <w:r w:rsidRPr="00BB40E6">
        <w:rPr>
          <w:sz w:val="18"/>
          <w:szCs w:val="18"/>
        </w:rPr>
        <w:tab/>
        <w:t xml:space="preserve">© </w:t>
      </w:r>
      <w:proofErr w:type="spellStart"/>
      <w:r w:rsidRPr="00BB40E6">
        <w:rPr>
          <w:sz w:val="18"/>
          <w:szCs w:val="18"/>
        </w:rPr>
        <w:t>Cour</w:t>
      </w:r>
      <w:proofErr w:type="spellEnd"/>
      <w:r w:rsidRPr="00BB40E6">
        <w:rPr>
          <w:sz w:val="18"/>
          <w:szCs w:val="18"/>
        </w:rPr>
        <w:t xml:space="preserve"> </w:t>
      </w:r>
      <w:proofErr w:type="spellStart"/>
      <w:r w:rsidRPr="00BB40E6">
        <w:rPr>
          <w:sz w:val="18"/>
          <w:szCs w:val="18"/>
        </w:rPr>
        <w:t>suprême</w:t>
      </w:r>
      <w:proofErr w:type="spellEnd"/>
      <w:r w:rsidRPr="00BB40E6">
        <w:rPr>
          <w:sz w:val="18"/>
          <w:szCs w:val="18"/>
        </w:rPr>
        <w:t xml:space="preserve"> du Canada (201</w:t>
      </w:r>
      <w:r w:rsidR="00F761A3" w:rsidRPr="00BB40E6">
        <w:rPr>
          <w:sz w:val="18"/>
          <w:szCs w:val="18"/>
        </w:rPr>
        <w:t>3</w:t>
      </w:r>
      <w:r w:rsidRPr="00BB40E6">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D87B4B"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A87207" w:rsidRPr="002E2327" w:rsidRDefault="00A87207" w:rsidP="00BB40E6">
            <w:pPr>
              <w:tabs>
                <w:tab w:val="right" w:pos="9360"/>
              </w:tabs>
              <w:rPr>
                <w:rFonts w:cs="Times New Roman"/>
                <w:sz w:val="20"/>
                <w:szCs w:val="20"/>
              </w:rPr>
            </w:pPr>
          </w:p>
        </w:tc>
        <w:tc>
          <w:tcPr>
            <w:tcW w:w="1980" w:type="dxa"/>
          </w:tcPr>
          <w:p w:rsidR="0095096B" w:rsidRPr="002E2327" w:rsidRDefault="00BB40E6" w:rsidP="0095096B">
            <w:pPr>
              <w:jc w:val="center"/>
              <w:rPr>
                <w:rFonts w:cs="Times New Roman"/>
                <w:sz w:val="20"/>
                <w:szCs w:val="20"/>
              </w:rPr>
            </w:pPr>
            <w:r>
              <w:rPr>
                <w:rFonts w:cs="Times New Roman"/>
                <w:sz w:val="20"/>
                <w:szCs w:val="20"/>
              </w:rPr>
              <w:t xml:space="preserve">641 </w:t>
            </w:r>
            <w:r w:rsidR="00BE6ED8" w:rsidRPr="002E2327">
              <w:rPr>
                <w:rFonts w:cs="Times New Roman"/>
                <w:sz w:val="20"/>
                <w:szCs w:val="20"/>
              </w:rPr>
              <w:fldChar w:fldCharType="begin"/>
            </w:r>
            <w:r w:rsidR="0095096B" w:rsidRPr="002E2327">
              <w:rPr>
                <w:rFonts w:cs="Times New Roman"/>
                <w:sz w:val="20"/>
                <w:szCs w:val="20"/>
              </w:rPr>
              <w:instrText xml:space="preserve"> SEQ CHAPTER \h \r 1</w:instrText>
            </w:r>
            <w:r w:rsidR="00BE6ED8"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642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B40E6" w:rsidP="0095096B">
            <w:pPr>
              <w:jc w:val="center"/>
              <w:rPr>
                <w:rFonts w:cs="Times New Roman"/>
                <w:sz w:val="20"/>
                <w:szCs w:val="20"/>
              </w:rPr>
            </w:pPr>
            <w:r>
              <w:rPr>
                <w:rFonts w:cs="Times New Roman"/>
                <w:sz w:val="20"/>
                <w:szCs w:val="20"/>
              </w:rPr>
              <w:t>643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B40E6" w:rsidP="0095096B">
            <w:pPr>
              <w:jc w:val="center"/>
              <w:rPr>
                <w:rFonts w:cs="Times New Roman"/>
                <w:sz w:val="20"/>
                <w:szCs w:val="20"/>
              </w:rPr>
            </w:pPr>
            <w:r>
              <w:rPr>
                <w:rFonts w:cs="Times New Roman"/>
                <w:sz w:val="20"/>
                <w:szCs w:val="20"/>
              </w:rPr>
              <w:t xml:space="preserve">644 </w:t>
            </w:r>
            <w:r w:rsidR="0095096B" w:rsidRPr="002E2327">
              <w:rPr>
                <w:rFonts w:cs="Times New Roman"/>
                <w:sz w:val="20"/>
                <w:szCs w:val="20"/>
              </w:rPr>
              <w:t>-</w:t>
            </w:r>
            <w:r w:rsidR="00454067">
              <w:rPr>
                <w:rFonts w:cs="Times New Roman"/>
                <w:sz w:val="20"/>
                <w:szCs w:val="20"/>
              </w:rPr>
              <w:t xml:space="preserve"> 683</w:t>
            </w:r>
          </w:p>
          <w:p w:rsidR="0095096B" w:rsidRDefault="0095096B" w:rsidP="0095096B">
            <w:pPr>
              <w:jc w:val="center"/>
              <w:rPr>
                <w:rFonts w:cs="Times New Roman"/>
                <w:sz w:val="20"/>
                <w:szCs w:val="20"/>
              </w:rPr>
            </w:pPr>
          </w:p>
          <w:p w:rsidR="00BB40E6" w:rsidRPr="002E2327" w:rsidRDefault="00BB40E6" w:rsidP="0095096B">
            <w:pPr>
              <w:jc w:val="center"/>
              <w:rPr>
                <w:rFonts w:cs="Times New Roman"/>
                <w:sz w:val="20"/>
                <w:szCs w:val="20"/>
              </w:rPr>
            </w:pPr>
          </w:p>
          <w:p w:rsidR="0095096B" w:rsidRPr="002E2327" w:rsidRDefault="00AD6126" w:rsidP="0095096B">
            <w:pPr>
              <w:jc w:val="center"/>
              <w:rPr>
                <w:rFonts w:cs="Times New Roman"/>
                <w:sz w:val="20"/>
                <w:szCs w:val="20"/>
              </w:rPr>
            </w:pPr>
            <w:r>
              <w:rPr>
                <w:rFonts w:cs="Times New Roman"/>
                <w:sz w:val="20"/>
                <w:szCs w:val="20"/>
              </w:rPr>
              <w:t>68</w:t>
            </w:r>
            <w:r w:rsidR="00454067">
              <w:rPr>
                <w:rFonts w:cs="Times New Roman"/>
                <w:sz w:val="20"/>
                <w:szCs w:val="20"/>
              </w:rPr>
              <w:t>4</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68</w:t>
            </w:r>
            <w:r w:rsidR="00454067">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AD6126" w:rsidP="0095096B">
            <w:pPr>
              <w:jc w:val="center"/>
              <w:rPr>
                <w:rFonts w:cs="Times New Roman"/>
                <w:sz w:val="20"/>
                <w:szCs w:val="20"/>
              </w:rPr>
            </w:pPr>
            <w:r>
              <w:rPr>
                <w:rFonts w:cs="Times New Roman"/>
                <w:sz w:val="20"/>
                <w:szCs w:val="20"/>
              </w:rPr>
              <w:t>68</w:t>
            </w:r>
            <w:r w:rsidR="00454067">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D6126" w:rsidP="0095096B">
            <w:pPr>
              <w:jc w:val="center"/>
              <w:rPr>
                <w:rFonts w:cs="Times New Roman"/>
                <w:sz w:val="20"/>
                <w:szCs w:val="20"/>
              </w:rPr>
            </w:pPr>
            <w:r>
              <w:rPr>
                <w:rFonts w:cs="Times New Roman"/>
                <w:sz w:val="20"/>
                <w:szCs w:val="20"/>
              </w:rPr>
              <w:t>68</w:t>
            </w:r>
            <w:r w:rsidR="00454067">
              <w:rPr>
                <w:rFonts w:cs="Times New Roman"/>
                <w:sz w:val="20"/>
                <w:szCs w:val="20"/>
              </w:rPr>
              <w:t>7</w:t>
            </w:r>
          </w:p>
          <w:p w:rsidR="0095096B" w:rsidRPr="002E2327" w:rsidRDefault="0095096B" w:rsidP="0095096B">
            <w:pPr>
              <w:jc w:val="center"/>
              <w:rPr>
                <w:rFonts w:cs="Times New Roman"/>
                <w:sz w:val="20"/>
                <w:szCs w:val="20"/>
              </w:rPr>
            </w:pPr>
          </w:p>
          <w:p w:rsidR="00A87207" w:rsidRPr="002E2327" w:rsidRDefault="00A87207" w:rsidP="00BB40E6">
            <w:pPr>
              <w:jc w:val="center"/>
              <w:rPr>
                <w:rFonts w:cs="Times New Roman"/>
                <w:sz w:val="20"/>
                <w:szCs w:val="20"/>
              </w:rPr>
            </w:pPr>
          </w:p>
        </w:tc>
        <w:tc>
          <w:tcPr>
            <w:tcW w:w="3888" w:type="dxa"/>
          </w:tcPr>
          <w:p w:rsidR="0095096B" w:rsidRPr="002E2327" w:rsidRDefault="00BE6ED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A87207" w:rsidRPr="002E2327" w:rsidRDefault="00A87207" w:rsidP="00BB40E6">
            <w:pPr>
              <w:rPr>
                <w:rFonts w:cs="Times New Roman"/>
                <w:sz w:val="20"/>
                <w:szCs w:val="20"/>
                <w:lang w:val="fr-CA"/>
              </w:rPr>
            </w:pPr>
          </w:p>
        </w:tc>
      </w:tr>
    </w:tbl>
    <w:p w:rsidR="0095096B" w:rsidRDefault="0095096B" w:rsidP="0095096B">
      <w:pPr>
        <w:tabs>
          <w:tab w:val="right" w:pos="9360"/>
        </w:tabs>
        <w:rPr>
          <w:lang w:val="fr-CA"/>
        </w:rPr>
      </w:pPr>
    </w:p>
    <w:p w:rsidR="00BB40E6" w:rsidRDefault="00BB40E6" w:rsidP="0095096B">
      <w:pPr>
        <w:tabs>
          <w:tab w:val="right" w:pos="9360"/>
        </w:tabs>
        <w:rPr>
          <w:lang w:val="fr-CA"/>
        </w:rPr>
      </w:pPr>
    </w:p>
    <w:p w:rsidR="00BB40E6" w:rsidRDefault="00BB40E6" w:rsidP="0095096B">
      <w:pPr>
        <w:tabs>
          <w:tab w:val="right" w:pos="9360"/>
        </w:tabs>
        <w:rPr>
          <w:lang w:val="fr-CA"/>
        </w:rPr>
      </w:pPr>
    </w:p>
    <w:p w:rsidR="00BB40E6" w:rsidRDefault="00BB40E6" w:rsidP="0095096B">
      <w:pPr>
        <w:tabs>
          <w:tab w:val="right" w:pos="9360"/>
        </w:tabs>
        <w:rPr>
          <w:lang w:val="fr-CA"/>
        </w:rPr>
      </w:pPr>
    </w:p>
    <w:p w:rsidR="00BB40E6" w:rsidRPr="00CB50DA" w:rsidRDefault="00BB40E6" w:rsidP="0095096B">
      <w:pPr>
        <w:tabs>
          <w:tab w:val="right" w:pos="9360"/>
        </w:tabs>
        <w:rPr>
          <w:lang w:val="fr-CA"/>
        </w:rPr>
      </w:pPr>
    </w:p>
    <w:tbl>
      <w:tblPr>
        <w:tblStyle w:val="TableGrid"/>
        <w:tblW w:w="0" w:type="auto"/>
        <w:tblLook w:val="04A0"/>
      </w:tblPr>
      <w:tblGrid>
        <w:gridCol w:w="9576"/>
      </w:tblGrid>
      <w:tr w:rsidR="0079724F" w:rsidRPr="00D87B4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EA1718" w:rsidP="003B3977">
            <w:pPr>
              <w:rPr>
                <w:b/>
                <w:sz w:val="20"/>
                <w:szCs w:val="20"/>
              </w:rPr>
            </w:pPr>
            <w:r>
              <w:rPr>
                <w:b/>
                <w:sz w:val="20"/>
                <w:szCs w:val="20"/>
              </w:rPr>
              <w:t>Vivian Chiang</w:t>
            </w:r>
          </w:p>
          <w:p w:rsidR="00242AEE" w:rsidRPr="00A935AA" w:rsidRDefault="00242AEE" w:rsidP="003B3977">
            <w:pPr>
              <w:tabs>
                <w:tab w:val="left" w:pos="-1440"/>
                <w:tab w:val="left" w:pos="-720"/>
              </w:tabs>
              <w:rPr>
                <w:sz w:val="20"/>
                <w:szCs w:val="20"/>
              </w:rPr>
            </w:pPr>
            <w:r w:rsidRPr="00A935AA">
              <w:rPr>
                <w:sz w:val="20"/>
                <w:szCs w:val="20"/>
              </w:rPr>
              <w:tab/>
            </w:r>
            <w:r w:rsidR="00EA1718">
              <w:rPr>
                <w:sz w:val="20"/>
                <w:szCs w:val="20"/>
              </w:rPr>
              <w:t>Vivian Chiang</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0E7C0E">
              <w:rPr>
                <w:sz w:val="20"/>
                <w:szCs w:val="20"/>
              </w:rPr>
              <w:t>5</w:t>
            </w:r>
            <w:r w:rsidR="00EA1718">
              <w:rPr>
                <w:sz w:val="20"/>
                <w:szCs w:val="20"/>
              </w:rPr>
              <w:t>279</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EA1718" w:rsidP="003B3977">
            <w:pPr>
              <w:tabs>
                <w:tab w:val="left" w:pos="-1440"/>
                <w:tab w:val="left" w:pos="-720"/>
              </w:tabs>
              <w:rPr>
                <w:b/>
                <w:sz w:val="20"/>
                <w:szCs w:val="20"/>
              </w:rPr>
            </w:pPr>
            <w:r>
              <w:rPr>
                <w:b/>
                <w:sz w:val="20"/>
                <w:szCs w:val="20"/>
              </w:rPr>
              <w:t>Law Society of British Columbia</w:t>
            </w:r>
            <w:r w:rsidR="00242AEE" w:rsidRPr="00A935AA">
              <w:rPr>
                <w:b/>
                <w:sz w:val="20"/>
                <w:szCs w:val="20"/>
              </w:rPr>
              <w:t xml:space="preserve"> (B.C.)</w:t>
            </w:r>
          </w:p>
          <w:p w:rsidR="00242AEE" w:rsidRPr="00A935AA" w:rsidRDefault="00242AEE" w:rsidP="003B3977">
            <w:pPr>
              <w:tabs>
                <w:tab w:val="left" w:pos="-1440"/>
                <w:tab w:val="left" w:pos="-720"/>
              </w:tabs>
              <w:rPr>
                <w:sz w:val="20"/>
                <w:szCs w:val="20"/>
              </w:rPr>
            </w:pPr>
            <w:r w:rsidRPr="00A935AA">
              <w:rPr>
                <w:sz w:val="20"/>
                <w:szCs w:val="20"/>
              </w:rPr>
              <w:tab/>
            </w:r>
            <w:r w:rsidR="00EA1718">
              <w:rPr>
                <w:sz w:val="20"/>
                <w:szCs w:val="20"/>
              </w:rPr>
              <w:t>Maureen S. Boyd</w:t>
            </w:r>
          </w:p>
          <w:p w:rsidR="00242AEE" w:rsidRPr="00A935AA" w:rsidRDefault="00242AEE" w:rsidP="003B3977">
            <w:pPr>
              <w:tabs>
                <w:tab w:val="left" w:pos="-1440"/>
                <w:tab w:val="left" w:pos="-720"/>
              </w:tabs>
              <w:rPr>
                <w:sz w:val="20"/>
                <w:szCs w:val="20"/>
              </w:rPr>
            </w:pPr>
            <w:r w:rsidRPr="00A935AA">
              <w:rPr>
                <w:sz w:val="20"/>
                <w:szCs w:val="20"/>
              </w:rPr>
              <w:tab/>
            </w:r>
            <w:r w:rsidR="00EA1718">
              <w:rPr>
                <w:sz w:val="20"/>
                <w:szCs w:val="20"/>
              </w:rPr>
              <w:t>Law Society of British Columbia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EA1718">
              <w:rPr>
                <w:sz w:val="20"/>
                <w:szCs w:val="20"/>
              </w:rPr>
              <w:t>14</w:t>
            </w:r>
            <w:r w:rsidRPr="00A935AA">
              <w:rPr>
                <w:sz w:val="20"/>
                <w:szCs w:val="20"/>
              </w:rPr>
              <w:t>.0</w:t>
            </w:r>
            <w:r w:rsidR="000E7C0E">
              <w:rPr>
                <w:sz w:val="20"/>
                <w:szCs w:val="20"/>
              </w:rPr>
              <w:t>3</w:t>
            </w:r>
            <w:r w:rsidRPr="00A935AA">
              <w:rPr>
                <w:sz w:val="20"/>
                <w:szCs w:val="20"/>
              </w:rPr>
              <w:t>.201</w:t>
            </w:r>
            <w:r w:rsidR="000E7C0E">
              <w:rPr>
                <w:sz w:val="20"/>
                <w:szCs w:val="20"/>
              </w:rPr>
              <w:t>3</w:t>
            </w:r>
          </w:p>
          <w:p w:rsidR="00242AEE" w:rsidRPr="00A935AA" w:rsidRDefault="00BE6ED8" w:rsidP="003B3977">
            <w:pPr>
              <w:rPr>
                <w:sz w:val="20"/>
                <w:szCs w:val="20"/>
              </w:rPr>
            </w:pPr>
            <w:r w:rsidRPr="00BE6ED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EA1718" w:rsidP="003B3977">
            <w:pPr>
              <w:keepNext/>
              <w:keepLines/>
              <w:tabs>
                <w:tab w:val="left" w:pos="-1440"/>
                <w:tab w:val="left" w:pos="-720"/>
              </w:tabs>
              <w:rPr>
                <w:b/>
                <w:sz w:val="20"/>
                <w:szCs w:val="20"/>
              </w:rPr>
            </w:pPr>
            <w:r>
              <w:rPr>
                <w:b/>
                <w:sz w:val="20"/>
                <w:szCs w:val="20"/>
              </w:rPr>
              <w:t>J.K.L.</w:t>
            </w:r>
          </w:p>
          <w:p w:rsidR="00242AEE" w:rsidRPr="00A935AA" w:rsidRDefault="00242AEE" w:rsidP="003B3977">
            <w:pPr>
              <w:keepNext/>
              <w:keepLines/>
              <w:tabs>
                <w:tab w:val="left" w:pos="-1440"/>
                <w:tab w:val="left" w:pos="-720"/>
              </w:tabs>
              <w:rPr>
                <w:sz w:val="20"/>
                <w:szCs w:val="20"/>
              </w:rPr>
            </w:pPr>
            <w:r w:rsidRPr="00A935AA">
              <w:rPr>
                <w:sz w:val="20"/>
                <w:szCs w:val="20"/>
              </w:rPr>
              <w:tab/>
            </w:r>
            <w:r w:rsidR="00EA1718">
              <w:rPr>
                <w:sz w:val="20"/>
                <w:szCs w:val="20"/>
              </w:rPr>
              <w:t>Christopher Hicks</w:t>
            </w:r>
          </w:p>
          <w:p w:rsidR="00242AEE" w:rsidRPr="00A935AA" w:rsidRDefault="00242AEE" w:rsidP="003B3977">
            <w:pPr>
              <w:keepNext/>
              <w:keepLines/>
              <w:tabs>
                <w:tab w:val="left" w:pos="-1440"/>
                <w:tab w:val="left" w:pos="-720"/>
              </w:tabs>
              <w:rPr>
                <w:sz w:val="20"/>
                <w:szCs w:val="20"/>
              </w:rPr>
            </w:pPr>
            <w:r w:rsidRPr="00A935AA">
              <w:rPr>
                <w:sz w:val="20"/>
                <w:szCs w:val="20"/>
              </w:rPr>
              <w:tab/>
            </w:r>
            <w:r w:rsidR="00EA1718">
              <w:rPr>
                <w:sz w:val="20"/>
                <w:szCs w:val="20"/>
              </w:rPr>
              <w:t xml:space="preserve">Hicks Adams LLP </w:t>
            </w:r>
          </w:p>
          <w:p w:rsidR="00242AEE" w:rsidRPr="00A935AA" w:rsidRDefault="00242AEE" w:rsidP="003B3977">
            <w:pPr>
              <w:keepNext/>
              <w:keepLines/>
              <w:tabs>
                <w:tab w:val="left" w:pos="-1440"/>
                <w:tab w:val="left" w:pos="-720"/>
              </w:tabs>
              <w:rPr>
                <w:sz w:val="20"/>
                <w:szCs w:val="20"/>
              </w:rPr>
            </w:pPr>
          </w:p>
          <w:p w:rsidR="00242AEE" w:rsidRPr="00EA1718" w:rsidRDefault="00242AEE" w:rsidP="003B3977">
            <w:pPr>
              <w:keepNext/>
              <w:keepLines/>
              <w:tabs>
                <w:tab w:val="left" w:pos="-1440"/>
                <w:tab w:val="left" w:pos="-720"/>
              </w:tabs>
              <w:rPr>
                <w:sz w:val="20"/>
                <w:szCs w:val="20"/>
              </w:rPr>
            </w:pPr>
            <w:r w:rsidRPr="00A935AA">
              <w:rPr>
                <w:sz w:val="20"/>
                <w:szCs w:val="20"/>
              </w:rPr>
              <w:tab/>
            </w:r>
            <w:r w:rsidRPr="00EA1718">
              <w:rPr>
                <w:sz w:val="20"/>
                <w:szCs w:val="20"/>
              </w:rPr>
              <w:t>v. (3</w:t>
            </w:r>
            <w:r w:rsidR="000E7C0E" w:rsidRPr="00EA1718">
              <w:rPr>
                <w:sz w:val="20"/>
                <w:szCs w:val="20"/>
              </w:rPr>
              <w:t>5</w:t>
            </w:r>
            <w:r w:rsidR="00EA1718">
              <w:rPr>
                <w:sz w:val="20"/>
                <w:szCs w:val="20"/>
              </w:rPr>
              <w:t>272</w:t>
            </w:r>
            <w:r w:rsidRPr="00EA1718">
              <w:rPr>
                <w:sz w:val="20"/>
                <w:szCs w:val="20"/>
              </w:rPr>
              <w:t>)</w:t>
            </w:r>
          </w:p>
          <w:p w:rsidR="00242AEE" w:rsidRPr="00EA1718" w:rsidRDefault="00242AEE" w:rsidP="003B3977">
            <w:pPr>
              <w:keepNext/>
              <w:keepLines/>
              <w:tabs>
                <w:tab w:val="left" w:pos="-1440"/>
                <w:tab w:val="left" w:pos="-720"/>
              </w:tabs>
              <w:rPr>
                <w:sz w:val="20"/>
                <w:szCs w:val="20"/>
              </w:rPr>
            </w:pPr>
          </w:p>
          <w:p w:rsidR="00242AEE" w:rsidRPr="00EA1718" w:rsidRDefault="00EA1718" w:rsidP="003B3977">
            <w:pPr>
              <w:keepNext/>
              <w:keepLines/>
              <w:tabs>
                <w:tab w:val="left" w:pos="-1440"/>
                <w:tab w:val="left" w:pos="-720"/>
              </w:tabs>
              <w:rPr>
                <w:b/>
                <w:sz w:val="20"/>
                <w:szCs w:val="20"/>
              </w:rPr>
            </w:pPr>
            <w:r>
              <w:rPr>
                <w:b/>
                <w:sz w:val="20"/>
                <w:szCs w:val="20"/>
              </w:rPr>
              <w:t>Her Majesty the Queen</w:t>
            </w:r>
            <w:r w:rsidR="00242AEE" w:rsidRPr="00EA1718">
              <w:rPr>
                <w:b/>
                <w:sz w:val="20"/>
                <w:szCs w:val="20"/>
              </w:rPr>
              <w:t xml:space="preserve"> (Ont.)</w:t>
            </w:r>
          </w:p>
          <w:p w:rsidR="00242AEE" w:rsidRPr="00EA1718" w:rsidRDefault="00242AEE" w:rsidP="003B3977">
            <w:pPr>
              <w:keepNext/>
              <w:keepLines/>
              <w:tabs>
                <w:tab w:val="left" w:pos="-1440"/>
                <w:tab w:val="left" w:pos="-720"/>
              </w:tabs>
              <w:rPr>
                <w:sz w:val="20"/>
                <w:szCs w:val="20"/>
              </w:rPr>
            </w:pPr>
            <w:r w:rsidRPr="00EA1718">
              <w:rPr>
                <w:sz w:val="20"/>
                <w:szCs w:val="20"/>
              </w:rPr>
              <w:tab/>
            </w:r>
            <w:r w:rsidR="00EA1718" w:rsidRPr="00EA1718">
              <w:rPr>
                <w:sz w:val="20"/>
                <w:szCs w:val="20"/>
              </w:rPr>
              <w:t xml:space="preserve">Lisa </w:t>
            </w:r>
            <w:proofErr w:type="spellStart"/>
            <w:r w:rsidR="00EA1718" w:rsidRPr="00EA1718">
              <w:rPr>
                <w:sz w:val="20"/>
                <w:szCs w:val="20"/>
              </w:rPr>
              <w:t>Joyal</w:t>
            </w:r>
            <w:proofErr w:type="spellEnd"/>
          </w:p>
          <w:p w:rsidR="00242AEE" w:rsidRPr="00EA1718" w:rsidRDefault="00242AEE" w:rsidP="003B3977">
            <w:pPr>
              <w:keepNext/>
              <w:keepLines/>
              <w:tabs>
                <w:tab w:val="left" w:pos="-1440"/>
                <w:tab w:val="left" w:pos="-720"/>
              </w:tabs>
              <w:rPr>
                <w:sz w:val="20"/>
                <w:szCs w:val="20"/>
              </w:rPr>
            </w:pPr>
            <w:r w:rsidRPr="00EA1718">
              <w:rPr>
                <w:sz w:val="20"/>
                <w:szCs w:val="20"/>
              </w:rPr>
              <w:tab/>
            </w:r>
            <w:r w:rsidR="00EA1718" w:rsidRPr="00EA1718">
              <w:rPr>
                <w:sz w:val="20"/>
                <w:szCs w:val="20"/>
              </w:rPr>
              <w:t>A.G. of Ontario</w:t>
            </w:r>
          </w:p>
          <w:p w:rsidR="00EA1718" w:rsidRPr="00EA1718" w:rsidRDefault="00EA1718" w:rsidP="003B3977">
            <w:pPr>
              <w:keepNext/>
              <w:keepLines/>
              <w:tabs>
                <w:tab w:val="left" w:pos="-1440"/>
                <w:tab w:val="left" w:pos="-720"/>
              </w:tabs>
              <w:rPr>
                <w:sz w:val="20"/>
                <w:szCs w:val="20"/>
              </w:rPr>
            </w:pPr>
          </w:p>
          <w:p w:rsidR="00242AEE" w:rsidRPr="00A935AA" w:rsidRDefault="00242AEE" w:rsidP="00EA1718">
            <w:pPr>
              <w:rPr>
                <w:sz w:val="20"/>
                <w:szCs w:val="20"/>
              </w:rPr>
            </w:pPr>
            <w:r w:rsidRPr="00A935AA">
              <w:rPr>
                <w:sz w:val="20"/>
                <w:szCs w:val="20"/>
              </w:rPr>
              <w:t xml:space="preserve">FILING DATE: </w:t>
            </w:r>
            <w:r w:rsidR="00EA1718">
              <w:rPr>
                <w:sz w:val="20"/>
                <w:szCs w:val="20"/>
              </w:rPr>
              <w:t>15</w:t>
            </w:r>
            <w:r w:rsidRPr="00A935AA">
              <w:rPr>
                <w:sz w:val="20"/>
                <w:szCs w:val="20"/>
              </w:rPr>
              <w:t>.0</w:t>
            </w:r>
            <w:r w:rsidR="000E7C0E">
              <w:rPr>
                <w:sz w:val="20"/>
                <w:szCs w:val="20"/>
              </w:rPr>
              <w:t>3</w:t>
            </w:r>
            <w:r w:rsidRPr="00A935AA">
              <w:rPr>
                <w:sz w:val="20"/>
                <w:szCs w:val="20"/>
              </w:rPr>
              <w:t>.201</w:t>
            </w:r>
            <w:r w:rsidR="000E7C0E">
              <w:rPr>
                <w:sz w:val="20"/>
                <w:szCs w:val="20"/>
              </w:rPr>
              <w:t>3</w:t>
            </w:r>
            <w:r w:rsidR="00BE6ED8" w:rsidRPr="00BE6ED8">
              <w:rPr>
                <w:sz w:val="20"/>
                <w:szCs w:val="20"/>
                <w:lang w:val="fr-CA"/>
              </w:rPr>
              <w:pict>
                <v:rect id="_x0000_i1026" style="width:108pt;height:1pt" o:hrpct="0" o:hralign="center" o:hrstd="t" o:hrnoshade="t" o:hr="t" fillcolor="black [3213]" stroked="f"/>
              </w:pict>
            </w:r>
          </w:p>
        </w:tc>
      </w:tr>
      <w:tr w:rsidR="000E7C0E" w:rsidRPr="00A935AA" w:rsidTr="003B3977">
        <w:tc>
          <w:tcPr>
            <w:tcW w:w="4320" w:type="dxa"/>
            <w:shd w:val="clear" w:color="auto" w:fill="auto"/>
          </w:tcPr>
          <w:p w:rsidR="000E7C0E" w:rsidRPr="00A935AA" w:rsidRDefault="00EA1718" w:rsidP="00EA1718">
            <w:pPr>
              <w:rPr>
                <w:b/>
                <w:sz w:val="20"/>
                <w:szCs w:val="20"/>
              </w:rPr>
            </w:pPr>
            <w:r>
              <w:rPr>
                <w:b/>
                <w:sz w:val="20"/>
                <w:szCs w:val="20"/>
              </w:rPr>
              <w:t xml:space="preserve">Paul </w:t>
            </w:r>
            <w:proofErr w:type="spellStart"/>
            <w:r>
              <w:rPr>
                <w:b/>
                <w:sz w:val="20"/>
                <w:szCs w:val="20"/>
              </w:rPr>
              <w:t>Magder</w:t>
            </w:r>
            <w:proofErr w:type="spellEnd"/>
          </w:p>
          <w:p w:rsidR="00EA1718" w:rsidRPr="00A935AA" w:rsidRDefault="000E7C0E" w:rsidP="00EA1718">
            <w:pPr>
              <w:keepNext/>
              <w:keepLines/>
              <w:tabs>
                <w:tab w:val="left" w:pos="-1440"/>
                <w:tab w:val="left" w:pos="-720"/>
              </w:tabs>
              <w:rPr>
                <w:sz w:val="20"/>
                <w:szCs w:val="20"/>
              </w:rPr>
            </w:pPr>
            <w:r w:rsidRPr="00A935AA">
              <w:rPr>
                <w:sz w:val="20"/>
                <w:szCs w:val="20"/>
              </w:rPr>
              <w:tab/>
            </w:r>
            <w:r w:rsidR="00EA1718">
              <w:rPr>
                <w:sz w:val="20"/>
                <w:szCs w:val="20"/>
              </w:rPr>
              <w:t>Clayton C. Ruby</w:t>
            </w:r>
          </w:p>
          <w:p w:rsidR="00EA1718" w:rsidRPr="00A935AA" w:rsidRDefault="00EA1718" w:rsidP="00EA1718">
            <w:pPr>
              <w:keepNext/>
              <w:keepLines/>
              <w:tabs>
                <w:tab w:val="left" w:pos="-1440"/>
                <w:tab w:val="left" w:pos="-720"/>
              </w:tabs>
              <w:rPr>
                <w:sz w:val="20"/>
                <w:szCs w:val="20"/>
              </w:rPr>
            </w:pPr>
            <w:r w:rsidRPr="00A935AA">
              <w:rPr>
                <w:sz w:val="20"/>
                <w:szCs w:val="20"/>
              </w:rPr>
              <w:tab/>
            </w:r>
            <w:r>
              <w:rPr>
                <w:sz w:val="20"/>
                <w:szCs w:val="20"/>
              </w:rPr>
              <w:t xml:space="preserve">Ruby </w:t>
            </w:r>
            <w:proofErr w:type="spellStart"/>
            <w:r>
              <w:rPr>
                <w:sz w:val="20"/>
                <w:szCs w:val="20"/>
              </w:rPr>
              <w:t>Shiller</w:t>
            </w:r>
            <w:proofErr w:type="spellEnd"/>
            <w:r>
              <w:rPr>
                <w:sz w:val="20"/>
                <w:szCs w:val="20"/>
              </w:rPr>
              <w:t xml:space="preserve"> Chan </w:t>
            </w:r>
            <w:proofErr w:type="spellStart"/>
            <w:r>
              <w:rPr>
                <w:sz w:val="20"/>
                <w:szCs w:val="20"/>
              </w:rPr>
              <w:t>Hasan</w:t>
            </w:r>
            <w:proofErr w:type="spellEnd"/>
            <w:r>
              <w:rPr>
                <w:sz w:val="20"/>
                <w:szCs w:val="20"/>
              </w:rPr>
              <w:t xml:space="preserve"> </w:t>
            </w:r>
          </w:p>
          <w:p w:rsidR="00EA1718" w:rsidRPr="00A935AA" w:rsidRDefault="00EA1718" w:rsidP="00EA1718">
            <w:pPr>
              <w:keepNext/>
              <w:keepLines/>
              <w:tabs>
                <w:tab w:val="left" w:pos="-1440"/>
                <w:tab w:val="left" w:pos="-720"/>
              </w:tabs>
              <w:rPr>
                <w:sz w:val="20"/>
                <w:szCs w:val="20"/>
              </w:rPr>
            </w:pPr>
          </w:p>
          <w:p w:rsidR="00EA1718" w:rsidRPr="00EA1718" w:rsidRDefault="00EA1718" w:rsidP="00EA1718">
            <w:pPr>
              <w:keepNext/>
              <w:keepLines/>
              <w:tabs>
                <w:tab w:val="left" w:pos="-1440"/>
                <w:tab w:val="left" w:pos="-720"/>
              </w:tabs>
              <w:rPr>
                <w:sz w:val="20"/>
                <w:szCs w:val="20"/>
                <w:lang w:val="fr-CA"/>
              </w:rPr>
            </w:pPr>
            <w:r w:rsidRPr="00A935AA">
              <w:rPr>
                <w:sz w:val="20"/>
                <w:szCs w:val="20"/>
              </w:rPr>
              <w:tab/>
            </w:r>
            <w:r w:rsidRPr="00EA1718">
              <w:rPr>
                <w:sz w:val="20"/>
                <w:szCs w:val="20"/>
                <w:lang w:val="fr-CA"/>
              </w:rPr>
              <w:t>v. (35266)</w:t>
            </w:r>
          </w:p>
          <w:p w:rsidR="00EA1718" w:rsidRPr="00EA1718" w:rsidRDefault="00EA1718" w:rsidP="00EA1718">
            <w:pPr>
              <w:keepNext/>
              <w:keepLines/>
              <w:tabs>
                <w:tab w:val="left" w:pos="-1440"/>
                <w:tab w:val="left" w:pos="-720"/>
              </w:tabs>
              <w:rPr>
                <w:sz w:val="20"/>
                <w:szCs w:val="20"/>
                <w:lang w:val="fr-CA"/>
              </w:rPr>
            </w:pPr>
          </w:p>
          <w:p w:rsidR="00EA1718" w:rsidRPr="00EA1718" w:rsidRDefault="00EA1718" w:rsidP="00EA1718">
            <w:pPr>
              <w:keepNext/>
              <w:keepLines/>
              <w:tabs>
                <w:tab w:val="left" w:pos="-1440"/>
                <w:tab w:val="left" w:pos="-720"/>
              </w:tabs>
              <w:rPr>
                <w:b/>
                <w:sz w:val="20"/>
                <w:szCs w:val="20"/>
                <w:lang w:val="fr-CA"/>
              </w:rPr>
            </w:pPr>
            <w:r w:rsidRPr="00EA1718">
              <w:rPr>
                <w:b/>
                <w:sz w:val="20"/>
                <w:szCs w:val="20"/>
                <w:lang w:val="fr-CA"/>
              </w:rPr>
              <w:t>Robert Ford (Ont.)</w:t>
            </w:r>
          </w:p>
          <w:p w:rsidR="00EA1718" w:rsidRPr="00EA1718" w:rsidRDefault="00EA1718" w:rsidP="00EA1718">
            <w:pPr>
              <w:keepNext/>
              <w:keepLines/>
              <w:tabs>
                <w:tab w:val="left" w:pos="-1440"/>
                <w:tab w:val="left" w:pos="-720"/>
              </w:tabs>
              <w:rPr>
                <w:sz w:val="20"/>
                <w:szCs w:val="20"/>
                <w:lang w:val="fr-CA"/>
              </w:rPr>
            </w:pPr>
            <w:r w:rsidRPr="00EA1718">
              <w:rPr>
                <w:sz w:val="20"/>
                <w:szCs w:val="20"/>
                <w:lang w:val="fr-CA"/>
              </w:rPr>
              <w:tab/>
              <w:t xml:space="preserve">Alan J. </w:t>
            </w:r>
            <w:proofErr w:type="spellStart"/>
            <w:r w:rsidRPr="00EA1718">
              <w:rPr>
                <w:sz w:val="20"/>
                <w:szCs w:val="20"/>
                <w:lang w:val="fr-CA"/>
              </w:rPr>
              <w:t>Lenczer</w:t>
            </w:r>
            <w:proofErr w:type="spellEnd"/>
            <w:r w:rsidRPr="00EA1718">
              <w:rPr>
                <w:sz w:val="20"/>
                <w:szCs w:val="20"/>
                <w:lang w:val="fr-CA"/>
              </w:rPr>
              <w:t>, Q.C.</w:t>
            </w:r>
          </w:p>
          <w:p w:rsidR="00EA1718" w:rsidRPr="00EA1718" w:rsidRDefault="00EA1718" w:rsidP="00EA1718">
            <w:pPr>
              <w:keepNext/>
              <w:keepLines/>
              <w:tabs>
                <w:tab w:val="left" w:pos="-1440"/>
                <w:tab w:val="left" w:pos="-720"/>
              </w:tabs>
              <w:rPr>
                <w:sz w:val="20"/>
                <w:szCs w:val="20"/>
              </w:rPr>
            </w:pPr>
            <w:r w:rsidRPr="00EA1718">
              <w:rPr>
                <w:sz w:val="20"/>
                <w:szCs w:val="20"/>
                <w:lang w:val="fr-CA"/>
              </w:rPr>
              <w:tab/>
            </w:r>
            <w:proofErr w:type="spellStart"/>
            <w:r w:rsidRPr="00EA1718">
              <w:rPr>
                <w:sz w:val="20"/>
                <w:szCs w:val="20"/>
              </w:rPr>
              <w:t>Lenczner</w:t>
            </w:r>
            <w:proofErr w:type="spellEnd"/>
            <w:r w:rsidRPr="00EA1718">
              <w:rPr>
                <w:sz w:val="20"/>
                <w:szCs w:val="20"/>
              </w:rPr>
              <w:t xml:space="preserve"> </w:t>
            </w:r>
            <w:proofErr w:type="spellStart"/>
            <w:r w:rsidRPr="00EA1718">
              <w:rPr>
                <w:sz w:val="20"/>
                <w:szCs w:val="20"/>
              </w:rPr>
              <w:t>Slaght</w:t>
            </w:r>
            <w:proofErr w:type="spellEnd"/>
            <w:r w:rsidRPr="00EA1718">
              <w:rPr>
                <w:sz w:val="20"/>
                <w:szCs w:val="20"/>
              </w:rPr>
              <w:t xml:space="preserve"> Royce Smith Griffin </w:t>
            </w:r>
            <w:r w:rsidRPr="00EA1718">
              <w:rPr>
                <w:sz w:val="20"/>
                <w:szCs w:val="20"/>
              </w:rPr>
              <w:tab/>
              <w:t>LLP</w:t>
            </w:r>
          </w:p>
          <w:p w:rsidR="000E7C0E" w:rsidRPr="00A935AA" w:rsidRDefault="000E7C0E" w:rsidP="00EA1718">
            <w:pPr>
              <w:tabs>
                <w:tab w:val="left" w:pos="-1440"/>
                <w:tab w:val="left" w:pos="-720"/>
              </w:tabs>
              <w:rPr>
                <w:sz w:val="20"/>
                <w:szCs w:val="20"/>
              </w:rPr>
            </w:pPr>
          </w:p>
          <w:p w:rsidR="000E7C0E" w:rsidRPr="00A935AA" w:rsidRDefault="000E7C0E" w:rsidP="00EA1718">
            <w:pPr>
              <w:rPr>
                <w:sz w:val="20"/>
                <w:szCs w:val="20"/>
              </w:rPr>
            </w:pPr>
            <w:r w:rsidRPr="00A935AA">
              <w:rPr>
                <w:sz w:val="20"/>
                <w:szCs w:val="20"/>
              </w:rPr>
              <w:t xml:space="preserve">FILING DATE: </w:t>
            </w:r>
            <w:r w:rsidR="00EA1718">
              <w:rPr>
                <w:sz w:val="20"/>
                <w:szCs w:val="20"/>
              </w:rPr>
              <w:t>15</w:t>
            </w:r>
            <w:r w:rsidRPr="00A935AA">
              <w:rPr>
                <w:sz w:val="20"/>
                <w:szCs w:val="20"/>
              </w:rPr>
              <w:t>.0</w:t>
            </w:r>
            <w:r>
              <w:rPr>
                <w:sz w:val="20"/>
                <w:szCs w:val="20"/>
              </w:rPr>
              <w:t>3</w:t>
            </w:r>
            <w:r w:rsidRPr="00A935AA">
              <w:rPr>
                <w:sz w:val="20"/>
                <w:szCs w:val="20"/>
              </w:rPr>
              <w:t>.201</w:t>
            </w:r>
            <w:r>
              <w:rPr>
                <w:sz w:val="20"/>
                <w:szCs w:val="20"/>
              </w:rPr>
              <w:t>3</w:t>
            </w:r>
          </w:p>
          <w:p w:rsidR="000E7C0E" w:rsidRPr="00A935AA" w:rsidRDefault="00BE6ED8" w:rsidP="00EA1718">
            <w:pPr>
              <w:rPr>
                <w:sz w:val="20"/>
                <w:szCs w:val="20"/>
              </w:rPr>
            </w:pPr>
            <w:r w:rsidRPr="00BE6ED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Default="000E7C0E" w:rsidP="00242AEE">
            <w:pPr>
              <w:jc w:val="center"/>
              <w:rPr>
                <w:sz w:val="20"/>
                <w:szCs w:val="20"/>
              </w:rPr>
            </w:pPr>
          </w:p>
          <w:p w:rsidR="00EA1718" w:rsidRPr="00A935AA" w:rsidRDefault="00EA1718" w:rsidP="00242AEE">
            <w:pPr>
              <w:jc w:val="center"/>
              <w:rPr>
                <w:sz w:val="20"/>
                <w:szCs w:val="20"/>
              </w:rPr>
            </w:pPr>
          </w:p>
          <w:p w:rsidR="000E7C0E" w:rsidRPr="00A935AA" w:rsidRDefault="000E7C0E" w:rsidP="00242AEE">
            <w:pPr>
              <w:jc w:val="center"/>
              <w:rPr>
                <w:sz w:val="20"/>
                <w:szCs w:val="20"/>
              </w:rPr>
            </w:pPr>
          </w:p>
        </w:tc>
        <w:tc>
          <w:tcPr>
            <w:tcW w:w="4320" w:type="dxa"/>
            <w:shd w:val="clear" w:color="auto" w:fill="auto"/>
          </w:tcPr>
          <w:p w:rsidR="000E7C0E" w:rsidRDefault="000E7C0E" w:rsidP="00EA1718">
            <w:pPr>
              <w:keepNext/>
              <w:keepLines/>
              <w:tabs>
                <w:tab w:val="left" w:pos="-1440"/>
                <w:tab w:val="left" w:pos="-720"/>
              </w:tabs>
              <w:rPr>
                <w:b/>
                <w:sz w:val="20"/>
                <w:szCs w:val="20"/>
              </w:rPr>
            </w:pPr>
          </w:p>
          <w:p w:rsidR="00EA1718" w:rsidRPr="00A935AA" w:rsidRDefault="00EA1718" w:rsidP="00EA1718">
            <w:pPr>
              <w:keepNext/>
              <w:keepLines/>
              <w:tabs>
                <w:tab w:val="left" w:pos="-1440"/>
                <w:tab w:val="left" w:pos="-720"/>
              </w:tabs>
              <w:rPr>
                <w:b/>
                <w:sz w:val="20"/>
                <w:szCs w:val="20"/>
              </w:rPr>
            </w:pPr>
            <w:r>
              <w:rPr>
                <w:b/>
                <w:sz w:val="20"/>
                <w:szCs w:val="20"/>
              </w:rPr>
              <w:t xml:space="preserve">Lynette </w:t>
            </w:r>
            <w:proofErr w:type="spellStart"/>
            <w:r>
              <w:rPr>
                <w:b/>
                <w:sz w:val="20"/>
                <w:szCs w:val="20"/>
              </w:rPr>
              <w:t>Badenhorst</w:t>
            </w:r>
            <w:proofErr w:type="spellEnd"/>
          </w:p>
          <w:p w:rsidR="000E7C0E" w:rsidRPr="00A935AA" w:rsidRDefault="000E7C0E" w:rsidP="00EA1718">
            <w:pPr>
              <w:keepNext/>
              <w:keepLines/>
              <w:tabs>
                <w:tab w:val="left" w:pos="-1440"/>
                <w:tab w:val="left" w:pos="-720"/>
              </w:tabs>
              <w:rPr>
                <w:sz w:val="20"/>
                <w:szCs w:val="20"/>
              </w:rPr>
            </w:pPr>
            <w:r w:rsidRPr="00A935AA">
              <w:rPr>
                <w:sz w:val="20"/>
                <w:szCs w:val="20"/>
              </w:rPr>
              <w:tab/>
            </w:r>
            <w:r w:rsidR="00EA1718">
              <w:rPr>
                <w:sz w:val="20"/>
                <w:szCs w:val="20"/>
              </w:rPr>
              <w:t>Norm Cuddy</w:t>
            </w:r>
          </w:p>
          <w:p w:rsidR="000E7C0E" w:rsidRPr="00A935AA" w:rsidRDefault="000E7C0E" w:rsidP="00EA1718">
            <w:pPr>
              <w:keepNext/>
              <w:keepLines/>
              <w:tabs>
                <w:tab w:val="left" w:pos="-1440"/>
                <w:tab w:val="left" w:pos="-720"/>
              </w:tabs>
              <w:rPr>
                <w:sz w:val="20"/>
                <w:szCs w:val="20"/>
              </w:rPr>
            </w:pPr>
            <w:r w:rsidRPr="00A935AA">
              <w:rPr>
                <w:sz w:val="20"/>
                <w:szCs w:val="20"/>
              </w:rPr>
              <w:tab/>
            </w:r>
            <w:r w:rsidR="00EA1718">
              <w:rPr>
                <w:sz w:val="20"/>
                <w:szCs w:val="20"/>
              </w:rPr>
              <w:t>Tapper Cuddy LLP</w:t>
            </w:r>
          </w:p>
          <w:p w:rsidR="000E7C0E" w:rsidRPr="00A935AA" w:rsidRDefault="000E7C0E" w:rsidP="00EA1718">
            <w:pPr>
              <w:keepNext/>
              <w:keepLines/>
              <w:tabs>
                <w:tab w:val="left" w:pos="-1440"/>
                <w:tab w:val="left" w:pos="-720"/>
              </w:tabs>
              <w:rPr>
                <w:sz w:val="20"/>
                <w:szCs w:val="20"/>
              </w:rPr>
            </w:pPr>
          </w:p>
          <w:p w:rsidR="000E7C0E" w:rsidRPr="00EA1718" w:rsidRDefault="000E7C0E" w:rsidP="00EA1718">
            <w:pPr>
              <w:keepNext/>
              <w:keepLines/>
              <w:tabs>
                <w:tab w:val="left" w:pos="-1440"/>
                <w:tab w:val="left" w:pos="-720"/>
              </w:tabs>
              <w:rPr>
                <w:sz w:val="20"/>
                <w:szCs w:val="20"/>
              </w:rPr>
            </w:pPr>
            <w:r w:rsidRPr="00A935AA">
              <w:rPr>
                <w:sz w:val="20"/>
                <w:szCs w:val="20"/>
              </w:rPr>
              <w:tab/>
            </w:r>
            <w:r w:rsidRPr="00EA1718">
              <w:rPr>
                <w:sz w:val="20"/>
                <w:szCs w:val="20"/>
              </w:rPr>
              <w:t>v. (35</w:t>
            </w:r>
            <w:r w:rsidR="00EA1718">
              <w:rPr>
                <w:sz w:val="20"/>
                <w:szCs w:val="20"/>
              </w:rPr>
              <w:t>277</w:t>
            </w:r>
            <w:r w:rsidRPr="00EA1718">
              <w:rPr>
                <w:sz w:val="20"/>
                <w:szCs w:val="20"/>
              </w:rPr>
              <w:t>)</w:t>
            </w:r>
          </w:p>
          <w:p w:rsidR="000E7C0E" w:rsidRPr="00EA1718" w:rsidRDefault="000E7C0E" w:rsidP="00EA1718">
            <w:pPr>
              <w:keepNext/>
              <w:keepLines/>
              <w:tabs>
                <w:tab w:val="left" w:pos="-1440"/>
                <w:tab w:val="left" w:pos="-720"/>
              </w:tabs>
              <w:rPr>
                <w:sz w:val="20"/>
                <w:szCs w:val="20"/>
              </w:rPr>
            </w:pPr>
          </w:p>
          <w:p w:rsidR="000E7C0E" w:rsidRPr="00EA1718" w:rsidRDefault="00EA1718" w:rsidP="00EA1718">
            <w:pPr>
              <w:keepNext/>
              <w:keepLines/>
              <w:tabs>
                <w:tab w:val="left" w:pos="-1440"/>
                <w:tab w:val="left" w:pos="-720"/>
              </w:tabs>
              <w:rPr>
                <w:b/>
                <w:sz w:val="20"/>
                <w:szCs w:val="20"/>
              </w:rPr>
            </w:pPr>
            <w:r>
              <w:rPr>
                <w:b/>
                <w:sz w:val="20"/>
                <w:szCs w:val="20"/>
              </w:rPr>
              <w:t>Great-West Life Assurance Company</w:t>
            </w:r>
            <w:r w:rsidR="000E7C0E" w:rsidRPr="00EA1718">
              <w:rPr>
                <w:b/>
                <w:sz w:val="20"/>
                <w:szCs w:val="20"/>
              </w:rPr>
              <w:t xml:space="preserve"> (</w:t>
            </w:r>
            <w:r>
              <w:rPr>
                <w:b/>
                <w:sz w:val="20"/>
                <w:szCs w:val="20"/>
              </w:rPr>
              <w:t>Ma</w:t>
            </w:r>
            <w:r w:rsidR="000E7C0E" w:rsidRPr="00EA1718">
              <w:rPr>
                <w:b/>
                <w:sz w:val="20"/>
                <w:szCs w:val="20"/>
              </w:rPr>
              <w:t>n.)</w:t>
            </w:r>
          </w:p>
          <w:p w:rsidR="00EA1718" w:rsidRDefault="00EA1718" w:rsidP="00EA1718">
            <w:pPr>
              <w:keepNext/>
              <w:keepLines/>
              <w:tabs>
                <w:tab w:val="left" w:pos="-1440"/>
                <w:tab w:val="left" w:pos="-720"/>
              </w:tabs>
              <w:rPr>
                <w:sz w:val="20"/>
                <w:szCs w:val="20"/>
              </w:rPr>
            </w:pPr>
            <w:r>
              <w:rPr>
                <w:sz w:val="20"/>
                <w:szCs w:val="20"/>
              </w:rPr>
              <w:tab/>
              <w:t>Beth E. Eva</w:t>
            </w:r>
          </w:p>
          <w:p w:rsidR="000E7C0E" w:rsidRPr="00EA1718" w:rsidRDefault="000E7C0E" w:rsidP="00EA1718">
            <w:pPr>
              <w:keepNext/>
              <w:keepLines/>
              <w:tabs>
                <w:tab w:val="left" w:pos="-1440"/>
                <w:tab w:val="left" w:pos="-720"/>
              </w:tabs>
              <w:rPr>
                <w:sz w:val="20"/>
                <w:szCs w:val="20"/>
              </w:rPr>
            </w:pPr>
            <w:r w:rsidRPr="00EA1718">
              <w:rPr>
                <w:sz w:val="20"/>
                <w:szCs w:val="20"/>
              </w:rPr>
              <w:tab/>
            </w:r>
            <w:r w:rsidR="00EA1718">
              <w:rPr>
                <w:sz w:val="20"/>
                <w:szCs w:val="20"/>
              </w:rPr>
              <w:t>Fillmore Riley LLP</w:t>
            </w:r>
          </w:p>
          <w:p w:rsidR="000E7C0E" w:rsidRPr="00EA1718" w:rsidRDefault="000E7C0E" w:rsidP="00EA1718">
            <w:pPr>
              <w:keepNext/>
              <w:keepLines/>
              <w:tabs>
                <w:tab w:val="left" w:pos="-1440"/>
                <w:tab w:val="left" w:pos="-720"/>
              </w:tabs>
              <w:rPr>
                <w:sz w:val="20"/>
                <w:szCs w:val="20"/>
              </w:rPr>
            </w:pPr>
          </w:p>
          <w:p w:rsidR="000E7C0E" w:rsidRPr="00A935AA" w:rsidRDefault="000E7C0E" w:rsidP="00EA1718">
            <w:pPr>
              <w:rPr>
                <w:sz w:val="20"/>
                <w:szCs w:val="20"/>
              </w:rPr>
            </w:pPr>
            <w:r w:rsidRPr="00A935AA">
              <w:rPr>
                <w:sz w:val="20"/>
                <w:szCs w:val="20"/>
              </w:rPr>
              <w:t>FILING DATE: 2</w:t>
            </w:r>
            <w:r w:rsidR="00EA1718">
              <w:rPr>
                <w:sz w:val="20"/>
                <w:szCs w:val="20"/>
              </w:rPr>
              <w:t>0</w:t>
            </w:r>
            <w:r w:rsidRPr="00A935AA">
              <w:rPr>
                <w:sz w:val="20"/>
                <w:szCs w:val="20"/>
              </w:rPr>
              <w:t>.0</w:t>
            </w:r>
            <w:r>
              <w:rPr>
                <w:sz w:val="20"/>
                <w:szCs w:val="20"/>
              </w:rPr>
              <w:t>3</w:t>
            </w:r>
            <w:r w:rsidRPr="00A935AA">
              <w:rPr>
                <w:sz w:val="20"/>
                <w:szCs w:val="20"/>
              </w:rPr>
              <w:t>.201</w:t>
            </w:r>
            <w:r>
              <w:rPr>
                <w:sz w:val="20"/>
                <w:szCs w:val="20"/>
              </w:rPr>
              <w:t>3</w:t>
            </w:r>
            <w:r w:rsidR="00BE6ED8" w:rsidRPr="00BE6ED8">
              <w:rPr>
                <w:sz w:val="20"/>
                <w:szCs w:val="20"/>
                <w:lang w:val="fr-CA"/>
              </w:rPr>
              <w:pict>
                <v:rect id="_x0000_i1028" style="width:108pt;height:1pt" o:hrpct="0" o:hralign="center" o:hrstd="t" o:hrnoshade="t" o:hr="t" fillcolor="black [3213]" stroked="f"/>
              </w:pict>
            </w:r>
          </w:p>
        </w:tc>
      </w:tr>
      <w:tr w:rsidR="000E7C0E" w:rsidRPr="0080547A" w:rsidTr="003B3977">
        <w:tc>
          <w:tcPr>
            <w:tcW w:w="4320" w:type="dxa"/>
            <w:shd w:val="clear" w:color="auto" w:fill="auto"/>
          </w:tcPr>
          <w:p w:rsidR="000E7C0E" w:rsidRPr="00EA1718" w:rsidRDefault="00EA1718" w:rsidP="00EA1718">
            <w:pPr>
              <w:rPr>
                <w:b/>
                <w:sz w:val="20"/>
                <w:szCs w:val="20"/>
                <w:lang w:val="fr-CA"/>
              </w:rPr>
            </w:pPr>
            <w:r w:rsidRPr="00EA1718">
              <w:rPr>
                <w:b/>
                <w:sz w:val="20"/>
                <w:szCs w:val="20"/>
                <w:lang w:val="fr-CA"/>
              </w:rPr>
              <w:t>Daniel Lepage</w:t>
            </w:r>
          </w:p>
          <w:p w:rsidR="000E7C0E" w:rsidRPr="00EA1718" w:rsidRDefault="000E7C0E" w:rsidP="00EA1718">
            <w:pPr>
              <w:tabs>
                <w:tab w:val="left" w:pos="-1440"/>
                <w:tab w:val="left" w:pos="-720"/>
              </w:tabs>
              <w:rPr>
                <w:sz w:val="20"/>
                <w:szCs w:val="20"/>
                <w:lang w:val="fr-CA"/>
              </w:rPr>
            </w:pPr>
            <w:r w:rsidRPr="00EA1718">
              <w:rPr>
                <w:sz w:val="20"/>
                <w:szCs w:val="20"/>
                <w:lang w:val="fr-CA"/>
              </w:rPr>
              <w:tab/>
            </w:r>
            <w:r w:rsidR="00EA1718" w:rsidRPr="00EA1718">
              <w:rPr>
                <w:sz w:val="20"/>
                <w:szCs w:val="20"/>
                <w:lang w:val="fr-CA"/>
              </w:rPr>
              <w:t>Jean-Philippe Marcoux</w:t>
            </w:r>
          </w:p>
          <w:p w:rsidR="000E7C0E" w:rsidRPr="00EA1718" w:rsidRDefault="000E7C0E" w:rsidP="00EA1718">
            <w:pPr>
              <w:tabs>
                <w:tab w:val="left" w:pos="-1440"/>
                <w:tab w:val="left" w:pos="-720"/>
              </w:tabs>
              <w:rPr>
                <w:sz w:val="20"/>
                <w:szCs w:val="20"/>
                <w:lang w:val="fr-CA"/>
              </w:rPr>
            </w:pPr>
            <w:r w:rsidRPr="00EA1718">
              <w:rPr>
                <w:sz w:val="20"/>
                <w:szCs w:val="20"/>
                <w:lang w:val="fr-CA"/>
              </w:rPr>
              <w:tab/>
            </w:r>
            <w:proofErr w:type="spellStart"/>
            <w:r w:rsidR="00EA1718" w:rsidRPr="00EA1718">
              <w:rPr>
                <w:sz w:val="20"/>
                <w:szCs w:val="20"/>
                <w:lang w:val="fr-CA"/>
              </w:rPr>
              <w:t>LaBrie</w:t>
            </w:r>
            <w:proofErr w:type="spellEnd"/>
            <w:r w:rsidR="00EA1718" w:rsidRPr="00EA1718">
              <w:rPr>
                <w:sz w:val="20"/>
                <w:szCs w:val="20"/>
                <w:lang w:val="fr-CA"/>
              </w:rPr>
              <w:t xml:space="preserve">, </w:t>
            </w:r>
            <w:proofErr w:type="spellStart"/>
            <w:r w:rsidR="00EA1718" w:rsidRPr="00EA1718">
              <w:rPr>
                <w:sz w:val="20"/>
                <w:szCs w:val="20"/>
                <w:lang w:val="fr-CA"/>
              </w:rPr>
              <w:t>Gariépy</w:t>
            </w:r>
            <w:proofErr w:type="spellEnd"/>
            <w:r w:rsidR="00EA1718">
              <w:rPr>
                <w:sz w:val="20"/>
                <w:szCs w:val="20"/>
                <w:lang w:val="fr-CA"/>
              </w:rPr>
              <w:t>, Legendre Avocats</w:t>
            </w:r>
          </w:p>
          <w:p w:rsidR="000E7C0E" w:rsidRPr="00EA1718" w:rsidRDefault="000E7C0E" w:rsidP="00EA1718">
            <w:pPr>
              <w:tabs>
                <w:tab w:val="left" w:pos="-1440"/>
                <w:tab w:val="left" w:pos="-720"/>
              </w:tabs>
              <w:rPr>
                <w:sz w:val="20"/>
                <w:szCs w:val="20"/>
                <w:lang w:val="fr-CA"/>
              </w:rPr>
            </w:pPr>
          </w:p>
          <w:p w:rsidR="000E7C0E" w:rsidRPr="00EA1718" w:rsidRDefault="000E7C0E" w:rsidP="00EA1718">
            <w:pPr>
              <w:tabs>
                <w:tab w:val="left" w:pos="-1440"/>
                <w:tab w:val="left" w:pos="-720"/>
              </w:tabs>
              <w:rPr>
                <w:sz w:val="20"/>
                <w:szCs w:val="20"/>
                <w:lang w:val="fr-CA"/>
              </w:rPr>
            </w:pPr>
            <w:r w:rsidRPr="00EA1718">
              <w:rPr>
                <w:sz w:val="20"/>
                <w:szCs w:val="20"/>
                <w:lang w:val="fr-CA"/>
              </w:rPr>
              <w:tab/>
            </w:r>
            <w:r w:rsidR="00EA1718" w:rsidRPr="00EA1718">
              <w:rPr>
                <w:sz w:val="20"/>
                <w:szCs w:val="20"/>
                <w:lang w:val="fr-CA"/>
              </w:rPr>
              <w:t>c</w:t>
            </w:r>
            <w:r w:rsidRPr="00EA1718">
              <w:rPr>
                <w:sz w:val="20"/>
                <w:szCs w:val="20"/>
                <w:lang w:val="fr-CA"/>
              </w:rPr>
              <w:t>. (35</w:t>
            </w:r>
            <w:r w:rsidR="00EA1718" w:rsidRPr="00EA1718">
              <w:rPr>
                <w:sz w:val="20"/>
                <w:szCs w:val="20"/>
                <w:lang w:val="fr-CA"/>
              </w:rPr>
              <w:t>216</w:t>
            </w:r>
            <w:r w:rsidRPr="00EA1718">
              <w:rPr>
                <w:sz w:val="20"/>
                <w:szCs w:val="20"/>
                <w:lang w:val="fr-CA"/>
              </w:rPr>
              <w:t>)</w:t>
            </w:r>
          </w:p>
          <w:p w:rsidR="000E7C0E" w:rsidRPr="00EA1718" w:rsidRDefault="000E7C0E" w:rsidP="00EA1718">
            <w:pPr>
              <w:tabs>
                <w:tab w:val="left" w:pos="-1440"/>
                <w:tab w:val="left" w:pos="-720"/>
              </w:tabs>
              <w:rPr>
                <w:sz w:val="20"/>
                <w:szCs w:val="20"/>
                <w:lang w:val="fr-CA"/>
              </w:rPr>
            </w:pPr>
          </w:p>
          <w:p w:rsidR="000E7C0E" w:rsidRPr="00EA1718" w:rsidRDefault="00EA1718" w:rsidP="00EA1718">
            <w:pPr>
              <w:tabs>
                <w:tab w:val="left" w:pos="-1440"/>
                <w:tab w:val="left" w:pos="-720"/>
              </w:tabs>
              <w:rPr>
                <w:b/>
                <w:sz w:val="20"/>
                <w:szCs w:val="20"/>
                <w:lang w:val="fr-CA"/>
              </w:rPr>
            </w:pPr>
            <w:r w:rsidRPr="00EA1718">
              <w:rPr>
                <w:b/>
                <w:sz w:val="20"/>
                <w:szCs w:val="20"/>
                <w:lang w:val="fr-CA"/>
              </w:rPr>
              <w:t>Sa Majesté la Reine</w:t>
            </w:r>
            <w:r w:rsidR="000E7C0E" w:rsidRPr="00EA1718">
              <w:rPr>
                <w:b/>
                <w:sz w:val="20"/>
                <w:szCs w:val="20"/>
                <w:lang w:val="fr-CA"/>
              </w:rPr>
              <w:t xml:space="preserve"> (</w:t>
            </w:r>
            <w:proofErr w:type="spellStart"/>
            <w:r w:rsidRPr="00EA1718">
              <w:rPr>
                <w:b/>
                <w:sz w:val="20"/>
                <w:szCs w:val="20"/>
                <w:lang w:val="fr-CA"/>
              </w:rPr>
              <w:t>Qc</w:t>
            </w:r>
            <w:proofErr w:type="spellEnd"/>
            <w:r w:rsidR="000E7C0E" w:rsidRPr="00EA1718">
              <w:rPr>
                <w:b/>
                <w:sz w:val="20"/>
                <w:szCs w:val="20"/>
                <w:lang w:val="fr-CA"/>
              </w:rPr>
              <w:t>)</w:t>
            </w:r>
          </w:p>
          <w:p w:rsidR="000E7C0E" w:rsidRPr="00EA1718" w:rsidRDefault="000E7C0E" w:rsidP="00EA1718">
            <w:pPr>
              <w:tabs>
                <w:tab w:val="left" w:pos="-1440"/>
                <w:tab w:val="left" w:pos="-720"/>
              </w:tabs>
              <w:rPr>
                <w:sz w:val="20"/>
                <w:szCs w:val="20"/>
                <w:lang w:val="fr-CA"/>
              </w:rPr>
            </w:pPr>
            <w:r w:rsidRPr="00EA1718">
              <w:rPr>
                <w:sz w:val="20"/>
                <w:szCs w:val="20"/>
                <w:lang w:val="fr-CA"/>
              </w:rPr>
              <w:tab/>
            </w:r>
            <w:r w:rsidR="00EA1718">
              <w:rPr>
                <w:sz w:val="20"/>
                <w:szCs w:val="20"/>
                <w:lang w:val="fr-CA"/>
              </w:rPr>
              <w:t>Daniel Royer</w:t>
            </w:r>
          </w:p>
          <w:p w:rsidR="000E7C0E" w:rsidRPr="00EA1718" w:rsidRDefault="000E7C0E" w:rsidP="00EA1718">
            <w:pPr>
              <w:tabs>
                <w:tab w:val="left" w:pos="-1440"/>
                <w:tab w:val="left" w:pos="-720"/>
              </w:tabs>
              <w:rPr>
                <w:sz w:val="20"/>
                <w:szCs w:val="20"/>
                <w:lang w:val="fr-CA"/>
              </w:rPr>
            </w:pPr>
            <w:r w:rsidRPr="00EA1718">
              <w:rPr>
                <w:sz w:val="20"/>
                <w:szCs w:val="20"/>
                <w:lang w:val="fr-CA"/>
              </w:rPr>
              <w:tab/>
            </w:r>
            <w:r w:rsidR="00EA1718">
              <w:rPr>
                <w:sz w:val="20"/>
                <w:szCs w:val="20"/>
                <w:lang w:val="fr-CA"/>
              </w:rPr>
              <w:t xml:space="preserve">Directeur des poursuites criminelles et </w:t>
            </w:r>
            <w:r w:rsidR="00EA1718">
              <w:rPr>
                <w:sz w:val="20"/>
                <w:szCs w:val="20"/>
                <w:lang w:val="fr-CA"/>
              </w:rPr>
              <w:tab/>
              <w:t>pénales du Québec</w:t>
            </w:r>
          </w:p>
          <w:p w:rsidR="000E7C0E" w:rsidRPr="00EA1718" w:rsidRDefault="000E7C0E" w:rsidP="00EA1718">
            <w:pPr>
              <w:tabs>
                <w:tab w:val="left" w:pos="-1440"/>
                <w:tab w:val="left" w:pos="-720"/>
              </w:tabs>
              <w:rPr>
                <w:sz w:val="20"/>
                <w:szCs w:val="20"/>
                <w:lang w:val="fr-CA"/>
              </w:rPr>
            </w:pPr>
          </w:p>
          <w:p w:rsidR="000E7C0E" w:rsidRPr="00EA1718" w:rsidRDefault="000E7C0E" w:rsidP="00EA1718">
            <w:pPr>
              <w:rPr>
                <w:sz w:val="20"/>
                <w:szCs w:val="20"/>
                <w:lang w:val="fr-CA"/>
              </w:rPr>
            </w:pPr>
            <w:r w:rsidRPr="00EA1718">
              <w:rPr>
                <w:sz w:val="20"/>
                <w:szCs w:val="20"/>
                <w:lang w:val="fr-CA"/>
              </w:rPr>
              <w:t>DATE</w:t>
            </w:r>
            <w:r w:rsidR="00EA1718" w:rsidRPr="00EA1718">
              <w:rPr>
                <w:sz w:val="20"/>
                <w:szCs w:val="20"/>
                <w:lang w:val="fr-CA"/>
              </w:rPr>
              <w:t xml:space="preserve"> DE PRODUCTION </w:t>
            </w:r>
            <w:r w:rsidRPr="00EA1718">
              <w:rPr>
                <w:sz w:val="20"/>
                <w:szCs w:val="20"/>
                <w:lang w:val="fr-CA"/>
              </w:rPr>
              <w:t>: 2</w:t>
            </w:r>
            <w:r w:rsidR="00EA1718" w:rsidRPr="00EA1718">
              <w:rPr>
                <w:sz w:val="20"/>
                <w:szCs w:val="20"/>
                <w:lang w:val="fr-CA"/>
              </w:rPr>
              <w:t>2</w:t>
            </w:r>
            <w:r w:rsidRPr="00EA1718">
              <w:rPr>
                <w:sz w:val="20"/>
                <w:szCs w:val="20"/>
                <w:lang w:val="fr-CA"/>
              </w:rPr>
              <w:t>.03.2013</w:t>
            </w:r>
          </w:p>
          <w:p w:rsidR="000E7C0E" w:rsidRPr="00EA1718" w:rsidRDefault="00BE6ED8" w:rsidP="00EA1718">
            <w:pPr>
              <w:rPr>
                <w:sz w:val="20"/>
                <w:szCs w:val="20"/>
                <w:lang w:val="fr-CA"/>
              </w:rPr>
            </w:pPr>
            <w:r w:rsidRPr="00BE6ED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0E7C0E" w:rsidRPr="00EA1718" w:rsidRDefault="000E7C0E" w:rsidP="00242AEE">
            <w:pPr>
              <w:jc w:val="center"/>
              <w:rPr>
                <w:sz w:val="20"/>
                <w:szCs w:val="20"/>
                <w:lang w:val="fr-CA"/>
              </w:rPr>
            </w:pPr>
          </w:p>
          <w:p w:rsidR="000E7C0E" w:rsidRPr="00EA1718" w:rsidRDefault="000E7C0E" w:rsidP="00242AEE">
            <w:pPr>
              <w:jc w:val="center"/>
              <w:rPr>
                <w:sz w:val="20"/>
                <w:szCs w:val="20"/>
                <w:lang w:val="fr-CA"/>
              </w:rPr>
            </w:pPr>
          </w:p>
          <w:p w:rsidR="000E7C0E" w:rsidRPr="00EA1718" w:rsidRDefault="000E7C0E" w:rsidP="00242AEE">
            <w:pPr>
              <w:jc w:val="center"/>
              <w:rPr>
                <w:sz w:val="20"/>
                <w:szCs w:val="20"/>
                <w:lang w:val="fr-CA"/>
              </w:rPr>
            </w:pPr>
          </w:p>
          <w:p w:rsidR="000E7C0E" w:rsidRPr="00EA1718" w:rsidRDefault="000E7C0E" w:rsidP="00242AEE">
            <w:pPr>
              <w:jc w:val="center"/>
              <w:rPr>
                <w:sz w:val="20"/>
                <w:szCs w:val="20"/>
                <w:lang w:val="fr-CA"/>
              </w:rPr>
            </w:pPr>
          </w:p>
          <w:p w:rsidR="000E7C0E" w:rsidRPr="00EA1718" w:rsidRDefault="000E7C0E" w:rsidP="00242AEE">
            <w:pPr>
              <w:jc w:val="center"/>
              <w:rPr>
                <w:sz w:val="20"/>
                <w:szCs w:val="20"/>
                <w:lang w:val="fr-CA"/>
              </w:rPr>
            </w:pPr>
          </w:p>
          <w:p w:rsidR="000E7C0E" w:rsidRPr="00EA1718" w:rsidRDefault="000E7C0E" w:rsidP="00242AEE">
            <w:pPr>
              <w:jc w:val="center"/>
              <w:rPr>
                <w:sz w:val="20"/>
                <w:szCs w:val="20"/>
                <w:lang w:val="fr-CA"/>
              </w:rPr>
            </w:pPr>
          </w:p>
          <w:p w:rsidR="000E7C0E" w:rsidRPr="00EA1718" w:rsidRDefault="000E7C0E" w:rsidP="00242AEE">
            <w:pPr>
              <w:jc w:val="center"/>
              <w:rPr>
                <w:sz w:val="20"/>
                <w:szCs w:val="20"/>
                <w:lang w:val="fr-CA"/>
              </w:rPr>
            </w:pPr>
          </w:p>
          <w:p w:rsidR="000E7C0E" w:rsidRPr="00EA1718" w:rsidRDefault="000E7C0E" w:rsidP="00242AEE">
            <w:pPr>
              <w:jc w:val="center"/>
              <w:rPr>
                <w:sz w:val="20"/>
                <w:szCs w:val="20"/>
                <w:lang w:val="fr-CA"/>
              </w:rPr>
            </w:pPr>
          </w:p>
          <w:p w:rsidR="000E7C0E" w:rsidRDefault="000E7C0E" w:rsidP="00242AEE">
            <w:pPr>
              <w:jc w:val="center"/>
              <w:rPr>
                <w:sz w:val="20"/>
                <w:szCs w:val="20"/>
                <w:lang w:val="fr-CA"/>
              </w:rPr>
            </w:pPr>
          </w:p>
          <w:p w:rsidR="00EA1718" w:rsidRPr="00EA1718" w:rsidRDefault="00EA1718" w:rsidP="00242AEE">
            <w:pPr>
              <w:jc w:val="center"/>
              <w:rPr>
                <w:sz w:val="20"/>
                <w:szCs w:val="20"/>
                <w:lang w:val="fr-CA"/>
              </w:rPr>
            </w:pPr>
          </w:p>
          <w:p w:rsidR="000E7C0E" w:rsidRPr="00EA1718" w:rsidRDefault="000E7C0E" w:rsidP="00242AEE">
            <w:pPr>
              <w:jc w:val="center"/>
              <w:rPr>
                <w:sz w:val="20"/>
                <w:szCs w:val="20"/>
                <w:lang w:val="fr-CA"/>
              </w:rPr>
            </w:pPr>
          </w:p>
          <w:p w:rsidR="000E7C0E" w:rsidRPr="00EA1718" w:rsidRDefault="000E7C0E" w:rsidP="00242AEE">
            <w:pPr>
              <w:jc w:val="center"/>
              <w:rPr>
                <w:sz w:val="20"/>
                <w:szCs w:val="20"/>
                <w:lang w:val="fr-CA"/>
              </w:rPr>
            </w:pPr>
          </w:p>
          <w:p w:rsidR="000E7C0E" w:rsidRPr="00EA1718" w:rsidRDefault="000E7C0E" w:rsidP="00242AEE">
            <w:pPr>
              <w:jc w:val="center"/>
              <w:rPr>
                <w:sz w:val="20"/>
                <w:szCs w:val="20"/>
                <w:lang w:val="fr-CA"/>
              </w:rPr>
            </w:pPr>
          </w:p>
          <w:p w:rsidR="000E7C0E" w:rsidRPr="00EA1718" w:rsidRDefault="000E7C0E" w:rsidP="00242AEE">
            <w:pPr>
              <w:jc w:val="center"/>
              <w:rPr>
                <w:sz w:val="20"/>
                <w:szCs w:val="20"/>
                <w:lang w:val="fr-CA"/>
              </w:rPr>
            </w:pPr>
          </w:p>
        </w:tc>
        <w:tc>
          <w:tcPr>
            <w:tcW w:w="4320" w:type="dxa"/>
            <w:shd w:val="clear" w:color="auto" w:fill="auto"/>
          </w:tcPr>
          <w:p w:rsidR="000E7C0E" w:rsidRPr="00EA1718" w:rsidRDefault="00EA1718" w:rsidP="00EA1718">
            <w:pPr>
              <w:keepNext/>
              <w:keepLines/>
              <w:tabs>
                <w:tab w:val="left" w:pos="-1440"/>
                <w:tab w:val="left" w:pos="-720"/>
              </w:tabs>
              <w:rPr>
                <w:b/>
                <w:sz w:val="20"/>
                <w:szCs w:val="20"/>
              </w:rPr>
            </w:pPr>
            <w:r w:rsidRPr="00EA1718">
              <w:rPr>
                <w:b/>
                <w:sz w:val="20"/>
                <w:szCs w:val="20"/>
              </w:rPr>
              <w:t>Leith Dewar</w:t>
            </w:r>
          </w:p>
          <w:p w:rsidR="000E7C0E" w:rsidRPr="00EA1718" w:rsidRDefault="000E7C0E" w:rsidP="00EA1718">
            <w:pPr>
              <w:keepNext/>
              <w:keepLines/>
              <w:tabs>
                <w:tab w:val="left" w:pos="-1440"/>
                <w:tab w:val="left" w:pos="-720"/>
              </w:tabs>
              <w:rPr>
                <w:sz w:val="20"/>
                <w:szCs w:val="20"/>
              </w:rPr>
            </w:pPr>
            <w:r w:rsidRPr="00EA1718">
              <w:rPr>
                <w:sz w:val="20"/>
                <w:szCs w:val="20"/>
              </w:rPr>
              <w:tab/>
            </w:r>
            <w:proofErr w:type="spellStart"/>
            <w:r w:rsidR="00EA1718" w:rsidRPr="00EA1718">
              <w:rPr>
                <w:sz w:val="20"/>
                <w:szCs w:val="20"/>
              </w:rPr>
              <w:t>Reynold</w:t>
            </w:r>
            <w:proofErr w:type="spellEnd"/>
            <w:r w:rsidR="00EA1718" w:rsidRPr="00EA1718">
              <w:rPr>
                <w:sz w:val="20"/>
                <w:szCs w:val="20"/>
              </w:rPr>
              <w:t xml:space="preserve"> A.J. Robertson, Q.C.</w:t>
            </w:r>
          </w:p>
          <w:p w:rsidR="000E7C0E" w:rsidRPr="00EA1718" w:rsidRDefault="000E7C0E" w:rsidP="00EA1718">
            <w:pPr>
              <w:keepNext/>
              <w:keepLines/>
              <w:tabs>
                <w:tab w:val="left" w:pos="-1440"/>
                <w:tab w:val="left" w:pos="-720"/>
              </w:tabs>
              <w:rPr>
                <w:sz w:val="20"/>
                <w:szCs w:val="20"/>
              </w:rPr>
            </w:pPr>
            <w:r w:rsidRPr="00EA1718">
              <w:rPr>
                <w:sz w:val="20"/>
                <w:szCs w:val="20"/>
              </w:rPr>
              <w:tab/>
            </w:r>
            <w:r w:rsidR="00EA1718">
              <w:rPr>
                <w:sz w:val="20"/>
                <w:szCs w:val="20"/>
              </w:rPr>
              <w:t>Robertson Stromberg LLP</w:t>
            </w:r>
          </w:p>
          <w:p w:rsidR="000E7C0E" w:rsidRPr="00EA1718" w:rsidRDefault="000E7C0E" w:rsidP="00EA1718">
            <w:pPr>
              <w:keepNext/>
              <w:keepLines/>
              <w:tabs>
                <w:tab w:val="left" w:pos="-1440"/>
                <w:tab w:val="left" w:pos="-720"/>
              </w:tabs>
              <w:rPr>
                <w:sz w:val="20"/>
                <w:szCs w:val="20"/>
              </w:rPr>
            </w:pPr>
          </w:p>
          <w:p w:rsidR="000E7C0E" w:rsidRPr="00EA1718" w:rsidRDefault="000E7C0E" w:rsidP="00EA1718">
            <w:pPr>
              <w:keepNext/>
              <w:keepLines/>
              <w:tabs>
                <w:tab w:val="left" w:pos="-1440"/>
                <w:tab w:val="left" w:pos="-720"/>
              </w:tabs>
              <w:rPr>
                <w:sz w:val="20"/>
                <w:szCs w:val="20"/>
              </w:rPr>
            </w:pPr>
            <w:r w:rsidRPr="00EA1718">
              <w:rPr>
                <w:sz w:val="20"/>
                <w:szCs w:val="20"/>
              </w:rPr>
              <w:tab/>
              <w:t>v. (35</w:t>
            </w:r>
            <w:r w:rsidR="00EA1718" w:rsidRPr="00EA1718">
              <w:rPr>
                <w:sz w:val="20"/>
                <w:szCs w:val="20"/>
              </w:rPr>
              <w:t>280</w:t>
            </w:r>
            <w:r w:rsidRPr="00EA1718">
              <w:rPr>
                <w:sz w:val="20"/>
                <w:szCs w:val="20"/>
              </w:rPr>
              <w:t>)</w:t>
            </w:r>
          </w:p>
          <w:p w:rsidR="000E7C0E" w:rsidRPr="00EA1718" w:rsidRDefault="000E7C0E" w:rsidP="00EA1718">
            <w:pPr>
              <w:keepNext/>
              <w:keepLines/>
              <w:tabs>
                <w:tab w:val="left" w:pos="-1440"/>
                <w:tab w:val="left" w:pos="-720"/>
              </w:tabs>
              <w:rPr>
                <w:sz w:val="20"/>
                <w:szCs w:val="20"/>
              </w:rPr>
            </w:pPr>
          </w:p>
          <w:p w:rsidR="000E7C0E" w:rsidRPr="00EA1718" w:rsidRDefault="00EA1718" w:rsidP="00EA1718">
            <w:pPr>
              <w:keepNext/>
              <w:keepLines/>
              <w:tabs>
                <w:tab w:val="left" w:pos="-1440"/>
                <w:tab w:val="left" w:pos="-720"/>
              </w:tabs>
              <w:rPr>
                <w:b/>
                <w:sz w:val="20"/>
                <w:szCs w:val="20"/>
              </w:rPr>
            </w:pPr>
            <w:r w:rsidRPr="00EA1718">
              <w:rPr>
                <w:b/>
                <w:sz w:val="20"/>
                <w:szCs w:val="20"/>
              </w:rPr>
              <w:t>Regina Qu’Appelle Regional Health Authority</w:t>
            </w:r>
            <w:r w:rsidR="000E7C0E" w:rsidRPr="00EA1718">
              <w:rPr>
                <w:b/>
                <w:sz w:val="20"/>
                <w:szCs w:val="20"/>
              </w:rPr>
              <w:t xml:space="preserve"> (</w:t>
            </w:r>
            <w:r w:rsidRPr="00EA1718">
              <w:rPr>
                <w:b/>
                <w:sz w:val="20"/>
                <w:szCs w:val="20"/>
              </w:rPr>
              <w:t>Sask</w:t>
            </w:r>
            <w:r w:rsidR="000E7C0E" w:rsidRPr="00EA1718">
              <w:rPr>
                <w:b/>
                <w:sz w:val="20"/>
                <w:szCs w:val="20"/>
              </w:rPr>
              <w:t>.)</w:t>
            </w:r>
          </w:p>
          <w:p w:rsidR="000E7C0E" w:rsidRPr="00EA1718" w:rsidRDefault="000E7C0E" w:rsidP="00EA1718">
            <w:pPr>
              <w:keepNext/>
              <w:keepLines/>
              <w:tabs>
                <w:tab w:val="left" w:pos="-1440"/>
                <w:tab w:val="left" w:pos="-720"/>
              </w:tabs>
              <w:rPr>
                <w:sz w:val="20"/>
                <w:szCs w:val="20"/>
              </w:rPr>
            </w:pPr>
            <w:r w:rsidRPr="00EA1718">
              <w:rPr>
                <w:sz w:val="20"/>
                <w:szCs w:val="20"/>
              </w:rPr>
              <w:tab/>
            </w:r>
            <w:r w:rsidR="00EA1718">
              <w:rPr>
                <w:sz w:val="20"/>
                <w:szCs w:val="20"/>
              </w:rPr>
              <w:t>Reginald A. Watson, Q.C.</w:t>
            </w:r>
          </w:p>
          <w:p w:rsidR="000E7C0E" w:rsidRPr="00EA1718" w:rsidRDefault="000E7C0E" w:rsidP="00EA1718">
            <w:pPr>
              <w:keepNext/>
              <w:keepLines/>
              <w:tabs>
                <w:tab w:val="left" w:pos="-1440"/>
                <w:tab w:val="left" w:pos="-720"/>
              </w:tabs>
              <w:rPr>
                <w:sz w:val="20"/>
                <w:szCs w:val="20"/>
              </w:rPr>
            </w:pPr>
            <w:r w:rsidRPr="00EA1718">
              <w:rPr>
                <w:sz w:val="20"/>
                <w:szCs w:val="20"/>
              </w:rPr>
              <w:tab/>
            </w:r>
            <w:r w:rsidR="0080547A">
              <w:rPr>
                <w:sz w:val="20"/>
                <w:szCs w:val="20"/>
              </w:rPr>
              <w:t>Miller Thompson LLP</w:t>
            </w:r>
          </w:p>
          <w:p w:rsidR="000E7C0E" w:rsidRPr="00EA1718" w:rsidRDefault="000E7C0E" w:rsidP="00EA1718">
            <w:pPr>
              <w:keepNext/>
              <w:keepLines/>
              <w:tabs>
                <w:tab w:val="left" w:pos="-1440"/>
                <w:tab w:val="left" w:pos="-720"/>
              </w:tabs>
              <w:rPr>
                <w:sz w:val="20"/>
                <w:szCs w:val="20"/>
              </w:rPr>
            </w:pPr>
          </w:p>
          <w:p w:rsidR="000E7C0E" w:rsidRPr="0080547A" w:rsidRDefault="000E7C0E" w:rsidP="0080547A">
            <w:pPr>
              <w:rPr>
                <w:sz w:val="20"/>
                <w:szCs w:val="20"/>
              </w:rPr>
            </w:pPr>
            <w:r w:rsidRPr="0080547A">
              <w:rPr>
                <w:sz w:val="20"/>
                <w:szCs w:val="20"/>
              </w:rPr>
              <w:t>FILING DATE: 2</w:t>
            </w:r>
            <w:r w:rsidR="0080547A" w:rsidRPr="0080547A">
              <w:rPr>
                <w:sz w:val="20"/>
                <w:szCs w:val="20"/>
              </w:rPr>
              <w:t>2</w:t>
            </w:r>
            <w:r w:rsidRPr="0080547A">
              <w:rPr>
                <w:sz w:val="20"/>
                <w:szCs w:val="20"/>
              </w:rPr>
              <w:t>.03.2013</w:t>
            </w:r>
            <w:r w:rsidR="00BE6ED8" w:rsidRPr="00BE6ED8">
              <w:rPr>
                <w:sz w:val="20"/>
                <w:szCs w:val="20"/>
                <w:lang w:val="fr-CA"/>
              </w:rPr>
              <w:pict>
                <v:rect id="_x0000_i1030" style="width:108pt;height:1pt" o:hrpct="0" o:hralign="center" o:hrstd="t" o:hrnoshade="t" o:hr="t" fillcolor="black [3213]" stroked="f"/>
              </w:pict>
            </w:r>
          </w:p>
        </w:tc>
      </w:tr>
      <w:tr w:rsidR="000E7C0E" w:rsidRPr="00A935AA" w:rsidTr="003B3977">
        <w:trPr>
          <w:cantSplit/>
        </w:trPr>
        <w:tc>
          <w:tcPr>
            <w:tcW w:w="4320" w:type="dxa"/>
            <w:shd w:val="clear" w:color="auto" w:fill="auto"/>
          </w:tcPr>
          <w:p w:rsidR="000E7C0E" w:rsidRPr="0080547A" w:rsidRDefault="0080547A" w:rsidP="00EA1718">
            <w:pPr>
              <w:rPr>
                <w:b/>
                <w:sz w:val="20"/>
                <w:szCs w:val="20"/>
                <w:lang w:val="fr-CA"/>
              </w:rPr>
            </w:pPr>
            <w:r w:rsidRPr="0080547A">
              <w:rPr>
                <w:b/>
                <w:sz w:val="20"/>
                <w:szCs w:val="20"/>
                <w:lang w:val="fr-CA"/>
              </w:rPr>
              <w:t>Alain Olivier</w:t>
            </w:r>
          </w:p>
          <w:p w:rsidR="000E7C0E" w:rsidRPr="0080547A" w:rsidRDefault="000E7C0E" w:rsidP="00EA1718">
            <w:pPr>
              <w:tabs>
                <w:tab w:val="left" w:pos="-1440"/>
                <w:tab w:val="left" w:pos="-720"/>
              </w:tabs>
              <w:rPr>
                <w:sz w:val="20"/>
                <w:szCs w:val="20"/>
                <w:lang w:val="fr-CA"/>
              </w:rPr>
            </w:pPr>
            <w:r w:rsidRPr="0080547A">
              <w:rPr>
                <w:sz w:val="20"/>
                <w:szCs w:val="20"/>
                <w:lang w:val="fr-CA"/>
              </w:rPr>
              <w:tab/>
            </w:r>
            <w:r w:rsidR="0080547A" w:rsidRPr="0080547A">
              <w:rPr>
                <w:sz w:val="20"/>
                <w:szCs w:val="20"/>
                <w:lang w:val="fr-CA"/>
              </w:rPr>
              <w:t>François Audet</w:t>
            </w:r>
          </w:p>
          <w:p w:rsidR="000E7C0E" w:rsidRPr="0080547A" w:rsidRDefault="000E7C0E" w:rsidP="00EA1718">
            <w:pPr>
              <w:tabs>
                <w:tab w:val="left" w:pos="-1440"/>
                <w:tab w:val="left" w:pos="-720"/>
              </w:tabs>
              <w:rPr>
                <w:sz w:val="20"/>
                <w:szCs w:val="20"/>
                <w:lang w:val="fr-CA"/>
              </w:rPr>
            </w:pPr>
            <w:r w:rsidRPr="0080547A">
              <w:rPr>
                <w:sz w:val="20"/>
                <w:szCs w:val="20"/>
                <w:lang w:val="fr-CA"/>
              </w:rPr>
              <w:tab/>
            </w:r>
            <w:r w:rsidR="0080547A" w:rsidRPr="0080547A">
              <w:rPr>
                <w:sz w:val="20"/>
                <w:szCs w:val="20"/>
                <w:lang w:val="fr-CA"/>
              </w:rPr>
              <w:t>Audet F.G. &amp; Associés</w:t>
            </w:r>
          </w:p>
          <w:p w:rsidR="000E7C0E" w:rsidRPr="0080547A" w:rsidRDefault="000E7C0E" w:rsidP="00EA1718">
            <w:pPr>
              <w:tabs>
                <w:tab w:val="left" w:pos="-1440"/>
                <w:tab w:val="left" w:pos="-720"/>
              </w:tabs>
              <w:rPr>
                <w:sz w:val="20"/>
                <w:szCs w:val="20"/>
                <w:lang w:val="fr-CA"/>
              </w:rPr>
            </w:pPr>
          </w:p>
          <w:p w:rsidR="000E7C0E" w:rsidRPr="0080547A" w:rsidRDefault="000E7C0E" w:rsidP="00EA1718">
            <w:pPr>
              <w:tabs>
                <w:tab w:val="left" w:pos="-1440"/>
                <w:tab w:val="left" w:pos="-720"/>
              </w:tabs>
              <w:rPr>
                <w:sz w:val="20"/>
                <w:szCs w:val="20"/>
              </w:rPr>
            </w:pPr>
            <w:r w:rsidRPr="0080547A">
              <w:rPr>
                <w:sz w:val="20"/>
                <w:szCs w:val="20"/>
                <w:lang w:val="fr-CA"/>
              </w:rPr>
              <w:tab/>
            </w:r>
            <w:r w:rsidRPr="0080547A">
              <w:rPr>
                <w:sz w:val="20"/>
                <w:szCs w:val="20"/>
              </w:rPr>
              <w:t>v. (35</w:t>
            </w:r>
            <w:r w:rsidR="0080547A" w:rsidRPr="0080547A">
              <w:rPr>
                <w:sz w:val="20"/>
                <w:szCs w:val="20"/>
              </w:rPr>
              <w:t>284</w:t>
            </w:r>
            <w:r w:rsidRPr="0080547A">
              <w:rPr>
                <w:sz w:val="20"/>
                <w:szCs w:val="20"/>
              </w:rPr>
              <w:t>)</w:t>
            </w:r>
          </w:p>
          <w:p w:rsidR="000E7C0E" w:rsidRPr="0080547A" w:rsidRDefault="000E7C0E" w:rsidP="00EA1718">
            <w:pPr>
              <w:tabs>
                <w:tab w:val="left" w:pos="-1440"/>
                <w:tab w:val="left" w:pos="-720"/>
              </w:tabs>
              <w:rPr>
                <w:sz w:val="20"/>
                <w:szCs w:val="20"/>
              </w:rPr>
            </w:pPr>
          </w:p>
          <w:p w:rsidR="000E7C0E" w:rsidRPr="0080547A" w:rsidRDefault="0080547A" w:rsidP="00EA1718">
            <w:pPr>
              <w:tabs>
                <w:tab w:val="left" w:pos="-1440"/>
                <w:tab w:val="left" w:pos="-720"/>
              </w:tabs>
              <w:rPr>
                <w:b/>
                <w:sz w:val="20"/>
                <w:szCs w:val="20"/>
              </w:rPr>
            </w:pPr>
            <w:r w:rsidRPr="0080547A">
              <w:rPr>
                <w:b/>
                <w:sz w:val="20"/>
                <w:szCs w:val="20"/>
              </w:rPr>
              <w:t>Attorney General of Canada et al.</w:t>
            </w:r>
            <w:r w:rsidR="000E7C0E" w:rsidRPr="0080547A">
              <w:rPr>
                <w:b/>
                <w:sz w:val="20"/>
                <w:szCs w:val="20"/>
              </w:rPr>
              <w:t xml:space="preserve"> (</w:t>
            </w:r>
            <w:r w:rsidR="00C56BC7">
              <w:rPr>
                <w:b/>
                <w:sz w:val="20"/>
                <w:szCs w:val="20"/>
              </w:rPr>
              <w:t>Que</w:t>
            </w:r>
            <w:r w:rsidR="000E7C0E" w:rsidRPr="0080547A">
              <w:rPr>
                <w:b/>
                <w:sz w:val="20"/>
                <w:szCs w:val="20"/>
              </w:rPr>
              <w:t>.)</w:t>
            </w:r>
          </w:p>
          <w:p w:rsidR="000E7C0E" w:rsidRPr="0080547A" w:rsidRDefault="000E7C0E" w:rsidP="00EA1718">
            <w:pPr>
              <w:tabs>
                <w:tab w:val="left" w:pos="-1440"/>
                <w:tab w:val="left" w:pos="-720"/>
              </w:tabs>
              <w:rPr>
                <w:sz w:val="20"/>
                <w:szCs w:val="20"/>
              </w:rPr>
            </w:pPr>
            <w:r w:rsidRPr="0080547A">
              <w:rPr>
                <w:sz w:val="20"/>
                <w:szCs w:val="20"/>
              </w:rPr>
              <w:tab/>
            </w:r>
            <w:r w:rsidR="0080547A">
              <w:rPr>
                <w:sz w:val="20"/>
                <w:szCs w:val="20"/>
              </w:rPr>
              <w:t>David Lucas</w:t>
            </w:r>
          </w:p>
          <w:p w:rsidR="000E7C0E" w:rsidRPr="0080547A" w:rsidRDefault="000E7C0E" w:rsidP="00EA1718">
            <w:pPr>
              <w:tabs>
                <w:tab w:val="left" w:pos="-1440"/>
                <w:tab w:val="left" w:pos="-720"/>
              </w:tabs>
              <w:rPr>
                <w:sz w:val="20"/>
                <w:szCs w:val="20"/>
              </w:rPr>
            </w:pPr>
            <w:r w:rsidRPr="0080547A">
              <w:rPr>
                <w:sz w:val="20"/>
                <w:szCs w:val="20"/>
              </w:rPr>
              <w:tab/>
            </w:r>
            <w:r w:rsidR="0080547A">
              <w:rPr>
                <w:sz w:val="20"/>
                <w:szCs w:val="20"/>
              </w:rPr>
              <w:t>A.G. of Canada</w:t>
            </w:r>
          </w:p>
          <w:p w:rsidR="000E7C0E" w:rsidRPr="0080547A" w:rsidRDefault="000E7C0E" w:rsidP="00EA1718">
            <w:pPr>
              <w:tabs>
                <w:tab w:val="left" w:pos="-1440"/>
                <w:tab w:val="left" w:pos="-720"/>
              </w:tabs>
              <w:rPr>
                <w:sz w:val="20"/>
                <w:szCs w:val="20"/>
              </w:rPr>
            </w:pPr>
          </w:p>
          <w:p w:rsidR="000E7C0E" w:rsidRPr="0080547A" w:rsidRDefault="000E7C0E" w:rsidP="00EA1718">
            <w:pPr>
              <w:rPr>
                <w:sz w:val="20"/>
                <w:szCs w:val="20"/>
              </w:rPr>
            </w:pPr>
            <w:r w:rsidRPr="0080547A">
              <w:rPr>
                <w:sz w:val="20"/>
                <w:szCs w:val="20"/>
              </w:rPr>
              <w:t>FILING DATE: 2</w:t>
            </w:r>
            <w:r w:rsidR="0080547A">
              <w:rPr>
                <w:sz w:val="20"/>
                <w:szCs w:val="20"/>
              </w:rPr>
              <w:t>2</w:t>
            </w:r>
            <w:r w:rsidRPr="0080547A">
              <w:rPr>
                <w:sz w:val="20"/>
                <w:szCs w:val="20"/>
              </w:rPr>
              <w:t>.03.2013</w:t>
            </w:r>
          </w:p>
          <w:p w:rsidR="000E7C0E" w:rsidRPr="0080547A" w:rsidRDefault="00BE6ED8" w:rsidP="00EA1718">
            <w:pPr>
              <w:rPr>
                <w:sz w:val="20"/>
                <w:szCs w:val="20"/>
              </w:rPr>
            </w:pPr>
            <w:r w:rsidRPr="00BE6ED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0E7C0E" w:rsidRPr="0080547A" w:rsidRDefault="000E7C0E" w:rsidP="00242AEE">
            <w:pPr>
              <w:jc w:val="center"/>
              <w:rPr>
                <w:sz w:val="20"/>
                <w:szCs w:val="20"/>
              </w:rPr>
            </w:pPr>
          </w:p>
          <w:p w:rsidR="000E7C0E" w:rsidRPr="0080547A" w:rsidRDefault="000E7C0E" w:rsidP="00242AEE">
            <w:pPr>
              <w:jc w:val="center"/>
              <w:rPr>
                <w:sz w:val="20"/>
                <w:szCs w:val="20"/>
              </w:rPr>
            </w:pPr>
          </w:p>
          <w:p w:rsidR="000E7C0E" w:rsidRPr="0080547A" w:rsidRDefault="000E7C0E" w:rsidP="00242AEE">
            <w:pPr>
              <w:jc w:val="center"/>
              <w:rPr>
                <w:sz w:val="20"/>
                <w:szCs w:val="20"/>
              </w:rPr>
            </w:pPr>
          </w:p>
          <w:p w:rsidR="000E7C0E" w:rsidRPr="0080547A" w:rsidRDefault="000E7C0E" w:rsidP="00242AEE">
            <w:pPr>
              <w:jc w:val="center"/>
              <w:rPr>
                <w:sz w:val="20"/>
                <w:szCs w:val="20"/>
              </w:rPr>
            </w:pPr>
          </w:p>
          <w:p w:rsidR="000E7C0E" w:rsidRPr="0080547A" w:rsidRDefault="000E7C0E" w:rsidP="00242AEE">
            <w:pPr>
              <w:jc w:val="center"/>
              <w:rPr>
                <w:sz w:val="20"/>
                <w:szCs w:val="20"/>
              </w:rPr>
            </w:pPr>
          </w:p>
          <w:p w:rsidR="000E7C0E" w:rsidRPr="0080547A" w:rsidRDefault="000E7C0E" w:rsidP="00242AEE">
            <w:pPr>
              <w:jc w:val="center"/>
              <w:rPr>
                <w:sz w:val="20"/>
                <w:szCs w:val="20"/>
              </w:rPr>
            </w:pPr>
          </w:p>
          <w:p w:rsidR="000E7C0E" w:rsidRPr="0080547A" w:rsidRDefault="000E7C0E" w:rsidP="00242AEE">
            <w:pPr>
              <w:jc w:val="center"/>
              <w:rPr>
                <w:sz w:val="20"/>
                <w:szCs w:val="20"/>
              </w:rPr>
            </w:pPr>
          </w:p>
          <w:p w:rsidR="000E7C0E" w:rsidRPr="0080547A" w:rsidRDefault="000E7C0E" w:rsidP="00242AEE">
            <w:pPr>
              <w:jc w:val="center"/>
              <w:rPr>
                <w:sz w:val="20"/>
                <w:szCs w:val="20"/>
              </w:rPr>
            </w:pPr>
          </w:p>
          <w:p w:rsidR="000E7C0E" w:rsidRPr="0080547A" w:rsidRDefault="000E7C0E" w:rsidP="00242AEE">
            <w:pPr>
              <w:jc w:val="center"/>
              <w:rPr>
                <w:sz w:val="20"/>
                <w:szCs w:val="20"/>
              </w:rPr>
            </w:pPr>
          </w:p>
          <w:p w:rsidR="000E7C0E" w:rsidRPr="0080547A" w:rsidRDefault="000E7C0E" w:rsidP="00242AEE">
            <w:pPr>
              <w:jc w:val="center"/>
              <w:rPr>
                <w:sz w:val="20"/>
                <w:szCs w:val="20"/>
              </w:rPr>
            </w:pPr>
          </w:p>
          <w:p w:rsidR="000E7C0E" w:rsidRPr="0080547A" w:rsidRDefault="000E7C0E" w:rsidP="00242AEE">
            <w:pPr>
              <w:jc w:val="center"/>
              <w:rPr>
                <w:sz w:val="20"/>
                <w:szCs w:val="20"/>
              </w:rPr>
            </w:pPr>
          </w:p>
          <w:p w:rsidR="000E7C0E" w:rsidRPr="0080547A" w:rsidRDefault="000E7C0E" w:rsidP="00242AEE">
            <w:pPr>
              <w:jc w:val="center"/>
              <w:rPr>
                <w:sz w:val="20"/>
                <w:szCs w:val="20"/>
              </w:rPr>
            </w:pPr>
          </w:p>
          <w:p w:rsidR="000E7C0E" w:rsidRPr="0080547A" w:rsidRDefault="000E7C0E" w:rsidP="00242AEE">
            <w:pPr>
              <w:jc w:val="center"/>
              <w:rPr>
                <w:sz w:val="20"/>
                <w:szCs w:val="20"/>
              </w:rPr>
            </w:pPr>
          </w:p>
        </w:tc>
        <w:tc>
          <w:tcPr>
            <w:tcW w:w="4320" w:type="dxa"/>
            <w:shd w:val="clear" w:color="auto" w:fill="auto"/>
          </w:tcPr>
          <w:p w:rsidR="000E7C0E" w:rsidRPr="0080547A" w:rsidRDefault="0080547A" w:rsidP="00EA1718">
            <w:pPr>
              <w:keepNext/>
              <w:keepLines/>
              <w:tabs>
                <w:tab w:val="left" w:pos="-1440"/>
                <w:tab w:val="left" w:pos="-720"/>
              </w:tabs>
              <w:rPr>
                <w:b/>
                <w:sz w:val="20"/>
                <w:szCs w:val="20"/>
              </w:rPr>
            </w:pPr>
            <w:r>
              <w:rPr>
                <w:b/>
                <w:sz w:val="20"/>
                <w:szCs w:val="20"/>
              </w:rPr>
              <w:t>Christian Martin</w:t>
            </w:r>
          </w:p>
          <w:p w:rsidR="000E7C0E" w:rsidRPr="0080547A" w:rsidRDefault="000E7C0E" w:rsidP="00EA1718">
            <w:pPr>
              <w:keepNext/>
              <w:keepLines/>
              <w:tabs>
                <w:tab w:val="left" w:pos="-1440"/>
                <w:tab w:val="left" w:pos="-720"/>
              </w:tabs>
              <w:rPr>
                <w:sz w:val="20"/>
                <w:szCs w:val="20"/>
              </w:rPr>
            </w:pPr>
            <w:r w:rsidRPr="0080547A">
              <w:rPr>
                <w:sz w:val="20"/>
                <w:szCs w:val="20"/>
              </w:rPr>
              <w:tab/>
            </w:r>
            <w:r w:rsidR="0080547A">
              <w:rPr>
                <w:sz w:val="20"/>
                <w:szCs w:val="20"/>
              </w:rPr>
              <w:t>Stephen Moreau</w:t>
            </w:r>
          </w:p>
          <w:p w:rsidR="000E7C0E" w:rsidRPr="0080547A" w:rsidRDefault="000E7C0E" w:rsidP="00EA1718">
            <w:pPr>
              <w:keepNext/>
              <w:keepLines/>
              <w:tabs>
                <w:tab w:val="left" w:pos="-1440"/>
                <w:tab w:val="left" w:pos="-720"/>
              </w:tabs>
              <w:rPr>
                <w:sz w:val="20"/>
                <w:szCs w:val="20"/>
              </w:rPr>
            </w:pPr>
            <w:r w:rsidRPr="0080547A">
              <w:rPr>
                <w:sz w:val="20"/>
                <w:szCs w:val="20"/>
              </w:rPr>
              <w:tab/>
            </w:r>
            <w:proofErr w:type="spellStart"/>
            <w:r w:rsidR="0080547A">
              <w:rPr>
                <w:sz w:val="20"/>
                <w:szCs w:val="20"/>
              </w:rPr>
              <w:t>Cavalluzzo</w:t>
            </w:r>
            <w:proofErr w:type="spellEnd"/>
            <w:r w:rsidR="0080547A">
              <w:rPr>
                <w:sz w:val="20"/>
                <w:szCs w:val="20"/>
              </w:rPr>
              <w:t xml:space="preserve"> </w:t>
            </w:r>
            <w:proofErr w:type="spellStart"/>
            <w:r w:rsidR="0080547A">
              <w:rPr>
                <w:sz w:val="20"/>
                <w:szCs w:val="20"/>
              </w:rPr>
              <w:t>Shilton</w:t>
            </w:r>
            <w:proofErr w:type="spellEnd"/>
            <w:r w:rsidR="0080547A">
              <w:rPr>
                <w:sz w:val="20"/>
                <w:szCs w:val="20"/>
              </w:rPr>
              <w:t xml:space="preserve"> McIntyre Cornish </w:t>
            </w:r>
            <w:r w:rsidR="0080547A">
              <w:rPr>
                <w:sz w:val="20"/>
                <w:szCs w:val="20"/>
              </w:rPr>
              <w:tab/>
              <w:t>LLP</w:t>
            </w:r>
          </w:p>
          <w:p w:rsidR="000E7C0E" w:rsidRPr="0080547A" w:rsidRDefault="000E7C0E" w:rsidP="00EA1718">
            <w:pPr>
              <w:keepNext/>
              <w:keepLines/>
              <w:tabs>
                <w:tab w:val="left" w:pos="-1440"/>
                <w:tab w:val="left" w:pos="-720"/>
              </w:tabs>
              <w:rPr>
                <w:sz w:val="20"/>
                <w:szCs w:val="20"/>
              </w:rPr>
            </w:pPr>
          </w:p>
          <w:p w:rsidR="000E7C0E" w:rsidRPr="0080547A" w:rsidRDefault="000E7C0E" w:rsidP="00EA1718">
            <w:pPr>
              <w:keepNext/>
              <w:keepLines/>
              <w:tabs>
                <w:tab w:val="left" w:pos="-1440"/>
                <w:tab w:val="left" w:pos="-720"/>
              </w:tabs>
              <w:rPr>
                <w:sz w:val="20"/>
                <w:szCs w:val="20"/>
              </w:rPr>
            </w:pPr>
            <w:r w:rsidRPr="0080547A">
              <w:rPr>
                <w:sz w:val="20"/>
                <w:szCs w:val="20"/>
              </w:rPr>
              <w:tab/>
              <w:t>v. (35</w:t>
            </w:r>
            <w:r w:rsidR="0080547A">
              <w:rPr>
                <w:sz w:val="20"/>
                <w:szCs w:val="20"/>
              </w:rPr>
              <w:t>281</w:t>
            </w:r>
            <w:r w:rsidRPr="0080547A">
              <w:rPr>
                <w:sz w:val="20"/>
                <w:szCs w:val="20"/>
              </w:rPr>
              <w:t>)</w:t>
            </w:r>
          </w:p>
          <w:p w:rsidR="000E7C0E" w:rsidRPr="0080547A" w:rsidRDefault="000E7C0E" w:rsidP="00EA1718">
            <w:pPr>
              <w:keepNext/>
              <w:keepLines/>
              <w:tabs>
                <w:tab w:val="left" w:pos="-1440"/>
                <w:tab w:val="left" w:pos="-720"/>
              </w:tabs>
              <w:rPr>
                <w:sz w:val="20"/>
                <w:szCs w:val="20"/>
              </w:rPr>
            </w:pPr>
          </w:p>
          <w:p w:rsidR="000E7C0E" w:rsidRPr="0080547A" w:rsidRDefault="0080547A" w:rsidP="00EA1718">
            <w:pPr>
              <w:keepNext/>
              <w:keepLines/>
              <w:tabs>
                <w:tab w:val="left" w:pos="-1440"/>
                <w:tab w:val="left" w:pos="-720"/>
              </w:tabs>
              <w:rPr>
                <w:b/>
                <w:sz w:val="20"/>
                <w:szCs w:val="20"/>
              </w:rPr>
            </w:pPr>
            <w:r>
              <w:rPr>
                <w:b/>
                <w:sz w:val="20"/>
                <w:szCs w:val="20"/>
              </w:rPr>
              <w:t>Attorney General of Canada</w:t>
            </w:r>
            <w:r w:rsidR="000E7C0E" w:rsidRPr="0080547A">
              <w:rPr>
                <w:b/>
                <w:sz w:val="20"/>
                <w:szCs w:val="20"/>
              </w:rPr>
              <w:t xml:space="preserve"> (</w:t>
            </w:r>
            <w:r w:rsidR="00C56BC7">
              <w:rPr>
                <w:b/>
                <w:sz w:val="20"/>
                <w:szCs w:val="20"/>
              </w:rPr>
              <w:t>F.C</w:t>
            </w:r>
            <w:r w:rsidR="000E7C0E" w:rsidRPr="0080547A">
              <w:rPr>
                <w:b/>
                <w:sz w:val="20"/>
                <w:szCs w:val="20"/>
              </w:rPr>
              <w:t>.)</w:t>
            </w:r>
          </w:p>
          <w:p w:rsidR="000E7C0E" w:rsidRPr="0080547A" w:rsidRDefault="000E7C0E" w:rsidP="00EA1718">
            <w:pPr>
              <w:keepNext/>
              <w:keepLines/>
              <w:tabs>
                <w:tab w:val="left" w:pos="-1440"/>
                <w:tab w:val="left" w:pos="-720"/>
              </w:tabs>
              <w:rPr>
                <w:sz w:val="20"/>
                <w:szCs w:val="20"/>
              </w:rPr>
            </w:pPr>
            <w:r w:rsidRPr="0080547A">
              <w:rPr>
                <w:sz w:val="20"/>
                <w:szCs w:val="20"/>
              </w:rPr>
              <w:tab/>
            </w:r>
            <w:r w:rsidR="0080547A">
              <w:rPr>
                <w:sz w:val="20"/>
                <w:szCs w:val="20"/>
              </w:rPr>
              <w:t>Nicole Butcher</w:t>
            </w:r>
          </w:p>
          <w:p w:rsidR="000E7C0E" w:rsidRPr="0080547A" w:rsidRDefault="000E7C0E" w:rsidP="00EA1718">
            <w:pPr>
              <w:keepNext/>
              <w:keepLines/>
              <w:tabs>
                <w:tab w:val="left" w:pos="-1440"/>
                <w:tab w:val="left" w:pos="-720"/>
              </w:tabs>
              <w:rPr>
                <w:sz w:val="20"/>
                <w:szCs w:val="20"/>
              </w:rPr>
            </w:pPr>
            <w:r w:rsidRPr="0080547A">
              <w:rPr>
                <w:sz w:val="20"/>
                <w:szCs w:val="20"/>
              </w:rPr>
              <w:tab/>
            </w:r>
            <w:r w:rsidR="0080547A">
              <w:rPr>
                <w:sz w:val="20"/>
                <w:szCs w:val="20"/>
              </w:rPr>
              <w:t>A.G. of Canada</w:t>
            </w:r>
          </w:p>
          <w:p w:rsidR="000E7C0E" w:rsidRPr="0080547A" w:rsidRDefault="000E7C0E" w:rsidP="00EA1718">
            <w:pPr>
              <w:keepNext/>
              <w:keepLines/>
              <w:tabs>
                <w:tab w:val="left" w:pos="-1440"/>
                <w:tab w:val="left" w:pos="-720"/>
              </w:tabs>
              <w:rPr>
                <w:sz w:val="20"/>
                <w:szCs w:val="20"/>
              </w:rPr>
            </w:pPr>
          </w:p>
          <w:p w:rsidR="000E7C0E" w:rsidRPr="00A935AA" w:rsidRDefault="000E7C0E" w:rsidP="0080547A">
            <w:pPr>
              <w:rPr>
                <w:sz w:val="20"/>
                <w:szCs w:val="20"/>
              </w:rPr>
            </w:pPr>
            <w:r w:rsidRPr="00A935AA">
              <w:rPr>
                <w:sz w:val="20"/>
                <w:szCs w:val="20"/>
              </w:rPr>
              <w:t>FILING DATE: 2</w:t>
            </w:r>
            <w:r w:rsidR="0080547A">
              <w:rPr>
                <w:sz w:val="20"/>
                <w:szCs w:val="20"/>
              </w:rPr>
              <w:t>5</w:t>
            </w:r>
            <w:r w:rsidRPr="00A935AA">
              <w:rPr>
                <w:sz w:val="20"/>
                <w:szCs w:val="20"/>
              </w:rPr>
              <w:t>.0</w:t>
            </w:r>
            <w:r>
              <w:rPr>
                <w:sz w:val="20"/>
                <w:szCs w:val="20"/>
              </w:rPr>
              <w:t>3</w:t>
            </w:r>
            <w:r w:rsidRPr="00A935AA">
              <w:rPr>
                <w:sz w:val="20"/>
                <w:szCs w:val="20"/>
              </w:rPr>
              <w:t>.201</w:t>
            </w:r>
            <w:r>
              <w:rPr>
                <w:sz w:val="20"/>
                <w:szCs w:val="20"/>
              </w:rPr>
              <w:t>3</w:t>
            </w:r>
            <w:r w:rsidR="00BE6ED8" w:rsidRPr="00BE6ED8">
              <w:rPr>
                <w:sz w:val="20"/>
                <w:szCs w:val="20"/>
                <w:lang w:val="fr-CA"/>
              </w:rPr>
              <w:pict>
                <v:rect id="_x0000_i1032" style="width:108pt;height:1pt" o:hrpct="0" o:hralign="center" o:hrstd="t" o:hrnoshade="t" o:hr="t" fillcolor="black [3213]" stroked="f"/>
              </w:pict>
            </w:r>
          </w:p>
        </w:tc>
      </w:tr>
      <w:tr w:rsidR="000E7C0E" w:rsidRPr="00A935AA" w:rsidTr="003B3977">
        <w:trPr>
          <w:cantSplit/>
        </w:trPr>
        <w:tc>
          <w:tcPr>
            <w:tcW w:w="4320" w:type="dxa"/>
            <w:shd w:val="clear" w:color="auto" w:fill="auto"/>
          </w:tcPr>
          <w:p w:rsidR="000E7C0E" w:rsidRPr="00A935AA" w:rsidRDefault="0080547A" w:rsidP="00EA1718">
            <w:pPr>
              <w:rPr>
                <w:b/>
                <w:sz w:val="20"/>
                <w:szCs w:val="20"/>
              </w:rPr>
            </w:pPr>
            <w:r>
              <w:rPr>
                <w:b/>
                <w:sz w:val="20"/>
                <w:szCs w:val="20"/>
              </w:rPr>
              <w:t>Edward Leonard Finley Hilts</w:t>
            </w:r>
          </w:p>
          <w:p w:rsidR="000E7C0E" w:rsidRPr="00A935AA" w:rsidRDefault="000E7C0E" w:rsidP="00EA1718">
            <w:pPr>
              <w:tabs>
                <w:tab w:val="left" w:pos="-1440"/>
                <w:tab w:val="left" w:pos="-720"/>
              </w:tabs>
              <w:rPr>
                <w:sz w:val="20"/>
                <w:szCs w:val="20"/>
              </w:rPr>
            </w:pPr>
            <w:r w:rsidRPr="00A935AA">
              <w:rPr>
                <w:sz w:val="20"/>
                <w:szCs w:val="20"/>
              </w:rPr>
              <w:tab/>
            </w:r>
            <w:r w:rsidR="0080547A">
              <w:rPr>
                <w:sz w:val="20"/>
                <w:szCs w:val="20"/>
              </w:rPr>
              <w:t xml:space="preserve">Eric </w:t>
            </w:r>
            <w:proofErr w:type="spellStart"/>
            <w:r w:rsidR="0080547A">
              <w:rPr>
                <w:sz w:val="20"/>
                <w:szCs w:val="20"/>
              </w:rPr>
              <w:t>Purtzki</w:t>
            </w:r>
            <w:proofErr w:type="spellEnd"/>
          </w:p>
          <w:p w:rsidR="000E7C0E" w:rsidRPr="00A935AA" w:rsidRDefault="000E7C0E" w:rsidP="00EA1718">
            <w:pPr>
              <w:tabs>
                <w:tab w:val="left" w:pos="-1440"/>
                <w:tab w:val="left" w:pos="-720"/>
              </w:tabs>
              <w:rPr>
                <w:sz w:val="20"/>
                <w:szCs w:val="20"/>
              </w:rPr>
            </w:pPr>
          </w:p>
          <w:p w:rsidR="000E7C0E" w:rsidRPr="00A935AA" w:rsidRDefault="000E7C0E" w:rsidP="00EA1718">
            <w:pPr>
              <w:tabs>
                <w:tab w:val="left" w:pos="-1440"/>
                <w:tab w:val="left" w:pos="-720"/>
              </w:tabs>
              <w:rPr>
                <w:sz w:val="20"/>
                <w:szCs w:val="20"/>
              </w:rPr>
            </w:pPr>
            <w:r w:rsidRPr="00A935AA">
              <w:rPr>
                <w:sz w:val="20"/>
                <w:szCs w:val="20"/>
              </w:rPr>
              <w:tab/>
              <w:t>v. (3</w:t>
            </w:r>
            <w:r>
              <w:rPr>
                <w:sz w:val="20"/>
                <w:szCs w:val="20"/>
              </w:rPr>
              <w:t>5</w:t>
            </w:r>
            <w:r w:rsidR="0080547A">
              <w:rPr>
                <w:sz w:val="20"/>
                <w:szCs w:val="20"/>
              </w:rPr>
              <w:t>243</w:t>
            </w:r>
            <w:r w:rsidRPr="00A935AA">
              <w:rPr>
                <w:sz w:val="20"/>
                <w:szCs w:val="20"/>
              </w:rPr>
              <w:t>)</w:t>
            </w:r>
          </w:p>
          <w:p w:rsidR="000E7C0E" w:rsidRPr="00A935AA" w:rsidRDefault="000E7C0E" w:rsidP="00EA1718">
            <w:pPr>
              <w:tabs>
                <w:tab w:val="left" w:pos="-1440"/>
                <w:tab w:val="left" w:pos="-720"/>
              </w:tabs>
              <w:rPr>
                <w:sz w:val="20"/>
                <w:szCs w:val="20"/>
              </w:rPr>
            </w:pPr>
          </w:p>
          <w:p w:rsidR="000E7C0E" w:rsidRPr="00A935AA" w:rsidRDefault="0080547A" w:rsidP="00EA1718">
            <w:pPr>
              <w:tabs>
                <w:tab w:val="left" w:pos="-1440"/>
                <w:tab w:val="left" w:pos="-720"/>
              </w:tabs>
              <w:rPr>
                <w:b/>
                <w:sz w:val="20"/>
                <w:szCs w:val="20"/>
              </w:rPr>
            </w:pPr>
            <w:r>
              <w:rPr>
                <w:b/>
                <w:sz w:val="20"/>
                <w:szCs w:val="20"/>
              </w:rPr>
              <w:t xml:space="preserve">Minister of Justice </w:t>
            </w:r>
            <w:r w:rsidR="000E7C0E" w:rsidRPr="00A935AA">
              <w:rPr>
                <w:b/>
                <w:sz w:val="20"/>
                <w:szCs w:val="20"/>
              </w:rPr>
              <w:t>(B.C.)</w:t>
            </w:r>
          </w:p>
          <w:p w:rsidR="000E7C0E" w:rsidRPr="00A935AA" w:rsidRDefault="000E7C0E" w:rsidP="00EA1718">
            <w:pPr>
              <w:tabs>
                <w:tab w:val="left" w:pos="-1440"/>
                <w:tab w:val="left" w:pos="-720"/>
              </w:tabs>
              <w:rPr>
                <w:sz w:val="20"/>
                <w:szCs w:val="20"/>
              </w:rPr>
            </w:pPr>
            <w:r w:rsidRPr="00A935AA">
              <w:rPr>
                <w:sz w:val="20"/>
                <w:szCs w:val="20"/>
              </w:rPr>
              <w:tab/>
            </w:r>
            <w:r w:rsidR="0080547A">
              <w:rPr>
                <w:sz w:val="20"/>
                <w:szCs w:val="20"/>
              </w:rPr>
              <w:t>John Gibb-</w:t>
            </w:r>
            <w:proofErr w:type="spellStart"/>
            <w:r w:rsidR="0080547A">
              <w:rPr>
                <w:sz w:val="20"/>
                <w:szCs w:val="20"/>
              </w:rPr>
              <w:t>Carsley</w:t>
            </w:r>
            <w:proofErr w:type="spellEnd"/>
          </w:p>
          <w:p w:rsidR="000E7C0E" w:rsidRPr="00A935AA" w:rsidRDefault="000E7C0E" w:rsidP="00EA1718">
            <w:pPr>
              <w:tabs>
                <w:tab w:val="left" w:pos="-1440"/>
                <w:tab w:val="left" w:pos="-720"/>
              </w:tabs>
              <w:rPr>
                <w:sz w:val="20"/>
                <w:szCs w:val="20"/>
              </w:rPr>
            </w:pPr>
            <w:r w:rsidRPr="00A935AA">
              <w:rPr>
                <w:sz w:val="20"/>
                <w:szCs w:val="20"/>
              </w:rPr>
              <w:tab/>
            </w:r>
            <w:r w:rsidR="0080547A">
              <w:rPr>
                <w:sz w:val="20"/>
                <w:szCs w:val="20"/>
              </w:rPr>
              <w:t>A.G. of Canada</w:t>
            </w:r>
          </w:p>
          <w:p w:rsidR="000E7C0E" w:rsidRPr="00A935AA" w:rsidRDefault="000E7C0E" w:rsidP="00EA1718">
            <w:pPr>
              <w:tabs>
                <w:tab w:val="left" w:pos="-1440"/>
                <w:tab w:val="left" w:pos="-720"/>
              </w:tabs>
              <w:rPr>
                <w:sz w:val="20"/>
                <w:szCs w:val="20"/>
              </w:rPr>
            </w:pPr>
          </w:p>
          <w:p w:rsidR="000E7C0E" w:rsidRPr="00A935AA" w:rsidRDefault="000E7C0E" w:rsidP="00EA1718">
            <w:pPr>
              <w:rPr>
                <w:sz w:val="20"/>
                <w:szCs w:val="20"/>
              </w:rPr>
            </w:pPr>
            <w:r w:rsidRPr="00A935AA">
              <w:rPr>
                <w:sz w:val="20"/>
                <w:szCs w:val="20"/>
              </w:rPr>
              <w:t>FILING DATE: 2</w:t>
            </w:r>
            <w:r w:rsidR="0080547A">
              <w:rPr>
                <w:sz w:val="20"/>
                <w:szCs w:val="20"/>
              </w:rPr>
              <w:t>6</w:t>
            </w:r>
            <w:r w:rsidRPr="00A935AA">
              <w:rPr>
                <w:sz w:val="20"/>
                <w:szCs w:val="20"/>
              </w:rPr>
              <w:t>.0</w:t>
            </w:r>
            <w:r>
              <w:rPr>
                <w:sz w:val="20"/>
                <w:szCs w:val="20"/>
              </w:rPr>
              <w:t>3</w:t>
            </w:r>
            <w:r w:rsidRPr="00A935AA">
              <w:rPr>
                <w:sz w:val="20"/>
                <w:szCs w:val="20"/>
              </w:rPr>
              <w:t>.201</w:t>
            </w:r>
            <w:r>
              <w:rPr>
                <w:sz w:val="20"/>
                <w:szCs w:val="20"/>
              </w:rPr>
              <w:t>3</w:t>
            </w:r>
          </w:p>
          <w:p w:rsidR="000E7C0E" w:rsidRPr="00A935AA" w:rsidRDefault="00BE6ED8" w:rsidP="00EA1718">
            <w:pPr>
              <w:rPr>
                <w:sz w:val="20"/>
                <w:szCs w:val="20"/>
              </w:rPr>
            </w:pPr>
            <w:r w:rsidRPr="00BE6ED8">
              <w:rPr>
                <w:sz w:val="20"/>
                <w:szCs w:val="20"/>
                <w:lang w:val="fr-CA"/>
              </w:rPr>
              <w:pict>
                <v:rect id="_x0000_i1033" style="width:108pt;height:1pt" o:hrpct="0" o:hralign="center" o:hrstd="t" o:hrnoshade="t" o:hr="t" fillcolor="black [3213]" stroked="f"/>
              </w:pict>
            </w:r>
          </w:p>
        </w:tc>
        <w:tc>
          <w:tcPr>
            <w:tcW w:w="1181" w:type="dxa"/>
            <w:shd w:val="clear" w:color="auto" w:fill="auto"/>
          </w:tcPr>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tc>
        <w:tc>
          <w:tcPr>
            <w:tcW w:w="4320" w:type="dxa"/>
            <w:shd w:val="clear" w:color="auto" w:fill="auto"/>
          </w:tcPr>
          <w:p w:rsidR="000E7C0E" w:rsidRPr="0080547A" w:rsidRDefault="0080547A" w:rsidP="00EA1718">
            <w:pPr>
              <w:keepNext/>
              <w:keepLines/>
              <w:tabs>
                <w:tab w:val="left" w:pos="-1440"/>
                <w:tab w:val="left" w:pos="-720"/>
              </w:tabs>
              <w:rPr>
                <w:b/>
                <w:sz w:val="20"/>
                <w:szCs w:val="20"/>
                <w:lang w:val="fr-CA"/>
              </w:rPr>
            </w:pPr>
            <w:r w:rsidRPr="0080547A">
              <w:rPr>
                <w:b/>
                <w:sz w:val="20"/>
                <w:szCs w:val="20"/>
                <w:lang w:val="fr-CA"/>
              </w:rPr>
              <w:t>Maria Villanueva-Vera et al.</w:t>
            </w:r>
          </w:p>
          <w:p w:rsidR="000E7C0E" w:rsidRPr="00BB40E6" w:rsidRDefault="000E7C0E" w:rsidP="00EA1718">
            <w:pPr>
              <w:keepNext/>
              <w:keepLines/>
              <w:tabs>
                <w:tab w:val="left" w:pos="-1440"/>
                <w:tab w:val="left" w:pos="-720"/>
              </w:tabs>
              <w:rPr>
                <w:sz w:val="20"/>
                <w:szCs w:val="20"/>
              </w:rPr>
            </w:pPr>
            <w:r w:rsidRPr="0080547A">
              <w:rPr>
                <w:sz w:val="20"/>
                <w:szCs w:val="20"/>
                <w:lang w:val="fr-CA"/>
              </w:rPr>
              <w:tab/>
            </w:r>
            <w:r w:rsidR="0080547A" w:rsidRPr="00BB40E6">
              <w:rPr>
                <w:sz w:val="20"/>
                <w:szCs w:val="20"/>
              </w:rPr>
              <w:t xml:space="preserve">Paul B. </w:t>
            </w:r>
            <w:proofErr w:type="spellStart"/>
            <w:r w:rsidR="0080547A" w:rsidRPr="00BB40E6">
              <w:rPr>
                <w:sz w:val="20"/>
                <w:szCs w:val="20"/>
              </w:rPr>
              <w:t>Slansky</w:t>
            </w:r>
            <w:proofErr w:type="spellEnd"/>
          </w:p>
          <w:p w:rsidR="000E7C0E" w:rsidRPr="00BB40E6" w:rsidRDefault="000E7C0E" w:rsidP="00EA1718">
            <w:pPr>
              <w:keepNext/>
              <w:keepLines/>
              <w:tabs>
                <w:tab w:val="left" w:pos="-1440"/>
                <w:tab w:val="left" w:pos="-720"/>
              </w:tabs>
              <w:rPr>
                <w:sz w:val="20"/>
                <w:szCs w:val="20"/>
              </w:rPr>
            </w:pPr>
          </w:p>
          <w:p w:rsidR="000E7C0E" w:rsidRPr="0080547A" w:rsidRDefault="000E7C0E" w:rsidP="00EA1718">
            <w:pPr>
              <w:keepNext/>
              <w:keepLines/>
              <w:tabs>
                <w:tab w:val="left" w:pos="-1440"/>
                <w:tab w:val="left" w:pos="-720"/>
              </w:tabs>
              <w:rPr>
                <w:sz w:val="20"/>
                <w:szCs w:val="20"/>
              </w:rPr>
            </w:pPr>
            <w:r w:rsidRPr="00BB40E6">
              <w:rPr>
                <w:sz w:val="20"/>
                <w:szCs w:val="20"/>
              </w:rPr>
              <w:tab/>
            </w:r>
            <w:r w:rsidRPr="0080547A">
              <w:rPr>
                <w:sz w:val="20"/>
                <w:szCs w:val="20"/>
              </w:rPr>
              <w:t>v. (35</w:t>
            </w:r>
            <w:r w:rsidR="0080547A">
              <w:rPr>
                <w:sz w:val="20"/>
                <w:szCs w:val="20"/>
              </w:rPr>
              <w:t>045</w:t>
            </w:r>
            <w:r w:rsidRPr="0080547A">
              <w:rPr>
                <w:sz w:val="20"/>
                <w:szCs w:val="20"/>
              </w:rPr>
              <w:t>)</w:t>
            </w:r>
          </w:p>
          <w:p w:rsidR="000E7C0E" w:rsidRPr="0080547A" w:rsidRDefault="000E7C0E" w:rsidP="00EA1718">
            <w:pPr>
              <w:keepNext/>
              <w:keepLines/>
              <w:tabs>
                <w:tab w:val="left" w:pos="-1440"/>
                <w:tab w:val="left" w:pos="-720"/>
              </w:tabs>
              <w:rPr>
                <w:sz w:val="20"/>
                <w:szCs w:val="20"/>
              </w:rPr>
            </w:pPr>
          </w:p>
          <w:p w:rsidR="000E7C0E" w:rsidRPr="0080547A" w:rsidRDefault="0080547A" w:rsidP="00EA1718">
            <w:pPr>
              <w:keepNext/>
              <w:keepLines/>
              <w:tabs>
                <w:tab w:val="left" w:pos="-1440"/>
                <w:tab w:val="left" w:pos="-720"/>
              </w:tabs>
              <w:rPr>
                <w:b/>
                <w:sz w:val="20"/>
                <w:szCs w:val="20"/>
              </w:rPr>
            </w:pPr>
            <w:r>
              <w:rPr>
                <w:b/>
                <w:sz w:val="20"/>
                <w:szCs w:val="20"/>
              </w:rPr>
              <w:t>Minister of Justice</w:t>
            </w:r>
            <w:r w:rsidR="000E7C0E" w:rsidRPr="0080547A">
              <w:rPr>
                <w:b/>
                <w:sz w:val="20"/>
                <w:szCs w:val="20"/>
              </w:rPr>
              <w:t xml:space="preserve"> (Ont.)</w:t>
            </w:r>
          </w:p>
          <w:p w:rsidR="000E7C0E" w:rsidRPr="0080547A" w:rsidRDefault="000E7C0E" w:rsidP="00EA1718">
            <w:pPr>
              <w:keepNext/>
              <w:keepLines/>
              <w:tabs>
                <w:tab w:val="left" w:pos="-1440"/>
                <w:tab w:val="left" w:pos="-720"/>
              </w:tabs>
              <w:rPr>
                <w:sz w:val="20"/>
                <w:szCs w:val="20"/>
              </w:rPr>
            </w:pPr>
            <w:r w:rsidRPr="0080547A">
              <w:rPr>
                <w:sz w:val="20"/>
                <w:szCs w:val="20"/>
              </w:rPr>
              <w:tab/>
            </w:r>
            <w:proofErr w:type="spellStart"/>
            <w:r w:rsidR="0080547A">
              <w:rPr>
                <w:sz w:val="20"/>
                <w:szCs w:val="20"/>
              </w:rPr>
              <w:t>Moiz</w:t>
            </w:r>
            <w:proofErr w:type="spellEnd"/>
            <w:r w:rsidR="0080547A">
              <w:rPr>
                <w:sz w:val="20"/>
                <w:szCs w:val="20"/>
              </w:rPr>
              <w:t xml:space="preserve"> </w:t>
            </w:r>
            <w:proofErr w:type="spellStart"/>
            <w:r w:rsidR="0080547A">
              <w:rPr>
                <w:sz w:val="20"/>
                <w:szCs w:val="20"/>
              </w:rPr>
              <w:t>Rahman</w:t>
            </w:r>
            <w:proofErr w:type="spellEnd"/>
          </w:p>
          <w:p w:rsidR="000E7C0E" w:rsidRPr="0080547A" w:rsidRDefault="000E7C0E" w:rsidP="00EA1718">
            <w:pPr>
              <w:keepNext/>
              <w:keepLines/>
              <w:tabs>
                <w:tab w:val="left" w:pos="-1440"/>
                <w:tab w:val="left" w:pos="-720"/>
              </w:tabs>
              <w:rPr>
                <w:sz w:val="20"/>
                <w:szCs w:val="20"/>
              </w:rPr>
            </w:pPr>
            <w:r w:rsidRPr="0080547A">
              <w:rPr>
                <w:sz w:val="20"/>
                <w:szCs w:val="20"/>
              </w:rPr>
              <w:tab/>
            </w:r>
            <w:r w:rsidR="0080547A">
              <w:rPr>
                <w:sz w:val="20"/>
                <w:szCs w:val="20"/>
              </w:rPr>
              <w:t>A.G. of Canada</w:t>
            </w:r>
          </w:p>
          <w:p w:rsidR="000E7C0E" w:rsidRPr="0080547A" w:rsidRDefault="000E7C0E" w:rsidP="00EA1718">
            <w:pPr>
              <w:keepNext/>
              <w:keepLines/>
              <w:tabs>
                <w:tab w:val="left" w:pos="-1440"/>
                <w:tab w:val="left" w:pos="-720"/>
              </w:tabs>
              <w:rPr>
                <w:sz w:val="20"/>
                <w:szCs w:val="20"/>
              </w:rPr>
            </w:pPr>
          </w:p>
          <w:p w:rsidR="000E7C0E" w:rsidRPr="00A935AA" w:rsidRDefault="000E7C0E" w:rsidP="0080547A">
            <w:pPr>
              <w:rPr>
                <w:sz w:val="20"/>
                <w:szCs w:val="20"/>
              </w:rPr>
            </w:pPr>
            <w:r w:rsidRPr="00A935AA">
              <w:rPr>
                <w:sz w:val="20"/>
                <w:szCs w:val="20"/>
              </w:rPr>
              <w:t>FILING DATE: 2</w:t>
            </w:r>
            <w:r w:rsidR="0080547A">
              <w:rPr>
                <w:sz w:val="20"/>
                <w:szCs w:val="20"/>
              </w:rPr>
              <w:t>7</w:t>
            </w:r>
            <w:r w:rsidRPr="00A935AA">
              <w:rPr>
                <w:sz w:val="20"/>
                <w:szCs w:val="20"/>
              </w:rPr>
              <w:t>.0</w:t>
            </w:r>
            <w:r>
              <w:rPr>
                <w:sz w:val="20"/>
                <w:szCs w:val="20"/>
              </w:rPr>
              <w:t>3</w:t>
            </w:r>
            <w:r w:rsidRPr="00A935AA">
              <w:rPr>
                <w:sz w:val="20"/>
                <w:szCs w:val="20"/>
              </w:rPr>
              <w:t>.201</w:t>
            </w:r>
            <w:r>
              <w:rPr>
                <w:sz w:val="20"/>
                <w:szCs w:val="20"/>
              </w:rPr>
              <w:t>3</w:t>
            </w:r>
            <w:r w:rsidR="00BE6ED8" w:rsidRPr="00BE6ED8">
              <w:rPr>
                <w:sz w:val="20"/>
                <w:szCs w:val="20"/>
                <w:lang w:val="fr-CA"/>
              </w:rPr>
              <w:pict>
                <v:rect id="_x0000_i1034" style="width:108pt;height:1pt" o:hrpct="0" o:hralign="center" o:hrstd="t" o:hrnoshade="t" o:hr="t" fillcolor="black [3213]" stroked="f"/>
              </w:pict>
            </w:r>
          </w:p>
        </w:tc>
      </w:tr>
      <w:tr w:rsidR="000E7C0E" w:rsidRPr="00ED1143" w:rsidTr="003B3977">
        <w:trPr>
          <w:cantSplit/>
        </w:trPr>
        <w:tc>
          <w:tcPr>
            <w:tcW w:w="4320" w:type="dxa"/>
            <w:shd w:val="clear" w:color="auto" w:fill="auto"/>
          </w:tcPr>
          <w:p w:rsidR="000E7C0E" w:rsidRPr="00A935AA" w:rsidRDefault="0080547A" w:rsidP="00EA1718">
            <w:pPr>
              <w:rPr>
                <w:b/>
                <w:sz w:val="20"/>
                <w:szCs w:val="20"/>
              </w:rPr>
            </w:pPr>
            <w:r>
              <w:rPr>
                <w:b/>
                <w:sz w:val="20"/>
                <w:szCs w:val="20"/>
              </w:rPr>
              <w:t>Thomas Percy Tupper</w:t>
            </w:r>
          </w:p>
          <w:p w:rsidR="000E7C0E" w:rsidRPr="00A935AA" w:rsidRDefault="000E7C0E" w:rsidP="00EA1718">
            <w:pPr>
              <w:tabs>
                <w:tab w:val="left" w:pos="-1440"/>
                <w:tab w:val="left" w:pos="-720"/>
              </w:tabs>
              <w:rPr>
                <w:sz w:val="20"/>
                <w:szCs w:val="20"/>
              </w:rPr>
            </w:pPr>
            <w:r w:rsidRPr="00A935AA">
              <w:rPr>
                <w:sz w:val="20"/>
                <w:szCs w:val="20"/>
              </w:rPr>
              <w:tab/>
            </w:r>
            <w:r w:rsidR="00ED1143">
              <w:rPr>
                <w:sz w:val="20"/>
                <w:szCs w:val="20"/>
              </w:rPr>
              <w:t>Thomas Percy Tupper</w:t>
            </w:r>
          </w:p>
          <w:p w:rsidR="000E7C0E" w:rsidRPr="00A935AA" w:rsidRDefault="000E7C0E" w:rsidP="00EA1718">
            <w:pPr>
              <w:tabs>
                <w:tab w:val="left" w:pos="-1440"/>
                <w:tab w:val="left" w:pos="-720"/>
              </w:tabs>
              <w:rPr>
                <w:sz w:val="20"/>
                <w:szCs w:val="20"/>
              </w:rPr>
            </w:pPr>
          </w:p>
          <w:p w:rsidR="000E7C0E" w:rsidRPr="00A935AA" w:rsidRDefault="000E7C0E" w:rsidP="00EA1718">
            <w:pPr>
              <w:tabs>
                <w:tab w:val="left" w:pos="-1440"/>
                <w:tab w:val="left" w:pos="-720"/>
              </w:tabs>
              <w:rPr>
                <w:sz w:val="20"/>
                <w:szCs w:val="20"/>
              </w:rPr>
            </w:pPr>
            <w:r w:rsidRPr="00A935AA">
              <w:rPr>
                <w:sz w:val="20"/>
                <w:szCs w:val="20"/>
              </w:rPr>
              <w:tab/>
              <w:t>v. (3</w:t>
            </w:r>
            <w:r>
              <w:rPr>
                <w:sz w:val="20"/>
                <w:szCs w:val="20"/>
              </w:rPr>
              <w:t>5</w:t>
            </w:r>
            <w:r w:rsidR="00ED1143">
              <w:rPr>
                <w:sz w:val="20"/>
                <w:szCs w:val="20"/>
              </w:rPr>
              <w:t>292</w:t>
            </w:r>
            <w:r w:rsidRPr="00A935AA">
              <w:rPr>
                <w:sz w:val="20"/>
                <w:szCs w:val="20"/>
              </w:rPr>
              <w:t>)</w:t>
            </w:r>
          </w:p>
          <w:p w:rsidR="000E7C0E" w:rsidRPr="00A935AA" w:rsidRDefault="000E7C0E" w:rsidP="00EA1718">
            <w:pPr>
              <w:tabs>
                <w:tab w:val="left" w:pos="-1440"/>
                <w:tab w:val="left" w:pos="-720"/>
              </w:tabs>
              <w:rPr>
                <w:sz w:val="20"/>
                <w:szCs w:val="20"/>
              </w:rPr>
            </w:pPr>
          </w:p>
          <w:p w:rsidR="000E7C0E" w:rsidRPr="00A935AA" w:rsidRDefault="00ED1143" w:rsidP="00EA1718">
            <w:pPr>
              <w:tabs>
                <w:tab w:val="left" w:pos="-1440"/>
                <w:tab w:val="left" w:pos="-720"/>
              </w:tabs>
              <w:rPr>
                <w:b/>
                <w:sz w:val="20"/>
                <w:szCs w:val="20"/>
              </w:rPr>
            </w:pPr>
            <w:r>
              <w:rPr>
                <w:b/>
                <w:sz w:val="20"/>
                <w:szCs w:val="20"/>
              </w:rPr>
              <w:t>Nova Scotia Barrister’s Society (Tribunal) et al.</w:t>
            </w:r>
            <w:r w:rsidR="000E7C0E" w:rsidRPr="00A935AA">
              <w:rPr>
                <w:b/>
                <w:sz w:val="20"/>
                <w:szCs w:val="20"/>
              </w:rPr>
              <w:t xml:space="preserve"> (</w:t>
            </w:r>
            <w:r>
              <w:rPr>
                <w:b/>
                <w:sz w:val="20"/>
                <w:szCs w:val="20"/>
              </w:rPr>
              <w:t>N</w:t>
            </w:r>
            <w:r w:rsidR="000E7C0E" w:rsidRPr="00A935AA">
              <w:rPr>
                <w:b/>
                <w:sz w:val="20"/>
                <w:szCs w:val="20"/>
              </w:rPr>
              <w:t>.</w:t>
            </w:r>
            <w:r>
              <w:rPr>
                <w:b/>
                <w:sz w:val="20"/>
                <w:szCs w:val="20"/>
              </w:rPr>
              <w:t>S</w:t>
            </w:r>
            <w:r w:rsidR="000E7C0E" w:rsidRPr="00A935AA">
              <w:rPr>
                <w:b/>
                <w:sz w:val="20"/>
                <w:szCs w:val="20"/>
              </w:rPr>
              <w:t>.)</w:t>
            </w:r>
          </w:p>
          <w:p w:rsidR="000E7C0E" w:rsidRPr="00A935AA" w:rsidRDefault="000E7C0E" w:rsidP="00EA1718">
            <w:pPr>
              <w:tabs>
                <w:tab w:val="left" w:pos="-1440"/>
                <w:tab w:val="left" w:pos="-720"/>
              </w:tabs>
              <w:rPr>
                <w:sz w:val="20"/>
                <w:szCs w:val="20"/>
              </w:rPr>
            </w:pPr>
            <w:r w:rsidRPr="00A935AA">
              <w:rPr>
                <w:sz w:val="20"/>
                <w:szCs w:val="20"/>
              </w:rPr>
              <w:tab/>
            </w:r>
            <w:r w:rsidR="00ED1143">
              <w:rPr>
                <w:sz w:val="20"/>
                <w:szCs w:val="20"/>
              </w:rPr>
              <w:t>Raymond F. Larkin, Q.C.</w:t>
            </w:r>
          </w:p>
          <w:p w:rsidR="000E7C0E" w:rsidRPr="00A935AA" w:rsidRDefault="000E7C0E" w:rsidP="00EA1718">
            <w:pPr>
              <w:tabs>
                <w:tab w:val="left" w:pos="-1440"/>
                <w:tab w:val="left" w:pos="-720"/>
              </w:tabs>
              <w:rPr>
                <w:sz w:val="20"/>
                <w:szCs w:val="20"/>
              </w:rPr>
            </w:pPr>
            <w:r w:rsidRPr="00A935AA">
              <w:rPr>
                <w:sz w:val="20"/>
                <w:szCs w:val="20"/>
              </w:rPr>
              <w:tab/>
            </w:r>
            <w:r w:rsidR="00ED1143">
              <w:rPr>
                <w:sz w:val="20"/>
                <w:szCs w:val="20"/>
              </w:rPr>
              <w:t>Pink, Larkin</w:t>
            </w:r>
          </w:p>
          <w:p w:rsidR="000E7C0E" w:rsidRPr="00A935AA" w:rsidRDefault="000E7C0E" w:rsidP="00EA1718">
            <w:pPr>
              <w:tabs>
                <w:tab w:val="left" w:pos="-1440"/>
                <w:tab w:val="left" w:pos="-720"/>
              </w:tabs>
              <w:rPr>
                <w:sz w:val="20"/>
                <w:szCs w:val="20"/>
              </w:rPr>
            </w:pPr>
          </w:p>
          <w:p w:rsidR="000E7C0E" w:rsidRPr="00A935AA" w:rsidRDefault="000E7C0E" w:rsidP="00EA1718">
            <w:pPr>
              <w:rPr>
                <w:sz w:val="20"/>
                <w:szCs w:val="20"/>
              </w:rPr>
            </w:pPr>
            <w:r w:rsidRPr="00A935AA">
              <w:rPr>
                <w:sz w:val="20"/>
                <w:szCs w:val="20"/>
              </w:rPr>
              <w:t>FILING DATE: 27.0</w:t>
            </w:r>
            <w:r>
              <w:rPr>
                <w:sz w:val="20"/>
                <w:szCs w:val="20"/>
              </w:rPr>
              <w:t>3</w:t>
            </w:r>
            <w:r w:rsidRPr="00A935AA">
              <w:rPr>
                <w:sz w:val="20"/>
                <w:szCs w:val="20"/>
              </w:rPr>
              <w:t>.201</w:t>
            </w:r>
            <w:r>
              <w:rPr>
                <w:sz w:val="20"/>
                <w:szCs w:val="20"/>
              </w:rPr>
              <w:t>3</w:t>
            </w:r>
          </w:p>
          <w:p w:rsidR="000E7C0E" w:rsidRPr="00A935AA" w:rsidRDefault="00BE6ED8" w:rsidP="00EA1718">
            <w:pPr>
              <w:rPr>
                <w:sz w:val="20"/>
                <w:szCs w:val="20"/>
              </w:rPr>
            </w:pPr>
            <w:r w:rsidRPr="00BE6ED8">
              <w:rPr>
                <w:sz w:val="20"/>
                <w:szCs w:val="20"/>
                <w:lang w:val="fr-CA"/>
              </w:rPr>
              <w:pict>
                <v:rect id="_x0000_i1035" style="width:108pt;height:1pt" o:hrpct="0" o:hralign="center" o:hrstd="t" o:hrnoshade="t" o:hr="t" fillcolor="black [3213]" stroked="f"/>
              </w:pict>
            </w:r>
          </w:p>
        </w:tc>
        <w:tc>
          <w:tcPr>
            <w:tcW w:w="1181" w:type="dxa"/>
            <w:shd w:val="clear" w:color="auto" w:fill="auto"/>
          </w:tcPr>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p w:rsidR="000E7C0E" w:rsidRPr="00A935AA" w:rsidRDefault="000E7C0E" w:rsidP="00242AEE">
            <w:pPr>
              <w:jc w:val="center"/>
              <w:rPr>
                <w:sz w:val="20"/>
                <w:szCs w:val="20"/>
              </w:rPr>
            </w:pPr>
          </w:p>
        </w:tc>
        <w:tc>
          <w:tcPr>
            <w:tcW w:w="4320" w:type="dxa"/>
            <w:shd w:val="clear" w:color="auto" w:fill="auto"/>
          </w:tcPr>
          <w:p w:rsidR="000E7C0E" w:rsidRPr="00ED1143" w:rsidRDefault="00ED1143" w:rsidP="00EA1718">
            <w:pPr>
              <w:keepNext/>
              <w:keepLines/>
              <w:tabs>
                <w:tab w:val="left" w:pos="-1440"/>
                <w:tab w:val="left" w:pos="-720"/>
              </w:tabs>
              <w:rPr>
                <w:b/>
                <w:sz w:val="20"/>
                <w:szCs w:val="20"/>
                <w:lang w:val="fr-CA"/>
              </w:rPr>
            </w:pPr>
            <w:r w:rsidRPr="00ED1143">
              <w:rPr>
                <w:b/>
                <w:sz w:val="20"/>
                <w:szCs w:val="20"/>
                <w:lang w:val="fr-CA"/>
              </w:rPr>
              <w:t>Kevin Perry</w:t>
            </w:r>
          </w:p>
          <w:p w:rsidR="000E7C0E" w:rsidRPr="00ED1143" w:rsidRDefault="000E7C0E" w:rsidP="00EA1718">
            <w:pPr>
              <w:keepNext/>
              <w:keepLines/>
              <w:tabs>
                <w:tab w:val="left" w:pos="-1440"/>
                <w:tab w:val="left" w:pos="-720"/>
              </w:tabs>
              <w:rPr>
                <w:sz w:val="20"/>
                <w:szCs w:val="20"/>
                <w:lang w:val="fr-CA"/>
              </w:rPr>
            </w:pPr>
            <w:r w:rsidRPr="00ED1143">
              <w:rPr>
                <w:sz w:val="20"/>
                <w:szCs w:val="20"/>
                <w:lang w:val="fr-CA"/>
              </w:rPr>
              <w:tab/>
            </w:r>
            <w:r w:rsidR="00ED1143" w:rsidRPr="00ED1143">
              <w:rPr>
                <w:sz w:val="20"/>
                <w:szCs w:val="20"/>
                <w:lang w:val="fr-CA"/>
              </w:rPr>
              <w:t xml:space="preserve">Louis </w:t>
            </w:r>
            <w:proofErr w:type="spellStart"/>
            <w:r w:rsidR="00ED1143" w:rsidRPr="00ED1143">
              <w:rPr>
                <w:sz w:val="20"/>
                <w:szCs w:val="20"/>
                <w:lang w:val="fr-CA"/>
              </w:rPr>
              <w:t>Gélinas</w:t>
            </w:r>
            <w:proofErr w:type="spellEnd"/>
          </w:p>
          <w:p w:rsidR="000E7C0E" w:rsidRPr="00ED1143" w:rsidRDefault="000E7C0E" w:rsidP="00EA1718">
            <w:pPr>
              <w:keepNext/>
              <w:keepLines/>
              <w:tabs>
                <w:tab w:val="left" w:pos="-1440"/>
                <w:tab w:val="left" w:pos="-720"/>
              </w:tabs>
              <w:rPr>
                <w:sz w:val="20"/>
                <w:szCs w:val="20"/>
                <w:lang w:val="fr-CA"/>
              </w:rPr>
            </w:pPr>
            <w:r w:rsidRPr="00ED1143">
              <w:rPr>
                <w:sz w:val="20"/>
                <w:szCs w:val="20"/>
                <w:lang w:val="fr-CA"/>
              </w:rPr>
              <w:tab/>
            </w:r>
            <w:proofErr w:type="spellStart"/>
            <w:r w:rsidR="00ED1143" w:rsidRPr="00ED1143">
              <w:rPr>
                <w:sz w:val="20"/>
                <w:szCs w:val="20"/>
                <w:lang w:val="fr-CA"/>
              </w:rPr>
              <w:t>Gélinas</w:t>
            </w:r>
            <w:proofErr w:type="spellEnd"/>
            <w:r w:rsidR="00ED1143" w:rsidRPr="00ED1143">
              <w:rPr>
                <w:sz w:val="20"/>
                <w:szCs w:val="20"/>
                <w:lang w:val="fr-CA"/>
              </w:rPr>
              <w:t xml:space="preserve">, Leclerc, </w:t>
            </w:r>
            <w:proofErr w:type="spellStart"/>
            <w:r w:rsidR="00ED1143" w:rsidRPr="00ED1143">
              <w:rPr>
                <w:sz w:val="20"/>
                <w:szCs w:val="20"/>
                <w:lang w:val="fr-CA"/>
              </w:rPr>
              <w:t>Teolis</w:t>
            </w:r>
            <w:proofErr w:type="spellEnd"/>
            <w:r w:rsidR="00ED1143" w:rsidRPr="00ED1143">
              <w:rPr>
                <w:sz w:val="20"/>
                <w:szCs w:val="20"/>
                <w:lang w:val="fr-CA"/>
              </w:rPr>
              <w:t xml:space="preserve"> Avocats</w:t>
            </w:r>
          </w:p>
          <w:p w:rsidR="000E7C0E" w:rsidRPr="00ED1143" w:rsidRDefault="000E7C0E" w:rsidP="00EA1718">
            <w:pPr>
              <w:keepNext/>
              <w:keepLines/>
              <w:tabs>
                <w:tab w:val="left" w:pos="-1440"/>
                <w:tab w:val="left" w:pos="-720"/>
              </w:tabs>
              <w:rPr>
                <w:sz w:val="20"/>
                <w:szCs w:val="20"/>
                <w:lang w:val="fr-CA"/>
              </w:rPr>
            </w:pPr>
          </w:p>
          <w:p w:rsidR="000E7C0E" w:rsidRPr="00ED1143" w:rsidRDefault="000E7C0E" w:rsidP="00EA1718">
            <w:pPr>
              <w:keepNext/>
              <w:keepLines/>
              <w:tabs>
                <w:tab w:val="left" w:pos="-1440"/>
                <w:tab w:val="left" w:pos="-720"/>
              </w:tabs>
              <w:rPr>
                <w:sz w:val="20"/>
                <w:szCs w:val="20"/>
                <w:lang w:val="fr-CA"/>
              </w:rPr>
            </w:pPr>
            <w:r w:rsidRPr="00ED1143">
              <w:rPr>
                <w:sz w:val="20"/>
                <w:szCs w:val="20"/>
                <w:lang w:val="fr-CA"/>
              </w:rPr>
              <w:tab/>
            </w:r>
            <w:r w:rsidR="00ED1143" w:rsidRPr="00ED1143">
              <w:rPr>
                <w:sz w:val="20"/>
                <w:szCs w:val="20"/>
                <w:lang w:val="fr-CA"/>
              </w:rPr>
              <w:t>c</w:t>
            </w:r>
            <w:r w:rsidRPr="00ED1143">
              <w:rPr>
                <w:sz w:val="20"/>
                <w:szCs w:val="20"/>
                <w:lang w:val="fr-CA"/>
              </w:rPr>
              <w:t>. (35</w:t>
            </w:r>
            <w:r w:rsidR="00ED1143" w:rsidRPr="00ED1143">
              <w:rPr>
                <w:sz w:val="20"/>
                <w:szCs w:val="20"/>
                <w:lang w:val="fr-CA"/>
              </w:rPr>
              <w:t>288</w:t>
            </w:r>
            <w:r w:rsidRPr="00ED1143">
              <w:rPr>
                <w:sz w:val="20"/>
                <w:szCs w:val="20"/>
                <w:lang w:val="fr-CA"/>
              </w:rPr>
              <w:t>)</w:t>
            </w:r>
          </w:p>
          <w:p w:rsidR="000E7C0E" w:rsidRPr="00ED1143" w:rsidRDefault="000E7C0E" w:rsidP="00EA1718">
            <w:pPr>
              <w:keepNext/>
              <w:keepLines/>
              <w:tabs>
                <w:tab w:val="left" w:pos="-1440"/>
                <w:tab w:val="left" w:pos="-720"/>
              </w:tabs>
              <w:rPr>
                <w:sz w:val="20"/>
                <w:szCs w:val="20"/>
                <w:lang w:val="fr-CA"/>
              </w:rPr>
            </w:pPr>
          </w:p>
          <w:p w:rsidR="000E7C0E" w:rsidRPr="00ED1143" w:rsidRDefault="00ED1143" w:rsidP="00EA1718">
            <w:pPr>
              <w:keepNext/>
              <w:keepLines/>
              <w:tabs>
                <w:tab w:val="left" w:pos="-1440"/>
                <w:tab w:val="left" w:pos="-720"/>
              </w:tabs>
              <w:rPr>
                <w:b/>
                <w:sz w:val="20"/>
                <w:szCs w:val="20"/>
                <w:lang w:val="fr-CA"/>
              </w:rPr>
            </w:pPr>
            <w:r w:rsidRPr="00ED1143">
              <w:rPr>
                <w:b/>
                <w:sz w:val="20"/>
                <w:szCs w:val="20"/>
                <w:lang w:val="fr-CA"/>
              </w:rPr>
              <w:t xml:space="preserve">Sa Majesté la Reine et autre </w:t>
            </w:r>
            <w:r w:rsidR="000E7C0E" w:rsidRPr="00ED1143">
              <w:rPr>
                <w:b/>
                <w:sz w:val="20"/>
                <w:szCs w:val="20"/>
                <w:lang w:val="fr-CA"/>
              </w:rPr>
              <w:t>(</w:t>
            </w:r>
            <w:proofErr w:type="spellStart"/>
            <w:r w:rsidRPr="00ED1143">
              <w:rPr>
                <w:b/>
                <w:sz w:val="20"/>
                <w:szCs w:val="20"/>
                <w:lang w:val="fr-CA"/>
              </w:rPr>
              <w:t>Qc</w:t>
            </w:r>
            <w:proofErr w:type="spellEnd"/>
            <w:r w:rsidR="000E7C0E" w:rsidRPr="00ED1143">
              <w:rPr>
                <w:b/>
                <w:sz w:val="20"/>
                <w:szCs w:val="20"/>
                <w:lang w:val="fr-CA"/>
              </w:rPr>
              <w:t>)</w:t>
            </w:r>
          </w:p>
          <w:p w:rsidR="000E7C0E" w:rsidRPr="00ED1143" w:rsidRDefault="000E7C0E" w:rsidP="00EA1718">
            <w:pPr>
              <w:keepNext/>
              <w:keepLines/>
              <w:tabs>
                <w:tab w:val="left" w:pos="-1440"/>
                <w:tab w:val="left" w:pos="-720"/>
              </w:tabs>
              <w:rPr>
                <w:sz w:val="20"/>
                <w:szCs w:val="20"/>
                <w:lang w:val="fr-CA"/>
              </w:rPr>
            </w:pPr>
            <w:r w:rsidRPr="00ED1143">
              <w:rPr>
                <w:sz w:val="20"/>
                <w:szCs w:val="20"/>
                <w:lang w:val="fr-CA"/>
              </w:rPr>
              <w:tab/>
            </w:r>
            <w:r w:rsidR="00ED1143">
              <w:rPr>
                <w:sz w:val="20"/>
                <w:szCs w:val="20"/>
                <w:lang w:val="fr-CA"/>
              </w:rPr>
              <w:t>Virginie Leblond</w:t>
            </w:r>
          </w:p>
          <w:p w:rsidR="000E7C0E" w:rsidRPr="00ED1143" w:rsidRDefault="000E7C0E" w:rsidP="00EA1718">
            <w:pPr>
              <w:keepNext/>
              <w:keepLines/>
              <w:tabs>
                <w:tab w:val="left" w:pos="-1440"/>
                <w:tab w:val="left" w:pos="-720"/>
              </w:tabs>
              <w:rPr>
                <w:sz w:val="20"/>
                <w:szCs w:val="20"/>
                <w:lang w:val="fr-CA"/>
              </w:rPr>
            </w:pPr>
            <w:r w:rsidRPr="00ED1143">
              <w:rPr>
                <w:sz w:val="20"/>
                <w:szCs w:val="20"/>
                <w:lang w:val="fr-CA"/>
              </w:rPr>
              <w:tab/>
            </w:r>
            <w:r w:rsidR="00ED1143">
              <w:rPr>
                <w:sz w:val="20"/>
                <w:szCs w:val="20"/>
                <w:lang w:val="fr-CA"/>
              </w:rPr>
              <w:t xml:space="preserve">Directeur des poursuites criminelles et </w:t>
            </w:r>
            <w:r w:rsidR="00ED1143">
              <w:rPr>
                <w:sz w:val="20"/>
                <w:szCs w:val="20"/>
                <w:lang w:val="fr-CA"/>
              </w:rPr>
              <w:tab/>
              <w:t>pénales du Québec</w:t>
            </w:r>
          </w:p>
          <w:p w:rsidR="000E7C0E" w:rsidRPr="00ED1143" w:rsidRDefault="000E7C0E" w:rsidP="00EA1718">
            <w:pPr>
              <w:keepNext/>
              <w:keepLines/>
              <w:tabs>
                <w:tab w:val="left" w:pos="-1440"/>
                <w:tab w:val="left" w:pos="-720"/>
              </w:tabs>
              <w:rPr>
                <w:sz w:val="20"/>
                <w:szCs w:val="20"/>
                <w:lang w:val="fr-CA"/>
              </w:rPr>
            </w:pPr>
          </w:p>
          <w:p w:rsidR="000E7C0E" w:rsidRPr="00ED1143" w:rsidRDefault="000E7C0E" w:rsidP="00EA1718">
            <w:pPr>
              <w:rPr>
                <w:sz w:val="20"/>
                <w:szCs w:val="20"/>
                <w:lang w:val="fr-CA"/>
              </w:rPr>
            </w:pPr>
            <w:r w:rsidRPr="00ED1143">
              <w:rPr>
                <w:sz w:val="20"/>
                <w:szCs w:val="20"/>
                <w:lang w:val="fr-CA"/>
              </w:rPr>
              <w:t>DATE</w:t>
            </w:r>
            <w:r w:rsidR="00ED1143">
              <w:rPr>
                <w:sz w:val="20"/>
                <w:szCs w:val="20"/>
                <w:lang w:val="fr-CA"/>
              </w:rPr>
              <w:t xml:space="preserve"> DE PRODUCTION </w:t>
            </w:r>
            <w:r w:rsidRPr="00ED1143">
              <w:rPr>
                <w:sz w:val="20"/>
                <w:szCs w:val="20"/>
                <w:lang w:val="fr-CA"/>
              </w:rPr>
              <w:t>: 28.03.2013</w:t>
            </w:r>
            <w:r w:rsidR="00BE6ED8" w:rsidRPr="00BE6ED8">
              <w:rPr>
                <w:sz w:val="20"/>
                <w:szCs w:val="20"/>
                <w:lang w:val="fr-CA"/>
              </w:rPr>
              <w:pict>
                <v:rect id="_x0000_i1036" style="width:108pt;height:1pt" o:hrpct="0" o:hralign="center" o:hrstd="t" o:hrnoshade="t" o:hr="t" fillcolor="black [3213]" stroked="f"/>
              </w:pict>
            </w:r>
          </w:p>
        </w:tc>
      </w:tr>
      <w:tr w:rsidR="000E7C0E" w:rsidRPr="00ED1143" w:rsidTr="003B3977">
        <w:trPr>
          <w:cantSplit/>
        </w:trPr>
        <w:tc>
          <w:tcPr>
            <w:tcW w:w="4320" w:type="dxa"/>
            <w:shd w:val="clear" w:color="auto" w:fill="auto"/>
          </w:tcPr>
          <w:p w:rsidR="000E7C0E" w:rsidRPr="00ED1143" w:rsidRDefault="00ED1143" w:rsidP="00EA1718">
            <w:pPr>
              <w:rPr>
                <w:b/>
                <w:sz w:val="20"/>
                <w:szCs w:val="20"/>
                <w:lang w:val="fr-CA"/>
              </w:rPr>
            </w:pPr>
            <w:r>
              <w:rPr>
                <w:b/>
                <w:sz w:val="20"/>
                <w:szCs w:val="20"/>
                <w:lang w:val="fr-CA"/>
              </w:rPr>
              <w:t>Ville de Montréal</w:t>
            </w:r>
          </w:p>
          <w:p w:rsidR="000E7C0E" w:rsidRPr="00ED1143" w:rsidRDefault="000E7C0E" w:rsidP="00EA1718">
            <w:pPr>
              <w:tabs>
                <w:tab w:val="left" w:pos="-1440"/>
                <w:tab w:val="left" w:pos="-720"/>
              </w:tabs>
              <w:rPr>
                <w:sz w:val="20"/>
                <w:szCs w:val="20"/>
                <w:lang w:val="fr-CA"/>
              </w:rPr>
            </w:pPr>
            <w:r w:rsidRPr="00ED1143">
              <w:rPr>
                <w:sz w:val="20"/>
                <w:szCs w:val="20"/>
                <w:lang w:val="fr-CA"/>
              </w:rPr>
              <w:tab/>
            </w:r>
            <w:r w:rsidR="00ED1143">
              <w:rPr>
                <w:sz w:val="20"/>
                <w:szCs w:val="20"/>
                <w:lang w:val="fr-CA"/>
              </w:rPr>
              <w:t>Jean-Nicolas Legault-</w:t>
            </w:r>
            <w:proofErr w:type="spellStart"/>
            <w:r w:rsidR="00ED1143">
              <w:rPr>
                <w:sz w:val="20"/>
                <w:szCs w:val="20"/>
                <w:lang w:val="fr-CA"/>
              </w:rPr>
              <w:t>Loiselle</w:t>
            </w:r>
            <w:proofErr w:type="spellEnd"/>
          </w:p>
          <w:p w:rsidR="000E7C0E" w:rsidRPr="00ED1143" w:rsidRDefault="000E7C0E" w:rsidP="00EA1718">
            <w:pPr>
              <w:tabs>
                <w:tab w:val="left" w:pos="-1440"/>
                <w:tab w:val="left" w:pos="-720"/>
              </w:tabs>
              <w:rPr>
                <w:sz w:val="20"/>
                <w:szCs w:val="20"/>
                <w:lang w:val="fr-CA"/>
              </w:rPr>
            </w:pPr>
            <w:r w:rsidRPr="00ED1143">
              <w:rPr>
                <w:sz w:val="20"/>
                <w:szCs w:val="20"/>
                <w:lang w:val="fr-CA"/>
              </w:rPr>
              <w:tab/>
            </w:r>
            <w:proofErr w:type="spellStart"/>
            <w:r w:rsidR="00ED1143">
              <w:rPr>
                <w:sz w:val="20"/>
                <w:szCs w:val="20"/>
                <w:lang w:val="fr-CA"/>
              </w:rPr>
              <w:t>Dagenais</w:t>
            </w:r>
            <w:proofErr w:type="spellEnd"/>
            <w:r w:rsidR="00ED1143">
              <w:rPr>
                <w:sz w:val="20"/>
                <w:szCs w:val="20"/>
                <w:lang w:val="fr-CA"/>
              </w:rPr>
              <w:t xml:space="preserve"> </w:t>
            </w:r>
            <w:proofErr w:type="spellStart"/>
            <w:r w:rsidR="00ED1143">
              <w:rPr>
                <w:sz w:val="20"/>
                <w:szCs w:val="20"/>
                <w:lang w:val="fr-CA"/>
              </w:rPr>
              <w:t>Gagnier</w:t>
            </w:r>
            <w:proofErr w:type="spellEnd"/>
            <w:r w:rsidR="00ED1143">
              <w:rPr>
                <w:sz w:val="20"/>
                <w:szCs w:val="20"/>
                <w:lang w:val="fr-CA"/>
              </w:rPr>
              <w:t xml:space="preserve"> Biron Avocats</w:t>
            </w:r>
          </w:p>
          <w:p w:rsidR="000E7C0E" w:rsidRPr="00ED1143" w:rsidRDefault="000E7C0E" w:rsidP="00EA1718">
            <w:pPr>
              <w:tabs>
                <w:tab w:val="left" w:pos="-1440"/>
                <w:tab w:val="left" w:pos="-720"/>
              </w:tabs>
              <w:rPr>
                <w:sz w:val="20"/>
                <w:szCs w:val="20"/>
                <w:lang w:val="fr-CA"/>
              </w:rPr>
            </w:pPr>
          </w:p>
          <w:p w:rsidR="000E7C0E" w:rsidRPr="00ED1143" w:rsidRDefault="000E7C0E" w:rsidP="00EA1718">
            <w:pPr>
              <w:tabs>
                <w:tab w:val="left" w:pos="-1440"/>
                <w:tab w:val="left" w:pos="-720"/>
              </w:tabs>
              <w:rPr>
                <w:sz w:val="20"/>
                <w:szCs w:val="20"/>
                <w:lang w:val="fr-CA"/>
              </w:rPr>
            </w:pPr>
            <w:r w:rsidRPr="00ED1143">
              <w:rPr>
                <w:sz w:val="20"/>
                <w:szCs w:val="20"/>
                <w:lang w:val="fr-CA"/>
              </w:rPr>
              <w:tab/>
            </w:r>
            <w:r w:rsidR="00ED1143">
              <w:rPr>
                <w:sz w:val="20"/>
                <w:szCs w:val="20"/>
                <w:lang w:val="fr-CA"/>
              </w:rPr>
              <w:t>c</w:t>
            </w:r>
            <w:r w:rsidRPr="00ED1143">
              <w:rPr>
                <w:sz w:val="20"/>
                <w:szCs w:val="20"/>
                <w:lang w:val="fr-CA"/>
              </w:rPr>
              <w:t>. (35</w:t>
            </w:r>
            <w:r w:rsidR="00ED1143">
              <w:rPr>
                <w:sz w:val="20"/>
                <w:szCs w:val="20"/>
                <w:lang w:val="fr-CA"/>
              </w:rPr>
              <w:t>291</w:t>
            </w:r>
            <w:r w:rsidRPr="00ED1143">
              <w:rPr>
                <w:sz w:val="20"/>
                <w:szCs w:val="20"/>
                <w:lang w:val="fr-CA"/>
              </w:rPr>
              <w:t>)</w:t>
            </w:r>
          </w:p>
          <w:p w:rsidR="000E7C0E" w:rsidRPr="00ED1143" w:rsidRDefault="000E7C0E" w:rsidP="00EA1718">
            <w:pPr>
              <w:tabs>
                <w:tab w:val="left" w:pos="-1440"/>
                <w:tab w:val="left" w:pos="-720"/>
              </w:tabs>
              <w:rPr>
                <w:sz w:val="20"/>
                <w:szCs w:val="20"/>
                <w:lang w:val="fr-CA"/>
              </w:rPr>
            </w:pPr>
          </w:p>
          <w:p w:rsidR="000E7C0E" w:rsidRPr="00ED1143" w:rsidRDefault="00ED1143" w:rsidP="00EA1718">
            <w:pPr>
              <w:tabs>
                <w:tab w:val="left" w:pos="-1440"/>
                <w:tab w:val="left" w:pos="-720"/>
              </w:tabs>
              <w:rPr>
                <w:b/>
                <w:sz w:val="20"/>
                <w:szCs w:val="20"/>
                <w:lang w:val="fr-CA"/>
              </w:rPr>
            </w:pPr>
            <w:r>
              <w:rPr>
                <w:b/>
                <w:sz w:val="20"/>
                <w:szCs w:val="20"/>
                <w:lang w:val="fr-CA"/>
              </w:rPr>
              <w:t xml:space="preserve">Paul </w:t>
            </w:r>
            <w:proofErr w:type="spellStart"/>
            <w:r>
              <w:rPr>
                <w:b/>
                <w:sz w:val="20"/>
                <w:szCs w:val="20"/>
                <w:lang w:val="fr-CA"/>
              </w:rPr>
              <w:t>Audigé</w:t>
            </w:r>
            <w:proofErr w:type="spellEnd"/>
            <w:r>
              <w:rPr>
                <w:b/>
                <w:sz w:val="20"/>
                <w:szCs w:val="20"/>
                <w:lang w:val="fr-CA"/>
              </w:rPr>
              <w:t xml:space="preserve"> et autre</w:t>
            </w:r>
            <w:r w:rsidR="000E7C0E" w:rsidRPr="00ED1143">
              <w:rPr>
                <w:b/>
                <w:sz w:val="20"/>
                <w:szCs w:val="20"/>
                <w:lang w:val="fr-CA"/>
              </w:rPr>
              <w:t xml:space="preserve"> (</w:t>
            </w:r>
            <w:proofErr w:type="spellStart"/>
            <w:r>
              <w:rPr>
                <w:b/>
                <w:sz w:val="20"/>
                <w:szCs w:val="20"/>
                <w:lang w:val="fr-CA"/>
              </w:rPr>
              <w:t>Qc</w:t>
            </w:r>
            <w:proofErr w:type="spellEnd"/>
            <w:r w:rsidR="000E7C0E" w:rsidRPr="00ED1143">
              <w:rPr>
                <w:b/>
                <w:sz w:val="20"/>
                <w:szCs w:val="20"/>
                <w:lang w:val="fr-CA"/>
              </w:rPr>
              <w:t>)</w:t>
            </w:r>
          </w:p>
          <w:p w:rsidR="000E7C0E" w:rsidRPr="00ED1143" w:rsidRDefault="000E7C0E" w:rsidP="00EA1718">
            <w:pPr>
              <w:tabs>
                <w:tab w:val="left" w:pos="-1440"/>
                <w:tab w:val="left" w:pos="-720"/>
              </w:tabs>
              <w:rPr>
                <w:sz w:val="20"/>
                <w:szCs w:val="20"/>
                <w:lang w:val="fr-CA"/>
              </w:rPr>
            </w:pPr>
            <w:r w:rsidRPr="00ED1143">
              <w:rPr>
                <w:sz w:val="20"/>
                <w:szCs w:val="20"/>
                <w:lang w:val="fr-CA"/>
              </w:rPr>
              <w:tab/>
            </w:r>
            <w:r w:rsidR="00ED1143">
              <w:rPr>
                <w:sz w:val="20"/>
                <w:szCs w:val="20"/>
                <w:lang w:val="fr-CA"/>
              </w:rPr>
              <w:t xml:space="preserve">Aymar </w:t>
            </w:r>
            <w:proofErr w:type="spellStart"/>
            <w:r w:rsidR="00ED1143">
              <w:rPr>
                <w:sz w:val="20"/>
                <w:szCs w:val="20"/>
                <w:lang w:val="fr-CA"/>
              </w:rPr>
              <w:t>Missakila</w:t>
            </w:r>
            <w:proofErr w:type="spellEnd"/>
          </w:p>
          <w:p w:rsidR="000E7C0E" w:rsidRPr="00ED1143" w:rsidRDefault="000E7C0E" w:rsidP="00EA1718">
            <w:pPr>
              <w:tabs>
                <w:tab w:val="left" w:pos="-1440"/>
                <w:tab w:val="left" w:pos="-720"/>
              </w:tabs>
              <w:rPr>
                <w:sz w:val="20"/>
                <w:szCs w:val="20"/>
                <w:lang w:val="fr-CA"/>
              </w:rPr>
            </w:pPr>
          </w:p>
          <w:p w:rsidR="000E7C0E" w:rsidRPr="00ED1143" w:rsidRDefault="000E7C0E" w:rsidP="00EA1718">
            <w:pPr>
              <w:rPr>
                <w:sz w:val="20"/>
                <w:szCs w:val="20"/>
                <w:lang w:val="fr-CA"/>
              </w:rPr>
            </w:pPr>
            <w:r w:rsidRPr="00ED1143">
              <w:rPr>
                <w:sz w:val="20"/>
                <w:szCs w:val="20"/>
                <w:lang w:val="fr-CA"/>
              </w:rPr>
              <w:t>DATE</w:t>
            </w:r>
            <w:r w:rsidR="00ED1143">
              <w:rPr>
                <w:sz w:val="20"/>
                <w:szCs w:val="20"/>
                <w:lang w:val="fr-CA"/>
              </w:rPr>
              <w:t xml:space="preserve"> DE PRODUCTION </w:t>
            </w:r>
            <w:r w:rsidRPr="00ED1143">
              <w:rPr>
                <w:sz w:val="20"/>
                <w:szCs w:val="20"/>
                <w:lang w:val="fr-CA"/>
              </w:rPr>
              <w:t>: 2</w:t>
            </w:r>
            <w:r w:rsidR="00ED1143">
              <w:rPr>
                <w:sz w:val="20"/>
                <w:szCs w:val="20"/>
                <w:lang w:val="fr-CA"/>
              </w:rPr>
              <w:t>8</w:t>
            </w:r>
            <w:r w:rsidRPr="00ED1143">
              <w:rPr>
                <w:sz w:val="20"/>
                <w:szCs w:val="20"/>
                <w:lang w:val="fr-CA"/>
              </w:rPr>
              <w:t>.03.2013</w:t>
            </w:r>
          </w:p>
          <w:p w:rsidR="000E7C0E" w:rsidRPr="00ED1143" w:rsidRDefault="00BE6ED8" w:rsidP="00EA1718">
            <w:pPr>
              <w:rPr>
                <w:sz w:val="20"/>
                <w:szCs w:val="20"/>
                <w:lang w:val="fr-CA"/>
              </w:rPr>
            </w:pPr>
            <w:r w:rsidRPr="00BE6ED8">
              <w:rPr>
                <w:sz w:val="20"/>
                <w:szCs w:val="20"/>
                <w:lang w:val="fr-CA"/>
              </w:rPr>
              <w:pict>
                <v:rect id="_x0000_i1037" style="width:108pt;height:1pt" o:hrpct="0" o:hralign="center" o:hrstd="t" o:hrnoshade="t" o:hr="t" fillcolor="black [3213]" stroked="f"/>
              </w:pict>
            </w:r>
          </w:p>
        </w:tc>
        <w:tc>
          <w:tcPr>
            <w:tcW w:w="1181" w:type="dxa"/>
            <w:shd w:val="clear" w:color="auto" w:fill="auto"/>
          </w:tcPr>
          <w:p w:rsidR="000E7C0E" w:rsidRPr="00ED1143" w:rsidRDefault="000E7C0E" w:rsidP="00242AEE">
            <w:pPr>
              <w:jc w:val="center"/>
              <w:rPr>
                <w:sz w:val="20"/>
                <w:szCs w:val="20"/>
                <w:lang w:val="fr-CA"/>
              </w:rPr>
            </w:pPr>
          </w:p>
          <w:p w:rsidR="000E7C0E" w:rsidRPr="00ED1143" w:rsidRDefault="000E7C0E" w:rsidP="00242AEE">
            <w:pPr>
              <w:jc w:val="center"/>
              <w:rPr>
                <w:sz w:val="20"/>
                <w:szCs w:val="20"/>
                <w:lang w:val="fr-CA"/>
              </w:rPr>
            </w:pPr>
          </w:p>
          <w:p w:rsidR="000E7C0E" w:rsidRPr="00ED1143" w:rsidRDefault="000E7C0E" w:rsidP="00242AEE">
            <w:pPr>
              <w:jc w:val="center"/>
              <w:rPr>
                <w:sz w:val="20"/>
                <w:szCs w:val="20"/>
                <w:lang w:val="fr-CA"/>
              </w:rPr>
            </w:pPr>
          </w:p>
          <w:p w:rsidR="000E7C0E" w:rsidRPr="00ED1143" w:rsidRDefault="000E7C0E" w:rsidP="00242AEE">
            <w:pPr>
              <w:jc w:val="center"/>
              <w:rPr>
                <w:sz w:val="20"/>
                <w:szCs w:val="20"/>
                <w:lang w:val="fr-CA"/>
              </w:rPr>
            </w:pPr>
          </w:p>
          <w:p w:rsidR="000E7C0E" w:rsidRPr="00ED1143" w:rsidRDefault="000E7C0E" w:rsidP="00242AEE">
            <w:pPr>
              <w:jc w:val="center"/>
              <w:rPr>
                <w:sz w:val="20"/>
                <w:szCs w:val="20"/>
                <w:lang w:val="fr-CA"/>
              </w:rPr>
            </w:pPr>
          </w:p>
          <w:p w:rsidR="000E7C0E" w:rsidRPr="00ED1143" w:rsidRDefault="000E7C0E" w:rsidP="00242AEE">
            <w:pPr>
              <w:jc w:val="center"/>
              <w:rPr>
                <w:sz w:val="20"/>
                <w:szCs w:val="20"/>
                <w:lang w:val="fr-CA"/>
              </w:rPr>
            </w:pPr>
          </w:p>
          <w:p w:rsidR="000E7C0E" w:rsidRPr="00ED1143" w:rsidRDefault="000E7C0E" w:rsidP="00242AEE">
            <w:pPr>
              <w:jc w:val="center"/>
              <w:rPr>
                <w:sz w:val="20"/>
                <w:szCs w:val="20"/>
                <w:lang w:val="fr-CA"/>
              </w:rPr>
            </w:pPr>
          </w:p>
          <w:p w:rsidR="000E7C0E" w:rsidRPr="00ED1143" w:rsidRDefault="000E7C0E" w:rsidP="00242AEE">
            <w:pPr>
              <w:jc w:val="center"/>
              <w:rPr>
                <w:sz w:val="20"/>
                <w:szCs w:val="20"/>
                <w:lang w:val="fr-CA"/>
              </w:rPr>
            </w:pPr>
          </w:p>
          <w:p w:rsidR="000E7C0E" w:rsidRPr="00ED1143" w:rsidRDefault="000E7C0E" w:rsidP="00242AEE">
            <w:pPr>
              <w:jc w:val="center"/>
              <w:rPr>
                <w:sz w:val="20"/>
                <w:szCs w:val="20"/>
                <w:lang w:val="fr-CA"/>
              </w:rPr>
            </w:pPr>
          </w:p>
          <w:p w:rsidR="000E7C0E" w:rsidRPr="00ED1143" w:rsidRDefault="000E7C0E" w:rsidP="00242AEE">
            <w:pPr>
              <w:jc w:val="center"/>
              <w:rPr>
                <w:sz w:val="20"/>
                <w:szCs w:val="20"/>
                <w:lang w:val="fr-CA"/>
              </w:rPr>
            </w:pPr>
          </w:p>
          <w:p w:rsidR="000E7C0E" w:rsidRPr="00ED1143" w:rsidRDefault="000E7C0E" w:rsidP="00242AEE">
            <w:pPr>
              <w:jc w:val="center"/>
              <w:rPr>
                <w:sz w:val="20"/>
                <w:szCs w:val="20"/>
                <w:lang w:val="fr-CA"/>
              </w:rPr>
            </w:pPr>
          </w:p>
          <w:p w:rsidR="000E7C0E" w:rsidRPr="00ED1143" w:rsidRDefault="000E7C0E" w:rsidP="00242AEE">
            <w:pPr>
              <w:jc w:val="center"/>
              <w:rPr>
                <w:sz w:val="20"/>
                <w:szCs w:val="20"/>
                <w:lang w:val="fr-CA"/>
              </w:rPr>
            </w:pPr>
          </w:p>
        </w:tc>
        <w:tc>
          <w:tcPr>
            <w:tcW w:w="4320" w:type="dxa"/>
            <w:shd w:val="clear" w:color="auto" w:fill="auto"/>
          </w:tcPr>
          <w:p w:rsidR="000E7C0E" w:rsidRDefault="000E7C0E" w:rsidP="00EA1718">
            <w:pPr>
              <w:keepNext/>
              <w:keepLines/>
              <w:tabs>
                <w:tab w:val="left" w:pos="-1440"/>
                <w:tab w:val="left" w:pos="-720"/>
              </w:tabs>
              <w:rPr>
                <w:b/>
                <w:sz w:val="20"/>
                <w:szCs w:val="20"/>
                <w:lang w:val="fr-CA"/>
              </w:rPr>
            </w:pPr>
          </w:p>
          <w:p w:rsidR="00ED1143" w:rsidRPr="00ED1143" w:rsidRDefault="00ED1143" w:rsidP="00EA1718">
            <w:pPr>
              <w:keepNext/>
              <w:keepLines/>
              <w:tabs>
                <w:tab w:val="left" w:pos="-1440"/>
                <w:tab w:val="left" w:pos="-720"/>
              </w:tabs>
              <w:rPr>
                <w:b/>
                <w:sz w:val="20"/>
                <w:szCs w:val="20"/>
              </w:rPr>
            </w:pPr>
            <w:r w:rsidRPr="00ED1143">
              <w:rPr>
                <w:b/>
                <w:sz w:val="20"/>
                <w:szCs w:val="20"/>
              </w:rPr>
              <w:t>Dwight W. Gaskin</w:t>
            </w:r>
          </w:p>
          <w:p w:rsidR="000E7C0E" w:rsidRPr="00ED1143" w:rsidRDefault="000E7C0E" w:rsidP="00EA1718">
            <w:pPr>
              <w:keepNext/>
              <w:keepLines/>
              <w:tabs>
                <w:tab w:val="left" w:pos="-1440"/>
                <w:tab w:val="left" w:pos="-720"/>
              </w:tabs>
              <w:rPr>
                <w:sz w:val="20"/>
                <w:szCs w:val="20"/>
              </w:rPr>
            </w:pPr>
            <w:r w:rsidRPr="00ED1143">
              <w:rPr>
                <w:sz w:val="20"/>
                <w:szCs w:val="20"/>
              </w:rPr>
              <w:tab/>
            </w:r>
            <w:r w:rsidR="00ED1143" w:rsidRPr="00ED1143">
              <w:rPr>
                <w:sz w:val="20"/>
                <w:szCs w:val="20"/>
              </w:rPr>
              <w:t xml:space="preserve">Dwight W. </w:t>
            </w:r>
            <w:r w:rsidR="00ED1143">
              <w:rPr>
                <w:sz w:val="20"/>
                <w:szCs w:val="20"/>
              </w:rPr>
              <w:t>Gaskin</w:t>
            </w:r>
          </w:p>
          <w:p w:rsidR="000E7C0E" w:rsidRPr="00ED1143" w:rsidRDefault="000E7C0E" w:rsidP="00EA1718">
            <w:pPr>
              <w:keepNext/>
              <w:keepLines/>
              <w:tabs>
                <w:tab w:val="left" w:pos="-1440"/>
                <w:tab w:val="left" w:pos="-720"/>
              </w:tabs>
              <w:rPr>
                <w:sz w:val="20"/>
                <w:szCs w:val="20"/>
              </w:rPr>
            </w:pPr>
          </w:p>
          <w:p w:rsidR="000E7C0E" w:rsidRPr="00BB40E6" w:rsidRDefault="000E7C0E" w:rsidP="00EA1718">
            <w:pPr>
              <w:keepNext/>
              <w:keepLines/>
              <w:tabs>
                <w:tab w:val="left" w:pos="-1440"/>
                <w:tab w:val="left" w:pos="-720"/>
              </w:tabs>
              <w:rPr>
                <w:sz w:val="20"/>
                <w:szCs w:val="20"/>
                <w:lang w:val="fr-CA"/>
              </w:rPr>
            </w:pPr>
            <w:r w:rsidRPr="00ED1143">
              <w:rPr>
                <w:sz w:val="20"/>
                <w:szCs w:val="20"/>
              </w:rPr>
              <w:tab/>
            </w:r>
            <w:r w:rsidRPr="00BB40E6">
              <w:rPr>
                <w:sz w:val="20"/>
                <w:szCs w:val="20"/>
                <w:lang w:val="fr-CA"/>
              </w:rPr>
              <w:t>v. (35</w:t>
            </w:r>
            <w:r w:rsidR="00195714" w:rsidRPr="00BB40E6">
              <w:rPr>
                <w:sz w:val="20"/>
                <w:szCs w:val="20"/>
                <w:lang w:val="fr-CA"/>
              </w:rPr>
              <w:t>294</w:t>
            </w:r>
            <w:r w:rsidRPr="00BB40E6">
              <w:rPr>
                <w:sz w:val="20"/>
                <w:szCs w:val="20"/>
                <w:lang w:val="fr-CA"/>
              </w:rPr>
              <w:t>)</w:t>
            </w:r>
          </w:p>
          <w:p w:rsidR="000E7C0E" w:rsidRPr="00BB40E6" w:rsidRDefault="000E7C0E" w:rsidP="00EA1718">
            <w:pPr>
              <w:keepNext/>
              <w:keepLines/>
              <w:tabs>
                <w:tab w:val="left" w:pos="-1440"/>
                <w:tab w:val="left" w:pos="-720"/>
              </w:tabs>
              <w:rPr>
                <w:sz w:val="20"/>
                <w:szCs w:val="20"/>
                <w:lang w:val="fr-CA"/>
              </w:rPr>
            </w:pPr>
          </w:p>
          <w:p w:rsidR="000E7C0E" w:rsidRPr="00BB40E6" w:rsidRDefault="00195714" w:rsidP="00EA1718">
            <w:pPr>
              <w:keepNext/>
              <w:keepLines/>
              <w:tabs>
                <w:tab w:val="left" w:pos="-1440"/>
                <w:tab w:val="left" w:pos="-720"/>
              </w:tabs>
              <w:rPr>
                <w:b/>
                <w:sz w:val="20"/>
                <w:szCs w:val="20"/>
                <w:lang w:val="fr-CA"/>
              </w:rPr>
            </w:pPr>
            <w:r w:rsidRPr="00BB40E6">
              <w:rPr>
                <w:b/>
                <w:sz w:val="20"/>
                <w:szCs w:val="20"/>
                <w:lang w:val="fr-CA"/>
              </w:rPr>
              <w:t xml:space="preserve">Canada Revenue </w:t>
            </w:r>
            <w:proofErr w:type="spellStart"/>
            <w:r w:rsidRPr="00BB40E6">
              <w:rPr>
                <w:b/>
                <w:sz w:val="20"/>
                <w:szCs w:val="20"/>
                <w:lang w:val="fr-CA"/>
              </w:rPr>
              <w:t>Agency</w:t>
            </w:r>
            <w:proofErr w:type="spellEnd"/>
            <w:r w:rsidRPr="00BB40E6">
              <w:rPr>
                <w:b/>
                <w:sz w:val="20"/>
                <w:szCs w:val="20"/>
                <w:lang w:val="fr-CA"/>
              </w:rPr>
              <w:t xml:space="preserve"> et al.</w:t>
            </w:r>
            <w:r w:rsidR="000E7C0E" w:rsidRPr="00BB40E6">
              <w:rPr>
                <w:b/>
                <w:sz w:val="20"/>
                <w:szCs w:val="20"/>
                <w:lang w:val="fr-CA"/>
              </w:rPr>
              <w:t xml:space="preserve"> (</w:t>
            </w:r>
            <w:r w:rsidRPr="00BB40E6">
              <w:rPr>
                <w:b/>
                <w:sz w:val="20"/>
                <w:szCs w:val="20"/>
                <w:lang w:val="fr-CA"/>
              </w:rPr>
              <w:t>F</w:t>
            </w:r>
            <w:r w:rsidR="000E7C0E" w:rsidRPr="00BB40E6">
              <w:rPr>
                <w:b/>
                <w:sz w:val="20"/>
                <w:szCs w:val="20"/>
                <w:lang w:val="fr-CA"/>
              </w:rPr>
              <w:t>.</w:t>
            </w:r>
            <w:r w:rsidRPr="00BB40E6">
              <w:rPr>
                <w:b/>
                <w:sz w:val="20"/>
                <w:szCs w:val="20"/>
                <w:lang w:val="fr-CA"/>
              </w:rPr>
              <w:t>C.</w:t>
            </w:r>
            <w:r w:rsidR="000E7C0E" w:rsidRPr="00BB40E6">
              <w:rPr>
                <w:b/>
                <w:sz w:val="20"/>
                <w:szCs w:val="20"/>
                <w:lang w:val="fr-CA"/>
              </w:rPr>
              <w:t>)</w:t>
            </w:r>
          </w:p>
          <w:p w:rsidR="000E7C0E" w:rsidRPr="00BB40E6" w:rsidRDefault="000E7C0E" w:rsidP="00EA1718">
            <w:pPr>
              <w:keepNext/>
              <w:keepLines/>
              <w:tabs>
                <w:tab w:val="left" w:pos="-1440"/>
                <w:tab w:val="left" w:pos="-720"/>
              </w:tabs>
              <w:rPr>
                <w:sz w:val="20"/>
                <w:szCs w:val="20"/>
                <w:lang w:val="fr-CA"/>
              </w:rPr>
            </w:pPr>
            <w:r w:rsidRPr="00BB40E6">
              <w:rPr>
                <w:sz w:val="20"/>
                <w:szCs w:val="20"/>
                <w:lang w:val="fr-CA"/>
              </w:rPr>
              <w:tab/>
            </w:r>
            <w:r w:rsidR="00195714" w:rsidRPr="00BB40E6">
              <w:rPr>
                <w:sz w:val="20"/>
                <w:szCs w:val="20"/>
                <w:lang w:val="fr-CA"/>
              </w:rPr>
              <w:t>Anne-Marie Duquette</w:t>
            </w:r>
          </w:p>
          <w:p w:rsidR="000E7C0E" w:rsidRPr="00ED1143" w:rsidRDefault="000E7C0E" w:rsidP="00EA1718">
            <w:pPr>
              <w:keepNext/>
              <w:keepLines/>
              <w:tabs>
                <w:tab w:val="left" w:pos="-1440"/>
                <w:tab w:val="left" w:pos="-720"/>
              </w:tabs>
              <w:rPr>
                <w:sz w:val="20"/>
                <w:szCs w:val="20"/>
              </w:rPr>
            </w:pPr>
            <w:r w:rsidRPr="00BB40E6">
              <w:rPr>
                <w:sz w:val="20"/>
                <w:szCs w:val="20"/>
                <w:lang w:val="fr-CA"/>
              </w:rPr>
              <w:tab/>
            </w:r>
            <w:r w:rsidR="00195714">
              <w:rPr>
                <w:sz w:val="20"/>
                <w:szCs w:val="20"/>
              </w:rPr>
              <w:t>A.G. of Canada</w:t>
            </w:r>
          </w:p>
          <w:p w:rsidR="000E7C0E" w:rsidRPr="00ED1143" w:rsidRDefault="000E7C0E" w:rsidP="00EA1718">
            <w:pPr>
              <w:keepNext/>
              <w:keepLines/>
              <w:tabs>
                <w:tab w:val="left" w:pos="-1440"/>
                <w:tab w:val="left" w:pos="-720"/>
              </w:tabs>
              <w:rPr>
                <w:sz w:val="20"/>
                <w:szCs w:val="20"/>
              </w:rPr>
            </w:pPr>
          </w:p>
          <w:p w:rsidR="000E7C0E" w:rsidRPr="00ED1143" w:rsidRDefault="000E7C0E" w:rsidP="00EA1718">
            <w:pPr>
              <w:rPr>
                <w:sz w:val="20"/>
                <w:szCs w:val="20"/>
              </w:rPr>
            </w:pPr>
            <w:r w:rsidRPr="00ED1143">
              <w:rPr>
                <w:sz w:val="20"/>
                <w:szCs w:val="20"/>
              </w:rPr>
              <w:t>FILING DATE: 28.03.2013</w:t>
            </w:r>
            <w:r w:rsidR="00BE6ED8" w:rsidRPr="00BE6ED8">
              <w:rPr>
                <w:sz w:val="20"/>
                <w:szCs w:val="20"/>
                <w:lang w:val="fr-CA"/>
              </w:rPr>
              <w:pict>
                <v:rect id="_x0000_i1038" style="width:108pt;height:1pt" o:hrpct="0" o:hralign="center" o:hrstd="t" o:hrnoshade="t" o:hr="t" fillcolor="black [3213]" stroked="f"/>
              </w:pict>
            </w:r>
          </w:p>
        </w:tc>
      </w:tr>
      <w:tr w:rsidR="000E7C0E" w:rsidRPr="00A935AA" w:rsidTr="003B3977">
        <w:trPr>
          <w:cantSplit/>
        </w:trPr>
        <w:tc>
          <w:tcPr>
            <w:tcW w:w="4320" w:type="dxa"/>
            <w:shd w:val="clear" w:color="auto" w:fill="auto"/>
          </w:tcPr>
          <w:p w:rsidR="000E7C0E" w:rsidRPr="00ED1143" w:rsidRDefault="00195714" w:rsidP="00EA1718">
            <w:pPr>
              <w:rPr>
                <w:b/>
                <w:sz w:val="20"/>
                <w:szCs w:val="20"/>
              </w:rPr>
            </w:pPr>
            <w:r>
              <w:rPr>
                <w:b/>
                <w:sz w:val="20"/>
                <w:szCs w:val="20"/>
              </w:rPr>
              <w:t xml:space="preserve">Daniel </w:t>
            </w:r>
            <w:proofErr w:type="spellStart"/>
            <w:r>
              <w:rPr>
                <w:b/>
                <w:sz w:val="20"/>
                <w:szCs w:val="20"/>
              </w:rPr>
              <w:t>Poulin</w:t>
            </w:r>
            <w:proofErr w:type="spellEnd"/>
          </w:p>
          <w:p w:rsidR="000E7C0E" w:rsidRPr="00ED1143" w:rsidRDefault="000E7C0E" w:rsidP="00EA1718">
            <w:pPr>
              <w:tabs>
                <w:tab w:val="left" w:pos="-1440"/>
                <w:tab w:val="left" w:pos="-720"/>
              </w:tabs>
              <w:rPr>
                <w:sz w:val="20"/>
                <w:szCs w:val="20"/>
              </w:rPr>
            </w:pPr>
            <w:r w:rsidRPr="00ED1143">
              <w:rPr>
                <w:sz w:val="20"/>
                <w:szCs w:val="20"/>
              </w:rPr>
              <w:tab/>
            </w:r>
            <w:r w:rsidR="00195714">
              <w:rPr>
                <w:sz w:val="20"/>
                <w:szCs w:val="20"/>
              </w:rPr>
              <w:t xml:space="preserve">Philippe H. </w:t>
            </w:r>
            <w:proofErr w:type="spellStart"/>
            <w:r w:rsidR="00195714">
              <w:rPr>
                <w:sz w:val="20"/>
                <w:szCs w:val="20"/>
              </w:rPr>
              <w:t>Trudel</w:t>
            </w:r>
            <w:proofErr w:type="spellEnd"/>
          </w:p>
          <w:p w:rsidR="000E7C0E" w:rsidRPr="00ED1143" w:rsidRDefault="000E7C0E" w:rsidP="00EA1718">
            <w:pPr>
              <w:tabs>
                <w:tab w:val="left" w:pos="-1440"/>
                <w:tab w:val="left" w:pos="-720"/>
              </w:tabs>
              <w:rPr>
                <w:sz w:val="20"/>
                <w:szCs w:val="20"/>
              </w:rPr>
            </w:pPr>
            <w:r w:rsidRPr="00ED1143">
              <w:rPr>
                <w:sz w:val="20"/>
                <w:szCs w:val="20"/>
              </w:rPr>
              <w:tab/>
            </w:r>
            <w:proofErr w:type="spellStart"/>
            <w:r w:rsidR="00195714">
              <w:rPr>
                <w:sz w:val="20"/>
                <w:szCs w:val="20"/>
              </w:rPr>
              <w:t>Trudel</w:t>
            </w:r>
            <w:proofErr w:type="spellEnd"/>
            <w:r w:rsidR="00195714">
              <w:rPr>
                <w:sz w:val="20"/>
                <w:szCs w:val="20"/>
              </w:rPr>
              <w:t xml:space="preserve"> &amp; Johnston</w:t>
            </w:r>
          </w:p>
          <w:p w:rsidR="000E7C0E" w:rsidRPr="00ED1143" w:rsidRDefault="000E7C0E" w:rsidP="00EA1718">
            <w:pPr>
              <w:tabs>
                <w:tab w:val="left" w:pos="-1440"/>
                <w:tab w:val="left" w:pos="-720"/>
              </w:tabs>
              <w:rPr>
                <w:sz w:val="20"/>
                <w:szCs w:val="20"/>
              </w:rPr>
            </w:pPr>
          </w:p>
          <w:p w:rsidR="000E7C0E" w:rsidRPr="00195714" w:rsidRDefault="000E7C0E" w:rsidP="00EA1718">
            <w:pPr>
              <w:tabs>
                <w:tab w:val="left" w:pos="-1440"/>
                <w:tab w:val="left" w:pos="-720"/>
              </w:tabs>
              <w:rPr>
                <w:sz w:val="20"/>
                <w:szCs w:val="20"/>
                <w:lang w:val="fr-CA"/>
              </w:rPr>
            </w:pPr>
            <w:r w:rsidRPr="00ED1143">
              <w:rPr>
                <w:sz w:val="20"/>
                <w:szCs w:val="20"/>
              </w:rPr>
              <w:tab/>
            </w:r>
            <w:r w:rsidR="00195714" w:rsidRPr="00195714">
              <w:rPr>
                <w:sz w:val="20"/>
                <w:szCs w:val="20"/>
                <w:lang w:val="fr-CA"/>
              </w:rPr>
              <w:t>c</w:t>
            </w:r>
            <w:r w:rsidRPr="00195714">
              <w:rPr>
                <w:sz w:val="20"/>
                <w:szCs w:val="20"/>
                <w:lang w:val="fr-CA"/>
              </w:rPr>
              <w:t>. (35</w:t>
            </w:r>
            <w:r w:rsidR="00195714" w:rsidRPr="00195714">
              <w:rPr>
                <w:sz w:val="20"/>
                <w:szCs w:val="20"/>
                <w:lang w:val="fr-CA"/>
              </w:rPr>
              <w:t>289</w:t>
            </w:r>
            <w:r w:rsidRPr="00195714">
              <w:rPr>
                <w:sz w:val="20"/>
                <w:szCs w:val="20"/>
                <w:lang w:val="fr-CA"/>
              </w:rPr>
              <w:t>)</w:t>
            </w:r>
          </w:p>
          <w:p w:rsidR="000E7C0E" w:rsidRPr="00195714" w:rsidRDefault="000E7C0E" w:rsidP="00EA1718">
            <w:pPr>
              <w:tabs>
                <w:tab w:val="left" w:pos="-1440"/>
                <w:tab w:val="left" w:pos="-720"/>
              </w:tabs>
              <w:rPr>
                <w:sz w:val="20"/>
                <w:szCs w:val="20"/>
                <w:lang w:val="fr-CA"/>
              </w:rPr>
            </w:pPr>
          </w:p>
          <w:p w:rsidR="000E7C0E" w:rsidRPr="00195714" w:rsidRDefault="00195714" w:rsidP="00EA1718">
            <w:pPr>
              <w:tabs>
                <w:tab w:val="left" w:pos="-1440"/>
                <w:tab w:val="left" w:pos="-720"/>
              </w:tabs>
              <w:rPr>
                <w:b/>
                <w:sz w:val="20"/>
                <w:szCs w:val="20"/>
                <w:lang w:val="fr-CA"/>
              </w:rPr>
            </w:pPr>
            <w:r w:rsidRPr="00195714">
              <w:rPr>
                <w:b/>
                <w:sz w:val="20"/>
                <w:szCs w:val="20"/>
                <w:lang w:val="fr-CA"/>
              </w:rPr>
              <w:t xml:space="preserve">Collège des médecins du Québec </w:t>
            </w:r>
            <w:r w:rsidR="000E7C0E" w:rsidRPr="00195714">
              <w:rPr>
                <w:b/>
                <w:sz w:val="20"/>
                <w:szCs w:val="20"/>
                <w:lang w:val="fr-CA"/>
              </w:rPr>
              <w:t>(</w:t>
            </w:r>
            <w:proofErr w:type="spellStart"/>
            <w:r w:rsidRPr="00195714">
              <w:rPr>
                <w:b/>
                <w:sz w:val="20"/>
                <w:szCs w:val="20"/>
                <w:lang w:val="fr-CA"/>
              </w:rPr>
              <w:t>Qc</w:t>
            </w:r>
            <w:proofErr w:type="spellEnd"/>
            <w:r w:rsidR="000E7C0E" w:rsidRPr="00195714">
              <w:rPr>
                <w:b/>
                <w:sz w:val="20"/>
                <w:szCs w:val="20"/>
                <w:lang w:val="fr-CA"/>
              </w:rPr>
              <w:t>)</w:t>
            </w:r>
          </w:p>
          <w:p w:rsidR="000E7C0E" w:rsidRPr="00195714" w:rsidRDefault="000E7C0E" w:rsidP="00EA1718">
            <w:pPr>
              <w:tabs>
                <w:tab w:val="left" w:pos="-1440"/>
                <w:tab w:val="left" w:pos="-720"/>
              </w:tabs>
              <w:rPr>
                <w:sz w:val="20"/>
                <w:szCs w:val="20"/>
                <w:lang w:val="fr-CA"/>
              </w:rPr>
            </w:pPr>
            <w:r w:rsidRPr="00195714">
              <w:rPr>
                <w:sz w:val="20"/>
                <w:szCs w:val="20"/>
                <w:lang w:val="fr-CA"/>
              </w:rPr>
              <w:tab/>
            </w:r>
            <w:proofErr w:type="spellStart"/>
            <w:r w:rsidR="00195714">
              <w:rPr>
                <w:sz w:val="20"/>
                <w:szCs w:val="20"/>
                <w:lang w:val="fr-CA"/>
              </w:rPr>
              <w:t>Carolena</w:t>
            </w:r>
            <w:proofErr w:type="spellEnd"/>
            <w:r w:rsidR="00195714">
              <w:rPr>
                <w:sz w:val="20"/>
                <w:szCs w:val="20"/>
                <w:lang w:val="fr-CA"/>
              </w:rPr>
              <w:t xml:space="preserve"> Gordon</w:t>
            </w:r>
          </w:p>
          <w:p w:rsidR="000E7C0E" w:rsidRPr="00195714" w:rsidRDefault="000E7C0E" w:rsidP="00EA1718">
            <w:pPr>
              <w:tabs>
                <w:tab w:val="left" w:pos="-1440"/>
                <w:tab w:val="left" w:pos="-720"/>
              </w:tabs>
              <w:rPr>
                <w:sz w:val="20"/>
                <w:szCs w:val="20"/>
                <w:lang w:val="fr-CA"/>
              </w:rPr>
            </w:pPr>
            <w:r w:rsidRPr="00195714">
              <w:rPr>
                <w:sz w:val="20"/>
                <w:szCs w:val="20"/>
                <w:lang w:val="fr-CA"/>
              </w:rPr>
              <w:tab/>
            </w:r>
            <w:r w:rsidR="00195714">
              <w:rPr>
                <w:sz w:val="20"/>
                <w:szCs w:val="20"/>
                <w:lang w:val="fr-CA"/>
              </w:rPr>
              <w:t>Clyde &amp; Cie Canada s.e.n.c.r.l.</w:t>
            </w:r>
          </w:p>
          <w:p w:rsidR="000E7C0E" w:rsidRPr="00195714" w:rsidRDefault="000E7C0E" w:rsidP="00EA1718">
            <w:pPr>
              <w:tabs>
                <w:tab w:val="left" w:pos="-1440"/>
                <w:tab w:val="left" w:pos="-720"/>
              </w:tabs>
              <w:rPr>
                <w:sz w:val="20"/>
                <w:szCs w:val="20"/>
                <w:lang w:val="fr-CA"/>
              </w:rPr>
            </w:pPr>
          </w:p>
          <w:p w:rsidR="000E7C0E" w:rsidRPr="00195714" w:rsidRDefault="000E7C0E" w:rsidP="00EA1718">
            <w:pPr>
              <w:rPr>
                <w:sz w:val="20"/>
                <w:szCs w:val="20"/>
                <w:lang w:val="fr-CA"/>
              </w:rPr>
            </w:pPr>
            <w:r w:rsidRPr="00195714">
              <w:rPr>
                <w:sz w:val="20"/>
                <w:szCs w:val="20"/>
                <w:lang w:val="fr-CA"/>
              </w:rPr>
              <w:t>DATE</w:t>
            </w:r>
            <w:r w:rsidR="00195714" w:rsidRPr="00195714">
              <w:rPr>
                <w:sz w:val="20"/>
                <w:szCs w:val="20"/>
                <w:lang w:val="fr-CA"/>
              </w:rPr>
              <w:t xml:space="preserve"> DE PRODUCTION </w:t>
            </w:r>
            <w:r w:rsidRPr="00195714">
              <w:rPr>
                <w:sz w:val="20"/>
                <w:szCs w:val="20"/>
                <w:lang w:val="fr-CA"/>
              </w:rPr>
              <w:t xml:space="preserve">: </w:t>
            </w:r>
            <w:r w:rsidR="00195714" w:rsidRPr="00195714">
              <w:rPr>
                <w:sz w:val="20"/>
                <w:szCs w:val="20"/>
                <w:lang w:val="fr-CA"/>
              </w:rPr>
              <w:t>0</w:t>
            </w:r>
            <w:r w:rsidRPr="00195714">
              <w:rPr>
                <w:sz w:val="20"/>
                <w:szCs w:val="20"/>
                <w:lang w:val="fr-CA"/>
              </w:rPr>
              <w:t>2.0</w:t>
            </w:r>
            <w:r w:rsidR="00195714" w:rsidRPr="00195714">
              <w:rPr>
                <w:sz w:val="20"/>
                <w:szCs w:val="20"/>
                <w:lang w:val="fr-CA"/>
              </w:rPr>
              <w:t>4</w:t>
            </w:r>
            <w:r w:rsidRPr="00195714">
              <w:rPr>
                <w:sz w:val="20"/>
                <w:szCs w:val="20"/>
                <w:lang w:val="fr-CA"/>
              </w:rPr>
              <w:t>.2013</w:t>
            </w:r>
          </w:p>
          <w:p w:rsidR="000E7C0E" w:rsidRPr="00A935AA" w:rsidRDefault="00BE6ED8" w:rsidP="00EA1718">
            <w:pPr>
              <w:rPr>
                <w:sz w:val="20"/>
                <w:szCs w:val="20"/>
              </w:rPr>
            </w:pPr>
            <w:r w:rsidRPr="00BE6ED8">
              <w:rPr>
                <w:sz w:val="20"/>
                <w:szCs w:val="20"/>
                <w:lang w:val="fr-CA"/>
              </w:rPr>
              <w:pict>
                <v:rect id="_x0000_i1039" style="width:108pt;height:1pt" o:hrpct="0" o:hralign="center" o:hrstd="t" o:hrnoshade="t" o:hr="t" fillcolor="black [3213]" stroked="f"/>
              </w:pict>
            </w:r>
          </w:p>
        </w:tc>
        <w:tc>
          <w:tcPr>
            <w:tcW w:w="1181" w:type="dxa"/>
            <w:shd w:val="clear" w:color="auto" w:fill="auto"/>
          </w:tcPr>
          <w:p w:rsidR="000E7C0E" w:rsidRDefault="000E7C0E" w:rsidP="00242AEE">
            <w:pPr>
              <w:jc w:val="center"/>
              <w:rPr>
                <w:sz w:val="20"/>
                <w:szCs w:val="20"/>
              </w:rPr>
            </w:pPr>
          </w:p>
          <w:p w:rsidR="000E7C0E" w:rsidRDefault="000E7C0E" w:rsidP="00242AEE">
            <w:pPr>
              <w:jc w:val="center"/>
              <w:rPr>
                <w:sz w:val="20"/>
                <w:szCs w:val="20"/>
              </w:rPr>
            </w:pPr>
          </w:p>
          <w:p w:rsidR="000E7C0E" w:rsidRDefault="000E7C0E" w:rsidP="00242AEE">
            <w:pPr>
              <w:jc w:val="center"/>
              <w:rPr>
                <w:sz w:val="20"/>
                <w:szCs w:val="20"/>
              </w:rPr>
            </w:pPr>
          </w:p>
          <w:p w:rsidR="000E7C0E" w:rsidRDefault="000E7C0E" w:rsidP="00242AEE">
            <w:pPr>
              <w:jc w:val="center"/>
              <w:rPr>
                <w:sz w:val="20"/>
                <w:szCs w:val="20"/>
              </w:rPr>
            </w:pPr>
          </w:p>
          <w:p w:rsidR="000E7C0E" w:rsidRDefault="000E7C0E" w:rsidP="00242AEE">
            <w:pPr>
              <w:jc w:val="center"/>
              <w:rPr>
                <w:sz w:val="20"/>
                <w:szCs w:val="20"/>
              </w:rPr>
            </w:pPr>
          </w:p>
          <w:p w:rsidR="000E7C0E" w:rsidRDefault="000E7C0E" w:rsidP="00242AEE">
            <w:pPr>
              <w:jc w:val="center"/>
              <w:rPr>
                <w:sz w:val="20"/>
                <w:szCs w:val="20"/>
              </w:rPr>
            </w:pPr>
          </w:p>
          <w:p w:rsidR="000E7C0E" w:rsidRDefault="000E7C0E" w:rsidP="00242AEE">
            <w:pPr>
              <w:jc w:val="center"/>
              <w:rPr>
                <w:sz w:val="20"/>
                <w:szCs w:val="20"/>
              </w:rPr>
            </w:pPr>
          </w:p>
          <w:p w:rsidR="000E7C0E" w:rsidRDefault="000E7C0E" w:rsidP="00242AEE">
            <w:pPr>
              <w:jc w:val="center"/>
              <w:rPr>
                <w:sz w:val="20"/>
                <w:szCs w:val="20"/>
              </w:rPr>
            </w:pPr>
          </w:p>
          <w:p w:rsidR="000E7C0E" w:rsidRDefault="000E7C0E" w:rsidP="00242AEE">
            <w:pPr>
              <w:jc w:val="center"/>
              <w:rPr>
                <w:sz w:val="20"/>
                <w:szCs w:val="20"/>
              </w:rPr>
            </w:pPr>
          </w:p>
          <w:p w:rsidR="000E7C0E" w:rsidRDefault="000E7C0E" w:rsidP="00242AEE">
            <w:pPr>
              <w:jc w:val="center"/>
              <w:rPr>
                <w:sz w:val="20"/>
                <w:szCs w:val="20"/>
              </w:rPr>
            </w:pPr>
          </w:p>
          <w:p w:rsidR="000E7C0E" w:rsidRDefault="000E7C0E" w:rsidP="00242AEE">
            <w:pPr>
              <w:jc w:val="center"/>
              <w:rPr>
                <w:sz w:val="20"/>
                <w:szCs w:val="20"/>
              </w:rPr>
            </w:pPr>
          </w:p>
          <w:p w:rsidR="000E7C0E" w:rsidRDefault="000E7C0E" w:rsidP="00242AEE">
            <w:pPr>
              <w:jc w:val="center"/>
              <w:rPr>
                <w:sz w:val="20"/>
                <w:szCs w:val="20"/>
              </w:rPr>
            </w:pPr>
          </w:p>
          <w:p w:rsidR="000E7C0E" w:rsidRPr="00A935AA" w:rsidRDefault="000E7C0E" w:rsidP="00242AEE">
            <w:pPr>
              <w:jc w:val="center"/>
              <w:rPr>
                <w:sz w:val="20"/>
                <w:szCs w:val="20"/>
              </w:rPr>
            </w:pPr>
          </w:p>
        </w:tc>
        <w:tc>
          <w:tcPr>
            <w:tcW w:w="4320" w:type="dxa"/>
            <w:shd w:val="clear" w:color="auto" w:fill="auto"/>
          </w:tcPr>
          <w:p w:rsidR="000E7C0E" w:rsidRDefault="000E7C0E" w:rsidP="00EA1718">
            <w:pPr>
              <w:keepNext/>
              <w:keepLines/>
              <w:tabs>
                <w:tab w:val="left" w:pos="-1440"/>
                <w:tab w:val="left" w:pos="-720"/>
              </w:tabs>
              <w:rPr>
                <w:b/>
                <w:sz w:val="20"/>
                <w:szCs w:val="20"/>
              </w:rPr>
            </w:pPr>
          </w:p>
          <w:p w:rsidR="00195714" w:rsidRPr="00A935AA" w:rsidRDefault="00195714" w:rsidP="00EA1718">
            <w:pPr>
              <w:keepNext/>
              <w:keepLines/>
              <w:tabs>
                <w:tab w:val="left" w:pos="-1440"/>
                <w:tab w:val="left" w:pos="-720"/>
              </w:tabs>
              <w:rPr>
                <w:b/>
                <w:sz w:val="20"/>
                <w:szCs w:val="20"/>
              </w:rPr>
            </w:pPr>
            <w:proofErr w:type="spellStart"/>
            <w:r>
              <w:rPr>
                <w:b/>
                <w:sz w:val="20"/>
                <w:szCs w:val="20"/>
              </w:rPr>
              <w:t>Thinh</w:t>
            </w:r>
            <w:proofErr w:type="spellEnd"/>
            <w:r>
              <w:rPr>
                <w:b/>
                <w:sz w:val="20"/>
                <w:szCs w:val="20"/>
              </w:rPr>
              <w:t xml:space="preserve"> Hung Le</w:t>
            </w:r>
          </w:p>
          <w:p w:rsidR="000E7C0E" w:rsidRPr="00A935AA" w:rsidRDefault="000E7C0E" w:rsidP="00EA1718">
            <w:pPr>
              <w:keepNext/>
              <w:keepLines/>
              <w:tabs>
                <w:tab w:val="left" w:pos="-1440"/>
                <w:tab w:val="left" w:pos="-720"/>
              </w:tabs>
              <w:rPr>
                <w:sz w:val="20"/>
                <w:szCs w:val="20"/>
              </w:rPr>
            </w:pPr>
            <w:r w:rsidRPr="00A935AA">
              <w:rPr>
                <w:sz w:val="20"/>
                <w:szCs w:val="20"/>
              </w:rPr>
              <w:tab/>
            </w:r>
            <w:r w:rsidR="00195714">
              <w:rPr>
                <w:sz w:val="20"/>
                <w:szCs w:val="20"/>
              </w:rPr>
              <w:t>Robin Parker</w:t>
            </w:r>
          </w:p>
          <w:p w:rsidR="000E7C0E" w:rsidRPr="00A935AA" w:rsidRDefault="000E7C0E" w:rsidP="00EA1718">
            <w:pPr>
              <w:keepNext/>
              <w:keepLines/>
              <w:tabs>
                <w:tab w:val="left" w:pos="-1440"/>
                <w:tab w:val="left" w:pos="-720"/>
              </w:tabs>
              <w:rPr>
                <w:sz w:val="20"/>
                <w:szCs w:val="20"/>
              </w:rPr>
            </w:pPr>
          </w:p>
          <w:p w:rsidR="000E7C0E" w:rsidRPr="00ED1143" w:rsidRDefault="000E7C0E" w:rsidP="00EA1718">
            <w:pPr>
              <w:keepNext/>
              <w:keepLines/>
              <w:tabs>
                <w:tab w:val="left" w:pos="-1440"/>
                <w:tab w:val="left" w:pos="-720"/>
              </w:tabs>
              <w:rPr>
                <w:sz w:val="20"/>
                <w:szCs w:val="20"/>
              </w:rPr>
            </w:pPr>
            <w:r w:rsidRPr="00A935AA">
              <w:rPr>
                <w:sz w:val="20"/>
                <w:szCs w:val="20"/>
              </w:rPr>
              <w:tab/>
            </w:r>
            <w:r w:rsidRPr="00ED1143">
              <w:rPr>
                <w:sz w:val="20"/>
                <w:szCs w:val="20"/>
              </w:rPr>
              <w:t>v. (35</w:t>
            </w:r>
            <w:r w:rsidR="00195714">
              <w:rPr>
                <w:sz w:val="20"/>
                <w:szCs w:val="20"/>
              </w:rPr>
              <w:t>254</w:t>
            </w:r>
            <w:r w:rsidRPr="00ED1143">
              <w:rPr>
                <w:sz w:val="20"/>
                <w:szCs w:val="20"/>
              </w:rPr>
              <w:t>)</w:t>
            </w:r>
          </w:p>
          <w:p w:rsidR="000E7C0E" w:rsidRPr="00ED1143" w:rsidRDefault="000E7C0E" w:rsidP="00EA1718">
            <w:pPr>
              <w:keepNext/>
              <w:keepLines/>
              <w:tabs>
                <w:tab w:val="left" w:pos="-1440"/>
                <w:tab w:val="left" w:pos="-720"/>
              </w:tabs>
              <w:rPr>
                <w:sz w:val="20"/>
                <w:szCs w:val="20"/>
              </w:rPr>
            </w:pPr>
          </w:p>
          <w:p w:rsidR="000E7C0E" w:rsidRPr="00ED1143" w:rsidRDefault="00195714" w:rsidP="00EA1718">
            <w:pPr>
              <w:keepNext/>
              <w:keepLines/>
              <w:tabs>
                <w:tab w:val="left" w:pos="-1440"/>
                <w:tab w:val="left" w:pos="-720"/>
              </w:tabs>
              <w:rPr>
                <w:b/>
                <w:sz w:val="20"/>
                <w:szCs w:val="20"/>
              </w:rPr>
            </w:pPr>
            <w:r>
              <w:rPr>
                <w:b/>
                <w:sz w:val="20"/>
                <w:szCs w:val="20"/>
              </w:rPr>
              <w:t>United States of America et al.</w:t>
            </w:r>
            <w:r w:rsidR="000E7C0E" w:rsidRPr="00ED1143">
              <w:rPr>
                <w:b/>
                <w:sz w:val="20"/>
                <w:szCs w:val="20"/>
              </w:rPr>
              <w:t xml:space="preserve"> (Ont.)</w:t>
            </w:r>
          </w:p>
          <w:p w:rsidR="000E7C0E" w:rsidRPr="00ED1143" w:rsidRDefault="000E7C0E" w:rsidP="00EA1718">
            <w:pPr>
              <w:keepNext/>
              <w:keepLines/>
              <w:tabs>
                <w:tab w:val="left" w:pos="-1440"/>
                <w:tab w:val="left" w:pos="-720"/>
              </w:tabs>
              <w:rPr>
                <w:sz w:val="20"/>
                <w:szCs w:val="20"/>
              </w:rPr>
            </w:pPr>
            <w:r w:rsidRPr="00ED1143">
              <w:rPr>
                <w:sz w:val="20"/>
                <w:szCs w:val="20"/>
              </w:rPr>
              <w:tab/>
            </w:r>
            <w:r w:rsidR="00195714">
              <w:rPr>
                <w:sz w:val="20"/>
                <w:szCs w:val="20"/>
              </w:rPr>
              <w:t>Richard Kramer</w:t>
            </w:r>
          </w:p>
          <w:p w:rsidR="000E7C0E" w:rsidRPr="00ED1143" w:rsidRDefault="000E7C0E" w:rsidP="00EA1718">
            <w:pPr>
              <w:keepNext/>
              <w:keepLines/>
              <w:tabs>
                <w:tab w:val="left" w:pos="-1440"/>
                <w:tab w:val="left" w:pos="-720"/>
              </w:tabs>
              <w:rPr>
                <w:sz w:val="20"/>
                <w:szCs w:val="20"/>
              </w:rPr>
            </w:pPr>
            <w:r w:rsidRPr="00ED1143">
              <w:rPr>
                <w:sz w:val="20"/>
                <w:szCs w:val="20"/>
              </w:rPr>
              <w:tab/>
            </w:r>
            <w:r w:rsidR="00195714">
              <w:rPr>
                <w:sz w:val="20"/>
                <w:szCs w:val="20"/>
              </w:rPr>
              <w:t>A.G. of Canada</w:t>
            </w:r>
          </w:p>
          <w:p w:rsidR="000E7C0E" w:rsidRPr="00ED1143" w:rsidRDefault="000E7C0E" w:rsidP="00EA1718">
            <w:pPr>
              <w:keepNext/>
              <w:keepLines/>
              <w:tabs>
                <w:tab w:val="left" w:pos="-1440"/>
                <w:tab w:val="left" w:pos="-720"/>
              </w:tabs>
              <w:rPr>
                <w:sz w:val="20"/>
                <w:szCs w:val="20"/>
              </w:rPr>
            </w:pPr>
          </w:p>
          <w:p w:rsidR="000E7C0E" w:rsidRPr="00A935AA" w:rsidRDefault="000E7C0E" w:rsidP="00195714">
            <w:pPr>
              <w:rPr>
                <w:sz w:val="20"/>
                <w:szCs w:val="20"/>
              </w:rPr>
            </w:pPr>
            <w:r w:rsidRPr="00A935AA">
              <w:rPr>
                <w:sz w:val="20"/>
                <w:szCs w:val="20"/>
              </w:rPr>
              <w:t xml:space="preserve">FILING DATE: </w:t>
            </w:r>
            <w:r w:rsidR="00195714">
              <w:rPr>
                <w:sz w:val="20"/>
                <w:szCs w:val="20"/>
              </w:rPr>
              <w:t>02</w:t>
            </w:r>
            <w:r w:rsidRPr="00A935AA">
              <w:rPr>
                <w:sz w:val="20"/>
                <w:szCs w:val="20"/>
              </w:rPr>
              <w:t>.0</w:t>
            </w:r>
            <w:r w:rsidR="00195714">
              <w:rPr>
                <w:sz w:val="20"/>
                <w:szCs w:val="20"/>
              </w:rPr>
              <w:t>4</w:t>
            </w:r>
            <w:r w:rsidRPr="00A935AA">
              <w:rPr>
                <w:sz w:val="20"/>
                <w:szCs w:val="20"/>
              </w:rPr>
              <w:t>.201</w:t>
            </w:r>
            <w:r>
              <w:rPr>
                <w:sz w:val="20"/>
                <w:szCs w:val="20"/>
              </w:rPr>
              <w:t>3</w:t>
            </w:r>
            <w:r w:rsidR="00BE6ED8" w:rsidRPr="00BE6ED8">
              <w:rPr>
                <w:sz w:val="20"/>
                <w:szCs w:val="20"/>
                <w:lang w:val="fr-CA"/>
              </w:rPr>
              <w:pict>
                <v:rect id="_x0000_i1040"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B50DA">
          <w:headerReference w:type="default" r:id="rId16"/>
          <w:footerReference w:type="default" r:id="rId17"/>
          <w:headerReference w:type="first" r:id="rId18"/>
          <w:footerReference w:type="first" r:id="rId19"/>
          <w:pgSz w:w="12240" w:h="15840"/>
          <w:pgMar w:top="720" w:right="965" w:bottom="1080" w:left="1656" w:header="706" w:footer="706" w:gutter="0"/>
          <w:pgNumType w:start="64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D87B4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BB40E6">
              <w:rPr>
                <w:b/>
                <w:szCs w:val="24"/>
                <w:lang w:val="fr-CA"/>
              </w:rPr>
              <w:t xml:space="preserve">DEMANDES SOUMISES À LA COUR DEPUIS LA </w:t>
            </w:r>
            <w:r w:rsidRPr="001D0D5F">
              <w:rPr>
                <w:b/>
                <w:szCs w:val="24"/>
                <w:lang w:val="fr-CA"/>
              </w:rPr>
              <w:t>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A</w:t>
      </w:r>
      <w:r w:rsidR="004E6F86">
        <w:rPr>
          <w:b/>
          <w:sz w:val="20"/>
          <w:szCs w:val="20"/>
        </w:rPr>
        <w:t>P</w:t>
      </w:r>
      <w:r>
        <w:rPr>
          <w:b/>
          <w:sz w:val="20"/>
          <w:szCs w:val="20"/>
        </w:rPr>
        <w:t>R</w:t>
      </w:r>
      <w:r w:rsidR="004E6F86">
        <w:rPr>
          <w:b/>
          <w:sz w:val="20"/>
          <w:szCs w:val="20"/>
        </w:rPr>
        <w:t>IL</w:t>
      </w:r>
      <w:r>
        <w:rPr>
          <w:b/>
          <w:sz w:val="20"/>
          <w:szCs w:val="20"/>
        </w:rPr>
        <w:t xml:space="preserve"> </w:t>
      </w:r>
      <w:r w:rsidR="004E6F86">
        <w:rPr>
          <w:b/>
          <w:sz w:val="20"/>
          <w:szCs w:val="20"/>
        </w:rPr>
        <w:t>8</w:t>
      </w:r>
      <w:r w:rsidR="004B7F60" w:rsidRPr="00C50A5C">
        <w:rPr>
          <w:b/>
          <w:sz w:val="20"/>
          <w:szCs w:val="20"/>
        </w:rPr>
        <w:t>, 201</w:t>
      </w:r>
      <w:r>
        <w:rPr>
          <w:b/>
          <w:sz w:val="20"/>
          <w:szCs w:val="20"/>
        </w:rPr>
        <w:t>3</w:t>
      </w:r>
      <w:r w:rsidR="004B7F60" w:rsidRPr="00C50A5C">
        <w:rPr>
          <w:b/>
          <w:sz w:val="20"/>
          <w:szCs w:val="20"/>
        </w:rPr>
        <w:t xml:space="preserve"> / LE </w:t>
      </w:r>
      <w:r w:rsidR="004E6F86">
        <w:rPr>
          <w:b/>
          <w:sz w:val="20"/>
          <w:szCs w:val="20"/>
        </w:rPr>
        <w:t>8</w:t>
      </w:r>
      <w:r w:rsidR="004B7F60">
        <w:rPr>
          <w:b/>
          <w:sz w:val="20"/>
          <w:szCs w:val="20"/>
        </w:rPr>
        <w:t xml:space="preserve"> </w:t>
      </w:r>
      <w:r>
        <w:rPr>
          <w:b/>
          <w:sz w:val="20"/>
          <w:szCs w:val="20"/>
        </w:rPr>
        <w:t>AV</w:t>
      </w:r>
      <w:r w:rsidR="004B7F60">
        <w:rPr>
          <w:b/>
          <w:sz w:val="20"/>
          <w:szCs w:val="20"/>
        </w:rPr>
        <w:t>R</w:t>
      </w:r>
      <w:r w:rsidR="004E6F86">
        <w:rPr>
          <w:b/>
          <w:sz w:val="20"/>
          <w:szCs w:val="20"/>
        </w:rPr>
        <w:t>IL</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F75898" w:rsidP="004B7F60">
      <w:pPr>
        <w:pStyle w:val="ListParagraph"/>
        <w:widowControl w:val="0"/>
        <w:numPr>
          <w:ilvl w:val="0"/>
          <w:numId w:val="1"/>
        </w:numPr>
        <w:ind w:hanging="720"/>
        <w:jc w:val="both"/>
        <w:rPr>
          <w:sz w:val="20"/>
          <w:szCs w:val="20"/>
        </w:rPr>
      </w:pPr>
      <w:proofErr w:type="spellStart"/>
      <w:r w:rsidRPr="00F75898">
        <w:rPr>
          <w:i/>
          <w:sz w:val="20"/>
          <w:szCs w:val="20"/>
        </w:rPr>
        <w:t>Raminder</w:t>
      </w:r>
      <w:proofErr w:type="spellEnd"/>
      <w:r w:rsidRPr="00F75898">
        <w:rPr>
          <w:i/>
          <w:sz w:val="20"/>
          <w:szCs w:val="20"/>
        </w:rPr>
        <w:t xml:space="preserve"> </w:t>
      </w:r>
      <w:proofErr w:type="spellStart"/>
      <w:r w:rsidRPr="00F75898">
        <w:rPr>
          <w:i/>
          <w:sz w:val="20"/>
          <w:szCs w:val="20"/>
        </w:rPr>
        <w:t>Bhandher</w:t>
      </w:r>
      <w:proofErr w:type="spellEnd"/>
      <w:r w:rsidRPr="00F75898">
        <w:rPr>
          <w:i/>
          <w:sz w:val="20"/>
          <w:szCs w:val="20"/>
        </w:rPr>
        <w:t xml:space="preserve"> v. Her Majesty the Queen</w:t>
      </w:r>
      <w:r w:rsidRPr="004E6F86">
        <w:rPr>
          <w:sz w:val="20"/>
          <w:szCs w:val="20"/>
        </w:rPr>
        <w:t xml:space="preserve"> (B.C.) (Crim.) (By Leave)</w:t>
      </w:r>
      <w:r w:rsidRPr="00C50A5C">
        <w:rPr>
          <w:sz w:val="20"/>
          <w:szCs w:val="20"/>
        </w:rPr>
        <w:t xml:space="preserve"> </w:t>
      </w:r>
      <w:r w:rsidR="004B7F60" w:rsidRPr="00C50A5C">
        <w:rPr>
          <w:sz w:val="20"/>
          <w:szCs w:val="20"/>
        </w:rPr>
        <w:t>(3</w:t>
      </w:r>
      <w:r>
        <w:rPr>
          <w:sz w:val="20"/>
          <w:szCs w:val="20"/>
        </w:rPr>
        <w:t>5</w:t>
      </w:r>
      <w:r w:rsidR="004B7F60">
        <w:rPr>
          <w:sz w:val="20"/>
          <w:szCs w:val="20"/>
        </w:rPr>
        <w:t>1</w:t>
      </w:r>
      <w:r>
        <w:rPr>
          <w:sz w:val="20"/>
          <w:szCs w:val="20"/>
        </w:rPr>
        <w:t>61</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F75898" w:rsidP="004B7F60">
      <w:pPr>
        <w:pStyle w:val="ListParagraph"/>
        <w:widowControl w:val="0"/>
        <w:numPr>
          <w:ilvl w:val="0"/>
          <w:numId w:val="1"/>
        </w:numPr>
        <w:ind w:hanging="720"/>
        <w:jc w:val="both"/>
        <w:rPr>
          <w:sz w:val="20"/>
          <w:szCs w:val="20"/>
        </w:rPr>
      </w:pPr>
      <w:proofErr w:type="spellStart"/>
      <w:r w:rsidRPr="00F75898">
        <w:rPr>
          <w:i/>
          <w:sz w:val="20"/>
          <w:szCs w:val="20"/>
        </w:rPr>
        <w:t>Jisheng</w:t>
      </w:r>
      <w:proofErr w:type="spellEnd"/>
      <w:r w:rsidRPr="00F75898">
        <w:rPr>
          <w:i/>
          <w:sz w:val="20"/>
          <w:szCs w:val="20"/>
        </w:rPr>
        <w:t xml:space="preserve"> Liu v. McGill University Non-Academic Certified Association (MUNACA)</w:t>
      </w:r>
      <w:r w:rsidRPr="004E6F86">
        <w:rPr>
          <w:sz w:val="20"/>
          <w:szCs w:val="20"/>
        </w:rPr>
        <w:t xml:space="preserve"> (Que.) (Civil) (By Leave)</w:t>
      </w:r>
      <w:r w:rsidRPr="00C612D0">
        <w:rPr>
          <w:sz w:val="20"/>
          <w:szCs w:val="20"/>
        </w:rPr>
        <w:t xml:space="preserve"> </w:t>
      </w:r>
      <w:r w:rsidR="004B7F60" w:rsidRPr="00C612D0">
        <w:rPr>
          <w:sz w:val="20"/>
          <w:szCs w:val="20"/>
        </w:rPr>
        <w:t>(3</w:t>
      </w:r>
      <w:r>
        <w:rPr>
          <w:sz w:val="20"/>
          <w:szCs w:val="20"/>
        </w:rPr>
        <w:t>5186</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F75898" w:rsidP="004B7F60">
      <w:pPr>
        <w:pStyle w:val="ListParagraph"/>
        <w:widowControl w:val="0"/>
        <w:numPr>
          <w:ilvl w:val="0"/>
          <w:numId w:val="1"/>
        </w:numPr>
        <w:ind w:hanging="720"/>
        <w:jc w:val="both"/>
        <w:rPr>
          <w:sz w:val="20"/>
          <w:szCs w:val="20"/>
        </w:rPr>
      </w:pPr>
      <w:r w:rsidRPr="00F75898">
        <w:rPr>
          <w:i/>
          <w:sz w:val="20"/>
          <w:szCs w:val="20"/>
        </w:rPr>
        <w:t xml:space="preserve">Ural </w:t>
      </w:r>
      <w:proofErr w:type="spellStart"/>
      <w:r w:rsidRPr="00F75898">
        <w:rPr>
          <w:i/>
          <w:sz w:val="20"/>
          <w:szCs w:val="20"/>
        </w:rPr>
        <w:t>Direk</w:t>
      </w:r>
      <w:proofErr w:type="spellEnd"/>
      <w:r w:rsidRPr="00F75898">
        <w:rPr>
          <w:i/>
          <w:sz w:val="20"/>
          <w:szCs w:val="20"/>
        </w:rPr>
        <w:t xml:space="preserve"> et al. v. Nina </w:t>
      </w:r>
      <w:proofErr w:type="spellStart"/>
      <w:r w:rsidRPr="00F75898">
        <w:rPr>
          <w:i/>
          <w:sz w:val="20"/>
          <w:szCs w:val="20"/>
        </w:rPr>
        <w:t>Kryshtalskyj</w:t>
      </w:r>
      <w:proofErr w:type="spellEnd"/>
      <w:r w:rsidRPr="00F75898">
        <w:rPr>
          <w:i/>
          <w:sz w:val="20"/>
          <w:szCs w:val="20"/>
        </w:rPr>
        <w:t>, M.D., C.C.F.P. et al.</w:t>
      </w:r>
      <w:r w:rsidRPr="004E6F86">
        <w:rPr>
          <w:sz w:val="20"/>
          <w:szCs w:val="20"/>
        </w:rPr>
        <w:t xml:space="preserve"> (Ont.) (Civil) (By Leave)</w:t>
      </w:r>
      <w:r w:rsidRPr="00940CAD">
        <w:rPr>
          <w:sz w:val="20"/>
          <w:szCs w:val="20"/>
        </w:rPr>
        <w:t xml:space="preserve"> </w:t>
      </w:r>
      <w:r w:rsidR="004B7F60" w:rsidRPr="00940CAD">
        <w:rPr>
          <w:sz w:val="20"/>
          <w:szCs w:val="20"/>
        </w:rPr>
        <w:t>(3</w:t>
      </w:r>
      <w:r>
        <w:rPr>
          <w:sz w:val="20"/>
          <w:szCs w:val="20"/>
        </w:rPr>
        <w:t>52</w:t>
      </w:r>
      <w:r w:rsidR="004B7F60" w:rsidRPr="00940CAD">
        <w:rPr>
          <w:sz w:val="20"/>
          <w:szCs w:val="20"/>
        </w:rPr>
        <w:t>49)</w:t>
      </w:r>
    </w:p>
    <w:p w:rsidR="004B7F60" w:rsidRPr="00C50A5C" w:rsidRDefault="004B7F60" w:rsidP="004B7F60">
      <w:pPr>
        <w:widowControl w:val="0"/>
        <w:rPr>
          <w:sz w:val="20"/>
          <w:szCs w:val="20"/>
        </w:rPr>
      </w:pPr>
    </w:p>
    <w:p w:rsidR="004B7F60" w:rsidRPr="00C50A5C" w:rsidRDefault="00F75898" w:rsidP="004B7F60">
      <w:pPr>
        <w:pStyle w:val="ListParagraph"/>
        <w:widowControl w:val="0"/>
        <w:numPr>
          <w:ilvl w:val="0"/>
          <w:numId w:val="1"/>
        </w:numPr>
        <w:ind w:hanging="720"/>
        <w:jc w:val="both"/>
        <w:rPr>
          <w:sz w:val="20"/>
          <w:szCs w:val="20"/>
        </w:rPr>
      </w:pPr>
      <w:r w:rsidRPr="00F75898">
        <w:rPr>
          <w:i/>
          <w:sz w:val="20"/>
          <w:szCs w:val="20"/>
        </w:rPr>
        <w:t>Loyola High School et al. v. Attorney General of Quebec</w:t>
      </w:r>
      <w:r w:rsidRPr="004E6F86">
        <w:rPr>
          <w:sz w:val="20"/>
          <w:szCs w:val="20"/>
        </w:rPr>
        <w:t xml:space="preserve"> (Que.) (Civil) (By Leave)</w:t>
      </w:r>
      <w:r w:rsidRPr="00C50A5C">
        <w:rPr>
          <w:sz w:val="20"/>
          <w:szCs w:val="20"/>
        </w:rPr>
        <w:t xml:space="preserve"> </w:t>
      </w:r>
      <w:r w:rsidR="004B7F60" w:rsidRPr="00C50A5C">
        <w:rPr>
          <w:sz w:val="20"/>
          <w:szCs w:val="20"/>
        </w:rPr>
        <w:t>(3</w:t>
      </w:r>
      <w:r>
        <w:rPr>
          <w:sz w:val="20"/>
          <w:szCs w:val="20"/>
        </w:rPr>
        <w:t>5201</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sidR="0062714A">
        <w:rPr>
          <w:b/>
          <w:sz w:val="20"/>
          <w:szCs w:val="20"/>
        </w:rPr>
        <w:t>K</w:t>
      </w:r>
      <w:r>
        <w:rPr>
          <w:b/>
          <w:sz w:val="20"/>
          <w:szCs w:val="20"/>
        </w:rPr>
        <w:t>a</w:t>
      </w:r>
      <w:r w:rsidR="0062714A">
        <w:rPr>
          <w:b/>
          <w:sz w:val="20"/>
          <w:szCs w:val="20"/>
        </w:rPr>
        <w:t>rakatsanis</w:t>
      </w:r>
      <w:proofErr w:type="spellEnd"/>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sidR="0062714A">
        <w:rPr>
          <w:b/>
          <w:sz w:val="20"/>
          <w:szCs w:val="20"/>
          <w:lang w:val="fr-CA"/>
        </w:rPr>
        <w:t>K</w:t>
      </w:r>
      <w:r>
        <w:rPr>
          <w:b/>
          <w:sz w:val="20"/>
          <w:szCs w:val="20"/>
          <w:lang w:val="fr-CA"/>
        </w:rPr>
        <w:t>a</w:t>
      </w:r>
      <w:r w:rsidR="0062714A">
        <w:rPr>
          <w:b/>
          <w:sz w:val="20"/>
          <w:szCs w:val="20"/>
          <w:lang w:val="fr-CA"/>
        </w:rPr>
        <w:t>rakatsanis</w:t>
      </w:r>
      <w:proofErr w:type="spellEnd"/>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F75898" w:rsidRDefault="00F75898" w:rsidP="004B7F60">
      <w:pPr>
        <w:pStyle w:val="ListParagraph"/>
        <w:widowControl w:val="0"/>
        <w:numPr>
          <w:ilvl w:val="0"/>
          <w:numId w:val="1"/>
        </w:numPr>
        <w:ind w:hanging="720"/>
        <w:jc w:val="both"/>
        <w:rPr>
          <w:sz w:val="20"/>
          <w:szCs w:val="20"/>
        </w:rPr>
      </w:pPr>
      <w:r w:rsidRPr="00F75898">
        <w:rPr>
          <w:i/>
          <w:sz w:val="20"/>
          <w:szCs w:val="20"/>
        </w:rPr>
        <w:t>Warner Bruce Elmore v. Her Majesty the Queen</w:t>
      </w:r>
      <w:r w:rsidRPr="004E6F86">
        <w:rPr>
          <w:sz w:val="20"/>
          <w:szCs w:val="20"/>
        </w:rPr>
        <w:t xml:space="preserve"> (Ont.) (Crim.) (By Leave)</w:t>
      </w:r>
      <w:r w:rsidRPr="00F75898">
        <w:rPr>
          <w:sz w:val="20"/>
          <w:szCs w:val="20"/>
        </w:rPr>
        <w:t xml:space="preserve"> </w:t>
      </w:r>
      <w:r w:rsidR="004B7F60" w:rsidRPr="00F75898">
        <w:rPr>
          <w:sz w:val="20"/>
          <w:szCs w:val="20"/>
        </w:rPr>
        <w:t>(3</w:t>
      </w:r>
      <w:r w:rsidRPr="00F75898">
        <w:rPr>
          <w:sz w:val="20"/>
          <w:szCs w:val="20"/>
        </w:rPr>
        <w:t>5222</w:t>
      </w:r>
      <w:r w:rsidR="004B7F60" w:rsidRPr="00F75898">
        <w:rPr>
          <w:sz w:val="20"/>
          <w:szCs w:val="20"/>
        </w:rPr>
        <w:t>)</w:t>
      </w:r>
    </w:p>
    <w:p w:rsidR="004B7F60" w:rsidRPr="00F75898" w:rsidRDefault="004B7F60" w:rsidP="004B7F60">
      <w:pPr>
        <w:widowControl w:val="0"/>
        <w:rPr>
          <w:sz w:val="20"/>
          <w:szCs w:val="20"/>
        </w:rPr>
      </w:pPr>
    </w:p>
    <w:p w:rsidR="004B7F60" w:rsidRPr="00115C9E" w:rsidRDefault="00F75898" w:rsidP="004B7F60">
      <w:pPr>
        <w:pStyle w:val="ListParagraph"/>
        <w:widowControl w:val="0"/>
        <w:numPr>
          <w:ilvl w:val="0"/>
          <w:numId w:val="1"/>
        </w:numPr>
        <w:ind w:hanging="720"/>
        <w:jc w:val="both"/>
        <w:rPr>
          <w:sz w:val="20"/>
          <w:szCs w:val="20"/>
          <w:lang w:val="fr-CA"/>
        </w:rPr>
      </w:pPr>
      <w:r w:rsidRPr="00F75898">
        <w:rPr>
          <w:i/>
          <w:sz w:val="20"/>
          <w:szCs w:val="20"/>
          <w:lang w:val="fr-CA"/>
        </w:rPr>
        <w:t xml:space="preserve">Stéphane </w:t>
      </w:r>
      <w:proofErr w:type="spellStart"/>
      <w:r w:rsidRPr="00F75898">
        <w:rPr>
          <w:i/>
          <w:sz w:val="20"/>
          <w:szCs w:val="20"/>
          <w:lang w:val="fr-CA"/>
        </w:rPr>
        <w:t>Marleau</w:t>
      </w:r>
      <w:proofErr w:type="spellEnd"/>
      <w:r w:rsidRPr="00F75898">
        <w:rPr>
          <w:i/>
          <w:sz w:val="20"/>
          <w:szCs w:val="20"/>
          <w:lang w:val="fr-CA"/>
        </w:rPr>
        <w:t xml:space="preserve"> c. Sa Majesté la Reine</w:t>
      </w:r>
      <w:r w:rsidRPr="004E6F86">
        <w:rPr>
          <w:sz w:val="20"/>
          <w:szCs w:val="20"/>
          <w:lang w:val="fr-CA"/>
        </w:rPr>
        <w:t xml:space="preserve"> (</w:t>
      </w:r>
      <w:proofErr w:type="spellStart"/>
      <w:r w:rsidRPr="004E6F86">
        <w:rPr>
          <w:sz w:val="20"/>
          <w:szCs w:val="20"/>
          <w:lang w:val="fr-CA"/>
        </w:rPr>
        <w:t>Qc</w:t>
      </w:r>
      <w:proofErr w:type="spellEnd"/>
      <w:r w:rsidRPr="004E6F86">
        <w:rPr>
          <w:sz w:val="20"/>
          <w:szCs w:val="20"/>
          <w:lang w:val="fr-CA"/>
        </w:rPr>
        <w:t>) (</w:t>
      </w:r>
      <w:proofErr w:type="spellStart"/>
      <w:r w:rsidRPr="004E6F86">
        <w:rPr>
          <w:sz w:val="20"/>
          <w:szCs w:val="20"/>
          <w:lang w:val="fr-CA"/>
        </w:rPr>
        <w:t>Crim</w:t>
      </w:r>
      <w:proofErr w:type="spellEnd"/>
      <w:r w:rsidRPr="004E6F86">
        <w:rPr>
          <w:sz w:val="20"/>
          <w:szCs w:val="20"/>
          <w:lang w:val="fr-CA"/>
        </w:rPr>
        <w:t>.) (Autorisation)</w:t>
      </w:r>
      <w:r w:rsidRPr="00115C9E">
        <w:rPr>
          <w:sz w:val="20"/>
          <w:szCs w:val="20"/>
          <w:lang w:val="fr-CA"/>
        </w:rPr>
        <w:t xml:space="preserve"> </w:t>
      </w:r>
      <w:r w:rsidR="004B7F60" w:rsidRPr="00115C9E">
        <w:rPr>
          <w:sz w:val="20"/>
          <w:szCs w:val="20"/>
          <w:lang w:val="fr-CA"/>
        </w:rPr>
        <w:t>(35</w:t>
      </w:r>
      <w:r>
        <w:rPr>
          <w:sz w:val="20"/>
          <w:szCs w:val="20"/>
          <w:lang w:val="fr-CA"/>
        </w:rPr>
        <w:t>198</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F75898" w:rsidP="004B7F60">
      <w:pPr>
        <w:pStyle w:val="ListParagraph"/>
        <w:widowControl w:val="0"/>
        <w:numPr>
          <w:ilvl w:val="0"/>
          <w:numId w:val="1"/>
        </w:numPr>
        <w:ind w:hanging="720"/>
        <w:jc w:val="both"/>
        <w:rPr>
          <w:sz w:val="20"/>
          <w:szCs w:val="20"/>
          <w:lang w:val="fr-CA"/>
        </w:rPr>
      </w:pPr>
      <w:r w:rsidRPr="00F75898">
        <w:rPr>
          <w:i/>
          <w:sz w:val="20"/>
          <w:szCs w:val="20"/>
        </w:rPr>
        <w:t xml:space="preserve">James Sean </w:t>
      </w:r>
      <w:proofErr w:type="spellStart"/>
      <w:r w:rsidRPr="00F75898">
        <w:rPr>
          <w:i/>
          <w:sz w:val="20"/>
          <w:szCs w:val="20"/>
        </w:rPr>
        <w:t>Wotherspoon</w:t>
      </w:r>
      <w:proofErr w:type="spellEnd"/>
      <w:r w:rsidRPr="00F75898">
        <w:rPr>
          <w:i/>
          <w:sz w:val="20"/>
          <w:szCs w:val="20"/>
        </w:rPr>
        <w:t xml:space="preserve"> v. Her Majesty the Queen</w:t>
      </w:r>
      <w:r w:rsidRPr="004E6F86">
        <w:rPr>
          <w:sz w:val="20"/>
          <w:szCs w:val="20"/>
        </w:rPr>
        <w:t xml:space="preserve"> (F.C.) (Civil) (By Leave)</w:t>
      </w:r>
      <w:r w:rsidRPr="00115C9E">
        <w:rPr>
          <w:sz w:val="20"/>
          <w:szCs w:val="20"/>
          <w:lang w:val="fr-CA"/>
        </w:rPr>
        <w:t xml:space="preserve"> </w:t>
      </w:r>
      <w:r w:rsidR="004B7F60" w:rsidRPr="00115C9E">
        <w:rPr>
          <w:sz w:val="20"/>
          <w:szCs w:val="20"/>
          <w:lang w:val="fr-CA"/>
        </w:rPr>
        <w:t>(35</w:t>
      </w:r>
      <w:r>
        <w:rPr>
          <w:sz w:val="20"/>
          <w:szCs w:val="20"/>
          <w:lang w:val="fr-CA"/>
        </w:rPr>
        <w:t>20</w:t>
      </w:r>
      <w:r w:rsidR="004B7F60" w:rsidRPr="00115C9E">
        <w:rPr>
          <w:sz w:val="20"/>
          <w:szCs w:val="20"/>
          <w:lang w:val="fr-CA"/>
        </w:rPr>
        <w:t>4)</w:t>
      </w:r>
    </w:p>
    <w:p w:rsidR="004B7F60" w:rsidRDefault="004B7F60" w:rsidP="004B7F60">
      <w:pPr>
        <w:widowControl w:val="0"/>
        <w:jc w:val="both"/>
        <w:rPr>
          <w:sz w:val="20"/>
          <w:szCs w:val="20"/>
          <w:lang w:val="fr-CA"/>
        </w:rPr>
      </w:pPr>
    </w:p>
    <w:p w:rsidR="004E6F86" w:rsidRDefault="004E6F86" w:rsidP="004B7F60">
      <w:pPr>
        <w:widowControl w:val="0"/>
        <w:jc w:val="both"/>
        <w:rPr>
          <w:sz w:val="20"/>
          <w:szCs w:val="20"/>
          <w:lang w:val="fr-CA"/>
        </w:rPr>
      </w:pPr>
    </w:p>
    <w:p w:rsidR="004E6F86" w:rsidRPr="00C50A5C" w:rsidRDefault="004E6F86" w:rsidP="004E6F86">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4E6F86" w:rsidRPr="00C50A5C" w:rsidRDefault="004E6F86" w:rsidP="004E6F86">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4E6F86" w:rsidRPr="00C50A5C" w:rsidRDefault="004E6F86" w:rsidP="004E6F86">
      <w:pPr>
        <w:widowControl w:val="0"/>
        <w:rPr>
          <w:sz w:val="20"/>
          <w:szCs w:val="20"/>
          <w:lang w:val="fr-CA"/>
        </w:rPr>
      </w:pPr>
    </w:p>
    <w:p w:rsidR="004B7F60" w:rsidRPr="00F75898" w:rsidRDefault="00F75898" w:rsidP="004B7F60">
      <w:pPr>
        <w:pStyle w:val="ListParagraph"/>
        <w:widowControl w:val="0"/>
        <w:numPr>
          <w:ilvl w:val="0"/>
          <w:numId w:val="1"/>
        </w:numPr>
        <w:ind w:hanging="720"/>
        <w:jc w:val="both"/>
        <w:rPr>
          <w:sz w:val="20"/>
          <w:szCs w:val="20"/>
        </w:rPr>
      </w:pPr>
      <w:proofErr w:type="spellStart"/>
      <w:r w:rsidRPr="00F75898">
        <w:rPr>
          <w:i/>
          <w:sz w:val="20"/>
          <w:szCs w:val="20"/>
        </w:rPr>
        <w:t>Hakam</w:t>
      </w:r>
      <w:proofErr w:type="spellEnd"/>
      <w:r w:rsidRPr="00F75898">
        <w:rPr>
          <w:i/>
          <w:sz w:val="20"/>
          <w:szCs w:val="20"/>
        </w:rPr>
        <w:t xml:space="preserve"> </w:t>
      </w:r>
      <w:proofErr w:type="spellStart"/>
      <w:r w:rsidRPr="00F75898">
        <w:rPr>
          <w:i/>
          <w:sz w:val="20"/>
          <w:szCs w:val="20"/>
        </w:rPr>
        <w:t>Bhullar</w:t>
      </w:r>
      <w:proofErr w:type="spellEnd"/>
      <w:r w:rsidRPr="00F75898">
        <w:rPr>
          <w:i/>
          <w:sz w:val="20"/>
          <w:szCs w:val="20"/>
        </w:rPr>
        <w:t xml:space="preserve"> v. British Columbia Veterinary Medical Association</w:t>
      </w:r>
      <w:r w:rsidRPr="004E6F86">
        <w:rPr>
          <w:sz w:val="20"/>
          <w:szCs w:val="20"/>
        </w:rPr>
        <w:t xml:space="preserve"> (B.C.) (Civil) (By Leave)</w:t>
      </w:r>
      <w:r w:rsidRPr="00F75898">
        <w:rPr>
          <w:sz w:val="20"/>
          <w:szCs w:val="20"/>
        </w:rPr>
        <w:t xml:space="preserve"> </w:t>
      </w:r>
      <w:r w:rsidR="004B7F60" w:rsidRPr="00F75898">
        <w:rPr>
          <w:sz w:val="20"/>
          <w:szCs w:val="20"/>
        </w:rPr>
        <w:t>(3</w:t>
      </w:r>
      <w:r w:rsidRPr="00F75898">
        <w:rPr>
          <w:sz w:val="20"/>
          <w:szCs w:val="20"/>
        </w:rPr>
        <w:t>5</w:t>
      </w:r>
      <w:r w:rsidR="004B7F60" w:rsidRPr="00F75898">
        <w:rPr>
          <w:sz w:val="20"/>
          <w:szCs w:val="20"/>
        </w:rPr>
        <w:t>1</w:t>
      </w:r>
      <w:r w:rsidRPr="00F75898">
        <w:rPr>
          <w:sz w:val="20"/>
          <w:szCs w:val="20"/>
        </w:rPr>
        <w:t>56</w:t>
      </w:r>
      <w:r w:rsidR="004B7F60" w:rsidRPr="00F75898">
        <w:rPr>
          <w:sz w:val="20"/>
          <w:szCs w:val="20"/>
        </w:rPr>
        <w:t>)</w:t>
      </w:r>
    </w:p>
    <w:p w:rsidR="004B7F60" w:rsidRPr="00F75898" w:rsidRDefault="004B7F60" w:rsidP="004B7F60">
      <w:pPr>
        <w:widowControl w:val="0"/>
        <w:rPr>
          <w:sz w:val="20"/>
          <w:szCs w:val="20"/>
        </w:rPr>
      </w:pPr>
    </w:p>
    <w:p w:rsidR="004B7F60" w:rsidRPr="004E6F86" w:rsidRDefault="00F75898" w:rsidP="004B7F60">
      <w:pPr>
        <w:pStyle w:val="ListParagraph"/>
        <w:widowControl w:val="0"/>
        <w:numPr>
          <w:ilvl w:val="0"/>
          <w:numId w:val="1"/>
        </w:numPr>
        <w:ind w:hanging="720"/>
        <w:jc w:val="both"/>
        <w:rPr>
          <w:sz w:val="20"/>
          <w:szCs w:val="20"/>
        </w:rPr>
      </w:pPr>
      <w:r w:rsidRPr="00F75898">
        <w:rPr>
          <w:i/>
          <w:sz w:val="20"/>
          <w:szCs w:val="20"/>
        </w:rPr>
        <w:t xml:space="preserve">Harry </w:t>
      </w:r>
      <w:proofErr w:type="spellStart"/>
      <w:r w:rsidRPr="00F75898">
        <w:rPr>
          <w:i/>
          <w:sz w:val="20"/>
          <w:szCs w:val="20"/>
        </w:rPr>
        <w:t>Kopyto</w:t>
      </w:r>
      <w:proofErr w:type="spellEnd"/>
      <w:r w:rsidRPr="00F75898">
        <w:rPr>
          <w:i/>
          <w:sz w:val="20"/>
          <w:szCs w:val="20"/>
        </w:rPr>
        <w:t xml:space="preserve"> v. Law Society of Upper Canada</w:t>
      </w:r>
      <w:r w:rsidRPr="004E6F86">
        <w:rPr>
          <w:sz w:val="20"/>
          <w:szCs w:val="20"/>
        </w:rPr>
        <w:t xml:space="preserve"> (Ont.) (Civil) (By Leave) </w:t>
      </w:r>
      <w:r w:rsidR="004B7F60" w:rsidRPr="004E6F86">
        <w:rPr>
          <w:sz w:val="20"/>
          <w:szCs w:val="20"/>
        </w:rPr>
        <w:t>(3</w:t>
      </w:r>
      <w:r>
        <w:rPr>
          <w:sz w:val="20"/>
          <w:szCs w:val="20"/>
        </w:rPr>
        <w:t>52</w:t>
      </w:r>
      <w:r w:rsidR="004B7F60" w:rsidRPr="004E6F86">
        <w:rPr>
          <w:sz w:val="20"/>
          <w:szCs w:val="20"/>
        </w:rPr>
        <w:t>4</w:t>
      </w:r>
      <w:r>
        <w:rPr>
          <w:sz w:val="20"/>
          <w:szCs w:val="20"/>
        </w:rPr>
        <w:t>2</w:t>
      </w:r>
      <w:r w:rsidR="004B7F60" w:rsidRPr="004E6F86">
        <w:rPr>
          <w:sz w:val="20"/>
          <w:szCs w:val="20"/>
        </w:rPr>
        <w:t>)</w:t>
      </w:r>
    </w:p>
    <w:p w:rsidR="004B7F60" w:rsidRPr="004E6F86" w:rsidRDefault="004B7F60" w:rsidP="004B7F60">
      <w:pPr>
        <w:widowControl w:val="0"/>
        <w:jc w:val="both"/>
        <w:rPr>
          <w:sz w:val="20"/>
          <w:szCs w:val="20"/>
        </w:rPr>
      </w:pPr>
    </w:p>
    <w:p w:rsidR="004B7F60" w:rsidRPr="00115C9E" w:rsidRDefault="00F75898" w:rsidP="004B7F60">
      <w:pPr>
        <w:pStyle w:val="ListParagraph"/>
        <w:widowControl w:val="0"/>
        <w:numPr>
          <w:ilvl w:val="0"/>
          <w:numId w:val="1"/>
        </w:numPr>
        <w:ind w:hanging="720"/>
        <w:jc w:val="both"/>
        <w:rPr>
          <w:sz w:val="20"/>
          <w:szCs w:val="20"/>
        </w:rPr>
      </w:pPr>
      <w:proofErr w:type="spellStart"/>
      <w:r w:rsidRPr="00F75898">
        <w:rPr>
          <w:i/>
          <w:sz w:val="20"/>
          <w:szCs w:val="20"/>
        </w:rPr>
        <w:t>Prabhjot</w:t>
      </w:r>
      <w:proofErr w:type="spellEnd"/>
      <w:r w:rsidRPr="00F75898">
        <w:rPr>
          <w:i/>
          <w:sz w:val="20"/>
          <w:szCs w:val="20"/>
        </w:rPr>
        <w:t xml:space="preserve"> </w:t>
      </w:r>
      <w:proofErr w:type="spellStart"/>
      <w:r w:rsidRPr="00F75898">
        <w:rPr>
          <w:i/>
          <w:sz w:val="20"/>
          <w:szCs w:val="20"/>
        </w:rPr>
        <w:t>Kaur</w:t>
      </w:r>
      <w:proofErr w:type="spellEnd"/>
      <w:r w:rsidRPr="00F75898">
        <w:rPr>
          <w:i/>
          <w:sz w:val="20"/>
          <w:szCs w:val="20"/>
        </w:rPr>
        <w:t xml:space="preserve"> </w:t>
      </w:r>
      <w:proofErr w:type="spellStart"/>
      <w:r w:rsidRPr="00F75898">
        <w:rPr>
          <w:i/>
          <w:sz w:val="20"/>
          <w:szCs w:val="20"/>
        </w:rPr>
        <w:t>Johal</w:t>
      </w:r>
      <w:proofErr w:type="spellEnd"/>
      <w:r w:rsidRPr="00F75898">
        <w:rPr>
          <w:i/>
          <w:sz w:val="20"/>
          <w:szCs w:val="20"/>
        </w:rPr>
        <w:t xml:space="preserve"> v. Board of Funeral Services</w:t>
      </w:r>
      <w:r w:rsidRPr="004E6F86">
        <w:rPr>
          <w:sz w:val="20"/>
          <w:szCs w:val="20"/>
        </w:rPr>
        <w:t xml:space="preserve"> (Ont.) (Civil) (By Leave)</w:t>
      </w:r>
      <w:r w:rsidRPr="00115C9E">
        <w:rPr>
          <w:sz w:val="20"/>
          <w:szCs w:val="20"/>
        </w:rPr>
        <w:t xml:space="preserve"> </w:t>
      </w:r>
      <w:r w:rsidR="004B7F60" w:rsidRPr="00115C9E">
        <w:rPr>
          <w:sz w:val="20"/>
          <w:szCs w:val="20"/>
        </w:rPr>
        <w:t>(3</w:t>
      </w:r>
      <w:r>
        <w:rPr>
          <w:sz w:val="20"/>
          <w:szCs w:val="20"/>
        </w:rPr>
        <w:t>516</w:t>
      </w:r>
      <w:r w:rsidR="004B7F60" w:rsidRPr="00115C9E">
        <w:rPr>
          <w:sz w:val="20"/>
          <w:szCs w:val="20"/>
        </w:rPr>
        <w:t>4)</w:t>
      </w:r>
    </w:p>
    <w:p w:rsidR="002E2327" w:rsidRPr="001B157C" w:rsidRDefault="002E2327" w:rsidP="002E2327">
      <w:pPr>
        <w:widowControl w:val="0"/>
        <w:rPr>
          <w:sz w:val="20"/>
          <w:szCs w:val="20"/>
        </w:rPr>
      </w:pPr>
    </w:p>
    <w:p w:rsidR="002E2327" w:rsidRPr="00C50A5C" w:rsidRDefault="00BE6ED8" w:rsidP="002E2327">
      <w:pPr>
        <w:widowControl w:val="0"/>
        <w:rPr>
          <w:sz w:val="20"/>
          <w:szCs w:val="20"/>
        </w:rPr>
      </w:pPr>
      <w:r w:rsidRPr="00BE6ED8">
        <w:rPr>
          <w:sz w:val="20"/>
          <w:szCs w:val="20"/>
        </w:rPr>
        <w:pict>
          <v:rect id="_x0000_i1043"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D87B4B"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 xml:space="preserve">APRIL </w:t>
      </w:r>
      <w:r w:rsidR="000C7850">
        <w:rPr>
          <w:b/>
          <w:sz w:val="20"/>
          <w:szCs w:val="20"/>
        </w:rPr>
        <w:t>11</w:t>
      </w:r>
      <w:r w:rsidRPr="00C50A5C">
        <w:rPr>
          <w:b/>
          <w:sz w:val="20"/>
          <w:szCs w:val="20"/>
        </w:rPr>
        <w:t>, 201</w:t>
      </w:r>
      <w:r w:rsidR="000C7850">
        <w:rPr>
          <w:b/>
          <w:sz w:val="20"/>
          <w:szCs w:val="20"/>
        </w:rPr>
        <w:t>3</w:t>
      </w:r>
      <w:r w:rsidRPr="00C50A5C">
        <w:rPr>
          <w:b/>
          <w:sz w:val="20"/>
          <w:szCs w:val="20"/>
        </w:rPr>
        <w:t xml:space="preserve"> / LE </w:t>
      </w:r>
      <w:r w:rsidR="000C7850">
        <w:rPr>
          <w:b/>
          <w:sz w:val="20"/>
          <w:szCs w:val="20"/>
        </w:rPr>
        <w:t>11</w:t>
      </w:r>
      <w:r w:rsidRPr="00C50A5C">
        <w:rPr>
          <w:b/>
          <w:sz w:val="20"/>
          <w:szCs w:val="20"/>
        </w:rPr>
        <w:t xml:space="preserve"> AVRIL 201</w:t>
      </w:r>
      <w:r w:rsidR="000C7850">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E6124" w:rsidRPr="007E67B9" w:rsidTr="009E6124">
        <w:trPr>
          <w:cantSplit/>
        </w:trPr>
        <w:tc>
          <w:tcPr>
            <w:tcW w:w="1458" w:type="dxa"/>
          </w:tcPr>
          <w:p w:rsidR="009E6124" w:rsidRPr="007E67B9" w:rsidRDefault="009E6124" w:rsidP="009E6124">
            <w:pPr>
              <w:rPr>
                <w:sz w:val="20"/>
                <w:szCs w:val="20"/>
              </w:rPr>
            </w:pPr>
            <w:r w:rsidRPr="007E67B9">
              <w:rPr>
                <w:rStyle w:val="SCCFileNumberChar"/>
                <w:sz w:val="20"/>
                <w:szCs w:val="20"/>
              </w:rPr>
              <w:t>34993</w:t>
            </w:r>
          </w:p>
          <w:p w:rsidR="009E6124" w:rsidRPr="007E67B9" w:rsidRDefault="009E6124" w:rsidP="009E6124">
            <w:pPr>
              <w:rPr>
                <w:b/>
                <w:sz w:val="20"/>
                <w:szCs w:val="20"/>
                <w:lang w:val="fr-CA"/>
              </w:rPr>
            </w:pPr>
          </w:p>
        </w:tc>
        <w:tc>
          <w:tcPr>
            <w:tcW w:w="8118" w:type="dxa"/>
          </w:tcPr>
          <w:p w:rsidR="009E6124" w:rsidRPr="007E67B9" w:rsidRDefault="009E6124" w:rsidP="009E6124">
            <w:pPr>
              <w:jc w:val="both"/>
              <w:rPr>
                <w:sz w:val="20"/>
                <w:szCs w:val="20"/>
              </w:rPr>
            </w:pPr>
            <w:r w:rsidRPr="007E67B9">
              <w:rPr>
                <w:rStyle w:val="SCCLsocChar"/>
                <w:sz w:val="20"/>
                <w:szCs w:val="20"/>
                <w:lang w:val="en-CA"/>
              </w:rPr>
              <w:t>College of Physical Therapists of Alberta v. Marilyn Fitzpatrick</w:t>
            </w:r>
            <w:r w:rsidRPr="007E67B9">
              <w:rPr>
                <w:sz w:val="20"/>
                <w:szCs w:val="20"/>
              </w:rPr>
              <w:t xml:space="preserve"> (Alta.) (Civil) (By Leave)</w:t>
            </w:r>
          </w:p>
          <w:p w:rsidR="009E6124" w:rsidRPr="007E67B9" w:rsidRDefault="009E6124" w:rsidP="009E6124">
            <w:pPr>
              <w:jc w:val="both"/>
              <w:rPr>
                <w:sz w:val="20"/>
                <w:szCs w:val="20"/>
              </w:rPr>
            </w:pPr>
          </w:p>
        </w:tc>
      </w:tr>
      <w:tr w:rsidR="009E6124" w:rsidRPr="007E67B9" w:rsidTr="009E6124">
        <w:trPr>
          <w:cantSplit/>
        </w:trPr>
        <w:tc>
          <w:tcPr>
            <w:tcW w:w="1458" w:type="dxa"/>
          </w:tcPr>
          <w:p w:rsidR="009E6124" w:rsidRPr="007E67B9" w:rsidRDefault="009E6124" w:rsidP="009E6124">
            <w:pPr>
              <w:rPr>
                <w:sz w:val="20"/>
                <w:szCs w:val="20"/>
              </w:rPr>
            </w:pPr>
            <w:r w:rsidRPr="007E67B9">
              <w:rPr>
                <w:sz w:val="20"/>
                <w:szCs w:val="20"/>
              </w:rPr>
              <w:t>Coram :</w:t>
            </w:r>
          </w:p>
        </w:tc>
        <w:tc>
          <w:tcPr>
            <w:tcW w:w="8118" w:type="dxa"/>
          </w:tcPr>
          <w:p w:rsidR="009E6124" w:rsidRPr="007E67B9" w:rsidRDefault="009E6124" w:rsidP="009E6124">
            <w:pPr>
              <w:rPr>
                <w:sz w:val="20"/>
                <w:szCs w:val="20"/>
              </w:rPr>
            </w:pPr>
            <w:r w:rsidRPr="007E67B9">
              <w:rPr>
                <w:rStyle w:val="SCCCoramChar"/>
                <w:sz w:val="20"/>
                <w:szCs w:val="20"/>
                <w:lang w:val="en-CA"/>
              </w:rPr>
              <w:t xml:space="preserve">Fish, Rothstein and </w:t>
            </w:r>
            <w:proofErr w:type="spellStart"/>
            <w:r w:rsidRPr="007E67B9">
              <w:rPr>
                <w:rStyle w:val="SCCCoramChar"/>
                <w:sz w:val="20"/>
                <w:szCs w:val="20"/>
                <w:lang w:val="en-CA"/>
              </w:rPr>
              <w:t>Moldaver</w:t>
            </w:r>
            <w:proofErr w:type="spellEnd"/>
            <w:r w:rsidRPr="007E67B9">
              <w:rPr>
                <w:rStyle w:val="SCCCoramChar"/>
                <w:sz w:val="20"/>
                <w:szCs w:val="20"/>
                <w:lang w:val="en-CA"/>
              </w:rPr>
              <w:t> JJ.</w:t>
            </w:r>
          </w:p>
          <w:p w:rsidR="009E6124" w:rsidRPr="007E67B9" w:rsidRDefault="009E6124" w:rsidP="009E6124">
            <w:pPr>
              <w:rPr>
                <w:sz w:val="20"/>
                <w:szCs w:val="20"/>
                <w:u w:val="single"/>
              </w:rPr>
            </w:pPr>
          </w:p>
        </w:tc>
      </w:tr>
      <w:tr w:rsidR="009E6124" w:rsidRPr="00D87B4B" w:rsidTr="009E6124">
        <w:trPr>
          <w:cantSplit/>
        </w:trPr>
        <w:tc>
          <w:tcPr>
            <w:tcW w:w="9576" w:type="dxa"/>
            <w:gridSpan w:val="2"/>
          </w:tcPr>
          <w:p w:rsidR="009E6124" w:rsidRPr="007E67B9" w:rsidRDefault="009E6124" w:rsidP="009E6124">
            <w:pPr>
              <w:pStyle w:val="SCCShortJudgment"/>
              <w:rPr>
                <w:szCs w:val="20"/>
              </w:rPr>
            </w:pPr>
            <w:r w:rsidRPr="007E67B9">
              <w:rPr>
                <w:szCs w:val="20"/>
              </w:rPr>
              <w:t>The application for leave to appeal from the judgment of the Court of Appeal of Alberta (Calgary), Number 1101-0319-AC, 2012 ABCA 207, dated June 29, 2012, is dismissed with costs.</w:t>
            </w:r>
          </w:p>
          <w:p w:rsidR="009E6124" w:rsidRPr="007E67B9" w:rsidRDefault="009E6124" w:rsidP="009E6124">
            <w:pPr>
              <w:pStyle w:val="SCCShortJudgment"/>
              <w:ind w:firstLine="0"/>
              <w:rPr>
                <w:szCs w:val="20"/>
              </w:rPr>
            </w:pPr>
          </w:p>
          <w:p w:rsidR="009E6124" w:rsidRPr="007E67B9" w:rsidRDefault="009E6124" w:rsidP="009E6124">
            <w:pPr>
              <w:pStyle w:val="SCCShortJudgment"/>
              <w:rPr>
                <w:szCs w:val="20"/>
                <w:lang w:val="fr-CA"/>
              </w:rPr>
            </w:pPr>
            <w:r w:rsidRPr="007E67B9">
              <w:rPr>
                <w:szCs w:val="20"/>
                <w:lang w:val="fr-CA"/>
              </w:rPr>
              <w:t>La demande d’autorisation d’appel de l’arrêt de la Cour d'appel de l’Alberta (Calgary), numéro 1101-0319-AC, 2012 ABCA 207, daté du 29 juin 2012, est rejetée avec dépens.</w:t>
            </w:r>
          </w:p>
        </w:tc>
      </w:tr>
    </w:tbl>
    <w:p w:rsidR="000C7850" w:rsidRPr="000C7850"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473B3" w:rsidRPr="00495EC2" w:rsidTr="00EC5583">
        <w:tc>
          <w:tcPr>
            <w:tcW w:w="5000" w:type="pct"/>
            <w:gridSpan w:val="3"/>
          </w:tcPr>
          <w:p w:rsidR="00A473B3" w:rsidRPr="00495EC2" w:rsidRDefault="00A473B3" w:rsidP="00EC5583">
            <w:pPr>
              <w:jc w:val="both"/>
              <w:rPr>
                <w:rFonts w:eastAsia="Calibri"/>
                <w:smallCaps/>
                <w:sz w:val="20"/>
              </w:rPr>
            </w:pPr>
            <w:r w:rsidRPr="00495EC2">
              <w:rPr>
                <w:rFonts w:eastAsia="Calibri"/>
                <w:smallCaps/>
                <w:sz w:val="20"/>
              </w:rPr>
              <w:t xml:space="preserve">(Publication </w:t>
            </w:r>
            <w:r>
              <w:rPr>
                <w:rFonts w:eastAsia="Calibri"/>
                <w:smallCaps/>
                <w:sz w:val="20"/>
              </w:rPr>
              <w:t>B</w:t>
            </w:r>
            <w:r w:rsidRPr="00495EC2">
              <w:rPr>
                <w:rFonts w:eastAsia="Calibri"/>
                <w:smallCaps/>
                <w:sz w:val="20"/>
              </w:rPr>
              <w:t xml:space="preserve">an in </w:t>
            </w:r>
            <w:r>
              <w:rPr>
                <w:rFonts w:eastAsia="Calibri"/>
                <w:smallCaps/>
                <w:sz w:val="20"/>
              </w:rPr>
              <w:t>C</w:t>
            </w:r>
            <w:r w:rsidRPr="00495EC2">
              <w:rPr>
                <w:rFonts w:eastAsia="Calibri"/>
                <w:smallCaps/>
                <w:sz w:val="20"/>
              </w:rPr>
              <w:t>ase)</w:t>
            </w:r>
          </w:p>
          <w:p w:rsidR="00A473B3" w:rsidRPr="00495EC2" w:rsidRDefault="00A473B3" w:rsidP="00EC5583">
            <w:pPr>
              <w:jc w:val="both"/>
              <w:rPr>
                <w:rFonts w:eastAsia="Calibri"/>
                <w:sz w:val="20"/>
              </w:rPr>
            </w:pPr>
          </w:p>
          <w:p w:rsidR="00A473B3" w:rsidRPr="00495EC2" w:rsidRDefault="00A473B3" w:rsidP="00EC5583">
            <w:pPr>
              <w:jc w:val="both"/>
              <w:rPr>
                <w:rFonts w:eastAsia="Calibri"/>
                <w:sz w:val="20"/>
              </w:rPr>
            </w:pPr>
            <w:r w:rsidRPr="00495EC2">
              <w:rPr>
                <w:rFonts w:eastAsia="Calibri"/>
                <w:sz w:val="20"/>
              </w:rPr>
              <w:t>Administrative law – Procedure – Civil Procedure – Burden of proof – Evidence – Whether criminal law rules and a burden of strict proof apply to professional discipline hearing into allegations of misconduct – Whether the majority of the Court of Appeal erred by rejecting expert evidence – Whether a professional discipline tribunal can rely on statistical evidence or a pattern of practice to prove allegations of professional misconduct – Whether a reviewing court is required to defer to findings made by an appeal tribunal – Whether a professional discipline tribunal must provide reasons addressing each element of the evidence on which its findings are based.</w:t>
            </w:r>
          </w:p>
        </w:tc>
      </w:tr>
      <w:tr w:rsidR="00A473B3" w:rsidRPr="00495EC2" w:rsidTr="00EC5583">
        <w:tc>
          <w:tcPr>
            <w:tcW w:w="5000" w:type="pct"/>
            <w:gridSpan w:val="3"/>
          </w:tcPr>
          <w:p w:rsidR="00A473B3" w:rsidRPr="00495EC2" w:rsidRDefault="00A473B3" w:rsidP="00EC5583">
            <w:pPr>
              <w:jc w:val="both"/>
              <w:rPr>
                <w:rFonts w:eastAsia="Calibri"/>
                <w:sz w:val="20"/>
              </w:rPr>
            </w:pPr>
          </w:p>
        </w:tc>
      </w:tr>
      <w:tr w:rsidR="00A473B3" w:rsidRPr="00495EC2" w:rsidTr="00EC5583">
        <w:tc>
          <w:tcPr>
            <w:tcW w:w="5000" w:type="pct"/>
            <w:gridSpan w:val="3"/>
          </w:tcPr>
          <w:p w:rsidR="00A473B3" w:rsidRPr="00495EC2" w:rsidRDefault="00A473B3" w:rsidP="00EC5583">
            <w:pPr>
              <w:jc w:val="both"/>
              <w:rPr>
                <w:rFonts w:eastAsia="Calibri"/>
                <w:sz w:val="20"/>
              </w:rPr>
            </w:pPr>
            <w:r w:rsidRPr="00495EC2">
              <w:rPr>
                <w:rFonts w:eastAsia="Calibri"/>
                <w:sz w:val="20"/>
              </w:rPr>
              <w:t>The respondent is a physical therapist in Alberta and a member of the applicant College.  The applicant received complaints that the respondent was diagnosing a disproportionate number of patients with “Whiplash Associated Disorder Level III”. At a disciplinary hearing, the applicant’s Discipline Committee found the respondent guilty of misconduct in the form of misdiagnoses or upgrades in respect of 56 patients, of making those misdiagnoses or upgrades without taking appropriate care, failing to maintain patient charts, and inappropriately seeking guidance from a lawyer regarding the treatment of patients and the conduct of practice.  The respondent appealed to the applicant’s Council.  The Council confirmed the Discipline Committee's conclusions on liability and sanction but for two of thirteen particulars relating to the allegation of improper record keeping.</w:t>
            </w:r>
          </w:p>
          <w:p w:rsidR="00A473B3" w:rsidRPr="00495EC2" w:rsidRDefault="00A473B3" w:rsidP="00EC5583">
            <w:pPr>
              <w:jc w:val="both"/>
              <w:rPr>
                <w:rFonts w:eastAsia="Calibri"/>
                <w:sz w:val="20"/>
              </w:rPr>
            </w:pPr>
          </w:p>
        </w:tc>
      </w:tr>
      <w:tr w:rsidR="00A473B3" w:rsidRPr="00495EC2" w:rsidTr="00EC5583">
        <w:tc>
          <w:tcPr>
            <w:tcW w:w="2427" w:type="pct"/>
          </w:tcPr>
          <w:p w:rsidR="00A473B3" w:rsidRPr="00495EC2" w:rsidRDefault="00A473B3" w:rsidP="00EC5583">
            <w:pPr>
              <w:jc w:val="both"/>
              <w:rPr>
                <w:rFonts w:eastAsia="Calibri"/>
                <w:sz w:val="20"/>
              </w:rPr>
            </w:pPr>
            <w:r w:rsidRPr="00495EC2">
              <w:rPr>
                <w:rFonts w:eastAsia="Calibri"/>
                <w:sz w:val="20"/>
              </w:rPr>
              <w:t>June 29, 2012</w:t>
            </w:r>
          </w:p>
          <w:p w:rsidR="00A473B3" w:rsidRPr="00495EC2" w:rsidRDefault="00A473B3" w:rsidP="00EC5583">
            <w:pPr>
              <w:jc w:val="both"/>
              <w:rPr>
                <w:rFonts w:eastAsia="Calibri"/>
                <w:sz w:val="20"/>
              </w:rPr>
            </w:pPr>
            <w:r w:rsidRPr="00495EC2">
              <w:rPr>
                <w:rFonts w:eastAsia="Calibri"/>
                <w:sz w:val="20"/>
              </w:rPr>
              <w:t>Court of Appeal of Alberta (Calgary)</w:t>
            </w:r>
          </w:p>
          <w:p w:rsidR="00A473B3" w:rsidRPr="00495EC2" w:rsidRDefault="00A473B3" w:rsidP="00EC5583">
            <w:pPr>
              <w:jc w:val="both"/>
              <w:rPr>
                <w:rFonts w:eastAsia="Calibri"/>
                <w:sz w:val="20"/>
                <w:lang w:val="fr-CA"/>
              </w:rPr>
            </w:pPr>
            <w:r w:rsidRPr="00495EC2">
              <w:rPr>
                <w:rFonts w:eastAsia="Calibri"/>
                <w:sz w:val="20"/>
                <w:lang w:val="fr-CA"/>
              </w:rPr>
              <w:t>(Berger [</w:t>
            </w:r>
            <w:proofErr w:type="spellStart"/>
            <w:r w:rsidRPr="00495EC2">
              <w:rPr>
                <w:rFonts w:eastAsia="Calibri"/>
                <w:sz w:val="20"/>
                <w:lang w:val="fr-CA"/>
              </w:rPr>
              <w:t>dissenting</w:t>
            </w:r>
            <w:proofErr w:type="spellEnd"/>
            <w:r w:rsidRPr="00495EC2">
              <w:rPr>
                <w:rFonts w:eastAsia="Calibri"/>
                <w:sz w:val="20"/>
                <w:lang w:val="fr-CA"/>
              </w:rPr>
              <w:t xml:space="preserve">], O'Brien, </w:t>
            </w:r>
            <w:proofErr w:type="spellStart"/>
            <w:r w:rsidRPr="00495EC2">
              <w:rPr>
                <w:rFonts w:eastAsia="Calibri"/>
                <w:sz w:val="20"/>
                <w:lang w:val="fr-CA"/>
              </w:rPr>
              <w:t>Strekaf</w:t>
            </w:r>
            <w:proofErr w:type="spellEnd"/>
            <w:r w:rsidRPr="00495EC2">
              <w:rPr>
                <w:rFonts w:eastAsia="Calibri"/>
                <w:sz w:val="20"/>
                <w:lang w:val="fr-CA"/>
              </w:rPr>
              <w:t xml:space="preserve"> JJ.A.)</w:t>
            </w:r>
          </w:p>
          <w:p w:rsidR="00A473B3" w:rsidRPr="00495EC2" w:rsidRDefault="00A473B3" w:rsidP="00EC5583">
            <w:pPr>
              <w:jc w:val="both"/>
              <w:rPr>
                <w:rFonts w:eastAsia="Calibri"/>
                <w:sz w:val="20"/>
              </w:rPr>
            </w:pPr>
            <w:r w:rsidRPr="00495EC2">
              <w:rPr>
                <w:rFonts w:eastAsia="Calibri"/>
                <w:sz w:val="20"/>
              </w:rPr>
              <w:t>2012 ABCA 207, 1101-0319-AC</w:t>
            </w:r>
          </w:p>
          <w:p w:rsidR="00A473B3" w:rsidRPr="00495EC2" w:rsidRDefault="00A473B3" w:rsidP="00EC5583">
            <w:pPr>
              <w:jc w:val="both"/>
              <w:rPr>
                <w:rFonts w:eastAsia="Calibri"/>
                <w:sz w:val="20"/>
              </w:rPr>
            </w:pPr>
          </w:p>
        </w:tc>
        <w:tc>
          <w:tcPr>
            <w:tcW w:w="243" w:type="pct"/>
          </w:tcPr>
          <w:p w:rsidR="00A473B3" w:rsidRPr="00495EC2" w:rsidRDefault="00A473B3" w:rsidP="00EC5583">
            <w:pPr>
              <w:jc w:val="both"/>
              <w:rPr>
                <w:rFonts w:eastAsia="Calibri"/>
                <w:sz w:val="20"/>
              </w:rPr>
            </w:pPr>
          </w:p>
        </w:tc>
        <w:tc>
          <w:tcPr>
            <w:tcW w:w="2330" w:type="pct"/>
          </w:tcPr>
          <w:p w:rsidR="00A473B3" w:rsidRPr="00495EC2" w:rsidRDefault="00A473B3" w:rsidP="00EC5583">
            <w:pPr>
              <w:jc w:val="both"/>
              <w:rPr>
                <w:rFonts w:eastAsia="Calibri"/>
                <w:sz w:val="20"/>
              </w:rPr>
            </w:pPr>
            <w:r w:rsidRPr="00495EC2">
              <w:rPr>
                <w:rFonts w:eastAsia="Calibri"/>
                <w:sz w:val="20"/>
              </w:rPr>
              <w:t xml:space="preserve">Appeal allowed from decision by the Council of the College of Physical Therapists of Alberta dismissing an appeal from findings of misconduct by the Discipline Committee of the College </w:t>
            </w:r>
          </w:p>
          <w:p w:rsidR="00A473B3" w:rsidRPr="00495EC2" w:rsidRDefault="00A473B3" w:rsidP="00EC5583">
            <w:pPr>
              <w:jc w:val="both"/>
              <w:rPr>
                <w:rFonts w:eastAsia="Calibri"/>
                <w:sz w:val="20"/>
              </w:rPr>
            </w:pPr>
          </w:p>
        </w:tc>
      </w:tr>
      <w:tr w:rsidR="00A473B3" w:rsidRPr="00495EC2" w:rsidTr="00EC5583">
        <w:tc>
          <w:tcPr>
            <w:tcW w:w="2427" w:type="pct"/>
          </w:tcPr>
          <w:p w:rsidR="00A473B3" w:rsidRPr="00495EC2" w:rsidRDefault="00A473B3" w:rsidP="00EC5583">
            <w:pPr>
              <w:jc w:val="both"/>
              <w:rPr>
                <w:rFonts w:eastAsia="Calibri"/>
                <w:sz w:val="20"/>
              </w:rPr>
            </w:pPr>
            <w:r w:rsidRPr="00495EC2">
              <w:rPr>
                <w:rFonts w:eastAsia="Calibri"/>
                <w:sz w:val="20"/>
              </w:rPr>
              <w:t>September 28, 2012</w:t>
            </w:r>
          </w:p>
          <w:p w:rsidR="00A473B3" w:rsidRPr="00495EC2" w:rsidRDefault="00A473B3" w:rsidP="00EC5583">
            <w:pPr>
              <w:jc w:val="both"/>
              <w:rPr>
                <w:rFonts w:eastAsia="Calibri"/>
                <w:sz w:val="20"/>
              </w:rPr>
            </w:pPr>
            <w:r w:rsidRPr="00495EC2">
              <w:rPr>
                <w:rFonts w:eastAsia="Calibri"/>
                <w:sz w:val="20"/>
              </w:rPr>
              <w:t>Supreme Court of Canada</w:t>
            </w:r>
          </w:p>
        </w:tc>
        <w:tc>
          <w:tcPr>
            <w:tcW w:w="243" w:type="pct"/>
          </w:tcPr>
          <w:p w:rsidR="00A473B3" w:rsidRPr="00495EC2" w:rsidRDefault="00A473B3" w:rsidP="00EC5583">
            <w:pPr>
              <w:jc w:val="both"/>
              <w:rPr>
                <w:rFonts w:eastAsia="Calibri"/>
                <w:sz w:val="20"/>
              </w:rPr>
            </w:pPr>
          </w:p>
        </w:tc>
        <w:tc>
          <w:tcPr>
            <w:tcW w:w="2330" w:type="pct"/>
          </w:tcPr>
          <w:p w:rsidR="00A473B3" w:rsidRPr="00495EC2" w:rsidRDefault="00A473B3" w:rsidP="00EC5583">
            <w:pPr>
              <w:jc w:val="both"/>
              <w:rPr>
                <w:rFonts w:eastAsia="Calibri"/>
                <w:sz w:val="20"/>
              </w:rPr>
            </w:pPr>
            <w:r w:rsidRPr="00495EC2">
              <w:rPr>
                <w:rFonts w:eastAsia="Calibri"/>
                <w:sz w:val="20"/>
              </w:rPr>
              <w:t>Application for leave to appeal filed</w:t>
            </w:r>
          </w:p>
          <w:p w:rsidR="00A473B3" w:rsidRPr="00495EC2" w:rsidRDefault="00A473B3" w:rsidP="00EC5583">
            <w:pPr>
              <w:jc w:val="both"/>
              <w:rPr>
                <w:rFonts w:eastAsia="Calibri"/>
                <w:sz w:val="20"/>
              </w:rPr>
            </w:pPr>
          </w:p>
        </w:tc>
      </w:tr>
    </w:tbl>
    <w:p w:rsidR="000C7850" w:rsidRDefault="000C7850" w:rsidP="008D292F">
      <w:pPr>
        <w:rPr>
          <w:sz w:val="20"/>
          <w:szCs w:val="20"/>
        </w:rPr>
      </w:pPr>
    </w:p>
    <w:p w:rsidR="000C7850" w:rsidRPr="00C50A5C" w:rsidRDefault="00BE6ED8" w:rsidP="000C7850">
      <w:pPr>
        <w:rPr>
          <w:sz w:val="20"/>
          <w:szCs w:val="20"/>
        </w:rPr>
      </w:pPr>
      <w:r w:rsidRPr="00BE6ED8">
        <w:rPr>
          <w:sz w:val="20"/>
          <w:szCs w:val="20"/>
          <w:lang w:val="fr-CA"/>
        </w:rPr>
        <w:pict>
          <v:rect id="_x0000_i1046"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473B3" w:rsidRPr="00D87B4B" w:rsidTr="00EC5583">
        <w:tc>
          <w:tcPr>
            <w:tcW w:w="5000" w:type="pct"/>
            <w:gridSpan w:val="3"/>
          </w:tcPr>
          <w:p w:rsidR="00A473B3" w:rsidRPr="00495EC2" w:rsidRDefault="00A473B3" w:rsidP="00EC5583">
            <w:pPr>
              <w:jc w:val="both"/>
              <w:rPr>
                <w:rFonts w:eastAsia="Calibri"/>
                <w:smallCaps/>
                <w:sz w:val="20"/>
                <w:lang w:val="fr-CA"/>
              </w:rPr>
            </w:pPr>
            <w:r w:rsidRPr="00495EC2">
              <w:rPr>
                <w:rFonts w:eastAsia="Calibri"/>
                <w:smallCaps/>
                <w:sz w:val="20"/>
                <w:lang w:val="fr-CA"/>
              </w:rPr>
              <w:t xml:space="preserve">(Ordonnance de </w:t>
            </w:r>
            <w:proofErr w:type="spellStart"/>
            <w:r w:rsidRPr="00495EC2">
              <w:rPr>
                <w:rFonts w:eastAsia="Calibri"/>
                <w:smallCaps/>
                <w:sz w:val="20"/>
                <w:lang w:val="fr-CA"/>
              </w:rPr>
              <w:t>non</w:t>
            </w:r>
            <w:r w:rsidRPr="00495EC2">
              <w:rPr>
                <w:rFonts w:eastAsia="Calibri"/>
                <w:smallCaps/>
                <w:sz w:val="20"/>
                <w:lang w:val="fr-CA"/>
              </w:rPr>
              <w:noBreakHyphen/>
              <w:t>publication</w:t>
            </w:r>
            <w:proofErr w:type="spellEnd"/>
            <w:r w:rsidRPr="00495EC2">
              <w:rPr>
                <w:rFonts w:eastAsia="Calibri"/>
                <w:smallCaps/>
                <w:sz w:val="20"/>
                <w:lang w:val="fr-CA"/>
              </w:rPr>
              <w:t xml:space="preserve"> dans le dossier)</w:t>
            </w:r>
          </w:p>
          <w:p w:rsidR="00A473B3" w:rsidRPr="00495EC2" w:rsidRDefault="00A473B3" w:rsidP="00EC5583">
            <w:pPr>
              <w:jc w:val="both"/>
              <w:rPr>
                <w:rFonts w:eastAsia="Calibri"/>
                <w:sz w:val="20"/>
                <w:lang w:val="fr-CA"/>
              </w:rPr>
            </w:pPr>
          </w:p>
          <w:p w:rsidR="00A473B3" w:rsidRPr="00495EC2" w:rsidRDefault="00A473B3" w:rsidP="00EC5583">
            <w:pPr>
              <w:jc w:val="both"/>
              <w:rPr>
                <w:rFonts w:eastAsia="Calibri"/>
                <w:sz w:val="20"/>
                <w:lang w:val="fr-CA"/>
              </w:rPr>
            </w:pPr>
            <w:r w:rsidRPr="00495EC2">
              <w:rPr>
                <w:rFonts w:eastAsia="Calibri"/>
                <w:sz w:val="20"/>
                <w:lang w:val="fr-CA"/>
              </w:rPr>
              <w:t>Droit administratif – Procédure – Procédure civile – Fardeau de la preuve – Preuve – Les règles du droit criminel et un fardeau de la preuve absolue s'</w:t>
            </w:r>
            <w:proofErr w:type="spellStart"/>
            <w:r w:rsidRPr="00495EC2">
              <w:rPr>
                <w:rFonts w:eastAsia="Calibri"/>
                <w:sz w:val="20"/>
                <w:lang w:val="fr-CA"/>
              </w:rPr>
              <w:t>appliquent</w:t>
            </w:r>
            <w:r w:rsidRPr="00495EC2">
              <w:rPr>
                <w:rFonts w:eastAsia="Calibri"/>
                <w:sz w:val="20"/>
                <w:lang w:val="fr-CA"/>
              </w:rPr>
              <w:noBreakHyphen/>
              <w:t>ils</w:t>
            </w:r>
            <w:proofErr w:type="spellEnd"/>
            <w:r w:rsidRPr="00495EC2">
              <w:rPr>
                <w:rFonts w:eastAsia="Calibri"/>
                <w:sz w:val="20"/>
                <w:lang w:val="fr-CA"/>
              </w:rPr>
              <w:t xml:space="preserve"> à une audience de discipline professionnelle portant sur des allégations d'inconduite? – Les juges majoritaires de la Cour d'appel </w:t>
            </w:r>
            <w:proofErr w:type="spellStart"/>
            <w:r w:rsidRPr="00495EC2">
              <w:rPr>
                <w:rFonts w:eastAsia="Calibri"/>
                <w:sz w:val="20"/>
                <w:lang w:val="fr-CA"/>
              </w:rPr>
              <w:t>ont</w:t>
            </w:r>
            <w:r w:rsidRPr="00495EC2">
              <w:rPr>
                <w:rFonts w:eastAsia="Calibri"/>
                <w:sz w:val="20"/>
                <w:lang w:val="fr-CA"/>
              </w:rPr>
              <w:noBreakHyphen/>
              <w:t>ils</w:t>
            </w:r>
            <w:proofErr w:type="spellEnd"/>
            <w:r w:rsidRPr="00495EC2">
              <w:rPr>
                <w:rFonts w:eastAsia="Calibri"/>
                <w:sz w:val="20"/>
                <w:lang w:val="fr-CA"/>
              </w:rPr>
              <w:t xml:space="preserve"> eu tort de rejeter la preuve d'expert? – Un tribunal de discipline professionnelle </w:t>
            </w:r>
            <w:proofErr w:type="spellStart"/>
            <w:r w:rsidRPr="00495EC2">
              <w:rPr>
                <w:rFonts w:eastAsia="Calibri"/>
                <w:sz w:val="20"/>
                <w:lang w:val="fr-CA"/>
              </w:rPr>
              <w:t>peut</w:t>
            </w:r>
            <w:r w:rsidRPr="00495EC2">
              <w:rPr>
                <w:rFonts w:eastAsia="Calibri"/>
                <w:sz w:val="20"/>
                <w:lang w:val="fr-CA"/>
              </w:rPr>
              <w:noBreakHyphen/>
              <w:t>il</w:t>
            </w:r>
            <w:proofErr w:type="spellEnd"/>
            <w:r w:rsidRPr="00495EC2">
              <w:rPr>
                <w:rFonts w:eastAsia="Calibri"/>
                <w:sz w:val="20"/>
                <w:lang w:val="fr-CA"/>
              </w:rPr>
              <w:t xml:space="preserve"> s'appuyer sur une preuve statistique ou une pratique générale pour prouver des allégations d'inconduite professionnelle? – Une cour de révision </w:t>
            </w:r>
            <w:proofErr w:type="spellStart"/>
            <w:r w:rsidRPr="00495EC2">
              <w:rPr>
                <w:rFonts w:eastAsia="Calibri"/>
                <w:sz w:val="20"/>
                <w:lang w:val="fr-CA"/>
              </w:rPr>
              <w:t>est</w:t>
            </w:r>
            <w:r w:rsidRPr="00495EC2">
              <w:rPr>
                <w:rFonts w:eastAsia="Calibri"/>
                <w:sz w:val="20"/>
                <w:lang w:val="fr-CA"/>
              </w:rPr>
              <w:noBreakHyphen/>
              <w:t>elle</w:t>
            </w:r>
            <w:proofErr w:type="spellEnd"/>
            <w:r w:rsidRPr="00495EC2">
              <w:rPr>
                <w:rFonts w:eastAsia="Calibri"/>
                <w:sz w:val="20"/>
                <w:lang w:val="fr-CA"/>
              </w:rPr>
              <w:t xml:space="preserve"> tenue de se reporter aux conclusions tirées par le tribunal d'appel? – Un tribunal de discipline professionnelle </w:t>
            </w:r>
            <w:proofErr w:type="spellStart"/>
            <w:r w:rsidRPr="00495EC2">
              <w:rPr>
                <w:rFonts w:eastAsia="Calibri"/>
                <w:sz w:val="20"/>
                <w:lang w:val="fr-CA"/>
              </w:rPr>
              <w:t>doit</w:t>
            </w:r>
            <w:r w:rsidRPr="00495EC2">
              <w:rPr>
                <w:rFonts w:eastAsia="Calibri"/>
                <w:sz w:val="20"/>
                <w:lang w:val="fr-CA"/>
              </w:rPr>
              <w:noBreakHyphen/>
              <w:t>il</w:t>
            </w:r>
            <w:proofErr w:type="spellEnd"/>
            <w:r w:rsidRPr="00495EC2">
              <w:rPr>
                <w:rFonts w:eastAsia="Calibri"/>
                <w:sz w:val="20"/>
                <w:lang w:val="fr-CA"/>
              </w:rPr>
              <w:t xml:space="preserve"> fournir les motifs qui ont trait à chaque élément de la preuve sur laquelle ses conclusions sont fondées?</w:t>
            </w:r>
          </w:p>
        </w:tc>
      </w:tr>
      <w:tr w:rsidR="00A473B3" w:rsidRPr="00D87B4B" w:rsidTr="00EC5583">
        <w:tc>
          <w:tcPr>
            <w:tcW w:w="5000" w:type="pct"/>
            <w:gridSpan w:val="3"/>
          </w:tcPr>
          <w:p w:rsidR="00A473B3" w:rsidRPr="00495EC2" w:rsidRDefault="00A473B3" w:rsidP="00EC5583">
            <w:pPr>
              <w:jc w:val="both"/>
              <w:rPr>
                <w:rFonts w:eastAsia="Calibri"/>
                <w:sz w:val="20"/>
                <w:lang w:val="fr-CA"/>
              </w:rPr>
            </w:pPr>
          </w:p>
        </w:tc>
      </w:tr>
      <w:tr w:rsidR="00A473B3" w:rsidRPr="009714AD" w:rsidTr="00EC5583">
        <w:tc>
          <w:tcPr>
            <w:tcW w:w="5000" w:type="pct"/>
            <w:gridSpan w:val="3"/>
          </w:tcPr>
          <w:p w:rsidR="00A473B3" w:rsidRPr="00495EC2" w:rsidRDefault="00A473B3" w:rsidP="00EC5583">
            <w:pPr>
              <w:jc w:val="both"/>
              <w:rPr>
                <w:rFonts w:eastAsia="Calibri"/>
                <w:sz w:val="20"/>
                <w:lang w:val="fr-CA"/>
              </w:rPr>
            </w:pPr>
            <w:r w:rsidRPr="00495EC2">
              <w:rPr>
                <w:rFonts w:eastAsia="Calibri"/>
                <w:sz w:val="20"/>
                <w:lang w:val="fr-CA"/>
              </w:rPr>
              <w:t>L'intimée est physiothérapeute en Alberta et elle est membre de l'ordre demandeur.  Le demandeur a reçu des plaintes comme quoi l'intimée posait un nombre disproportionné de diagnostics de [</w:t>
            </w:r>
            <w:r w:rsidRPr="00495EC2">
              <w:rPr>
                <w:rFonts w:eastAsia="Calibri"/>
                <w:smallCaps/>
                <w:sz w:val="20"/>
                <w:lang w:val="fr-CA"/>
              </w:rPr>
              <w:t>traduction</w:t>
            </w:r>
            <w:r w:rsidRPr="00495EC2">
              <w:rPr>
                <w:rFonts w:eastAsia="Calibri"/>
                <w:sz w:val="20"/>
                <w:lang w:val="fr-CA"/>
              </w:rPr>
              <w:t>] « trouble associé à une entorse cervicale de stade III » chez ses patients.  À une audience disciplinaire, le comité de discipline du demandeur a déclaré l'intimée coupable d'inconduite sous forme de mauvais diagnostics ou de reclassements à l'égard de 56 patients, d'avoir fait ses mauvais diagnostics ou reclassements sans avoir fait preuve de diligence, de ne pas avoir tenu des dossiers de patients et d'avoir indûment demandé les conseils d'un avocat relativement au traitement de patients et à l'exercice de sa profession.  L'intimé a interjeté appel au conseil du demandeur. Le conseil a confirmé les conclusions du comité de discipline relativement à la responsabilité et à la sanction, sauf pour deux détails sur treize relatifs à l'allégation de mauvaise tenue de dossiers.</w:t>
            </w:r>
          </w:p>
          <w:p w:rsidR="00A473B3" w:rsidRPr="00495EC2" w:rsidRDefault="00A473B3" w:rsidP="00EC5583">
            <w:pPr>
              <w:jc w:val="both"/>
              <w:rPr>
                <w:rFonts w:eastAsia="Calibri"/>
                <w:sz w:val="20"/>
                <w:lang w:val="fr-CA"/>
              </w:rPr>
            </w:pPr>
          </w:p>
        </w:tc>
      </w:tr>
      <w:tr w:rsidR="00A473B3" w:rsidRPr="009714AD" w:rsidTr="00EC5583">
        <w:tc>
          <w:tcPr>
            <w:tcW w:w="2427" w:type="pct"/>
          </w:tcPr>
          <w:p w:rsidR="00A473B3" w:rsidRPr="00495EC2" w:rsidRDefault="00A473B3" w:rsidP="00EC5583">
            <w:pPr>
              <w:jc w:val="both"/>
              <w:rPr>
                <w:rFonts w:eastAsia="Calibri"/>
                <w:sz w:val="20"/>
                <w:lang w:val="fr-CA"/>
              </w:rPr>
            </w:pPr>
            <w:r w:rsidRPr="00495EC2">
              <w:rPr>
                <w:rFonts w:eastAsia="Calibri"/>
                <w:sz w:val="20"/>
                <w:lang w:val="fr-CA"/>
              </w:rPr>
              <w:t>29 juin 2012</w:t>
            </w:r>
          </w:p>
          <w:p w:rsidR="00A473B3" w:rsidRPr="00495EC2" w:rsidRDefault="00A473B3" w:rsidP="00EC5583">
            <w:pPr>
              <w:jc w:val="both"/>
              <w:rPr>
                <w:rFonts w:eastAsia="Calibri"/>
                <w:sz w:val="20"/>
                <w:lang w:val="fr-CA"/>
              </w:rPr>
            </w:pPr>
            <w:r w:rsidRPr="00495EC2">
              <w:rPr>
                <w:rFonts w:eastAsia="Calibri"/>
                <w:sz w:val="20"/>
                <w:lang w:val="fr-CA"/>
              </w:rPr>
              <w:t>Cour d'appel de l'Alberta (Calgary)</w:t>
            </w:r>
          </w:p>
          <w:p w:rsidR="00A473B3" w:rsidRPr="00495EC2" w:rsidRDefault="00A473B3" w:rsidP="00EC5583">
            <w:pPr>
              <w:jc w:val="both"/>
              <w:rPr>
                <w:rFonts w:eastAsia="Calibri"/>
                <w:sz w:val="20"/>
                <w:lang w:val="fr-CA"/>
              </w:rPr>
            </w:pPr>
            <w:r w:rsidRPr="00495EC2">
              <w:rPr>
                <w:rFonts w:eastAsia="Calibri"/>
                <w:sz w:val="20"/>
                <w:lang w:val="fr-CA"/>
              </w:rPr>
              <w:t xml:space="preserve">(Juges Berger [dissident], O'Brien et </w:t>
            </w:r>
            <w:proofErr w:type="spellStart"/>
            <w:r w:rsidRPr="00495EC2">
              <w:rPr>
                <w:rFonts w:eastAsia="Calibri"/>
                <w:sz w:val="20"/>
                <w:lang w:val="fr-CA"/>
              </w:rPr>
              <w:t>Strekaf</w:t>
            </w:r>
            <w:proofErr w:type="spellEnd"/>
            <w:r w:rsidRPr="00495EC2">
              <w:rPr>
                <w:rFonts w:eastAsia="Calibri"/>
                <w:sz w:val="20"/>
                <w:lang w:val="fr-CA"/>
              </w:rPr>
              <w:t>)</w:t>
            </w:r>
          </w:p>
          <w:p w:rsidR="00A473B3" w:rsidRPr="00495EC2" w:rsidRDefault="00A473B3" w:rsidP="00EC5583">
            <w:pPr>
              <w:jc w:val="both"/>
              <w:rPr>
                <w:rFonts w:eastAsia="Calibri"/>
                <w:sz w:val="20"/>
                <w:lang w:val="fr-CA"/>
              </w:rPr>
            </w:pPr>
            <w:r w:rsidRPr="00495EC2">
              <w:rPr>
                <w:rFonts w:eastAsia="Calibri"/>
                <w:sz w:val="20"/>
                <w:lang w:val="fr-CA"/>
              </w:rPr>
              <w:t>2012 ABCA 207, 1101</w:t>
            </w:r>
            <w:r w:rsidRPr="00495EC2">
              <w:rPr>
                <w:rFonts w:eastAsia="Calibri"/>
                <w:sz w:val="20"/>
                <w:lang w:val="fr-CA"/>
              </w:rPr>
              <w:noBreakHyphen/>
              <w:t>0319</w:t>
            </w:r>
            <w:r w:rsidRPr="00495EC2">
              <w:rPr>
                <w:rFonts w:eastAsia="Calibri"/>
                <w:sz w:val="20"/>
                <w:lang w:val="fr-CA"/>
              </w:rPr>
              <w:noBreakHyphen/>
              <w:t>AC</w:t>
            </w:r>
          </w:p>
          <w:p w:rsidR="00A473B3" w:rsidRPr="00495EC2" w:rsidRDefault="00A473B3" w:rsidP="00EC5583">
            <w:pPr>
              <w:jc w:val="both"/>
              <w:rPr>
                <w:rFonts w:eastAsia="Calibri"/>
                <w:sz w:val="20"/>
                <w:lang w:val="fr-CA"/>
              </w:rPr>
            </w:pPr>
          </w:p>
        </w:tc>
        <w:tc>
          <w:tcPr>
            <w:tcW w:w="243" w:type="pct"/>
          </w:tcPr>
          <w:p w:rsidR="00A473B3" w:rsidRPr="00495EC2" w:rsidRDefault="00A473B3" w:rsidP="00EC5583">
            <w:pPr>
              <w:jc w:val="both"/>
              <w:rPr>
                <w:rFonts w:eastAsia="Calibri"/>
                <w:sz w:val="20"/>
                <w:lang w:val="fr-CA"/>
              </w:rPr>
            </w:pPr>
          </w:p>
        </w:tc>
        <w:tc>
          <w:tcPr>
            <w:tcW w:w="2330" w:type="pct"/>
          </w:tcPr>
          <w:p w:rsidR="00A473B3" w:rsidRPr="00495EC2" w:rsidRDefault="00A473B3" w:rsidP="00EC5583">
            <w:pPr>
              <w:jc w:val="both"/>
              <w:rPr>
                <w:rFonts w:eastAsia="Calibri"/>
                <w:sz w:val="20"/>
                <w:lang w:val="fr-CA"/>
              </w:rPr>
            </w:pPr>
            <w:r w:rsidRPr="00495EC2">
              <w:rPr>
                <w:rFonts w:eastAsia="Calibri"/>
                <w:sz w:val="20"/>
                <w:lang w:val="fr-CA"/>
              </w:rPr>
              <w:t xml:space="preserve">Appel de la décision du conseil du </w:t>
            </w:r>
            <w:proofErr w:type="spellStart"/>
            <w:r w:rsidRPr="00495EC2">
              <w:rPr>
                <w:rFonts w:eastAsia="Calibri"/>
                <w:sz w:val="20"/>
                <w:lang w:val="fr-CA"/>
              </w:rPr>
              <w:t>College</w:t>
            </w:r>
            <w:proofErr w:type="spellEnd"/>
            <w:r w:rsidRPr="00495EC2">
              <w:rPr>
                <w:rFonts w:eastAsia="Calibri"/>
                <w:sz w:val="20"/>
                <w:lang w:val="fr-CA"/>
              </w:rPr>
              <w:t xml:space="preserve"> of </w:t>
            </w:r>
            <w:proofErr w:type="spellStart"/>
            <w:r w:rsidRPr="00495EC2">
              <w:rPr>
                <w:rFonts w:eastAsia="Calibri"/>
                <w:sz w:val="20"/>
                <w:lang w:val="fr-CA"/>
              </w:rPr>
              <w:t>Physical</w:t>
            </w:r>
            <w:proofErr w:type="spellEnd"/>
            <w:r w:rsidRPr="00495EC2">
              <w:rPr>
                <w:rFonts w:eastAsia="Calibri"/>
                <w:sz w:val="20"/>
                <w:lang w:val="fr-CA"/>
              </w:rPr>
              <w:t xml:space="preserve"> </w:t>
            </w:r>
            <w:proofErr w:type="spellStart"/>
            <w:r w:rsidRPr="00495EC2">
              <w:rPr>
                <w:rFonts w:eastAsia="Calibri"/>
                <w:sz w:val="20"/>
                <w:lang w:val="fr-CA"/>
              </w:rPr>
              <w:t>Therapists</w:t>
            </w:r>
            <w:proofErr w:type="spellEnd"/>
            <w:r w:rsidRPr="00495EC2">
              <w:rPr>
                <w:rFonts w:eastAsia="Calibri"/>
                <w:sz w:val="20"/>
                <w:lang w:val="fr-CA"/>
              </w:rPr>
              <w:t xml:space="preserve"> of Alberta de rejeter un appel des conclusions d'inconduite prononcées par le comité de discipline de l'ordre, accueilli </w:t>
            </w:r>
          </w:p>
          <w:p w:rsidR="00A473B3" w:rsidRPr="00495EC2" w:rsidRDefault="00A473B3" w:rsidP="00EC5583">
            <w:pPr>
              <w:jc w:val="both"/>
              <w:rPr>
                <w:rFonts w:eastAsia="Calibri"/>
                <w:sz w:val="20"/>
                <w:lang w:val="fr-CA"/>
              </w:rPr>
            </w:pPr>
          </w:p>
        </w:tc>
      </w:tr>
      <w:tr w:rsidR="00A473B3" w:rsidRPr="00495EC2" w:rsidTr="00EC5583">
        <w:tc>
          <w:tcPr>
            <w:tcW w:w="2427" w:type="pct"/>
          </w:tcPr>
          <w:p w:rsidR="00A473B3" w:rsidRPr="00495EC2" w:rsidRDefault="00A473B3" w:rsidP="00EC5583">
            <w:pPr>
              <w:jc w:val="both"/>
              <w:rPr>
                <w:rFonts w:eastAsia="Calibri"/>
                <w:sz w:val="20"/>
                <w:lang w:val="fr-CA"/>
              </w:rPr>
            </w:pPr>
            <w:r w:rsidRPr="00495EC2">
              <w:rPr>
                <w:rFonts w:eastAsia="Calibri"/>
                <w:sz w:val="20"/>
                <w:lang w:val="fr-CA"/>
              </w:rPr>
              <w:t>28 septembre 2012</w:t>
            </w:r>
          </w:p>
          <w:p w:rsidR="00A473B3" w:rsidRPr="00495EC2" w:rsidRDefault="00A473B3" w:rsidP="00EC5583">
            <w:pPr>
              <w:jc w:val="both"/>
              <w:rPr>
                <w:rFonts w:eastAsia="Calibri"/>
                <w:sz w:val="20"/>
                <w:lang w:val="fr-CA"/>
              </w:rPr>
            </w:pPr>
            <w:r w:rsidRPr="00495EC2">
              <w:rPr>
                <w:rFonts w:eastAsia="Calibri"/>
                <w:sz w:val="20"/>
                <w:lang w:val="fr-CA"/>
              </w:rPr>
              <w:t>Cour suprême du Canada</w:t>
            </w:r>
          </w:p>
        </w:tc>
        <w:tc>
          <w:tcPr>
            <w:tcW w:w="243" w:type="pct"/>
          </w:tcPr>
          <w:p w:rsidR="00A473B3" w:rsidRPr="00495EC2" w:rsidRDefault="00A473B3" w:rsidP="00EC5583">
            <w:pPr>
              <w:jc w:val="both"/>
              <w:rPr>
                <w:rFonts w:eastAsia="Calibri"/>
                <w:sz w:val="20"/>
                <w:lang w:val="fr-CA"/>
              </w:rPr>
            </w:pPr>
          </w:p>
        </w:tc>
        <w:tc>
          <w:tcPr>
            <w:tcW w:w="2330" w:type="pct"/>
          </w:tcPr>
          <w:p w:rsidR="00A473B3" w:rsidRPr="00495EC2" w:rsidRDefault="00A473B3" w:rsidP="00EC5583">
            <w:pPr>
              <w:jc w:val="both"/>
              <w:rPr>
                <w:rFonts w:eastAsia="Calibri"/>
                <w:sz w:val="20"/>
                <w:lang w:val="fr-CA"/>
              </w:rPr>
            </w:pPr>
            <w:r w:rsidRPr="00495EC2">
              <w:rPr>
                <w:rFonts w:eastAsia="Calibri"/>
                <w:sz w:val="20"/>
                <w:lang w:val="fr-CA"/>
              </w:rPr>
              <w:t>Demande d'autorisation d'appel, déposée</w:t>
            </w:r>
          </w:p>
          <w:p w:rsidR="00A473B3" w:rsidRPr="00495EC2" w:rsidRDefault="00A473B3" w:rsidP="00EC5583">
            <w:pPr>
              <w:jc w:val="both"/>
              <w:rPr>
                <w:rFonts w:eastAsia="Calibri"/>
                <w:sz w:val="20"/>
                <w:lang w:val="fr-CA"/>
              </w:rPr>
            </w:pPr>
          </w:p>
        </w:tc>
      </w:tr>
    </w:tbl>
    <w:p w:rsidR="000C7850" w:rsidRDefault="000C7850" w:rsidP="008D292F">
      <w:pPr>
        <w:rPr>
          <w:sz w:val="20"/>
          <w:szCs w:val="20"/>
        </w:rPr>
      </w:pPr>
    </w:p>
    <w:p w:rsidR="000C7850" w:rsidRDefault="00BE6ED8" w:rsidP="008D292F">
      <w:pPr>
        <w:rPr>
          <w:sz w:val="20"/>
          <w:szCs w:val="20"/>
        </w:rPr>
      </w:pPr>
      <w:r w:rsidRPr="00BE6ED8">
        <w:rPr>
          <w:sz w:val="20"/>
          <w:szCs w:val="20"/>
          <w:lang w:val="fr-CA"/>
        </w:rPr>
        <w:pict>
          <v:rect id="_x0000_i1047" style="width:2in;height:1pt" o:hrpct="0" o:hralign="center" o:hrstd="t" o:hrnoshade="t" o:hr="t" fillcolor="black [3213]" stroked="f"/>
        </w:pict>
      </w:r>
    </w:p>
    <w:p w:rsidR="000C7850" w:rsidRDefault="000C7850"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A6429" w:rsidRPr="009714AD" w:rsidTr="009E6124">
        <w:trPr>
          <w:cantSplit/>
        </w:trPr>
        <w:tc>
          <w:tcPr>
            <w:tcW w:w="1458" w:type="dxa"/>
          </w:tcPr>
          <w:p w:rsidR="00AA6429" w:rsidRPr="00841F85" w:rsidRDefault="00AA6429" w:rsidP="009E6124">
            <w:pPr>
              <w:rPr>
                <w:sz w:val="20"/>
                <w:szCs w:val="20"/>
              </w:rPr>
            </w:pPr>
            <w:r w:rsidRPr="00841F85">
              <w:rPr>
                <w:rStyle w:val="SCCFileNumberChar"/>
                <w:sz w:val="20"/>
                <w:szCs w:val="20"/>
              </w:rPr>
              <w:t>35008</w:t>
            </w:r>
          </w:p>
          <w:p w:rsidR="00AA6429" w:rsidRPr="00841F85" w:rsidRDefault="00AA6429" w:rsidP="009E6124">
            <w:pPr>
              <w:rPr>
                <w:b/>
                <w:sz w:val="20"/>
                <w:szCs w:val="20"/>
                <w:lang w:val="fr-CA"/>
              </w:rPr>
            </w:pPr>
          </w:p>
        </w:tc>
        <w:tc>
          <w:tcPr>
            <w:tcW w:w="8118" w:type="dxa"/>
          </w:tcPr>
          <w:p w:rsidR="00AA6429" w:rsidRPr="00841F85" w:rsidRDefault="00AA6429" w:rsidP="009E6124">
            <w:pPr>
              <w:jc w:val="both"/>
              <w:rPr>
                <w:sz w:val="20"/>
                <w:szCs w:val="20"/>
                <w:lang w:val="fr-CA"/>
              </w:rPr>
            </w:pPr>
            <w:r w:rsidRPr="00D87B4B">
              <w:rPr>
                <w:rStyle w:val="SCCLsocChar"/>
                <w:sz w:val="20"/>
                <w:szCs w:val="20"/>
              </w:rPr>
              <w:t xml:space="preserve">Union </w:t>
            </w:r>
            <w:proofErr w:type="spellStart"/>
            <w:r w:rsidRPr="00D87B4B">
              <w:rPr>
                <w:rStyle w:val="SCCLsocChar"/>
                <w:sz w:val="20"/>
                <w:szCs w:val="20"/>
              </w:rPr>
              <w:t>Carbide</w:t>
            </w:r>
            <w:proofErr w:type="spellEnd"/>
            <w:r w:rsidRPr="00D87B4B">
              <w:rPr>
                <w:rStyle w:val="SCCLsocChar"/>
                <w:sz w:val="20"/>
                <w:szCs w:val="20"/>
              </w:rPr>
              <w:t xml:space="preserve"> Canada Inc.</w:t>
            </w:r>
            <w:r w:rsidR="009714AD" w:rsidRPr="00D87B4B">
              <w:rPr>
                <w:rStyle w:val="SCCLsocChar"/>
                <w:sz w:val="20"/>
                <w:szCs w:val="20"/>
              </w:rPr>
              <w:t xml:space="preserve"> et</w:t>
            </w:r>
            <w:r w:rsidRPr="00D87B4B">
              <w:rPr>
                <w:rStyle w:val="SCCLsocChar"/>
                <w:sz w:val="20"/>
                <w:szCs w:val="20"/>
              </w:rPr>
              <w:t xml:space="preserve"> Dow </w:t>
            </w:r>
            <w:proofErr w:type="spellStart"/>
            <w:r w:rsidRPr="00D87B4B">
              <w:rPr>
                <w:rStyle w:val="SCCLsocChar"/>
                <w:sz w:val="20"/>
                <w:szCs w:val="20"/>
              </w:rPr>
              <w:t>Chemical</w:t>
            </w:r>
            <w:proofErr w:type="spellEnd"/>
            <w:r w:rsidRPr="00D87B4B">
              <w:rPr>
                <w:rStyle w:val="SCCLsocChar"/>
                <w:sz w:val="20"/>
                <w:szCs w:val="20"/>
              </w:rPr>
              <w:t xml:space="preserve"> Canada Inc. </w:t>
            </w:r>
            <w:r w:rsidRPr="00841F85">
              <w:rPr>
                <w:rStyle w:val="SCCLsocChar"/>
                <w:sz w:val="20"/>
                <w:szCs w:val="20"/>
              </w:rPr>
              <w:t xml:space="preserve">(maintenant connues comme étant Dow </w:t>
            </w:r>
            <w:proofErr w:type="spellStart"/>
            <w:r w:rsidRPr="00841F85">
              <w:rPr>
                <w:rStyle w:val="SCCLsocChar"/>
                <w:sz w:val="20"/>
                <w:szCs w:val="20"/>
              </w:rPr>
              <w:t>Chemical</w:t>
            </w:r>
            <w:proofErr w:type="spellEnd"/>
            <w:r w:rsidRPr="00841F85">
              <w:rPr>
                <w:rStyle w:val="SCCLsocChar"/>
                <w:sz w:val="20"/>
                <w:szCs w:val="20"/>
              </w:rPr>
              <w:t xml:space="preserve"> Canada ULC) c. Bombardier </w:t>
            </w:r>
            <w:proofErr w:type="spellStart"/>
            <w:r w:rsidR="00D87B4B">
              <w:rPr>
                <w:rStyle w:val="SCCLsocChar"/>
                <w:sz w:val="20"/>
                <w:szCs w:val="20"/>
              </w:rPr>
              <w:t>i</w:t>
            </w:r>
            <w:r w:rsidRPr="00841F85">
              <w:rPr>
                <w:rStyle w:val="SCCLsocChar"/>
                <w:sz w:val="20"/>
                <w:szCs w:val="20"/>
              </w:rPr>
              <w:t>nc</w:t>
            </w:r>
            <w:proofErr w:type="spellEnd"/>
            <w:r w:rsidRPr="00841F85">
              <w:rPr>
                <w:rStyle w:val="SCCLsocChar"/>
                <w:sz w:val="20"/>
                <w:szCs w:val="20"/>
              </w:rPr>
              <w:t xml:space="preserve">., Bombardier produits récréatifs </w:t>
            </w:r>
            <w:proofErr w:type="spellStart"/>
            <w:r w:rsidRPr="00841F85">
              <w:rPr>
                <w:rStyle w:val="SCCLsocChar"/>
                <w:sz w:val="20"/>
                <w:szCs w:val="20"/>
              </w:rPr>
              <w:t>inc</w:t>
            </w:r>
            <w:proofErr w:type="spellEnd"/>
            <w:r w:rsidRPr="00841F85">
              <w:rPr>
                <w:rStyle w:val="SCCLsocChar"/>
                <w:sz w:val="20"/>
                <w:szCs w:val="20"/>
              </w:rPr>
              <w:t xml:space="preserve">. et </w:t>
            </w:r>
            <w:proofErr w:type="spellStart"/>
            <w:r w:rsidRPr="00841F85">
              <w:rPr>
                <w:rStyle w:val="SCCLsocChar"/>
                <w:sz w:val="20"/>
                <w:szCs w:val="20"/>
              </w:rPr>
              <w:t>Allianz</w:t>
            </w:r>
            <w:proofErr w:type="spellEnd"/>
            <w:r w:rsidRPr="00841F85">
              <w:rPr>
                <w:rStyle w:val="SCCLsocChar"/>
                <w:sz w:val="20"/>
                <w:szCs w:val="20"/>
              </w:rPr>
              <w:t xml:space="preserve"> Global </w:t>
            </w:r>
            <w:proofErr w:type="spellStart"/>
            <w:r w:rsidRPr="00841F85">
              <w:rPr>
                <w:rStyle w:val="SCCLsocChar"/>
                <w:sz w:val="20"/>
                <w:szCs w:val="20"/>
              </w:rPr>
              <w:t>Risks</w:t>
            </w:r>
            <w:proofErr w:type="spellEnd"/>
            <w:r w:rsidRPr="00841F85">
              <w:rPr>
                <w:rStyle w:val="SCCLsocChar"/>
                <w:sz w:val="20"/>
                <w:szCs w:val="20"/>
              </w:rPr>
              <w:t xml:space="preserve"> US </w:t>
            </w:r>
            <w:proofErr w:type="spellStart"/>
            <w:r w:rsidRPr="00841F85">
              <w:rPr>
                <w:rStyle w:val="SCCLsocChar"/>
                <w:sz w:val="20"/>
                <w:szCs w:val="20"/>
              </w:rPr>
              <w:t>Insurance</w:t>
            </w:r>
            <w:proofErr w:type="spellEnd"/>
            <w:r w:rsidRPr="00841F85">
              <w:rPr>
                <w:rStyle w:val="SCCLsocChar"/>
                <w:sz w:val="20"/>
                <w:szCs w:val="20"/>
              </w:rPr>
              <w:t xml:space="preserve"> </w:t>
            </w:r>
            <w:proofErr w:type="spellStart"/>
            <w:r w:rsidRPr="00841F85">
              <w:rPr>
                <w:rStyle w:val="SCCLsocChar"/>
                <w:sz w:val="20"/>
                <w:szCs w:val="20"/>
              </w:rPr>
              <w:t>Company</w:t>
            </w:r>
            <w:proofErr w:type="spellEnd"/>
            <w:r w:rsidRPr="00841F85">
              <w:rPr>
                <w:sz w:val="20"/>
                <w:szCs w:val="20"/>
                <w:lang w:val="fr-CA"/>
              </w:rPr>
              <w:t xml:space="preserve"> (</w:t>
            </w:r>
            <w:proofErr w:type="spellStart"/>
            <w:r w:rsidRPr="00841F85">
              <w:rPr>
                <w:sz w:val="20"/>
                <w:szCs w:val="20"/>
                <w:lang w:val="fr-CA"/>
              </w:rPr>
              <w:t>Qc</w:t>
            </w:r>
            <w:proofErr w:type="spellEnd"/>
            <w:r w:rsidRPr="00841F85">
              <w:rPr>
                <w:sz w:val="20"/>
                <w:szCs w:val="20"/>
                <w:lang w:val="fr-CA"/>
              </w:rPr>
              <w:t>) (Civile) (Autorisation)</w:t>
            </w:r>
          </w:p>
          <w:p w:rsidR="00AA6429" w:rsidRPr="00841F85" w:rsidRDefault="00AA6429" w:rsidP="009E6124">
            <w:pPr>
              <w:jc w:val="both"/>
              <w:rPr>
                <w:sz w:val="20"/>
                <w:szCs w:val="20"/>
                <w:lang w:val="fr-CA"/>
              </w:rPr>
            </w:pPr>
          </w:p>
        </w:tc>
      </w:tr>
      <w:tr w:rsidR="00AA6429" w:rsidRPr="009714AD" w:rsidTr="009E6124">
        <w:trPr>
          <w:cantSplit/>
        </w:trPr>
        <w:tc>
          <w:tcPr>
            <w:tcW w:w="1458" w:type="dxa"/>
          </w:tcPr>
          <w:p w:rsidR="00AA6429" w:rsidRPr="00841F85" w:rsidRDefault="00AA6429" w:rsidP="009E6124">
            <w:pPr>
              <w:rPr>
                <w:sz w:val="20"/>
                <w:szCs w:val="20"/>
              </w:rPr>
            </w:pPr>
            <w:r w:rsidRPr="00841F85">
              <w:rPr>
                <w:sz w:val="20"/>
                <w:szCs w:val="20"/>
              </w:rPr>
              <w:t>Coram :</w:t>
            </w:r>
          </w:p>
        </w:tc>
        <w:tc>
          <w:tcPr>
            <w:tcW w:w="8118" w:type="dxa"/>
          </w:tcPr>
          <w:p w:rsidR="00AA6429" w:rsidRPr="00841F85" w:rsidRDefault="00AA6429" w:rsidP="009E6124">
            <w:pPr>
              <w:rPr>
                <w:sz w:val="20"/>
                <w:szCs w:val="20"/>
                <w:lang w:val="fr-CA"/>
              </w:rPr>
            </w:pPr>
            <w:r w:rsidRPr="00841F85">
              <w:rPr>
                <w:rStyle w:val="SCCCoramChar"/>
                <w:sz w:val="20"/>
                <w:szCs w:val="20"/>
              </w:rPr>
              <w:t xml:space="preserve">Les juges </w:t>
            </w:r>
            <w:proofErr w:type="spellStart"/>
            <w:r w:rsidRPr="00841F85">
              <w:rPr>
                <w:rStyle w:val="SCCCoramChar"/>
                <w:sz w:val="20"/>
                <w:szCs w:val="20"/>
              </w:rPr>
              <w:t>LeBel</w:t>
            </w:r>
            <w:proofErr w:type="spellEnd"/>
            <w:r w:rsidRPr="00841F85">
              <w:rPr>
                <w:rStyle w:val="SCCCoramChar"/>
                <w:sz w:val="20"/>
                <w:szCs w:val="20"/>
              </w:rPr>
              <w:t xml:space="preserve">, </w:t>
            </w:r>
            <w:proofErr w:type="spellStart"/>
            <w:r w:rsidRPr="00841F85">
              <w:rPr>
                <w:rStyle w:val="SCCCoramChar"/>
                <w:sz w:val="20"/>
                <w:szCs w:val="20"/>
              </w:rPr>
              <w:t>Karakatsanis</w:t>
            </w:r>
            <w:proofErr w:type="spellEnd"/>
            <w:r w:rsidRPr="00841F85">
              <w:rPr>
                <w:rStyle w:val="SCCCoramChar"/>
                <w:sz w:val="20"/>
                <w:szCs w:val="20"/>
              </w:rPr>
              <w:t xml:space="preserve"> et Wagner</w:t>
            </w:r>
          </w:p>
          <w:p w:rsidR="00AA6429" w:rsidRPr="00841F85" w:rsidRDefault="00AA6429" w:rsidP="009E6124">
            <w:pPr>
              <w:rPr>
                <w:sz w:val="20"/>
                <w:szCs w:val="20"/>
                <w:u w:val="single"/>
                <w:lang w:val="fr-CA"/>
              </w:rPr>
            </w:pPr>
          </w:p>
        </w:tc>
      </w:tr>
      <w:tr w:rsidR="00AA6429" w:rsidRPr="00841F85" w:rsidTr="009E6124">
        <w:trPr>
          <w:cantSplit/>
        </w:trPr>
        <w:tc>
          <w:tcPr>
            <w:tcW w:w="9576" w:type="dxa"/>
            <w:gridSpan w:val="2"/>
          </w:tcPr>
          <w:p w:rsidR="00AA6429" w:rsidRPr="00841F85" w:rsidRDefault="00AA6429" w:rsidP="009E6124">
            <w:pPr>
              <w:pStyle w:val="SCCShortJudgment"/>
              <w:rPr>
                <w:szCs w:val="20"/>
                <w:lang w:val="fr-CA"/>
              </w:rPr>
            </w:pPr>
            <w:r w:rsidRPr="00841F85">
              <w:rPr>
                <w:szCs w:val="20"/>
                <w:lang w:val="fr-CA"/>
              </w:rPr>
              <w:t>La demande d’autorisation d’appel de l’arrêt de la Cour d’appel du Québec (Montréal), numéro 500-09-022377-121, 2012 QCCA 1300, daté du 17 juillet 2012, est accueillie avec dépens selon l’issue de la cause.</w:t>
            </w:r>
          </w:p>
          <w:p w:rsidR="00AA6429" w:rsidRPr="00841F85" w:rsidRDefault="00AA6429" w:rsidP="009E6124">
            <w:pPr>
              <w:pStyle w:val="SCCShortJudgment"/>
              <w:ind w:firstLine="0"/>
              <w:rPr>
                <w:szCs w:val="20"/>
                <w:lang w:val="fr-CA"/>
              </w:rPr>
            </w:pPr>
          </w:p>
          <w:p w:rsidR="00AA6429" w:rsidRPr="00841F85" w:rsidRDefault="00AA6429" w:rsidP="009E6124">
            <w:pPr>
              <w:pStyle w:val="SCCShortJudgment"/>
              <w:rPr>
                <w:szCs w:val="20"/>
              </w:rPr>
            </w:pPr>
            <w:r w:rsidRPr="00841F85">
              <w:rPr>
                <w:szCs w:val="20"/>
              </w:rPr>
              <w:t>The application for leave to appeal from the judgment of the Court of Appeal of Quebec (Montréal), Number 500-09-022377-121, 2012 QCCA 1300, dated July 17, 2012, is granted with costs in the cause.</w:t>
            </w:r>
          </w:p>
        </w:tc>
      </w:tr>
    </w:tbl>
    <w:p w:rsidR="000C7850" w:rsidRPr="00AA6429" w:rsidRDefault="000C7850" w:rsidP="000C7850">
      <w:pPr>
        <w:rPr>
          <w:sz w:val="20"/>
          <w:szCs w:val="20"/>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473B3" w:rsidRPr="00495EC2" w:rsidTr="00EC5583">
        <w:tc>
          <w:tcPr>
            <w:tcW w:w="5000" w:type="pct"/>
            <w:gridSpan w:val="3"/>
          </w:tcPr>
          <w:p w:rsidR="00A473B3" w:rsidRPr="00495EC2" w:rsidRDefault="00A473B3" w:rsidP="00EC5583">
            <w:pPr>
              <w:jc w:val="both"/>
              <w:rPr>
                <w:sz w:val="20"/>
              </w:rPr>
            </w:pPr>
            <w:r w:rsidRPr="00495EC2">
              <w:rPr>
                <w:sz w:val="20"/>
              </w:rPr>
              <w:t>Evidence — Admissibility — Civil procedure — Mediation — General principle of confidentiality of mediation and specific confidentiality agreement — Whether privilege of confidentiality ceases to apply where one party alleges existence of transaction — Suit by business against supplier — Mediation followed by disagreement on outcome of mediation — Motion to homologate transaction containing allegations related to mediation — Motion to strike allegations — Whether Court of Appeal erred in law in holding that exception proposed by authors to principle of confidentiality of mediation prevails over clause of strict confidentiality signed by parties — Whether facts related to mediation can be tendered to prove alleged transaction — Whether writing necessary to prove alleged transaction.</w:t>
            </w:r>
          </w:p>
        </w:tc>
      </w:tr>
      <w:tr w:rsidR="00A473B3" w:rsidRPr="00495EC2" w:rsidTr="00EC5583">
        <w:tc>
          <w:tcPr>
            <w:tcW w:w="5000" w:type="pct"/>
            <w:gridSpan w:val="3"/>
          </w:tcPr>
          <w:p w:rsidR="00A473B3" w:rsidRPr="00495EC2" w:rsidRDefault="00A473B3" w:rsidP="00EC5583">
            <w:pPr>
              <w:jc w:val="both"/>
              <w:rPr>
                <w:sz w:val="20"/>
              </w:rPr>
            </w:pPr>
          </w:p>
        </w:tc>
      </w:tr>
      <w:tr w:rsidR="00A473B3" w:rsidRPr="00495EC2" w:rsidTr="00EC5583">
        <w:tc>
          <w:tcPr>
            <w:tcW w:w="5000" w:type="pct"/>
            <w:gridSpan w:val="3"/>
          </w:tcPr>
          <w:p w:rsidR="00A473B3" w:rsidRPr="00495EC2" w:rsidRDefault="00A473B3" w:rsidP="00EC5583">
            <w:pPr>
              <w:jc w:val="both"/>
              <w:rPr>
                <w:sz w:val="20"/>
              </w:rPr>
            </w:pPr>
            <w:r w:rsidRPr="00495EC2">
              <w:rPr>
                <w:sz w:val="20"/>
              </w:rPr>
              <w:t xml:space="preserve">Disputes arose between the parties, both in Quebec and in the United States, regarding jet-ski gas tanks: Bombardier claimed that the tanks, supplied by Union Carbide, were unfit for normal use.  A mediation agreement prepared by mediator </w:t>
            </w:r>
            <w:proofErr w:type="spellStart"/>
            <w:r w:rsidRPr="00495EC2">
              <w:rPr>
                <w:sz w:val="20"/>
              </w:rPr>
              <w:t>Mendelsohn</w:t>
            </w:r>
            <w:proofErr w:type="spellEnd"/>
            <w:r w:rsidRPr="00495EC2">
              <w:rPr>
                <w:sz w:val="20"/>
              </w:rPr>
              <w:t xml:space="preserve"> was signed on April 26, 2011.  It contained the following clause regarding the confidentiality of the process:  “Nothing which transpires in the Mediation will be alleged, referred to or sought to be put into evidence in any proceeding”.  An offer was made at the mediation session held the next day in Montréal.  On May 17, Bombardier’s lawyer accepted the offer of $7M.  On May 19, Union Carbide’s lawyer stressed that this was a global settlement.  On June 6, Bombardier stated that, on the contrary, it was limited to the Quebec dispute.  In July 2011, Bombardier filed a motion in the Superior Court to homologate the transaction in the dispute.  The applicants applied to strike six allegations from the motion on the ground that they referred to the mediation.</w:t>
            </w:r>
          </w:p>
          <w:p w:rsidR="00A473B3" w:rsidRPr="00495EC2" w:rsidRDefault="00A473B3" w:rsidP="00EC5583">
            <w:pPr>
              <w:jc w:val="both"/>
              <w:rPr>
                <w:sz w:val="20"/>
              </w:rPr>
            </w:pPr>
          </w:p>
        </w:tc>
      </w:tr>
      <w:tr w:rsidR="00A473B3" w:rsidRPr="00495EC2" w:rsidTr="00EC5583">
        <w:tc>
          <w:tcPr>
            <w:tcW w:w="2427" w:type="pct"/>
          </w:tcPr>
          <w:p w:rsidR="00A473B3" w:rsidRPr="00495EC2" w:rsidRDefault="00A473B3" w:rsidP="00EC5583">
            <w:pPr>
              <w:jc w:val="both"/>
              <w:rPr>
                <w:sz w:val="20"/>
              </w:rPr>
            </w:pPr>
            <w:r w:rsidRPr="00495EC2">
              <w:rPr>
                <w:sz w:val="20"/>
              </w:rPr>
              <w:t>January 9, 2012</w:t>
            </w:r>
          </w:p>
          <w:p w:rsidR="00A473B3" w:rsidRPr="00495EC2" w:rsidRDefault="00A473B3" w:rsidP="00EC5583">
            <w:pPr>
              <w:jc w:val="both"/>
              <w:rPr>
                <w:sz w:val="20"/>
              </w:rPr>
            </w:pPr>
            <w:r w:rsidRPr="00495EC2">
              <w:rPr>
                <w:sz w:val="20"/>
              </w:rPr>
              <w:t>Quebec Superior Court</w:t>
            </w:r>
          </w:p>
          <w:p w:rsidR="00A473B3" w:rsidRPr="00495EC2" w:rsidRDefault="00A473B3" w:rsidP="00EC5583">
            <w:pPr>
              <w:jc w:val="both"/>
              <w:rPr>
                <w:sz w:val="20"/>
              </w:rPr>
            </w:pPr>
            <w:r w:rsidRPr="00495EC2">
              <w:rPr>
                <w:sz w:val="20"/>
              </w:rPr>
              <w:t>(</w:t>
            </w:r>
            <w:proofErr w:type="spellStart"/>
            <w:r w:rsidRPr="00495EC2">
              <w:rPr>
                <w:sz w:val="20"/>
              </w:rPr>
              <w:t>Corriveau</w:t>
            </w:r>
            <w:proofErr w:type="spellEnd"/>
            <w:r w:rsidRPr="00495EC2">
              <w:rPr>
                <w:sz w:val="20"/>
              </w:rPr>
              <w:t xml:space="preserve"> J.)</w:t>
            </w:r>
          </w:p>
          <w:p w:rsidR="00A473B3" w:rsidRPr="00495EC2" w:rsidRDefault="00A473B3" w:rsidP="00EC5583">
            <w:pPr>
              <w:jc w:val="both"/>
              <w:rPr>
                <w:sz w:val="20"/>
              </w:rPr>
            </w:pPr>
            <w:r w:rsidRPr="00495EC2">
              <w:rPr>
                <w:sz w:val="20"/>
              </w:rPr>
              <w:t>2012 QCCS 22</w:t>
            </w:r>
          </w:p>
          <w:p w:rsidR="00A473B3" w:rsidRPr="00495EC2" w:rsidRDefault="00A473B3" w:rsidP="00EC5583">
            <w:pPr>
              <w:jc w:val="both"/>
              <w:rPr>
                <w:sz w:val="20"/>
              </w:rPr>
            </w:pPr>
          </w:p>
        </w:tc>
        <w:tc>
          <w:tcPr>
            <w:tcW w:w="243" w:type="pct"/>
          </w:tcPr>
          <w:p w:rsidR="00A473B3" w:rsidRPr="00495EC2" w:rsidRDefault="00A473B3" w:rsidP="00EC5583">
            <w:pPr>
              <w:jc w:val="both"/>
              <w:rPr>
                <w:sz w:val="20"/>
              </w:rPr>
            </w:pPr>
          </w:p>
        </w:tc>
        <w:tc>
          <w:tcPr>
            <w:tcW w:w="2330" w:type="pct"/>
          </w:tcPr>
          <w:p w:rsidR="00A473B3" w:rsidRPr="00495EC2" w:rsidRDefault="00A473B3" w:rsidP="00EC5583">
            <w:pPr>
              <w:jc w:val="both"/>
              <w:rPr>
                <w:sz w:val="20"/>
              </w:rPr>
            </w:pPr>
            <w:r w:rsidRPr="00495EC2">
              <w:rPr>
                <w:sz w:val="20"/>
              </w:rPr>
              <w:t>Applicants’ motion to strike allegations granted in part; order made to strike four allegations from respondents’ motion to homologate transaction</w:t>
            </w:r>
          </w:p>
          <w:p w:rsidR="00A473B3" w:rsidRPr="00495EC2" w:rsidRDefault="00A473B3" w:rsidP="00EC5583">
            <w:pPr>
              <w:jc w:val="both"/>
              <w:rPr>
                <w:sz w:val="20"/>
              </w:rPr>
            </w:pPr>
          </w:p>
        </w:tc>
      </w:tr>
      <w:tr w:rsidR="00A473B3" w:rsidRPr="00495EC2" w:rsidTr="00EC5583">
        <w:tc>
          <w:tcPr>
            <w:tcW w:w="2427" w:type="pct"/>
          </w:tcPr>
          <w:p w:rsidR="00A473B3" w:rsidRPr="00495EC2" w:rsidRDefault="00A473B3" w:rsidP="00EC5583">
            <w:pPr>
              <w:jc w:val="both"/>
              <w:rPr>
                <w:sz w:val="20"/>
              </w:rPr>
            </w:pPr>
            <w:r w:rsidRPr="00495EC2">
              <w:rPr>
                <w:sz w:val="20"/>
              </w:rPr>
              <w:t>July 17, 2012</w:t>
            </w:r>
          </w:p>
          <w:p w:rsidR="00A473B3" w:rsidRPr="00495EC2" w:rsidRDefault="00A473B3" w:rsidP="00EC5583">
            <w:pPr>
              <w:jc w:val="both"/>
              <w:rPr>
                <w:sz w:val="20"/>
              </w:rPr>
            </w:pPr>
            <w:r w:rsidRPr="00495EC2">
              <w:rPr>
                <w:sz w:val="20"/>
              </w:rPr>
              <w:t>Quebec Court of Appeal (Montréal)</w:t>
            </w:r>
          </w:p>
          <w:p w:rsidR="00A473B3" w:rsidRPr="00495EC2" w:rsidRDefault="00A473B3" w:rsidP="00EC5583">
            <w:pPr>
              <w:jc w:val="both"/>
              <w:rPr>
                <w:sz w:val="20"/>
              </w:rPr>
            </w:pPr>
            <w:r w:rsidRPr="00495EC2">
              <w:rPr>
                <w:sz w:val="20"/>
              </w:rPr>
              <w:t xml:space="preserve">(Thibault, </w:t>
            </w:r>
            <w:proofErr w:type="spellStart"/>
            <w:r w:rsidRPr="00495EC2">
              <w:rPr>
                <w:sz w:val="20"/>
              </w:rPr>
              <w:t>Rochette</w:t>
            </w:r>
            <w:proofErr w:type="spellEnd"/>
            <w:r w:rsidRPr="00495EC2">
              <w:rPr>
                <w:sz w:val="20"/>
              </w:rPr>
              <w:t xml:space="preserve"> and </w:t>
            </w:r>
            <w:proofErr w:type="spellStart"/>
            <w:r w:rsidRPr="00495EC2">
              <w:rPr>
                <w:sz w:val="20"/>
              </w:rPr>
              <w:t>Morissette</w:t>
            </w:r>
            <w:proofErr w:type="spellEnd"/>
            <w:r w:rsidRPr="00495EC2">
              <w:rPr>
                <w:sz w:val="20"/>
              </w:rPr>
              <w:t xml:space="preserve"> JJ.A.)</w:t>
            </w:r>
          </w:p>
          <w:p w:rsidR="00A473B3" w:rsidRPr="00495EC2" w:rsidRDefault="00A473B3" w:rsidP="00EC5583">
            <w:pPr>
              <w:jc w:val="both"/>
              <w:rPr>
                <w:sz w:val="20"/>
              </w:rPr>
            </w:pPr>
            <w:r w:rsidRPr="00495EC2">
              <w:rPr>
                <w:sz w:val="20"/>
              </w:rPr>
              <w:t>2012 QCCA 1300</w:t>
            </w:r>
          </w:p>
          <w:p w:rsidR="00A473B3" w:rsidRPr="00495EC2" w:rsidRDefault="00A473B3" w:rsidP="00EC5583">
            <w:pPr>
              <w:jc w:val="both"/>
              <w:rPr>
                <w:sz w:val="20"/>
              </w:rPr>
            </w:pPr>
          </w:p>
        </w:tc>
        <w:tc>
          <w:tcPr>
            <w:tcW w:w="243" w:type="pct"/>
          </w:tcPr>
          <w:p w:rsidR="00A473B3" w:rsidRPr="00495EC2" w:rsidRDefault="00A473B3" w:rsidP="00EC5583">
            <w:pPr>
              <w:jc w:val="both"/>
              <w:rPr>
                <w:sz w:val="20"/>
              </w:rPr>
            </w:pPr>
          </w:p>
        </w:tc>
        <w:tc>
          <w:tcPr>
            <w:tcW w:w="2330" w:type="pct"/>
          </w:tcPr>
          <w:p w:rsidR="00A473B3" w:rsidRPr="00495EC2" w:rsidRDefault="00A473B3" w:rsidP="00EC5583">
            <w:pPr>
              <w:jc w:val="both"/>
              <w:rPr>
                <w:sz w:val="20"/>
              </w:rPr>
            </w:pPr>
            <w:r w:rsidRPr="00495EC2">
              <w:rPr>
                <w:sz w:val="20"/>
              </w:rPr>
              <w:t>Appeal allowed; motion to strike dismissed</w:t>
            </w:r>
          </w:p>
          <w:p w:rsidR="00A473B3" w:rsidRPr="00495EC2" w:rsidRDefault="00A473B3" w:rsidP="00EC5583">
            <w:pPr>
              <w:jc w:val="both"/>
              <w:rPr>
                <w:sz w:val="20"/>
              </w:rPr>
            </w:pPr>
          </w:p>
        </w:tc>
      </w:tr>
      <w:tr w:rsidR="00A473B3" w:rsidRPr="00495EC2" w:rsidTr="00EC5583">
        <w:tc>
          <w:tcPr>
            <w:tcW w:w="2427" w:type="pct"/>
          </w:tcPr>
          <w:p w:rsidR="00A473B3" w:rsidRPr="00495EC2" w:rsidRDefault="00A473B3" w:rsidP="00EC5583">
            <w:pPr>
              <w:jc w:val="both"/>
              <w:rPr>
                <w:sz w:val="20"/>
              </w:rPr>
            </w:pPr>
            <w:r w:rsidRPr="00495EC2">
              <w:rPr>
                <w:sz w:val="20"/>
              </w:rPr>
              <w:t>September 28, 2012</w:t>
            </w:r>
          </w:p>
          <w:p w:rsidR="00A473B3" w:rsidRPr="00495EC2" w:rsidRDefault="00A473B3" w:rsidP="00EC5583">
            <w:pPr>
              <w:jc w:val="both"/>
              <w:rPr>
                <w:sz w:val="20"/>
              </w:rPr>
            </w:pPr>
            <w:r w:rsidRPr="00495EC2">
              <w:rPr>
                <w:sz w:val="20"/>
              </w:rPr>
              <w:t>Supreme Court of Canada</w:t>
            </w:r>
          </w:p>
        </w:tc>
        <w:tc>
          <w:tcPr>
            <w:tcW w:w="243" w:type="pct"/>
          </w:tcPr>
          <w:p w:rsidR="00A473B3" w:rsidRPr="00495EC2" w:rsidRDefault="00A473B3" w:rsidP="00EC5583">
            <w:pPr>
              <w:jc w:val="both"/>
              <w:rPr>
                <w:sz w:val="20"/>
              </w:rPr>
            </w:pPr>
          </w:p>
        </w:tc>
        <w:tc>
          <w:tcPr>
            <w:tcW w:w="2330" w:type="pct"/>
          </w:tcPr>
          <w:p w:rsidR="00A473B3" w:rsidRPr="00495EC2" w:rsidRDefault="00A473B3" w:rsidP="00EC5583">
            <w:pPr>
              <w:jc w:val="both"/>
              <w:rPr>
                <w:sz w:val="20"/>
              </w:rPr>
            </w:pPr>
            <w:r w:rsidRPr="00495EC2">
              <w:rPr>
                <w:sz w:val="20"/>
              </w:rPr>
              <w:t>Application for leave to appeal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48"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473B3" w:rsidRPr="009714AD" w:rsidTr="00EC5583">
        <w:tc>
          <w:tcPr>
            <w:tcW w:w="5000" w:type="pct"/>
            <w:gridSpan w:val="3"/>
          </w:tcPr>
          <w:p w:rsidR="00A473B3" w:rsidRPr="00495EC2" w:rsidRDefault="00A473B3" w:rsidP="00EC5583">
            <w:pPr>
              <w:jc w:val="both"/>
              <w:rPr>
                <w:sz w:val="20"/>
                <w:lang w:val="fr-CA"/>
              </w:rPr>
            </w:pPr>
            <w:r w:rsidRPr="00495EC2">
              <w:rPr>
                <w:sz w:val="20"/>
                <w:lang w:val="fr-CA"/>
              </w:rPr>
              <w:t xml:space="preserve">Preuve — Admissibilité — Procédure civile — Médiation — Principe général de confidentialité de la médiation et entente spécifique de confidentialité — Disparition ou non du privilège de confidentialité en cas d’allégation de transaction par une partie — Poursuite d’une entreprise contre un fournisseur — Médiation suivie de mésentente sur l’issue de </w:t>
            </w:r>
            <w:proofErr w:type="spellStart"/>
            <w:r w:rsidRPr="00495EC2">
              <w:rPr>
                <w:sz w:val="20"/>
                <w:lang w:val="fr-CA"/>
              </w:rPr>
              <w:t>celle</w:t>
            </w:r>
            <w:r w:rsidRPr="00495EC2">
              <w:rPr>
                <w:sz w:val="20"/>
                <w:lang w:val="fr-CA"/>
              </w:rPr>
              <w:noBreakHyphen/>
              <w:t>ci</w:t>
            </w:r>
            <w:proofErr w:type="spellEnd"/>
            <w:r w:rsidRPr="00495EC2">
              <w:rPr>
                <w:sz w:val="20"/>
                <w:lang w:val="fr-CA"/>
              </w:rPr>
              <w:t xml:space="preserve"> — Requête en homologation de transaction contenant des allégations liées à la médiation — Requête en radiation d’allégués — La Cour d’appel </w:t>
            </w:r>
            <w:proofErr w:type="spellStart"/>
            <w:r w:rsidRPr="00495EC2">
              <w:rPr>
                <w:sz w:val="20"/>
                <w:lang w:val="fr-CA"/>
              </w:rPr>
              <w:t>a</w:t>
            </w:r>
            <w:r w:rsidRPr="00495EC2">
              <w:rPr>
                <w:sz w:val="20"/>
                <w:lang w:val="fr-CA"/>
              </w:rPr>
              <w:noBreakHyphen/>
              <w:t>t</w:t>
            </w:r>
            <w:r w:rsidRPr="00495EC2">
              <w:rPr>
                <w:sz w:val="20"/>
                <w:lang w:val="fr-CA"/>
              </w:rPr>
              <w:noBreakHyphen/>
              <w:t>elle</w:t>
            </w:r>
            <w:proofErr w:type="spellEnd"/>
            <w:r w:rsidRPr="00495EC2">
              <w:rPr>
                <w:sz w:val="20"/>
                <w:lang w:val="fr-CA"/>
              </w:rPr>
              <w:t xml:space="preserve"> erré en droit en faisant prévaloir une exception doctrinale au principe de confidentialité de la médiation sur une clause de confidentialité étanche signée par les parties? — La preuve d’une transaction alléguée </w:t>
            </w:r>
            <w:proofErr w:type="spellStart"/>
            <w:r w:rsidRPr="00495EC2">
              <w:rPr>
                <w:sz w:val="20"/>
                <w:lang w:val="fr-CA"/>
              </w:rPr>
              <w:t>peut</w:t>
            </w:r>
            <w:r w:rsidRPr="00495EC2">
              <w:rPr>
                <w:sz w:val="20"/>
                <w:lang w:val="fr-CA"/>
              </w:rPr>
              <w:noBreakHyphen/>
              <w:t>elle</w:t>
            </w:r>
            <w:proofErr w:type="spellEnd"/>
            <w:r w:rsidRPr="00495EC2">
              <w:rPr>
                <w:sz w:val="20"/>
                <w:lang w:val="fr-CA"/>
              </w:rPr>
              <w:t xml:space="preserve"> s’appuyer sur des faits touchant la médiation? — La preuve d’une transaction alléguée </w:t>
            </w:r>
            <w:proofErr w:type="spellStart"/>
            <w:r w:rsidRPr="00495EC2">
              <w:rPr>
                <w:sz w:val="20"/>
                <w:lang w:val="fr-CA"/>
              </w:rPr>
              <w:t>doit</w:t>
            </w:r>
            <w:r w:rsidRPr="00495EC2">
              <w:rPr>
                <w:sz w:val="20"/>
                <w:lang w:val="fr-CA"/>
              </w:rPr>
              <w:noBreakHyphen/>
              <w:t>elle</w:t>
            </w:r>
            <w:proofErr w:type="spellEnd"/>
            <w:r w:rsidRPr="00495EC2">
              <w:rPr>
                <w:sz w:val="20"/>
                <w:lang w:val="fr-CA"/>
              </w:rPr>
              <w:t xml:space="preserve"> s’appuyer sur un écrit?</w:t>
            </w:r>
          </w:p>
        </w:tc>
      </w:tr>
      <w:tr w:rsidR="00A473B3" w:rsidRPr="009714AD" w:rsidTr="00EC5583">
        <w:tc>
          <w:tcPr>
            <w:tcW w:w="5000" w:type="pct"/>
            <w:gridSpan w:val="3"/>
          </w:tcPr>
          <w:p w:rsidR="00A473B3" w:rsidRPr="00495EC2" w:rsidRDefault="00A473B3" w:rsidP="00EC5583">
            <w:pPr>
              <w:jc w:val="both"/>
              <w:rPr>
                <w:sz w:val="20"/>
                <w:lang w:val="fr-CA"/>
              </w:rPr>
            </w:pPr>
          </w:p>
        </w:tc>
      </w:tr>
      <w:tr w:rsidR="00A473B3" w:rsidRPr="009714AD" w:rsidTr="00EC5583">
        <w:tc>
          <w:tcPr>
            <w:tcW w:w="5000" w:type="pct"/>
            <w:gridSpan w:val="3"/>
          </w:tcPr>
          <w:p w:rsidR="00A473B3" w:rsidRPr="00495EC2" w:rsidRDefault="00A473B3" w:rsidP="00EC5583">
            <w:pPr>
              <w:jc w:val="both"/>
              <w:rPr>
                <w:sz w:val="20"/>
                <w:lang w:val="fr-CA"/>
              </w:rPr>
            </w:pPr>
            <w:r w:rsidRPr="00495EC2">
              <w:rPr>
                <w:sz w:val="20"/>
                <w:lang w:val="fr-CA"/>
              </w:rPr>
              <w:t xml:space="preserve">Des litiges opposent les parties, tant au Québec qu’aux </w:t>
            </w:r>
            <w:proofErr w:type="spellStart"/>
            <w:r w:rsidRPr="00495EC2">
              <w:rPr>
                <w:sz w:val="20"/>
                <w:lang w:val="fr-CA"/>
              </w:rPr>
              <w:t>États</w:t>
            </w:r>
            <w:r w:rsidRPr="00495EC2">
              <w:rPr>
                <w:sz w:val="20"/>
                <w:lang w:val="fr-CA"/>
              </w:rPr>
              <w:noBreakHyphen/>
              <w:t>Unis</w:t>
            </w:r>
            <w:proofErr w:type="spellEnd"/>
            <w:r w:rsidRPr="00495EC2">
              <w:rPr>
                <w:sz w:val="20"/>
                <w:lang w:val="fr-CA"/>
              </w:rPr>
              <w:t xml:space="preserve">, au sujet de réservoirs à essence de </w:t>
            </w:r>
            <w:proofErr w:type="spellStart"/>
            <w:r w:rsidRPr="00495EC2">
              <w:rPr>
                <w:sz w:val="20"/>
                <w:lang w:val="fr-CA"/>
              </w:rPr>
              <w:t>motomarines</w:t>
            </w:r>
            <w:proofErr w:type="spellEnd"/>
            <w:r w:rsidRPr="00495EC2">
              <w:rPr>
                <w:sz w:val="20"/>
                <w:lang w:val="fr-CA"/>
              </w:rPr>
              <w:t xml:space="preserve"> : Bombardier soutient que ces réservoirs, fournis par Union </w:t>
            </w:r>
            <w:proofErr w:type="spellStart"/>
            <w:r w:rsidRPr="00495EC2">
              <w:rPr>
                <w:sz w:val="20"/>
                <w:lang w:val="fr-CA"/>
              </w:rPr>
              <w:t>Carbide</w:t>
            </w:r>
            <w:proofErr w:type="spellEnd"/>
            <w:r w:rsidRPr="00495EC2">
              <w:rPr>
                <w:sz w:val="20"/>
                <w:lang w:val="fr-CA"/>
              </w:rPr>
              <w:t xml:space="preserve">, étaient impropres à l’usage normal.  </w:t>
            </w:r>
            <w:r w:rsidRPr="00495EC2">
              <w:rPr>
                <w:sz w:val="20"/>
                <w:lang w:val="fr-FR"/>
              </w:rPr>
              <w:t xml:space="preserve">Une entente de médiation, préparée par le médiateur </w:t>
            </w:r>
            <w:proofErr w:type="spellStart"/>
            <w:r w:rsidRPr="00495EC2">
              <w:rPr>
                <w:sz w:val="20"/>
                <w:lang w:val="fr-FR"/>
              </w:rPr>
              <w:t>Mendelsohn</w:t>
            </w:r>
            <w:proofErr w:type="spellEnd"/>
            <w:r w:rsidRPr="00495EC2">
              <w:rPr>
                <w:sz w:val="20"/>
                <w:lang w:val="fr-FR"/>
              </w:rPr>
              <w:t xml:space="preserve">, est signée le 26 avril 2011.  </w:t>
            </w:r>
            <w:r w:rsidRPr="00495EC2">
              <w:rPr>
                <w:sz w:val="20"/>
              </w:rPr>
              <w:t xml:space="preserve">La </w:t>
            </w:r>
            <w:proofErr w:type="spellStart"/>
            <w:r w:rsidRPr="00495EC2">
              <w:rPr>
                <w:sz w:val="20"/>
              </w:rPr>
              <w:t>confidentialité</w:t>
            </w:r>
            <w:proofErr w:type="spellEnd"/>
            <w:r w:rsidRPr="00495EC2">
              <w:rPr>
                <w:sz w:val="20"/>
              </w:rPr>
              <w:t xml:space="preserve"> du </w:t>
            </w:r>
            <w:proofErr w:type="spellStart"/>
            <w:r w:rsidRPr="00495EC2">
              <w:rPr>
                <w:sz w:val="20"/>
              </w:rPr>
              <w:t>processus</w:t>
            </w:r>
            <w:proofErr w:type="spellEnd"/>
            <w:r w:rsidRPr="00495EC2">
              <w:rPr>
                <w:sz w:val="20"/>
              </w:rPr>
              <w:t xml:space="preserve"> y </w:t>
            </w:r>
            <w:proofErr w:type="spellStart"/>
            <w:r w:rsidRPr="00495EC2">
              <w:rPr>
                <w:sz w:val="20"/>
              </w:rPr>
              <w:t>est</w:t>
            </w:r>
            <w:proofErr w:type="spellEnd"/>
            <w:r w:rsidRPr="00495EC2">
              <w:rPr>
                <w:sz w:val="20"/>
              </w:rPr>
              <w:t xml:space="preserve"> </w:t>
            </w:r>
            <w:proofErr w:type="spellStart"/>
            <w:r w:rsidRPr="00495EC2">
              <w:rPr>
                <w:sz w:val="20"/>
              </w:rPr>
              <w:t>principalement</w:t>
            </w:r>
            <w:proofErr w:type="spellEnd"/>
            <w:r w:rsidRPr="00495EC2">
              <w:rPr>
                <w:sz w:val="20"/>
              </w:rPr>
              <w:t xml:space="preserve"> </w:t>
            </w:r>
            <w:proofErr w:type="spellStart"/>
            <w:r w:rsidRPr="00495EC2">
              <w:rPr>
                <w:sz w:val="20"/>
              </w:rPr>
              <w:t>évoquée</w:t>
            </w:r>
            <w:proofErr w:type="spellEnd"/>
            <w:r w:rsidRPr="00495EC2">
              <w:rPr>
                <w:sz w:val="20"/>
              </w:rPr>
              <w:t xml:space="preserve"> en </w:t>
            </w:r>
            <w:proofErr w:type="spellStart"/>
            <w:r w:rsidRPr="00495EC2">
              <w:rPr>
                <w:sz w:val="20"/>
              </w:rPr>
              <w:t>ces</w:t>
            </w:r>
            <w:proofErr w:type="spellEnd"/>
            <w:r w:rsidRPr="00495EC2">
              <w:rPr>
                <w:sz w:val="20"/>
              </w:rPr>
              <w:t xml:space="preserve"> </w:t>
            </w:r>
            <w:proofErr w:type="spellStart"/>
            <w:proofErr w:type="gramStart"/>
            <w:r w:rsidRPr="00495EC2">
              <w:rPr>
                <w:sz w:val="20"/>
              </w:rPr>
              <w:t>termes</w:t>
            </w:r>
            <w:proofErr w:type="spellEnd"/>
            <w:r w:rsidRPr="00495EC2">
              <w:rPr>
                <w:sz w:val="20"/>
              </w:rPr>
              <w:t> :</w:t>
            </w:r>
            <w:proofErr w:type="gramEnd"/>
            <w:r w:rsidRPr="00495EC2">
              <w:rPr>
                <w:sz w:val="20"/>
              </w:rPr>
              <w:t xml:space="preserve"> « nothing which transpires in the Mediation will be alleged, referred to or sought to be put into evidence in any proceeding ».  </w:t>
            </w:r>
            <w:r w:rsidRPr="00495EC2">
              <w:rPr>
                <w:sz w:val="20"/>
                <w:lang w:val="fr-CA"/>
              </w:rPr>
              <w:t xml:space="preserve">Lors de la séance de médiation qui a lieu le lendemain à Montréal, une offre survient.  Le 17 mai, l’avocat de Bombardier accepte l’offre de 7 M$.  Le 19 mai, l’avocat </w:t>
            </w:r>
            <w:proofErr w:type="gramStart"/>
            <w:r w:rsidRPr="00495EC2">
              <w:rPr>
                <w:sz w:val="20"/>
                <w:lang w:val="fr-CA"/>
              </w:rPr>
              <w:t>de Union</w:t>
            </w:r>
            <w:proofErr w:type="gramEnd"/>
            <w:r w:rsidRPr="00495EC2">
              <w:rPr>
                <w:sz w:val="20"/>
                <w:lang w:val="fr-CA"/>
              </w:rPr>
              <w:t xml:space="preserve"> </w:t>
            </w:r>
            <w:proofErr w:type="spellStart"/>
            <w:r w:rsidRPr="00495EC2">
              <w:rPr>
                <w:sz w:val="20"/>
                <w:lang w:val="fr-CA"/>
              </w:rPr>
              <w:t>Carbide</w:t>
            </w:r>
            <w:proofErr w:type="spellEnd"/>
            <w:r w:rsidRPr="00495EC2">
              <w:rPr>
                <w:sz w:val="20"/>
                <w:lang w:val="fr-CA"/>
              </w:rPr>
              <w:t xml:space="preserve"> souligne qu’il s’agit là d’un règlement global.  Le 6 juin, Bombardier précise en limiter la portée, au contraire, au litige québécois.  En juillet 2011, Bombardier dépose une requête en homologation de transaction dans le litige en Cour supérieure.  Les </w:t>
            </w:r>
            <w:proofErr w:type="spellStart"/>
            <w:r w:rsidRPr="00495EC2">
              <w:rPr>
                <w:sz w:val="20"/>
                <w:lang w:val="fr-CA"/>
              </w:rPr>
              <w:t>demanderesses</w:t>
            </w:r>
            <w:proofErr w:type="spellEnd"/>
            <w:r w:rsidRPr="00495EC2">
              <w:rPr>
                <w:sz w:val="20"/>
                <w:lang w:val="fr-CA"/>
              </w:rPr>
              <w:t xml:space="preserve"> exigent la radiation de six allégués de la requête, au motif qu’ils réfèrent à la médiation.</w:t>
            </w:r>
          </w:p>
          <w:p w:rsidR="00A473B3" w:rsidRPr="00495EC2" w:rsidRDefault="00A473B3" w:rsidP="00EC5583">
            <w:pPr>
              <w:jc w:val="both"/>
              <w:rPr>
                <w:sz w:val="20"/>
                <w:lang w:val="fr-CA"/>
              </w:rPr>
            </w:pPr>
          </w:p>
        </w:tc>
      </w:tr>
      <w:tr w:rsidR="00A473B3" w:rsidRPr="009714AD" w:rsidTr="00EC5583">
        <w:tc>
          <w:tcPr>
            <w:tcW w:w="2427" w:type="pct"/>
          </w:tcPr>
          <w:p w:rsidR="00A473B3" w:rsidRPr="00495EC2" w:rsidRDefault="00A473B3" w:rsidP="00EC5583">
            <w:pPr>
              <w:jc w:val="both"/>
              <w:rPr>
                <w:sz w:val="20"/>
                <w:lang w:val="fr-CA"/>
              </w:rPr>
            </w:pPr>
            <w:r w:rsidRPr="00495EC2">
              <w:rPr>
                <w:sz w:val="20"/>
                <w:lang w:val="fr-CA"/>
              </w:rPr>
              <w:t>Le 9 janvier 2012</w:t>
            </w:r>
          </w:p>
          <w:p w:rsidR="00A473B3" w:rsidRPr="00495EC2" w:rsidRDefault="00A473B3" w:rsidP="00EC5583">
            <w:pPr>
              <w:jc w:val="both"/>
              <w:rPr>
                <w:sz w:val="20"/>
                <w:lang w:val="fr-CA"/>
              </w:rPr>
            </w:pPr>
            <w:r w:rsidRPr="00495EC2">
              <w:rPr>
                <w:sz w:val="20"/>
                <w:lang w:val="fr-CA"/>
              </w:rPr>
              <w:t>Cour supérieure du Québec</w:t>
            </w:r>
          </w:p>
          <w:p w:rsidR="00A473B3" w:rsidRPr="00495EC2" w:rsidRDefault="00A473B3" w:rsidP="00EC5583">
            <w:pPr>
              <w:jc w:val="both"/>
              <w:rPr>
                <w:sz w:val="20"/>
                <w:lang w:val="fr-CA"/>
              </w:rPr>
            </w:pPr>
            <w:r w:rsidRPr="00495EC2">
              <w:rPr>
                <w:sz w:val="20"/>
                <w:lang w:val="fr-CA"/>
              </w:rPr>
              <w:t xml:space="preserve">(La juge </w:t>
            </w:r>
            <w:proofErr w:type="spellStart"/>
            <w:r w:rsidRPr="00495EC2">
              <w:rPr>
                <w:sz w:val="20"/>
                <w:lang w:val="fr-CA"/>
              </w:rPr>
              <w:t>Corriveau</w:t>
            </w:r>
            <w:proofErr w:type="spellEnd"/>
            <w:r w:rsidRPr="00495EC2">
              <w:rPr>
                <w:sz w:val="20"/>
                <w:lang w:val="fr-CA"/>
              </w:rPr>
              <w:t>)</w:t>
            </w:r>
          </w:p>
          <w:p w:rsidR="00A473B3" w:rsidRPr="00495EC2" w:rsidRDefault="00A473B3" w:rsidP="00EC5583">
            <w:pPr>
              <w:jc w:val="both"/>
              <w:rPr>
                <w:sz w:val="20"/>
                <w:lang w:val="fr-CA"/>
              </w:rPr>
            </w:pPr>
            <w:r w:rsidRPr="00495EC2">
              <w:rPr>
                <w:sz w:val="20"/>
                <w:lang w:val="fr-CA"/>
              </w:rPr>
              <w:t>2012 QCCS 22</w:t>
            </w:r>
          </w:p>
          <w:p w:rsidR="00A473B3" w:rsidRPr="00495EC2" w:rsidRDefault="00A473B3" w:rsidP="00EC5583">
            <w:pPr>
              <w:jc w:val="both"/>
              <w:rPr>
                <w:sz w:val="20"/>
                <w:lang w:val="fr-CA"/>
              </w:rPr>
            </w:pPr>
          </w:p>
        </w:tc>
        <w:tc>
          <w:tcPr>
            <w:tcW w:w="243" w:type="pct"/>
          </w:tcPr>
          <w:p w:rsidR="00A473B3" w:rsidRPr="00495EC2" w:rsidRDefault="00A473B3" w:rsidP="00EC5583">
            <w:pPr>
              <w:jc w:val="both"/>
              <w:rPr>
                <w:sz w:val="20"/>
                <w:lang w:val="fr-CA"/>
              </w:rPr>
            </w:pPr>
          </w:p>
        </w:tc>
        <w:tc>
          <w:tcPr>
            <w:tcW w:w="2330" w:type="pct"/>
          </w:tcPr>
          <w:p w:rsidR="00A473B3" w:rsidRPr="00495EC2" w:rsidRDefault="00A473B3" w:rsidP="00EC5583">
            <w:pPr>
              <w:jc w:val="both"/>
              <w:rPr>
                <w:sz w:val="20"/>
                <w:lang w:val="fr-CA"/>
              </w:rPr>
            </w:pPr>
            <w:r w:rsidRPr="00495EC2">
              <w:rPr>
                <w:sz w:val="20"/>
                <w:lang w:val="fr-CA"/>
              </w:rPr>
              <w:t xml:space="preserve">Requête des </w:t>
            </w:r>
            <w:proofErr w:type="spellStart"/>
            <w:r w:rsidRPr="00495EC2">
              <w:rPr>
                <w:sz w:val="20"/>
                <w:lang w:val="fr-CA"/>
              </w:rPr>
              <w:t>demanderesses</w:t>
            </w:r>
            <w:proofErr w:type="spellEnd"/>
            <w:r w:rsidRPr="00495EC2">
              <w:rPr>
                <w:sz w:val="20"/>
                <w:lang w:val="fr-CA"/>
              </w:rPr>
              <w:t xml:space="preserve"> en radiation d’allégués accueillie en partie; ordonnance prononcée à l’effet de radier quatre allégués de la requête des intimées en homologation de transaction.</w:t>
            </w:r>
          </w:p>
          <w:p w:rsidR="00A473B3" w:rsidRPr="00495EC2" w:rsidRDefault="00A473B3" w:rsidP="00EC5583">
            <w:pPr>
              <w:jc w:val="both"/>
              <w:rPr>
                <w:sz w:val="20"/>
                <w:lang w:val="fr-CA"/>
              </w:rPr>
            </w:pPr>
          </w:p>
        </w:tc>
      </w:tr>
      <w:tr w:rsidR="00A473B3" w:rsidRPr="009714AD" w:rsidTr="00EC5583">
        <w:tc>
          <w:tcPr>
            <w:tcW w:w="2427" w:type="pct"/>
          </w:tcPr>
          <w:p w:rsidR="00A473B3" w:rsidRPr="00495EC2" w:rsidRDefault="00A473B3" w:rsidP="00EC5583">
            <w:pPr>
              <w:jc w:val="both"/>
              <w:rPr>
                <w:sz w:val="20"/>
                <w:lang w:val="fr-CA"/>
              </w:rPr>
            </w:pPr>
            <w:r w:rsidRPr="00495EC2">
              <w:rPr>
                <w:sz w:val="20"/>
                <w:lang w:val="fr-CA"/>
              </w:rPr>
              <w:t>Le 17 juillet 2012</w:t>
            </w:r>
          </w:p>
          <w:p w:rsidR="00A473B3" w:rsidRPr="00495EC2" w:rsidRDefault="00A473B3" w:rsidP="00EC5583">
            <w:pPr>
              <w:jc w:val="both"/>
              <w:rPr>
                <w:sz w:val="20"/>
                <w:lang w:val="fr-CA"/>
              </w:rPr>
            </w:pPr>
            <w:r w:rsidRPr="00495EC2">
              <w:rPr>
                <w:sz w:val="20"/>
                <w:lang w:val="fr-CA"/>
              </w:rPr>
              <w:t>Cour d’appel du Québec (Montréal)</w:t>
            </w:r>
          </w:p>
          <w:p w:rsidR="00A473B3" w:rsidRPr="00495EC2" w:rsidRDefault="00A473B3" w:rsidP="00EC5583">
            <w:pPr>
              <w:jc w:val="both"/>
              <w:rPr>
                <w:sz w:val="20"/>
                <w:lang w:val="fr-CA"/>
              </w:rPr>
            </w:pPr>
            <w:r w:rsidRPr="00495EC2">
              <w:rPr>
                <w:sz w:val="20"/>
                <w:lang w:val="fr-CA"/>
              </w:rPr>
              <w:t>(Les juges Thibault, Rochette et Morissette)</w:t>
            </w:r>
          </w:p>
          <w:p w:rsidR="00A473B3" w:rsidRPr="00495EC2" w:rsidRDefault="00A473B3" w:rsidP="00EC5583">
            <w:pPr>
              <w:jc w:val="both"/>
              <w:rPr>
                <w:sz w:val="20"/>
                <w:lang w:val="fr-CA"/>
              </w:rPr>
            </w:pPr>
            <w:r w:rsidRPr="00495EC2">
              <w:rPr>
                <w:sz w:val="20"/>
                <w:lang w:val="fr-CA"/>
              </w:rPr>
              <w:t>2012 QCCA 1300</w:t>
            </w:r>
          </w:p>
          <w:p w:rsidR="00A473B3" w:rsidRPr="00495EC2" w:rsidRDefault="00A473B3" w:rsidP="00EC5583">
            <w:pPr>
              <w:jc w:val="both"/>
              <w:rPr>
                <w:sz w:val="20"/>
                <w:lang w:val="fr-CA"/>
              </w:rPr>
            </w:pPr>
          </w:p>
        </w:tc>
        <w:tc>
          <w:tcPr>
            <w:tcW w:w="243" w:type="pct"/>
          </w:tcPr>
          <w:p w:rsidR="00A473B3" w:rsidRPr="00495EC2" w:rsidRDefault="00A473B3" w:rsidP="00EC5583">
            <w:pPr>
              <w:jc w:val="both"/>
              <w:rPr>
                <w:sz w:val="20"/>
                <w:lang w:val="fr-CA"/>
              </w:rPr>
            </w:pPr>
          </w:p>
        </w:tc>
        <w:tc>
          <w:tcPr>
            <w:tcW w:w="2330" w:type="pct"/>
          </w:tcPr>
          <w:p w:rsidR="00A473B3" w:rsidRPr="00495EC2" w:rsidRDefault="00A473B3" w:rsidP="00EC5583">
            <w:pPr>
              <w:jc w:val="both"/>
              <w:rPr>
                <w:sz w:val="20"/>
                <w:lang w:val="fr-CA"/>
              </w:rPr>
            </w:pPr>
            <w:r w:rsidRPr="00495EC2">
              <w:rPr>
                <w:sz w:val="20"/>
                <w:lang w:val="fr-CA"/>
              </w:rPr>
              <w:t>Appel accueilli; requête en radiation rejetée.</w:t>
            </w:r>
          </w:p>
          <w:p w:rsidR="00A473B3" w:rsidRPr="00495EC2" w:rsidRDefault="00A473B3" w:rsidP="00EC5583">
            <w:pPr>
              <w:jc w:val="both"/>
              <w:rPr>
                <w:sz w:val="20"/>
                <w:lang w:val="fr-CA"/>
              </w:rPr>
            </w:pPr>
          </w:p>
        </w:tc>
      </w:tr>
      <w:tr w:rsidR="00A473B3" w:rsidRPr="00495EC2" w:rsidTr="00EC5583">
        <w:tc>
          <w:tcPr>
            <w:tcW w:w="2427" w:type="pct"/>
          </w:tcPr>
          <w:p w:rsidR="00A473B3" w:rsidRPr="00495EC2" w:rsidRDefault="00A473B3" w:rsidP="00EC5583">
            <w:pPr>
              <w:jc w:val="both"/>
              <w:rPr>
                <w:sz w:val="20"/>
                <w:lang w:val="fr-CA"/>
              </w:rPr>
            </w:pPr>
            <w:r w:rsidRPr="00495EC2">
              <w:rPr>
                <w:sz w:val="20"/>
                <w:lang w:val="fr-CA"/>
              </w:rPr>
              <w:t>Le 28 septembre 2012</w:t>
            </w:r>
          </w:p>
          <w:p w:rsidR="00A473B3" w:rsidRPr="00495EC2" w:rsidRDefault="00A473B3" w:rsidP="00EC5583">
            <w:pPr>
              <w:jc w:val="both"/>
              <w:rPr>
                <w:sz w:val="20"/>
                <w:lang w:val="fr-CA"/>
              </w:rPr>
            </w:pPr>
            <w:r w:rsidRPr="00495EC2">
              <w:rPr>
                <w:sz w:val="20"/>
                <w:lang w:val="fr-CA"/>
              </w:rPr>
              <w:t>Cour suprême du Canada</w:t>
            </w:r>
          </w:p>
        </w:tc>
        <w:tc>
          <w:tcPr>
            <w:tcW w:w="243" w:type="pct"/>
          </w:tcPr>
          <w:p w:rsidR="00A473B3" w:rsidRPr="00495EC2" w:rsidRDefault="00A473B3" w:rsidP="00EC5583">
            <w:pPr>
              <w:jc w:val="both"/>
              <w:rPr>
                <w:sz w:val="20"/>
                <w:lang w:val="fr-CA"/>
              </w:rPr>
            </w:pPr>
          </w:p>
        </w:tc>
        <w:tc>
          <w:tcPr>
            <w:tcW w:w="2330" w:type="pct"/>
          </w:tcPr>
          <w:p w:rsidR="00A473B3" w:rsidRPr="00495EC2" w:rsidRDefault="00A473B3" w:rsidP="00EC5583">
            <w:pPr>
              <w:jc w:val="both"/>
              <w:rPr>
                <w:sz w:val="20"/>
                <w:lang w:val="fr-CA"/>
              </w:rPr>
            </w:pPr>
            <w:r w:rsidRPr="00495EC2">
              <w:rPr>
                <w:sz w:val="20"/>
                <w:lang w:val="fr-CA"/>
              </w:rPr>
              <w:t>Demande d'autorisation d'appel déposée.</w:t>
            </w:r>
          </w:p>
          <w:p w:rsidR="00A473B3" w:rsidRPr="00495EC2" w:rsidRDefault="00A473B3" w:rsidP="00EC5583">
            <w:pPr>
              <w:jc w:val="both"/>
              <w:rPr>
                <w:sz w:val="20"/>
                <w:lang w:val="fr-CA"/>
              </w:rPr>
            </w:pP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49"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0ED8" w:rsidRPr="00841F85" w:rsidTr="009E6124">
        <w:trPr>
          <w:cantSplit/>
        </w:trPr>
        <w:tc>
          <w:tcPr>
            <w:tcW w:w="1458" w:type="dxa"/>
          </w:tcPr>
          <w:p w:rsidR="00AF0ED8" w:rsidRPr="00841F85" w:rsidRDefault="00AF0ED8" w:rsidP="009E6124">
            <w:pPr>
              <w:rPr>
                <w:sz w:val="20"/>
                <w:szCs w:val="20"/>
              </w:rPr>
            </w:pPr>
            <w:r w:rsidRPr="00841F85">
              <w:rPr>
                <w:rStyle w:val="SCCFileNumberChar"/>
                <w:sz w:val="20"/>
                <w:szCs w:val="20"/>
              </w:rPr>
              <w:t>35009</w:t>
            </w:r>
          </w:p>
          <w:p w:rsidR="00AF0ED8" w:rsidRPr="00841F85" w:rsidRDefault="00AF0ED8" w:rsidP="009E6124">
            <w:pPr>
              <w:rPr>
                <w:b/>
                <w:sz w:val="20"/>
                <w:szCs w:val="20"/>
                <w:lang w:val="fr-CA"/>
              </w:rPr>
            </w:pPr>
          </w:p>
        </w:tc>
        <w:tc>
          <w:tcPr>
            <w:tcW w:w="8118" w:type="dxa"/>
          </w:tcPr>
          <w:p w:rsidR="00AF0ED8" w:rsidRPr="00841F85" w:rsidRDefault="00AF0ED8" w:rsidP="009E6124">
            <w:pPr>
              <w:jc w:val="both"/>
              <w:rPr>
                <w:sz w:val="20"/>
                <w:szCs w:val="20"/>
              </w:rPr>
            </w:pPr>
            <w:r w:rsidRPr="00841F85">
              <w:rPr>
                <w:rStyle w:val="SCCLsocChar"/>
                <w:sz w:val="20"/>
                <w:szCs w:val="20"/>
                <w:lang w:val="en-CA"/>
              </w:rPr>
              <w:t xml:space="preserve">Bank of Montreal v. </w:t>
            </w:r>
            <w:proofErr w:type="spellStart"/>
            <w:r w:rsidRPr="00841F85">
              <w:rPr>
                <w:rStyle w:val="SCCLsocChar"/>
                <w:sz w:val="20"/>
                <w:szCs w:val="20"/>
                <w:lang w:val="en-CA"/>
              </w:rPr>
              <w:t>Réal</w:t>
            </w:r>
            <w:proofErr w:type="spellEnd"/>
            <w:r w:rsidRPr="00841F85">
              <w:rPr>
                <w:rStyle w:val="SCCLsocChar"/>
                <w:sz w:val="20"/>
                <w:szCs w:val="20"/>
                <w:lang w:val="en-CA"/>
              </w:rPr>
              <w:t xml:space="preserve"> </w:t>
            </w:r>
            <w:proofErr w:type="spellStart"/>
            <w:r w:rsidRPr="00841F85">
              <w:rPr>
                <w:rStyle w:val="SCCLsocChar"/>
                <w:sz w:val="20"/>
                <w:szCs w:val="20"/>
                <w:lang w:val="en-CA"/>
              </w:rPr>
              <w:t>Marcotte</w:t>
            </w:r>
            <w:proofErr w:type="spellEnd"/>
            <w:r w:rsidRPr="00841F85">
              <w:rPr>
                <w:rStyle w:val="SCCLsocChar"/>
                <w:sz w:val="20"/>
                <w:szCs w:val="20"/>
                <w:lang w:val="en-CA"/>
              </w:rPr>
              <w:t xml:space="preserve">, Bernard </w:t>
            </w:r>
            <w:proofErr w:type="spellStart"/>
            <w:r w:rsidRPr="00841F85">
              <w:rPr>
                <w:rStyle w:val="SCCLsocChar"/>
                <w:sz w:val="20"/>
                <w:szCs w:val="20"/>
                <w:lang w:val="en-CA"/>
              </w:rPr>
              <w:t>Laparé</w:t>
            </w:r>
            <w:proofErr w:type="spellEnd"/>
            <w:r w:rsidRPr="00841F85">
              <w:rPr>
                <w:rStyle w:val="SCCLsocChar"/>
                <w:sz w:val="20"/>
                <w:szCs w:val="20"/>
                <w:lang w:val="en-CA"/>
              </w:rPr>
              <w:t>, Attorney General of Quebec</w:t>
            </w:r>
            <w:r w:rsidR="00692BDF">
              <w:rPr>
                <w:rStyle w:val="SCCLsocChar"/>
                <w:sz w:val="20"/>
                <w:szCs w:val="20"/>
                <w:lang w:val="en-CA"/>
              </w:rPr>
              <w:t xml:space="preserve"> and</w:t>
            </w:r>
            <w:r w:rsidRPr="00841F85">
              <w:rPr>
                <w:rStyle w:val="SCCLsocChar"/>
                <w:sz w:val="20"/>
                <w:szCs w:val="20"/>
                <w:lang w:val="en-CA"/>
              </w:rPr>
              <w:t xml:space="preserve"> </w:t>
            </w:r>
            <w:proofErr w:type="spellStart"/>
            <w:r w:rsidRPr="00841F85">
              <w:rPr>
                <w:rStyle w:val="SCCLsocChar"/>
                <w:sz w:val="20"/>
                <w:szCs w:val="20"/>
                <w:lang w:val="en-CA"/>
              </w:rPr>
              <w:t>Président</w:t>
            </w:r>
            <w:proofErr w:type="spellEnd"/>
            <w:r w:rsidRPr="00841F85">
              <w:rPr>
                <w:rStyle w:val="SCCLsocChar"/>
                <w:sz w:val="20"/>
                <w:szCs w:val="20"/>
                <w:lang w:val="en-CA"/>
              </w:rPr>
              <w:t xml:space="preserve"> de </w:t>
            </w:r>
            <w:proofErr w:type="spellStart"/>
            <w:r w:rsidRPr="00841F85">
              <w:rPr>
                <w:rStyle w:val="SCCLsocChar"/>
                <w:sz w:val="20"/>
                <w:szCs w:val="20"/>
                <w:lang w:val="en-CA"/>
              </w:rPr>
              <w:t>l'Office</w:t>
            </w:r>
            <w:proofErr w:type="spellEnd"/>
            <w:r w:rsidRPr="00841F85">
              <w:rPr>
                <w:rStyle w:val="SCCLsocChar"/>
                <w:sz w:val="20"/>
                <w:szCs w:val="20"/>
                <w:lang w:val="en-CA"/>
              </w:rPr>
              <w:t xml:space="preserve"> de la protection du </w:t>
            </w:r>
            <w:proofErr w:type="spellStart"/>
            <w:r w:rsidRPr="00841F85">
              <w:rPr>
                <w:rStyle w:val="SCCLsocChar"/>
                <w:sz w:val="20"/>
                <w:szCs w:val="20"/>
                <w:lang w:val="en-CA"/>
              </w:rPr>
              <w:t>consommateur</w:t>
            </w:r>
            <w:proofErr w:type="spellEnd"/>
            <w:r w:rsidRPr="00841F85">
              <w:rPr>
                <w:rStyle w:val="SCCLsocChar"/>
                <w:sz w:val="20"/>
                <w:szCs w:val="20"/>
                <w:lang w:val="en-CA"/>
              </w:rPr>
              <w:t xml:space="preserve"> AND BETWEEN Citibank Canada v. </w:t>
            </w:r>
            <w:proofErr w:type="spellStart"/>
            <w:r w:rsidRPr="00841F85">
              <w:rPr>
                <w:rStyle w:val="SCCLsocChar"/>
                <w:sz w:val="20"/>
                <w:szCs w:val="20"/>
                <w:lang w:val="en-CA"/>
              </w:rPr>
              <w:t>Réal</w:t>
            </w:r>
            <w:proofErr w:type="spellEnd"/>
            <w:r w:rsidRPr="00841F85">
              <w:rPr>
                <w:rStyle w:val="SCCLsocChar"/>
                <w:sz w:val="20"/>
                <w:szCs w:val="20"/>
                <w:lang w:val="en-CA"/>
              </w:rPr>
              <w:t xml:space="preserve"> </w:t>
            </w:r>
            <w:proofErr w:type="spellStart"/>
            <w:r w:rsidRPr="00841F85">
              <w:rPr>
                <w:rStyle w:val="SCCLsocChar"/>
                <w:sz w:val="20"/>
                <w:szCs w:val="20"/>
                <w:lang w:val="en-CA"/>
              </w:rPr>
              <w:t>Marcotte</w:t>
            </w:r>
            <w:proofErr w:type="spellEnd"/>
            <w:r w:rsidRPr="00841F85">
              <w:rPr>
                <w:rStyle w:val="SCCLsocChar"/>
                <w:sz w:val="20"/>
                <w:szCs w:val="20"/>
                <w:lang w:val="en-CA"/>
              </w:rPr>
              <w:t xml:space="preserve">, Bernard </w:t>
            </w:r>
            <w:proofErr w:type="spellStart"/>
            <w:r w:rsidRPr="00841F85">
              <w:rPr>
                <w:rStyle w:val="SCCLsocChar"/>
                <w:sz w:val="20"/>
                <w:szCs w:val="20"/>
                <w:lang w:val="en-CA"/>
              </w:rPr>
              <w:t>Laparé</w:t>
            </w:r>
            <w:proofErr w:type="spellEnd"/>
            <w:r w:rsidRPr="00841F85">
              <w:rPr>
                <w:rStyle w:val="SCCLsocChar"/>
                <w:sz w:val="20"/>
                <w:szCs w:val="20"/>
                <w:lang w:val="en-CA"/>
              </w:rPr>
              <w:t>, Attorney General of Quebec</w:t>
            </w:r>
            <w:r w:rsidR="00692BDF">
              <w:rPr>
                <w:rStyle w:val="SCCLsocChar"/>
                <w:sz w:val="20"/>
                <w:szCs w:val="20"/>
                <w:lang w:val="en-CA"/>
              </w:rPr>
              <w:t xml:space="preserve"> and</w:t>
            </w:r>
            <w:r w:rsidRPr="00841F85">
              <w:rPr>
                <w:rStyle w:val="SCCLsocChar"/>
                <w:sz w:val="20"/>
                <w:szCs w:val="20"/>
                <w:lang w:val="en-CA"/>
              </w:rPr>
              <w:t xml:space="preserve"> </w:t>
            </w:r>
            <w:proofErr w:type="spellStart"/>
            <w:r w:rsidRPr="00841F85">
              <w:rPr>
                <w:rStyle w:val="SCCLsocChar"/>
                <w:sz w:val="20"/>
                <w:szCs w:val="20"/>
                <w:lang w:val="en-CA"/>
              </w:rPr>
              <w:t>Président</w:t>
            </w:r>
            <w:proofErr w:type="spellEnd"/>
            <w:r w:rsidRPr="00841F85">
              <w:rPr>
                <w:rStyle w:val="SCCLsocChar"/>
                <w:sz w:val="20"/>
                <w:szCs w:val="20"/>
                <w:lang w:val="en-CA"/>
              </w:rPr>
              <w:t xml:space="preserve"> de </w:t>
            </w:r>
            <w:proofErr w:type="spellStart"/>
            <w:r w:rsidRPr="00841F85">
              <w:rPr>
                <w:rStyle w:val="SCCLsocChar"/>
                <w:sz w:val="20"/>
                <w:szCs w:val="20"/>
                <w:lang w:val="en-CA"/>
              </w:rPr>
              <w:t>l'Office</w:t>
            </w:r>
            <w:proofErr w:type="spellEnd"/>
            <w:r w:rsidRPr="00841F85">
              <w:rPr>
                <w:rStyle w:val="SCCLsocChar"/>
                <w:sz w:val="20"/>
                <w:szCs w:val="20"/>
                <w:lang w:val="en-CA"/>
              </w:rPr>
              <w:t xml:space="preserve"> de la protection du </w:t>
            </w:r>
            <w:proofErr w:type="spellStart"/>
            <w:r w:rsidRPr="00841F85">
              <w:rPr>
                <w:rStyle w:val="SCCLsocChar"/>
                <w:sz w:val="20"/>
                <w:szCs w:val="20"/>
                <w:lang w:val="en-CA"/>
              </w:rPr>
              <w:t>consommateur</w:t>
            </w:r>
            <w:proofErr w:type="spellEnd"/>
            <w:r w:rsidRPr="00841F85">
              <w:rPr>
                <w:rStyle w:val="SCCLsocChar"/>
                <w:sz w:val="20"/>
                <w:szCs w:val="20"/>
                <w:lang w:val="en-CA"/>
              </w:rPr>
              <w:t xml:space="preserve"> AND BETWEEN Toronto-Dominion Bank v. </w:t>
            </w:r>
            <w:proofErr w:type="spellStart"/>
            <w:r w:rsidRPr="00841F85">
              <w:rPr>
                <w:rStyle w:val="SCCLsocChar"/>
                <w:sz w:val="20"/>
                <w:szCs w:val="20"/>
                <w:lang w:val="en-CA"/>
              </w:rPr>
              <w:t>Réal</w:t>
            </w:r>
            <w:proofErr w:type="spellEnd"/>
            <w:r w:rsidRPr="00841F85">
              <w:rPr>
                <w:rStyle w:val="SCCLsocChar"/>
                <w:sz w:val="20"/>
                <w:szCs w:val="20"/>
                <w:lang w:val="en-CA"/>
              </w:rPr>
              <w:t xml:space="preserve"> </w:t>
            </w:r>
            <w:proofErr w:type="spellStart"/>
            <w:r w:rsidRPr="00841F85">
              <w:rPr>
                <w:rStyle w:val="SCCLsocChar"/>
                <w:sz w:val="20"/>
                <w:szCs w:val="20"/>
                <w:lang w:val="en-CA"/>
              </w:rPr>
              <w:t>Marcotte</w:t>
            </w:r>
            <w:proofErr w:type="spellEnd"/>
            <w:r w:rsidRPr="00841F85">
              <w:rPr>
                <w:rStyle w:val="SCCLsocChar"/>
                <w:sz w:val="20"/>
                <w:szCs w:val="20"/>
                <w:lang w:val="en-CA"/>
              </w:rPr>
              <w:t xml:space="preserve">, Bernard </w:t>
            </w:r>
            <w:proofErr w:type="spellStart"/>
            <w:r w:rsidRPr="00841F85">
              <w:rPr>
                <w:rStyle w:val="SCCLsocChar"/>
                <w:sz w:val="20"/>
                <w:szCs w:val="20"/>
                <w:lang w:val="en-CA"/>
              </w:rPr>
              <w:t>Laparé</w:t>
            </w:r>
            <w:proofErr w:type="spellEnd"/>
            <w:r w:rsidRPr="00841F85">
              <w:rPr>
                <w:rStyle w:val="SCCLsocChar"/>
                <w:sz w:val="20"/>
                <w:szCs w:val="20"/>
                <w:lang w:val="en-CA"/>
              </w:rPr>
              <w:t>, Attorney General of Quebec</w:t>
            </w:r>
            <w:r w:rsidR="00692BDF">
              <w:rPr>
                <w:rStyle w:val="SCCLsocChar"/>
                <w:sz w:val="20"/>
                <w:szCs w:val="20"/>
                <w:lang w:val="en-CA"/>
              </w:rPr>
              <w:t xml:space="preserve"> and</w:t>
            </w:r>
            <w:r w:rsidRPr="00841F85">
              <w:rPr>
                <w:rStyle w:val="SCCLsocChar"/>
                <w:sz w:val="20"/>
                <w:szCs w:val="20"/>
                <w:lang w:val="en-CA"/>
              </w:rPr>
              <w:t xml:space="preserve"> </w:t>
            </w:r>
            <w:proofErr w:type="spellStart"/>
            <w:r w:rsidRPr="00841F85">
              <w:rPr>
                <w:rStyle w:val="SCCLsocChar"/>
                <w:sz w:val="20"/>
                <w:szCs w:val="20"/>
                <w:lang w:val="en-CA"/>
              </w:rPr>
              <w:t>Président</w:t>
            </w:r>
            <w:proofErr w:type="spellEnd"/>
            <w:r w:rsidRPr="00841F85">
              <w:rPr>
                <w:rStyle w:val="SCCLsocChar"/>
                <w:sz w:val="20"/>
                <w:szCs w:val="20"/>
                <w:lang w:val="en-CA"/>
              </w:rPr>
              <w:t xml:space="preserve"> de </w:t>
            </w:r>
            <w:proofErr w:type="spellStart"/>
            <w:r w:rsidRPr="00841F85">
              <w:rPr>
                <w:rStyle w:val="SCCLsocChar"/>
                <w:sz w:val="20"/>
                <w:szCs w:val="20"/>
                <w:lang w:val="en-CA"/>
              </w:rPr>
              <w:t>l'Office</w:t>
            </w:r>
            <w:proofErr w:type="spellEnd"/>
            <w:r w:rsidRPr="00841F85">
              <w:rPr>
                <w:rStyle w:val="SCCLsocChar"/>
                <w:sz w:val="20"/>
                <w:szCs w:val="20"/>
                <w:lang w:val="en-CA"/>
              </w:rPr>
              <w:t xml:space="preserve"> de la protection du </w:t>
            </w:r>
            <w:proofErr w:type="spellStart"/>
            <w:r w:rsidRPr="00841F85">
              <w:rPr>
                <w:rStyle w:val="SCCLsocChar"/>
                <w:sz w:val="20"/>
                <w:szCs w:val="20"/>
                <w:lang w:val="en-CA"/>
              </w:rPr>
              <w:t>consommateur</w:t>
            </w:r>
            <w:proofErr w:type="spellEnd"/>
            <w:r w:rsidRPr="00841F85">
              <w:rPr>
                <w:rStyle w:val="SCCLsocChar"/>
                <w:sz w:val="20"/>
                <w:szCs w:val="20"/>
                <w:lang w:val="en-CA"/>
              </w:rPr>
              <w:t xml:space="preserve"> AND BETWEEN National Bank of Canada v. </w:t>
            </w:r>
            <w:proofErr w:type="spellStart"/>
            <w:r w:rsidRPr="00841F85">
              <w:rPr>
                <w:rStyle w:val="SCCLsocChar"/>
                <w:sz w:val="20"/>
                <w:szCs w:val="20"/>
                <w:lang w:val="en-CA"/>
              </w:rPr>
              <w:t>Réal</w:t>
            </w:r>
            <w:proofErr w:type="spellEnd"/>
            <w:r w:rsidRPr="00841F85">
              <w:rPr>
                <w:rStyle w:val="SCCLsocChar"/>
                <w:sz w:val="20"/>
                <w:szCs w:val="20"/>
                <w:lang w:val="en-CA"/>
              </w:rPr>
              <w:t xml:space="preserve"> </w:t>
            </w:r>
            <w:proofErr w:type="spellStart"/>
            <w:r w:rsidRPr="00841F85">
              <w:rPr>
                <w:rStyle w:val="SCCLsocChar"/>
                <w:sz w:val="20"/>
                <w:szCs w:val="20"/>
                <w:lang w:val="en-CA"/>
              </w:rPr>
              <w:t>Marcotte</w:t>
            </w:r>
            <w:proofErr w:type="spellEnd"/>
            <w:r w:rsidRPr="00841F85">
              <w:rPr>
                <w:rStyle w:val="SCCLsocChar"/>
                <w:sz w:val="20"/>
                <w:szCs w:val="20"/>
                <w:lang w:val="en-CA"/>
              </w:rPr>
              <w:t xml:space="preserve">, Bernard </w:t>
            </w:r>
            <w:proofErr w:type="spellStart"/>
            <w:r w:rsidRPr="00841F85">
              <w:rPr>
                <w:rStyle w:val="SCCLsocChar"/>
                <w:sz w:val="20"/>
                <w:szCs w:val="20"/>
                <w:lang w:val="en-CA"/>
              </w:rPr>
              <w:t>Laparé</w:t>
            </w:r>
            <w:proofErr w:type="spellEnd"/>
            <w:r w:rsidRPr="00841F85">
              <w:rPr>
                <w:rStyle w:val="SCCLsocChar"/>
                <w:sz w:val="20"/>
                <w:szCs w:val="20"/>
                <w:lang w:val="en-CA"/>
              </w:rPr>
              <w:t>, Attorney General of Quebec</w:t>
            </w:r>
            <w:r w:rsidR="00692BDF">
              <w:rPr>
                <w:rStyle w:val="SCCLsocChar"/>
                <w:sz w:val="20"/>
                <w:szCs w:val="20"/>
                <w:lang w:val="en-CA"/>
              </w:rPr>
              <w:t xml:space="preserve"> and</w:t>
            </w:r>
            <w:r w:rsidRPr="00841F85">
              <w:rPr>
                <w:rStyle w:val="SCCLsocChar"/>
                <w:sz w:val="20"/>
                <w:szCs w:val="20"/>
                <w:lang w:val="en-CA"/>
              </w:rPr>
              <w:t xml:space="preserve"> </w:t>
            </w:r>
            <w:proofErr w:type="spellStart"/>
            <w:r w:rsidRPr="00841F85">
              <w:rPr>
                <w:rStyle w:val="SCCLsocChar"/>
                <w:sz w:val="20"/>
                <w:szCs w:val="20"/>
                <w:lang w:val="en-CA"/>
              </w:rPr>
              <w:t>Président</w:t>
            </w:r>
            <w:proofErr w:type="spellEnd"/>
            <w:r w:rsidRPr="00841F85">
              <w:rPr>
                <w:rStyle w:val="SCCLsocChar"/>
                <w:sz w:val="20"/>
                <w:szCs w:val="20"/>
                <w:lang w:val="en-CA"/>
              </w:rPr>
              <w:t xml:space="preserve"> de </w:t>
            </w:r>
            <w:proofErr w:type="spellStart"/>
            <w:r w:rsidRPr="00841F85">
              <w:rPr>
                <w:rStyle w:val="SCCLsocChar"/>
                <w:sz w:val="20"/>
                <w:szCs w:val="20"/>
                <w:lang w:val="en-CA"/>
              </w:rPr>
              <w:t>l'Office</w:t>
            </w:r>
            <w:proofErr w:type="spellEnd"/>
            <w:r w:rsidRPr="00841F85">
              <w:rPr>
                <w:rStyle w:val="SCCLsocChar"/>
                <w:sz w:val="20"/>
                <w:szCs w:val="20"/>
                <w:lang w:val="en-CA"/>
              </w:rPr>
              <w:t xml:space="preserve"> de la protection du </w:t>
            </w:r>
            <w:proofErr w:type="spellStart"/>
            <w:r w:rsidRPr="00841F85">
              <w:rPr>
                <w:rStyle w:val="SCCLsocChar"/>
                <w:sz w:val="20"/>
                <w:szCs w:val="20"/>
                <w:lang w:val="en-CA"/>
              </w:rPr>
              <w:t>consommateur</w:t>
            </w:r>
            <w:proofErr w:type="spellEnd"/>
            <w:r w:rsidRPr="00841F85">
              <w:rPr>
                <w:rStyle w:val="SCCLsocChar"/>
                <w:sz w:val="20"/>
                <w:szCs w:val="20"/>
                <w:lang w:val="en-CA"/>
              </w:rPr>
              <w:t xml:space="preserve"> AND BETWEEN </w:t>
            </w:r>
            <w:proofErr w:type="spellStart"/>
            <w:r w:rsidRPr="00841F85">
              <w:rPr>
                <w:rStyle w:val="SCCLsocChar"/>
                <w:sz w:val="20"/>
                <w:szCs w:val="20"/>
                <w:lang w:val="en-CA"/>
              </w:rPr>
              <w:t>Réal</w:t>
            </w:r>
            <w:proofErr w:type="spellEnd"/>
            <w:r w:rsidRPr="00841F85">
              <w:rPr>
                <w:rStyle w:val="SCCLsocChar"/>
                <w:sz w:val="20"/>
                <w:szCs w:val="20"/>
                <w:lang w:val="en-CA"/>
              </w:rPr>
              <w:t xml:space="preserve"> </w:t>
            </w:r>
            <w:proofErr w:type="spellStart"/>
            <w:r w:rsidRPr="00841F85">
              <w:rPr>
                <w:rStyle w:val="SCCLsocChar"/>
                <w:sz w:val="20"/>
                <w:szCs w:val="20"/>
                <w:lang w:val="en-CA"/>
              </w:rPr>
              <w:t>Marcotte</w:t>
            </w:r>
            <w:proofErr w:type="spellEnd"/>
            <w:r w:rsidR="00692BDF">
              <w:rPr>
                <w:rStyle w:val="SCCLsocChar"/>
                <w:sz w:val="20"/>
                <w:szCs w:val="20"/>
                <w:lang w:val="en-CA"/>
              </w:rPr>
              <w:t xml:space="preserve"> and</w:t>
            </w:r>
            <w:r w:rsidRPr="00841F85">
              <w:rPr>
                <w:rStyle w:val="SCCLsocChar"/>
                <w:sz w:val="20"/>
                <w:szCs w:val="20"/>
                <w:lang w:val="en-CA"/>
              </w:rPr>
              <w:t xml:space="preserve"> Bernard </w:t>
            </w:r>
            <w:proofErr w:type="spellStart"/>
            <w:r w:rsidRPr="00841F85">
              <w:rPr>
                <w:rStyle w:val="SCCLsocChar"/>
                <w:sz w:val="20"/>
                <w:szCs w:val="20"/>
                <w:lang w:val="en-CA"/>
              </w:rPr>
              <w:t>Laparé</w:t>
            </w:r>
            <w:proofErr w:type="spellEnd"/>
            <w:r w:rsidRPr="00841F85">
              <w:rPr>
                <w:rStyle w:val="SCCLsocChar"/>
                <w:sz w:val="20"/>
                <w:szCs w:val="20"/>
                <w:lang w:val="en-CA"/>
              </w:rPr>
              <w:t xml:space="preserve"> v. Bank of Montreal, Amex Bank of Canada, Royal Bank of Canada, Toronto-Dominion Bank, Canadian Imperial Bank of Commerce, Bank of Nova Scotia, National Bank of Canada, Laurentian Bank of Canada, Citibank Canada</w:t>
            </w:r>
            <w:r w:rsidR="00692BDF">
              <w:rPr>
                <w:rStyle w:val="SCCLsocChar"/>
                <w:sz w:val="20"/>
                <w:szCs w:val="20"/>
                <w:lang w:val="en-CA"/>
              </w:rPr>
              <w:t xml:space="preserve"> and</w:t>
            </w:r>
            <w:r w:rsidRPr="00841F85">
              <w:rPr>
                <w:rStyle w:val="SCCLsocChar"/>
                <w:sz w:val="20"/>
                <w:szCs w:val="20"/>
                <w:lang w:val="en-CA"/>
              </w:rPr>
              <w:t xml:space="preserve"> Attorney General of Canada</w:t>
            </w:r>
            <w:r w:rsidRPr="00841F85">
              <w:rPr>
                <w:sz w:val="20"/>
                <w:szCs w:val="20"/>
              </w:rPr>
              <w:t xml:space="preserve"> (Que.) (Civil) (By Leave)</w:t>
            </w:r>
          </w:p>
          <w:p w:rsidR="00AF0ED8" w:rsidRPr="00841F85" w:rsidRDefault="00AF0ED8" w:rsidP="009E6124">
            <w:pPr>
              <w:jc w:val="both"/>
              <w:rPr>
                <w:sz w:val="20"/>
                <w:szCs w:val="20"/>
              </w:rPr>
            </w:pPr>
          </w:p>
        </w:tc>
      </w:tr>
      <w:tr w:rsidR="00AF0ED8" w:rsidRPr="00841F85" w:rsidTr="009E6124">
        <w:trPr>
          <w:cantSplit/>
        </w:trPr>
        <w:tc>
          <w:tcPr>
            <w:tcW w:w="1458" w:type="dxa"/>
          </w:tcPr>
          <w:p w:rsidR="00AF0ED8" w:rsidRPr="00841F85" w:rsidRDefault="00AF0ED8" w:rsidP="009E6124">
            <w:pPr>
              <w:rPr>
                <w:sz w:val="20"/>
                <w:szCs w:val="20"/>
              </w:rPr>
            </w:pPr>
            <w:r w:rsidRPr="00841F85">
              <w:rPr>
                <w:sz w:val="20"/>
                <w:szCs w:val="20"/>
              </w:rPr>
              <w:t>Coram :</w:t>
            </w:r>
          </w:p>
        </w:tc>
        <w:tc>
          <w:tcPr>
            <w:tcW w:w="8118" w:type="dxa"/>
          </w:tcPr>
          <w:p w:rsidR="00AF0ED8" w:rsidRPr="00841F85" w:rsidRDefault="00AF0ED8" w:rsidP="009E6124">
            <w:pPr>
              <w:rPr>
                <w:sz w:val="20"/>
                <w:szCs w:val="20"/>
              </w:rPr>
            </w:pPr>
            <w:proofErr w:type="spellStart"/>
            <w:r w:rsidRPr="00841F85">
              <w:rPr>
                <w:rStyle w:val="SCCCoramChar"/>
                <w:sz w:val="20"/>
                <w:szCs w:val="20"/>
                <w:lang w:val="en-CA"/>
              </w:rPr>
              <w:t>LeBel</w:t>
            </w:r>
            <w:proofErr w:type="spellEnd"/>
            <w:r w:rsidRPr="00841F85">
              <w:rPr>
                <w:rStyle w:val="SCCCoramChar"/>
                <w:sz w:val="20"/>
                <w:szCs w:val="20"/>
                <w:lang w:val="en-CA"/>
              </w:rPr>
              <w:t xml:space="preserve">, </w:t>
            </w:r>
            <w:proofErr w:type="spellStart"/>
            <w:r w:rsidRPr="00841F85">
              <w:rPr>
                <w:rStyle w:val="SCCCoramChar"/>
                <w:sz w:val="20"/>
                <w:szCs w:val="20"/>
                <w:lang w:val="en-CA"/>
              </w:rPr>
              <w:t>Karakatsanis</w:t>
            </w:r>
            <w:proofErr w:type="spellEnd"/>
            <w:r w:rsidRPr="00841F85">
              <w:rPr>
                <w:rStyle w:val="SCCCoramChar"/>
                <w:sz w:val="20"/>
                <w:szCs w:val="20"/>
                <w:lang w:val="en-CA"/>
              </w:rPr>
              <w:t xml:space="preserve"> and Wagner JJ.</w:t>
            </w:r>
          </w:p>
          <w:p w:rsidR="00AF0ED8" w:rsidRPr="00841F85" w:rsidRDefault="00AF0ED8" w:rsidP="009E6124">
            <w:pPr>
              <w:rPr>
                <w:sz w:val="20"/>
                <w:szCs w:val="20"/>
                <w:u w:val="single"/>
              </w:rPr>
            </w:pPr>
          </w:p>
        </w:tc>
      </w:tr>
      <w:tr w:rsidR="00AF0ED8" w:rsidRPr="009714AD" w:rsidTr="009E6124">
        <w:trPr>
          <w:cantSplit/>
        </w:trPr>
        <w:tc>
          <w:tcPr>
            <w:tcW w:w="9576" w:type="dxa"/>
            <w:gridSpan w:val="2"/>
          </w:tcPr>
          <w:p w:rsidR="00AF0ED8" w:rsidRPr="00841F85" w:rsidRDefault="00AF0ED8" w:rsidP="009E6124">
            <w:pPr>
              <w:pStyle w:val="SCCShortJudgment"/>
              <w:rPr>
                <w:szCs w:val="20"/>
              </w:rPr>
            </w:pPr>
            <w:r w:rsidRPr="00841F85">
              <w:rPr>
                <w:szCs w:val="20"/>
              </w:rPr>
              <w:t>The applications for leave to appeal from the judgment of the Court of Appeal of Quebec (Montréal), Numbers  500-09-019849-090, 500-09-019850-098, 500-09-019851-096, 500-09-019852-094, 500-09-019853-092, 500-09-019854-090, 500-09-019855-097, 500-09-019856-095 and 500-09-019857-093, 2012 QCCA 1396, dated August 2, 2012, are granted with costs in the cause.</w:t>
            </w:r>
          </w:p>
          <w:p w:rsidR="00AF0ED8" w:rsidRPr="00841F85" w:rsidRDefault="00AF0ED8" w:rsidP="009E6124">
            <w:pPr>
              <w:pStyle w:val="SCCShortJudgment"/>
              <w:ind w:firstLine="0"/>
              <w:rPr>
                <w:szCs w:val="20"/>
              </w:rPr>
            </w:pPr>
          </w:p>
          <w:p w:rsidR="00AF0ED8" w:rsidRPr="00841F85" w:rsidRDefault="00AF0ED8" w:rsidP="009E6124">
            <w:pPr>
              <w:pStyle w:val="SCCShortJudgment"/>
              <w:rPr>
                <w:szCs w:val="20"/>
                <w:lang w:val="fr-CA"/>
              </w:rPr>
            </w:pPr>
            <w:r w:rsidRPr="00841F85">
              <w:rPr>
                <w:szCs w:val="20"/>
                <w:lang w:val="fr-CA"/>
              </w:rPr>
              <w:t>Les demandes d’autorisation d’appel de l’arrêt de la Cour d’appel du Québec (Montréal), numéros  500-09-019849-090, 500-09-019850-098, 500-09-019851-096, 500-09-019852-094, 500-09-019853-092, 500-09-019854-090, 500-09-019855-097, 500-09-019856-095 et 500-09-019857-093, 2012 QCCA 1396, daté du 2 août 2012, sont accueillies avec dépens selon l’issue de la cause.</w:t>
            </w:r>
          </w:p>
        </w:tc>
      </w:tr>
    </w:tbl>
    <w:p w:rsidR="000C7850" w:rsidRPr="000C7850"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41B0" w:rsidRPr="00495EC2" w:rsidTr="00EC5583">
        <w:tc>
          <w:tcPr>
            <w:tcW w:w="5000" w:type="pct"/>
            <w:gridSpan w:val="3"/>
          </w:tcPr>
          <w:p w:rsidR="002841B0" w:rsidRPr="00495EC2" w:rsidRDefault="002841B0" w:rsidP="00EC5583">
            <w:pPr>
              <w:jc w:val="both"/>
              <w:rPr>
                <w:rFonts w:eastAsia="Calibri"/>
                <w:sz w:val="20"/>
              </w:rPr>
            </w:pPr>
            <w:r w:rsidRPr="00495EC2">
              <w:rPr>
                <w:rFonts w:eastAsia="Calibri"/>
                <w:sz w:val="20"/>
              </w:rPr>
              <w:t xml:space="preserve">Constitutional Law – </w:t>
            </w:r>
            <w:proofErr w:type="spellStart"/>
            <w:r w:rsidRPr="00495EC2">
              <w:rPr>
                <w:rFonts w:eastAsia="Calibri"/>
                <w:sz w:val="20"/>
              </w:rPr>
              <w:t>Interjurisdictional</w:t>
            </w:r>
            <w:proofErr w:type="spellEnd"/>
            <w:r w:rsidRPr="00495EC2">
              <w:rPr>
                <w:rFonts w:eastAsia="Calibri"/>
                <w:sz w:val="20"/>
              </w:rPr>
              <w:t xml:space="preserve"> Immunity – Federal </w:t>
            </w:r>
            <w:proofErr w:type="spellStart"/>
            <w:r w:rsidRPr="00495EC2">
              <w:rPr>
                <w:rFonts w:eastAsia="Calibri"/>
                <w:sz w:val="20"/>
              </w:rPr>
              <w:t>Paramountcy</w:t>
            </w:r>
            <w:proofErr w:type="spellEnd"/>
            <w:r w:rsidRPr="00495EC2">
              <w:rPr>
                <w:rFonts w:eastAsia="Calibri"/>
                <w:sz w:val="20"/>
              </w:rPr>
              <w:t xml:space="preserve"> – Financial Institutions – Credit Cards – Applicability and Operability of the </w:t>
            </w:r>
            <w:r w:rsidRPr="00495EC2">
              <w:rPr>
                <w:rFonts w:eastAsia="Calibri"/>
                <w:i/>
                <w:sz w:val="20"/>
              </w:rPr>
              <w:t>Consumer Protection Act</w:t>
            </w:r>
            <w:r w:rsidRPr="00495EC2">
              <w:rPr>
                <w:rFonts w:eastAsia="Calibri"/>
                <w:sz w:val="20"/>
              </w:rPr>
              <w:t>, c. P</w:t>
            </w:r>
            <w:r w:rsidRPr="00495EC2">
              <w:rPr>
                <w:rFonts w:eastAsia="Calibri"/>
                <w:sz w:val="20"/>
              </w:rPr>
              <w:noBreakHyphen/>
              <w:t xml:space="preserve">40.1 (the “CPA”) in conjunction with </w:t>
            </w:r>
            <w:r w:rsidRPr="00495EC2">
              <w:rPr>
                <w:rFonts w:eastAsia="Calibri"/>
                <w:i/>
                <w:sz w:val="20"/>
              </w:rPr>
              <w:t>Bank Act</w:t>
            </w:r>
            <w:r w:rsidRPr="00495EC2">
              <w:rPr>
                <w:rFonts w:eastAsia="Calibri"/>
                <w:sz w:val="20"/>
              </w:rPr>
              <w:t xml:space="preserve">, S.C. 1991, c. 46, as am. </w:t>
            </w:r>
            <w:proofErr w:type="gramStart"/>
            <w:r w:rsidRPr="00495EC2">
              <w:rPr>
                <w:rFonts w:eastAsia="Calibri"/>
                <w:sz w:val="20"/>
              </w:rPr>
              <w:t>and</w:t>
            </w:r>
            <w:proofErr w:type="gramEnd"/>
            <w:r w:rsidRPr="00495EC2">
              <w:rPr>
                <w:rFonts w:eastAsia="Calibri"/>
                <w:sz w:val="20"/>
              </w:rPr>
              <w:t xml:space="preserve"> the </w:t>
            </w:r>
            <w:r w:rsidRPr="00495EC2">
              <w:rPr>
                <w:rFonts w:eastAsia="Calibri"/>
                <w:i/>
                <w:sz w:val="20"/>
              </w:rPr>
              <w:t>Cost of Borrowing (Banks) Regulations</w:t>
            </w:r>
            <w:r w:rsidRPr="00495EC2">
              <w:rPr>
                <w:rFonts w:eastAsia="Calibri"/>
                <w:sz w:val="20"/>
              </w:rPr>
              <w:t>, SOR/2001</w:t>
            </w:r>
            <w:r w:rsidRPr="00495EC2">
              <w:rPr>
                <w:rFonts w:eastAsia="Calibri"/>
                <w:sz w:val="20"/>
              </w:rPr>
              <w:noBreakHyphen/>
              <w:t>101, as am. – Is the CPA constitutionally inapplicable to regulate bank</w:t>
            </w:r>
            <w:r w:rsidRPr="00495EC2">
              <w:rPr>
                <w:rFonts w:eastAsia="Calibri"/>
                <w:sz w:val="20"/>
              </w:rPr>
              <w:noBreakHyphen/>
            </w:r>
            <w:proofErr w:type="spellStart"/>
            <w:r w:rsidRPr="00495EC2">
              <w:rPr>
                <w:rFonts w:eastAsia="Calibri"/>
                <w:sz w:val="20"/>
              </w:rPr>
              <w:t>issued</w:t>
            </w:r>
            <w:proofErr w:type="spellEnd"/>
            <w:r w:rsidRPr="00495EC2">
              <w:rPr>
                <w:rFonts w:eastAsia="Calibri"/>
                <w:sz w:val="20"/>
              </w:rPr>
              <w:t xml:space="preserve"> credit cards under the </w:t>
            </w:r>
            <w:proofErr w:type="spellStart"/>
            <w:r w:rsidRPr="00495EC2">
              <w:rPr>
                <w:rFonts w:eastAsia="Calibri"/>
                <w:sz w:val="20"/>
              </w:rPr>
              <w:t>interjurisdictional</w:t>
            </w:r>
            <w:proofErr w:type="spellEnd"/>
            <w:r w:rsidRPr="00495EC2">
              <w:rPr>
                <w:rFonts w:eastAsia="Calibri"/>
                <w:sz w:val="20"/>
              </w:rPr>
              <w:t xml:space="preserve"> immunity doctrine? – Is the CPA</w:t>
            </w:r>
            <w:r w:rsidRPr="00495EC2">
              <w:rPr>
                <w:rFonts w:eastAsia="Calibri"/>
                <w:i/>
                <w:iCs/>
                <w:sz w:val="20"/>
              </w:rPr>
              <w:t xml:space="preserve"> </w:t>
            </w:r>
            <w:r w:rsidRPr="00495EC2">
              <w:rPr>
                <w:rFonts w:eastAsia="Calibri"/>
                <w:sz w:val="20"/>
              </w:rPr>
              <w:t>constitutionally inoperative to regulate bank</w:t>
            </w:r>
            <w:r w:rsidRPr="00495EC2">
              <w:rPr>
                <w:rFonts w:eastAsia="Calibri"/>
                <w:sz w:val="20"/>
              </w:rPr>
              <w:noBreakHyphen/>
            </w:r>
            <w:proofErr w:type="spellStart"/>
            <w:r w:rsidRPr="00495EC2">
              <w:rPr>
                <w:rFonts w:eastAsia="Calibri"/>
                <w:sz w:val="20"/>
              </w:rPr>
              <w:t>issued</w:t>
            </w:r>
            <w:proofErr w:type="spellEnd"/>
            <w:r w:rsidRPr="00495EC2">
              <w:rPr>
                <w:rFonts w:eastAsia="Calibri"/>
                <w:sz w:val="20"/>
              </w:rPr>
              <w:t xml:space="preserve"> credit cards under the </w:t>
            </w:r>
            <w:proofErr w:type="spellStart"/>
            <w:r w:rsidRPr="00495EC2">
              <w:rPr>
                <w:rFonts w:eastAsia="Calibri"/>
                <w:sz w:val="20"/>
              </w:rPr>
              <w:t>paramountcy</w:t>
            </w:r>
            <w:proofErr w:type="spellEnd"/>
            <w:r w:rsidRPr="00495EC2">
              <w:rPr>
                <w:rFonts w:eastAsia="Calibri"/>
                <w:sz w:val="20"/>
              </w:rPr>
              <w:t xml:space="preserve"> doctrine? – Does the CPA’s variable credit regime conflict with federal legislation?</w:t>
            </w:r>
          </w:p>
          <w:p w:rsidR="002841B0" w:rsidRPr="00495EC2" w:rsidRDefault="002841B0" w:rsidP="00EC5583">
            <w:pPr>
              <w:jc w:val="both"/>
              <w:rPr>
                <w:rFonts w:eastAsia="Calibri"/>
                <w:sz w:val="20"/>
              </w:rPr>
            </w:pPr>
          </w:p>
          <w:p w:rsidR="002841B0" w:rsidRPr="00495EC2" w:rsidRDefault="002841B0" w:rsidP="00EC5583">
            <w:pPr>
              <w:jc w:val="both"/>
              <w:rPr>
                <w:rFonts w:eastAsia="Calibri"/>
                <w:sz w:val="20"/>
              </w:rPr>
            </w:pPr>
            <w:r w:rsidRPr="00495EC2">
              <w:rPr>
                <w:rFonts w:eastAsia="Calibri"/>
                <w:sz w:val="20"/>
              </w:rPr>
              <w:t>Consumer Protection –</w:t>
            </w:r>
            <w:bookmarkStart w:id="1" w:name="A"/>
            <w:bookmarkEnd w:id="1"/>
            <w:r w:rsidRPr="00495EC2">
              <w:rPr>
                <w:rFonts w:eastAsia="Calibri"/>
                <w:sz w:val="20"/>
              </w:rPr>
              <w:t xml:space="preserve"> Financial Institutions – Credit Cards – Can credit merchants disclose and charge fees for services associated with credit separately from the annual credit rate or membership fee required by the CPA? – What civil recourses can consumers exercise under the CPA in the case of “credit charges” that were disclosed and charged in a manner that violates its credit regime?</w:t>
            </w:r>
          </w:p>
          <w:p w:rsidR="002841B0" w:rsidRPr="00495EC2" w:rsidRDefault="002841B0" w:rsidP="00EC5583">
            <w:pPr>
              <w:jc w:val="both"/>
              <w:rPr>
                <w:rFonts w:eastAsia="Calibri"/>
                <w:sz w:val="20"/>
              </w:rPr>
            </w:pPr>
          </w:p>
          <w:p w:rsidR="002841B0" w:rsidRPr="00495EC2" w:rsidRDefault="002841B0" w:rsidP="00EC5583">
            <w:pPr>
              <w:jc w:val="both"/>
              <w:rPr>
                <w:rFonts w:eastAsia="Calibri"/>
                <w:sz w:val="20"/>
              </w:rPr>
            </w:pPr>
            <w:r w:rsidRPr="00495EC2">
              <w:rPr>
                <w:rFonts w:eastAsia="Calibri"/>
                <w:sz w:val="20"/>
              </w:rPr>
              <w:t xml:space="preserve">Civil procedure – Class Actions – Does </w:t>
            </w:r>
            <w:proofErr w:type="gramStart"/>
            <w:r w:rsidRPr="00495EC2">
              <w:rPr>
                <w:rFonts w:eastAsia="Calibri"/>
                <w:sz w:val="20"/>
              </w:rPr>
              <w:t>a representative plaintiff have</w:t>
            </w:r>
            <w:proofErr w:type="gramEnd"/>
            <w:r w:rsidRPr="00495EC2">
              <w:rPr>
                <w:rFonts w:eastAsia="Calibri"/>
                <w:sz w:val="20"/>
              </w:rPr>
              <w:t xml:space="preserve"> standing to bring an industry</w:t>
            </w:r>
            <w:r w:rsidRPr="00495EC2">
              <w:rPr>
                <w:rFonts w:eastAsia="Calibri"/>
                <w:sz w:val="20"/>
              </w:rPr>
              <w:noBreakHyphen/>
            </w:r>
            <w:proofErr w:type="spellStart"/>
            <w:r w:rsidRPr="00495EC2">
              <w:rPr>
                <w:rFonts w:eastAsia="Calibri"/>
                <w:sz w:val="20"/>
              </w:rPr>
              <w:t>wide</w:t>
            </w:r>
            <w:proofErr w:type="spellEnd"/>
            <w:r w:rsidRPr="00495EC2">
              <w:rPr>
                <w:rFonts w:eastAsia="Calibri"/>
                <w:sz w:val="20"/>
              </w:rPr>
              <w:t xml:space="preserve"> class action without a cause of action against certain defendants?</w:t>
            </w:r>
          </w:p>
        </w:tc>
      </w:tr>
      <w:tr w:rsidR="002841B0" w:rsidRPr="00495EC2" w:rsidTr="00EC5583">
        <w:tc>
          <w:tcPr>
            <w:tcW w:w="5000" w:type="pct"/>
            <w:gridSpan w:val="3"/>
          </w:tcPr>
          <w:p w:rsidR="002841B0" w:rsidRPr="00495EC2" w:rsidRDefault="002841B0" w:rsidP="00EC5583">
            <w:pPr>
              <w:jc w:val="both"/>
              <w:rPr>
                <w:rFonts w:eastAsia="Calibri"/>
                <w:sz w:val="20"/>
              </w:rPr>
            </w:pPr>
          </w:p>
        </w:tc>
      </w:tr>
      <w:tr w:rsidR="002841B0" w:rsidRPr="00495EC2" w:rsidTr="00EC5583">
        <w:tc>
          <w:tcPr>
            <w:tcW w:w="5000" w:type="pct"/>
            <w:gridSpan w:val="3"/>
          </w:tcPr>
          <w:p w:rsidR="002841B0" w:rsidRPr="00495EC2" w:rsidRDefault="002841B0" w:rsidP="00EC5583">
            <w:pPr>
              <w:jc w:val="both"/>
              <w:rPr>
                <w:rFonts w:eastAsia="Calibri"/>
                <w:sz w:val="20"/>
              </w:rPr>
            </w:pPr>
            <w:r w:rsidRPr="00495EC2">
              <w:rPr>
                <w:rFonts w:eastAsia="Calibri"/>
                <w:sz w:val="20"/>
              </w:rPr>
              <w:t>In the context of this class action, the representative plaintiffs alleged that various banking institutions breached the CPA</w:t>
            </w:r>
            <w:r w:rsidRPr="00495EC2">
              <w:rPr>
                <w:rFonts w:eastAsia="Calibri"/>
                <w:i/>
                <w:iCs/>
                <w:sz w:val="20"/>
              </w:rPr>
              <w:t xml:space="preserve"> </w:t>
            </w:r>
            <w:r w:rsidRPr="00495EC2">
              <w:rPr>
                <w:rFonts w:eastAsia="Calibri"/>
                <w:sz w:val="20"/>
              </w:rPr>
              <w:t>by failing to disclose foreign exchange conversion charges on credit cards as a “credit charge”.  The CPA requires that all “credit charges” be included as part of the “credit rate” and disclosed to cardholders as an annual percentage.  The representative plaintiffs further alleged that as a “credit charge”, foreign exchange charges were subject to the CPA’s 21</w:t>
            </w:r>
            <w:r w:rsidRPr="00495EC2">
              <w:rPr>
                <w:rFonts w:eastAsia="Calibri"/>
                <w:sz w:val="20"/>
              </w:rPr>
              <w:noBreakHyphen/>
              <w:t>day “grace period” and hence could not be imposed to consumers who paid their balance within the grace period.  Finally, it was also contended that during certain periods, the banking institutions did not disclose the foreign exchange conversion charge separately, thereby making the banking institutions liable for restitution and punitive damages under the CPA.</w:t>
            </w:r>
            <w:r w:rsidRPr="00495EC2">
              <w:rPr>
                <w:rFonts w:eastAsia="Calibri"/>
                <w:iCs/>
                <w:sz w:val="20"/>
              </w:rPr>
              <w:t xml:space="preserve">  All of these allegations were denied by the </w:t>
            </w:r>
            <w:r w:rsidRPr="00495EC2">
              <w:rPr>
                <w:rFonts w:eastAsia="Calibri"/>
                <w:sz w:val="20"/>
              </w:rPr>
              <w:t>banking institutions</w:t>
            </w:r>
            <w:r w:rsidRPr="00495EC2">
              <w:rPr>
                <w:rFonts w:eastAsia="Calibri"/>
                <w:iCs/>
                <w:sz w:val="20"/>
              </w:rPr>
              <w:t xml:space="preserve">, who maintained that </w:t>
            </w:r>
            <w:r w:rsidRPr="00495EC2">
              <w:rPr>
                <w:rFonts w:eastAsia="Calibri"/>
                <w:sz w:val="20"/>
              </w:rPr>
              <w:t xml:space="preserve">foreign exchange conversion charges are not “credit charges” within the meaning of the CPA.  Rather, it was contended that the charges at issue are part of the “net capital”, and are accordingly not subject to the provisions of the CPA regarding the manner in which the credit rate must be disclosed.  Alternatively, on the basis of existing federal legislation applicable to the banking industry, the banking institutions contended that the CPA is constitutionally inapplicable under the </w:t>
            </w:r>
            <w:proofErr w:type="spellStart"/>
            <w:r w:rsidRPr="00495EC2">
              <w:rPr>
                <w:rFonts w:eastAsia="Calibri"/>
                <w:sz w:val="20"/>
              </w:rPr>
              <w:t>interjurisdictional</w:t>
            </w:r>
            <w:proofErr w:type="spellEnd"/>
            <w:r w:rsidRPr="00495EC2">
              <w:rPr>
                <w:rFonts w:eastAsia="Calibri"/>
                <w:sz w:val="20"/>
              </w:rPr>
              <w:t xml:space="preserve"> immunity doctrine, and that it is otherwise inoperative under the </w:t>
            </w:r>
            <w:proofErr w:type="spellStart"/>
            <w:r w:rsidRPr="00495EC2">
              <w:rPr>
                <w:rFonts w:eastAsia="Calibri"/>
                <w:sz w:val="20"/>
              </w:rPr>
              <w:t>paramountcy</w:t>
            </w:r>
            <w:proofErr w:type="spellEnd"/>
            <w:r w:rsidRPr="00495EC2">
              <w:rPr>
                <w:rFonts w:eastAsia="Calibri"/>
                <w:sz w:val="20"/>
              </w:rPr>
              <w:t xml:space="preserve"> doctrine.</w:t>
            </w:r>
          </w:p>
          <w:p w:rsidR="002841B0" w:rsidRPr="00495EC2" w:rsidRDefault="002841B0" w:rsidP="00EC5583">
            <w:pPr>
              <w:jc w:val="both"/>
              <w:rPr>
                <w:rFonts w:eastAsia="Calibri"/>
                <w:iCs/>
                <w:sz w:val="20"/>
              </w:rPr>
            </w:pPr>
          </w:p>
        </w:tc>
      </w:tr>
      <w:tr w:rsidR="002841B0" w:rsidRPr="00495EC2" w:rsidTr="00EC5583">
        <w:tc>
          <w:tcPr>
            <w:tcW w:w="2427" w:type="pct"/>
          </w:tcPr>
          <w:p w:rsidR="002841B0" w:rsidRPr="00495EC2" w:rsidRDefault="002841B0" w:rsidP="00EC5583">
            <w:pPr>
              <w:jc w:val="both"/>
              <w:rPr>
                <w:rFonts w:eastAsia="Calibri"/>
                <w:sz w:val="20"/>
              </w:rPr>
            </w:pPr>
            <w:r w:rsidRPr="00495EC2">
              <w:rPr>
                <w:rFonts w:eastAsia="Calibri"/>
                <w:sz w:val="20"/>
              </w:rPr>
              <w:t>June 11, 2009</w:t>
            </w:r>
          </w:p>
          <w:p w:rsidR="002841B0" w:rsidRPr="00495EC2" w:rsidRDefault="002841B0" w:rsidP="00EC5583">
            <w:pPr>
              <w:jc w:val="both"/>
              <w:rPr>
                <w:rFonts w:eastAsia="Calibri"/>
                <w:sz w:val="20"/>
              </w:rPr>
            </w:pPr>
            <w:r w:rsidRPr="00495EC2">
              <w:rPr>
                <w:rFonts w:eastAsia="Calibri"/>
                <w:sz w:val="20"/>
              </w:rPr>
              <w:t>Superior Court of Quebec</w:t>
            </w:r>
          </w:p>
          <w:p w:rsidR="002841B0" w:rsidRPr="00495EC2" w:rsidRDefault="002841B0" w:rsidP="00EC5583">
            <w:pPr>
              <w:jc w:val="both"/>
              <w:rPr>
                <w:rFonts w:eastAsia="Calibri"/>
                <w:sz w:val="20"/>
              </w:rPr>
            </w:pPr>
            <w:r w:rsidRPr="00495EC2">
              <w:rPr>
                <w:rFonts w:eastAsia="Calibri"/>
                <w:sz w:val="20"/>
              </w:rPr>
              <w:t>(</w:t>
            </w:r>
            <w:proofErr w:type="spellStart"/>
            <w:r w:rsidRPr="00495EC2">
              <w:rPr>
                <w:rFonts w:eastAsia="Calibri"/>
                <w:sz w:val="20"/>
              </w:rPr>
              <w:t>Gascon</w:t>
            </w:r>
            <w:proofErr w:type="spellEnd"/>
            <w:r w:rsidRPr="00495EC2">
              <w:rPr>
                <w:rFonts w:eastAsia="Calibri"/>
                <w:sz w:val="20"/>
              </w:rPr>
              <w:t xml:space="preserve"> J.)</w:t>
            </w:r>
          </w:p>
          <w:p w:rsidR="002841B0" w:rsidRPr="00495EC2" w:rsidRDefault="002841B0" w:rsidP="00EC5583">
            <w:pPr>
              <w:jc w:val="both"/>
              <w:rPr>
                <w:rFonts w:eastAsia="Calibri"/>
                <w:sz w:val="20"/>
              </w:rPr>
            </w:pPr>
            <w:r w:rsidRPr="00495EC2">
              <w:rPr>
                <w:rFonts w:eastAsia="Calibri"/>
                <w:sz w:val="20"/>
              </w:rPr>
              <w:t>No. 500</w:t>
            </w:r>
            <w:r w:rsidRPr="00495EC2">
              <w:rPr>
                <w:rFonts w:eastAsia="Calibri"/>
                <w:sz w:val="20"/>
              </w:rPr>
              <w:noBreakHyphen/>
              <w:t>06</w:t>
            </w:r>
            <w:r w:rsidRPr="00495EC2">
              <w:rPr>
                <w:rFonts w:eastAsia="Calibri"/>
                <w:sz w:val="20"/>
              </w:rPr>
              <w:noBreakHyphen/>
              <w:t>000197</w:t>
            </w:r>
            <w:r w:rsidRPr="00495EC2">
              <w:rPr>
                <w:rFonts w:eastAsia="Calibri"/>
                <w:sz w:val="20"/>
              </w:rPr>
              <w:noBreakHyphen/>
              <w:t>034</w:t>
            </w:r>
          </w:p>
          <w:p w:rsidR="002841B0" w:rsidRPr="00495EC2" w:rsidRDefault="002841B0" w:rsidP="00EC5583">
            <w:pPr>
              <w:jc w:val="both"/>
              <w:rPr>
                <w:rFonts w:eastAsia="Calibri"/>
                <w:sz w:val="20"/>
              </w:rPr>
            </w:pPr>
            <w:r w:rsidRPr="00495EC2">
              <w:rPr>
                <w:rFonts w:eastAsia="Calibri"/>
                <w:sz w:val="20"/>
              </w:rPr>
              <w:t>2009 QCCS 2764</w:t>
            </w:r>
          </w:p>
          <w:p w:rsidR="002841B0" w:rsidRPr="00495EC2" w:rsidRDefault="002841B0" w:rsidP="00EC5583">
            <w:pPr>
              <w:jc w:val="both"/>
              <w:rPr>
                <w:rFonts w:eastAsia="Calibri"/>
                <w:sz w:val="20"/>
              </w:rPr>
            </w:pPr>
          </w:p>
        </w:tc>
        <w:tc>
          <w:tcPr>
            <w:tcW w:w="243" w:type="pct"/>
          </w:tcPr>
          <w:p w:rsidR="002841B0" w:rsidRPr="00495EC2" w:rsidRDefault="002841B0" w:rsidP="00EC5583">
            <w:pPr>
              <w:jc w:val="both"/>
              <w:rPr>
                <w:rFonts w:eastAsia="Calibri"/>
                <w:sz w:val="20"/>
              </w:rPr>
            </w:pPr>
          </w:p>
        </w:tc>
        <w:tc>
          <w:tcPr>
            <w:tcW w:w="2330" w:type="pct"/>
          </w:tcPr>
          <w:p w:rsidR="002841B0" w:rsidRPr="00495EC2" w:rsidRDefault="002841B0" w:rsidP="00EC5583">
            <w:pPr>
              <w:jc w:val="both"/>
              <w:rPr>
                <w:rFonts w:eastAsia="Calibri"/>
                <w:sz w:val="20"/>
              </w:rPr>
            </w:pPr>
            <w:r w:rsidRPr="00495EC2">
              <w:rPr>
                <w:rFonts w:eastAsia="Calibri"/>
                <w:sz w:val="20"/>
              </w:rPr>
              <w:t xml:space="preserve">Class action allowed in part, </w:t>
            </w:r>
            <w:r w:rsidRPr="00495EC2">
              <w:rPr>
                <w:rFonts w:eastAsia="Calibri"/>
                <w:i/>
                <w:sz w:val="20"/>
              </w:rPr>
              <w:t>inter alia</w:t>
            </w:r>
            <w:r w:rsidRPr="00495EC2">
              <w:rPr>
                <w:rFonts w:eastAsia="Calibri"/>
                <w:sz w:val="20"/>
              </w:rPr>
              <w:t xml:space="preserve"> on grounds that foreign currency conversion commissions were charged to the class members in violation of the CPA, the application and operability of which were not barred by either the doctrine of </w:t>
            </w:r>
            <w:proofErr w:type="spellStart"/>
            <w:r w:rsidRPr="00495EC2">
              <w:rPr>
                <w:rFonts w:eastAsia="Calibri"/>
                <w:sz w:val="20"/>
              </w:rPr>
              <w:t>interjurisdictional</w:t>
            </w:r>
            <w:proofErr w:type="spellEnd"/>
            <w:r w:rsidRPr="00495EC2">
              <w:rPr>
                <w:rFonts w:eastAsia="Calibri"/>
                <w:sz w:val="20"/>
              </w:rPr>
              <w:t xml:space="preserve"> immunity or the doctrine of federal </w:t>
            </w:r>
            <w:proofErr w:type="spellStart"/>
            <w:r w:rsidRPr="00495EC2">
              <w:rPr>
                <w:rFonts w:eastAsia="Calibri"/>
                <w:sz w:val="20"/>
              </w:rPr>
              <w:t>paramountcy</w:t>
            </w:r>
            <w:proofErr w:type="spellEnd"/>
            <w:r w:rsidRPr="00495EC2">
              <w:rPr>
                <w:rFonts w:eastAsia="Calibri"/>
                <w:sz w:val="20"/>
              </w:rPr>
              <w:t>.</w:t>
            </w:r>
          </w:p>
          <w:p w:rsidR="002841B0" w:rsidRPr="00495EC2" w:rsidRDefault="002841B0" w:rsidP="00EC5583">
            <w:pPr>
              <w:jc w:val="both"/>
              <w:rPr>
                <w:rFonts w:eastAsia="Calibri"/>
                <w:sz w:val="20"/>
              </w:rPr>
            </w:pPr>
          </w:p>
        </w:tc>
      </w:tr>
      <w:tr w:rsidR="002841B0" w:rsidRPr="00495EC2" w:rsidTr="00EC5583">
        <w:tc>
          <w:tcPr>
            <w:tcW w:w="2427" w:type="pct"/>
          </w:tcPr>
          <w:p w:rsidR="002841B0" w:rsidRPr="00495EC2" w:rsidRDefault="002841B0" w:rsidP="00EC5583">
            <w:pPr>
              <w:jc w:val="both"/>
              <w:rPr>
                <w:rFonts w:eastAsia="Calibri"/>
                <w:sz w:val="20"/>
              </w:rPr>
            </w:pPr>
            <w:r w:rsidRPr="00495EC2">
              <w:rPr>
                <w:rFonts w:eastAsia="Calibri"/>
                <w:sz w:val="20"/>
              </w:rPr>
              <w:t>August 2, 2012</w:t>
            </w:r>
          </w:p>
          <w:p w:rsidR="002841B0" w:rsidRPr="00495EC2" w:rsidRDefault="002841B0" w:rsidP="00EC5583">
            <w:pPr>
              <w:jc w:val="both"/>
              <w:rPr>
                <w:rFonts w:eastAsia="Calibri"/>
                <w:sz w:val="20"/>
              </w:rPr>
            </w:pPr>
            <w:r w:rsidRPr="00495EC2">
              <w:rPr>
                <w:rFonts w:eastAsia="Calibri"/>
                <w:sz w:val="20"/>
              </w:rPr>
              <w:t>Court of Appeal of Quebec (Montréal)</w:t>
            </w:r>
          </w:p>
          <w:p w:rsidR="002841B0" w:rsidRPr="00495EC2" w:rsidRDefault="002841B0" w:rsidP="00EC5583">
            <w:pPr>
              <w:jc w:val="both"/>
              <w:rPr>
                <w:rFonts w:eastAsia="Calibri"/>
                <w:sz w:val="20"/>
              </w:rPr>
            </w:pPr>
            <w:r w:rsidRPr="00495EC2">
              <w:rPr>
                <w:rFonts w:eastAsia="Calibri"/>
                <w:sz w:val="20"/>
              </w:rPr>
              <w:t xml:space="preserve">(Forget, </w:t>
            </w:r>
            <w:proofErr w:type="spellStart"/>
            <w:r w:rsidRPr="00495EC2">
              <w:rPr>
                <w:rFonts w:eastAsia="Calibri"/>
                <w:sz w:val="20"/>
              </w:rPr>
              <w:t>Dalphond</w:t>
            </w:r>
            <w:proofErr w:type="spellEnd"/>
            <w:r w:rsidRPr="00495EC2">
              <w:rPr>
                <w:rFonts w:eastAsia="Calibri"/>
                <w:sz w:val="20"/>
              </w:rPr>
              <w:t xml:space="preserve"> and </w:t>
            </w:r>
            <w:proofErr w:type="spellStart"/>
            <w:r w:rsidRPr="00495EC2">
              <w:rPr>
                <w:rFonts w:eastAsia="Calibri"/>
                <w:sz w:val="20"/>
              </w:rPr>
              <w:t>Bich</w:t>
            </w:r>
            <w:proofErr w:type="spellEnd"/>
            <w:r w:rsidRPr="00495EC2">
              <w:rPr>
                <w:rFonts w:eastAsia="Calibri"/>
                <w:sz w:val="20"/>
              </w:rPr>
              <w:t xml:space="preserve"> JJ.A.)</w:t>
            </w:r>
          </w:p>
          <w:p w:rsidR="002841B0" w:rsidRPr="00495EC2" w:rsidRDefault="002841B0" w:rsidP="00EC5583">
            <w:pPr>
              <w:jc w:val="both"/>
              <w:rPr>
                <w:rFonts w:eastAsia="Calibri"/>
                <w:sz w:val="20"/>
              </w:rPr>
            </w:pPr>
            <w:bookmarkStart w:id="2" w:name="NoDossier"/>
            <w:r w:rsidRPr="00495EC2">
              <w:rPr>
                <w:rFonts w:eastAsia="Calibri"/>
                <w:sz w:val="20"/>
              </w:rPr>
              <w:t>No. 500</w:t>
            </w:r>
            <w:r w:rsidRPr="00495EC2">
              <w:rPr>
                <w:rFonts w:eastAsia="Calibri"/>
                <w:sz w:val="20"/>
              </w:rPr>
              <w:noBreakHyphen/>
              <w:t>09</w:t>
            </w:r>
            <w:r w:rsidRPr="00495EC2">
              <w:rPr>
                <w:rFonts w:eastAsia="Calibri"/>
                <w:sz w:val="20"/>
              </w:rPr>
              <w:noBreakHyphen/>
              <w:t>019849</w:t>
            </w:r>
            <w:r w:rsidRPr="00495EC2">
              <w:rPr>
                <w:rFonts w:eastAsia="Calibri"/>
                <w:sz w:val="20"/>
              </w:rPr>
              <w:noBreakHyphen/>
              <w:t>090</w:t>
            </w:r>
            <w:bookmarkEnd w:id="2"/>
          </w:p>
          <w:p w:rsidR="002841B0" w:rsidRPr="00495EC2" w:rsidRDefault="002841B0" w:rsidP="00EC5583">
            <w:pPr>
              <w:jc w:val="both"/>
              <w:rPr>
                <w:rFonts w:eastAsia="Calibri"/>
                <w:sz w:val="20"/>
              </w:rPr>
            </w:pPr>
            <w:r w:rsidRPr="00495EC2">
              <w:rPr>
                <w:rFonts w:eastAsia="Calibri"/>
                <w:sz w:val="20"/>
              </w:rPr>
              <w:t>No. 500</w:t>
            </w:r>
            <w:r w:rsidRPr="00495EC2">
              <w:rPr>
                <w:rFonts w:eastAsia="Calibri"/>
                <w:sz w:val="20"/>
              </w:rPr>
              <w:noBreakHyphen/>
              <w:t>09</w:t>
            </w:r>
            <w:r w:rsidRPr="00495EC2">
              <w:rPr>
                <w:rFonts w:eastAsia="Calibri"/>
                <w:sz w:val="20"/>
              </w:rPr>
              <w:noBreakHyphen/>
              <w:t>019850</w:t>
            </w:r>
            <w:r w:rsidRPr="00495EC2">
              <w:rPr>
                <w:rFonts w:eastAsia="Calibri"/>
                <w:sz w:val="20"/>
              </w:rPr>
              <w:noBreakHyphen/>
              <w:t>098</w:t>
            </w:r>
          </w:p>
          <w:p w:rsidR="002841B0" w:rsidRPr="00495EC2" w:rsidRDefault="002841B0" w:rsidP="00EC5583">
            <w:pPr>
              <w:jc w:val="both"/>
              <w:rPr>
                <w:rFonts w:eastAsia="Calibri"/>
                <w:sz w:val="20"/>
              </w:rPr>
            </w:pPr>
            <w:r w:rsidRPr="00495EC2">
              <w:rPr>
                <w:rFonts w:eastAsia="Calibri"/>
                <w:sz w:val="20"/>
              </w:rPr>
              <w:t>No. 500</w:t>
            </w:r>
            <w:r w:rsidRPr="00495EC2">
              <w:rPr>
                <w:rFonts w:eastAsia="Calibri"/>
                <w:sz w:val="20"/>
              </w:rPr>
              <w:noBreakHyphen/>
              <w:t>09</w:t>
            </w:r>
            <w:r w:rsidRPr="00495EC2">
              <w:rPr>
                <w:rFonts w:eastAsia="Calibri"/>
                <w:sz w:val="20"/>
              </w:rPr>
              <w:noBreakHyphen/>
              <w:t>019851</w:t>
            </w:r>
            <w:r w:rsidRPr="00495EC2">
              <w:rPr>
                <w:rFonts w:eastAsia="Calibri"/>
                <w:sz w:val="20"/>
              </w:rPr>
              <w:noBreakHyphen/>
              <w:t>096</w:t>
            </w:r>
          </w:p>
          <w:p w:rsidR="002841B0" w:rsidRPr="00495EC2" w:rsidRDefault="002841B0" w:rsidP="00EC5583">
            <w:pPr>
              <w:jc w:val="both"/>
              <w:rPr>
                <w:rFonts w:eastAsia="Calibri"/>
                <w:sz w:val="20"/>
              </w:rPr>
            </w:pPr>
            <w:r w:rsidRPr="00495EC2">
              <w:rPr>
                <w:rFonts w:eastAsia="Calibri"/>
                <w:sz w:val="20"/>
              </w:rPr>
              <w:t>No. 500</w:t>
            </w:r>
            <w:r w:rsidRPr="00495EC2">
              <w:rPr>
                <w:rFonts w:eastAsia="Calibri"/>
                <w:sz w:val="20"/>
              </w:rPr>
              <w:noBreakHyphen/>
              <w:t>09</w:t>
            </w:r>
            <w:r w:rsidRPr="00495EC2">
              <w:rPr>
                <w:rFonts w:eastAsia="Calibri"/>
                <w:sz w:val="20"/>
              </w:rPr>
              <w:noBreakHyphen/>
              <w:t>019852</w:t>
            </w:r>
            <w:r w:rsidRPr="00495EC2">
              <w:rPr>
                <w:rFonts w:eastAsia="Calibri"/>
                <w:sz w:val="20"/>
              </w:rPr>
              <w:noBreakHyphen/>
              <w:t>094</w:t>
            </w:r>
          </w:p>
          <w:p w:rsidR="002841B0" w:rsidRPr="00495EC2" w:rsidRDefault="002841B0" w:rsidP="00EC5583">
            <w:pPr>
              <w:jc w:val="both"/>
              <w:rPr>
                <w:rFonts w:eastAsia="Calibri"/>
                <w:sz w:val="20"/>
              </w:rPr>
            </w:pPr>
            <w:r w:rsidRPr="00495EC2">
              <w:rPr>
                <w:rFonts w:eastAsia="Calibri"/>
                <w:sz w:val="20"/>
              </w:rPr>
              <w:t>No. 500</w:t>
            </w:r>
            <w:r w:rsidRPr="00495EC2">
              <w:rPr>
                <w:rFonts w:eastAsia="Calibri"/>
                <w:sz w:val="20"/>
              </w:rPr>
              <w:noBreakHyphen/>
              <w:t>09</w:t>
            </w:r>
            <w:r w:rsidRPr="00495EC2">
              <w:rPr>
                <w:rFonts w:eastAsia="Calibri"/>
                <w:sz w:val="20"/>
              </w:rPr>
              <w:noBreakHyphen/>
              <w:t>019853</w:t>
            </w:r>
            <w:r w:rsidRPr="00495EC2">
              <w:rPr>
                <w:rFonts w:eastAsia="Calibri"/>
                <w:sz w:val="20"/>
              </w:rPr>
              <w:noBreakHyphen/>
              <w:t>092</w:t>
            </w:r>
          </w:p>
          <w:p w:rsidR="002841B0" w:rsidRPr="00495EC2" w:rsidRDefault="002841B0" w:rsidP="00EC5583">
            <w:pPr>
              <w:jc w:val="both"/>
              <w:rPr>
                <w:rFonts w:eastAsia="Calibri"/>
                <w:sz w:val="20"/>
              </w:rPr>
            </w:pPr>
            <w:r w:rsidRPr="00495EC2">
              <w:rPr>
                <w:rFonts w:eastAsia="Calibri"/>
                <w:sz w:val="20"/>
              </w:rPr>
              <w:t>No. 500</w:t>
            </w:r>
            <w:r w:rsidRPr="00495EC2">
              <w:rPr>
                <w:rFonts w:eastAsia="Calibri"/>
                <w:sz w:val="20"/>
              </w:rPr>
              <w:noBreakHyphen/>
              <w:t>09</w:t>
            </w:r>
            <w:r w:rsidRPr="00495EC2">
              <w:rPr>
                <w:rFonts w:eastAsia="Calibri"/>
                <w:sz w:val="20"/>
              </w:rPr>
              <w:noBreakHyphen/>
              <w:t>019854</w:t>
            </w:r>
            <w:r w:rsidRPr="00495EC2">
              <w:rPr>
                <w:rFonts w:eastAsia="Calibri"/>
                <w:sz w:val="20"/>
              </w:rPr>
              <w:noBreakHyphen/>
              <w:t xml:space="preserve">090 </w:t>
            </w:r>
          </w:p>
          <w:p w:rsidR="002841B0" w:rsidRPr="00495EC2" w:rsidRDefault="002841B0" w:rsidP="00EC5583">
            <w:pPr>
              <w:jc w:val="both"/>
              <w:rPr>
                <w:rFonts w:eastAsia="Calibri"/>
                <w:sz w:val="20"/>
              </w:rPr>
            </w:pPr>
            <w:r w:rsidRPr="00495EC2">
              <w:rPr>
                <w:rFonts w:eastAsia="Calibri"/>
                <w:sz w:val="20"/>
              </w:rPr>
              <w:t>No. 500</w:t>
            </w:r>
            <w:r w:rsidRPr="00495EC2">
              <w:rPr>
                <w:rFonts w:eastAsia="Calibri"/>
                <w:sz w:val="20"/>
              </w:rPr>
              <w:noBreakHyphen/>
              <w:t>09</w:t>
            </w:r>
            <w:r w:rsidRPr="00495EC2">
              <w:rPr>
                <w:rFonts w:eastAsia="Calibri"/>
                <w:sz w:val="20"/>
              </w:rPr>
              <w:noBreakHyphen/>
              <w:t>019855</w:t>
            </w:r>
            <w:r w:rsidRPr="00495EC2">
              <w:rPr>
                <w:rFonts w:eastAsia="Calibri"/>
                <w:sz w:val="20"/>
              </w:rPr>
              <w:noBreakHyphen/>
              <w:t>097</w:t>
            </w:r>
          </w:p>
          <w:p w:rsidR="002841B0" w:rsidRPr="00495EC2" w:rsidRDefault="002841B0" w:rsidP="00EC5583">
            <w:pPr>
              <w:jc w:val="both"/>
              <w:rPr>
                <w:rFonts w:eastAsia="Calibri"/>
                <w:sz w:val="20"/>
              </w:rPr>
            </w:pPr>
            <w:r w:rsidRPr="00495EC2">
              <w:rPr>
                <w:rFonts w:eastAsia="Calibri"/>
                <w:sz w:val="20"/>
              </w:rPr>
              <w:t>No. 500</w:t>
            </w:r>
            <w:r w:rsidRPr="00495EC2">
              <w:rPr>
                <w:rFonts w:eastAsia="Calibri"/>
                <w:sz w:val="20"/>
              </w:rPr>
              <w:noBreakHyphen/>
              <w:t>09</w:t>
            </w:r>
            <w:r w:rsidRPr="00495EC2">
              <w:rPr>
                <w:rFonts w:eastAsia="Calibri"/>
                <w:sz w:val="20"/>
              </w:rPr>
              <w:noBreakHyphen/>
              <w:t>019856</w:t>
            </w:r>
            <w:r w:rsidRPr="00495EC2">
              <w:rPr>
                <w:rFonts w:eastAsia="Calibri"/>
                <w:sz w:val="20"/>
              </w:rPr>
              <w:noBreakHyphen/>
              <w:t>095</w:t>
            </w:r>
          </w:p>
          <w:p w:rsidR="002841B0" w:rsidRPr="00495EC2" w:rsidRDefault="002841B0" w:rsidP="00EC5583">
            <w:pPr>
              <w:jc w:val="both"/>
              <w:rPr>
                <w:rFonts w:eastAsia="Calibri"/>
                <w:sz w:val="20"/>
              </w:rPr>
            </w:pPr>
            <w:r w:rsidRPr="00495EC2">
              <w:rPr>
                <w:rFonts w:eastAsia="Calibri"/>
                <w:sz w:val="20"/>
              </w:rPr>
              <w:t>No. 500</w:t>
            </w:r>
            <w:r w:rsidRPr="00495EC2">
              <w:rPr>
                <w:rFonts w:eastAsia="Calibri"/>
                <w:sz w:val="20"/>
              </w:rPr>
              <w:noBreakHyphen/>
              <w:t>09</w:t>
            </w:r>
            <w:r w:rsidRPr="00495EC2">
              <w:rPr>
                <w:rFonts w:eastAsia="Calibri"/>
                <w:sz w:val="20"/>
              </w:rPr>
              <w:noBreakHyphen/>
              <w:t>019857</w:t>
            </w:r>
            <w:r w:rsidRPr="00495EC2">
              <w:rPr>
                <w:rFonts w:eastAsia="Calibri"/>
                <w:sz w:val="20"/>
              </w:rPr>
              <w:noBreakHyphen/>
              <w:t>093</w:t>
            </w:r>
          </w:p>
          <w:p w:rsidR="002841B0" w:rsidRPr="00495EC2" w:rsidRDefault="002841B0" w:rsidP="00EC5583">
            <w:pPr>
              <w:jc w:val="both"/>
              <w:rPr>
                <w:rFonts w:eastAsia="Calibri"/>
                <w:sz w:val="20"/>
              </w:rPr>
            </w:pPr>
            <w:r w:rsidRPr="00495EC2">
              <w:rPr>
                <w:rFonts w:eastAsia="Calibri"/>
                <w:sz w:val="20"/>
              </w:rPr>
              <w:t>2012 QCCA 1396</w:t>
            </w:r>
          </w:p>
          <w:p w:rsidR="002841B0" w:rsidRPr="00495EC2" w:rsidRDefault="002841B0" w:rsidP="00EC5583">
            <w:pPr>
              <w:jc w:val="both"/>
              <w:rPr>
                <w:rFonts w:eastAsia="Calibri"/>
                <w:sz w:val="20"/>
              </w:rPr>
            </w:pPr>
          </w:p>
        </w:tc>
        <w:tc>
          <w:tcPr>
            <w:tcW w:w="243" w:type="pct"/>
          </w:tcPr>
          <w:p w:rsidR="002841B0" w:rsidRPr="00495EC2" w:rsidRDefault="002841B0" w:rsidP="00EC5583">
            <w:pPr>
              <w:jc w:val="both"/>
              <w:rPr>
                <w:rFonts w:eastAsia="Calibri"/>
                <w:sz w:val="20"/>
              </w:rPr>
            </w:pPr>
          </w:p>
        </w:tc>
        <w:tc>
          <w:tcPr>
            <w:tcW w:w="2330" w:type="pct"/>
          </w:tcPr>
          <w:p w:rsidR="002841B0" w:rsidRPr="00495EC2" w:rsidRDefault="002841B0" w:rsidP="00EC5583">
            <w:pPr>
              <w:jc w:val="both"/>
              <w:rPr>
                <w:rFonts w:eastAsia="Calibri"/>
                <w:sz w:val="20"/>
              </w:rPr>
            </w:pPr>
            <w:r w:rsidRPr="00495EC2">
              <w:rPr>
                <w:rFonts w:eastAsia="Calibri"/>
                <w:sz w:val="20"/>
              </w:rPr>
              <w:t>Appeals allowed in part.</w:t>
            </w:r>
          </w:p>
        </w:tc>
      </w:tr>
      <w:tr w:rsidR="002841B0" w:rsidRPr="00495EC2" w:rsidTr="00EC5583">
        <w:tc>
          <w:tcPr>
            <w:tcW w:w="2427" w:type="pct"/>
          </w:tcPr>
          <w:p w:rsidR="002841B0" w:rsidRPr="00495EC2" w:rsidRDefault="002841B0" w:rsidP="00EC5583">
            <w:pPr>
              <w:jc w:val="both"/>
              <w:rPr>
                <w:rFonts w:eastAsia="Calibri"/>
                <w:sz w:val="20"/>
              </w:rPr>
            </w:pPr>
            <w:r w:rsidRPr="00495EC2">
              <w:rPr>
                <w:rFonts w:eastAsia="Calibri"/>
                <w:sz w:val="20"/>
              </w:rPr>
              <w:t>October 1, 2012</w:t>
            </w:r>
          </w:p>
          <w:p w:rsidR="002841B0" w:rsidRPr="00495EC2" w:rsidRDefault="002841B0" w:rsidP="00EC5583">
            <w:pPr>
              <w:jc w:val="both"/>
              <w:rPr>
                <w:rFonts w:eastAsia="Calibri"/>
                <w:sz w:val="20"/>
              </w:rPr>
            </w:pPr>
            <w:r w:rsidRPr="00495EC2">
              <w:rPr>
                <w:rFonts w:eastAsia="Calibri"/>
                <w:sz w:val="20"/>
              </w:rPr>
              <w:t>Supreme Court of Canada</w:t>
            </w:r>
          </w:p>
          <w:p w:rsidR="002841B0" w:rsidRPr="00495EC2" w:rsidRDefault="002841B0" w:rsidP="00EC5583">
            <w:pPr>
              <w:jc w:val="both"/>
              <w:rPr>
                <w:rFonts w:eastAsia="Calibri"/>
                <w:sz w:val="20"/>
              </w:rPr>
            </w:pPr>
          </w:p>
        </w:tc>
        <w:tc>
          <w:tcPr>
            <w:tcW w:w="243" w:type="pct"/>
          </w:tcPr>
          <w:p w:rsidR="002841B0" w:rsidRPr="00495EC2" w:rsidRDefault="002841B0" w:rsidP="00EC5583">
            <w:pPr>
              <w:jc w:val="both"/>
              <w:rPr>
                <w:rFonts w:eastAsia="Calibri"/>
                <w:sz w:val="20"/>
              </w:rPr>
            </w:pPr>
          </w:p>
        </w:tc>
        <w:tc>
          <w:tcPr>
            <w:tcW w:w="2330" w:type="pct"/>
          </w:tcPr>
          <w:p w:rsidR="002841B0" w:rsidRPr="00495EC2" w:rsidRDefault="002841B0" w:rsidP="00EC5583">
            <w:pPr>
              <w:jc w:val="both"/>
              <w:rPr>
                <w:rFonts w:eastAsia="Calibri"/>
                <w:sz w:val="20"/>
              </w:rPr>
            </w:pPr>
            <w:r w:rsidRPr="00495EC2">
              <w:rPr>
                <w:rFonts w:eastAsia="Calibri"/>
                <w:sz w:val="20"/>
              </w:rPr>
              <w:t>Application for leave to appeal filed.</w:t>
            </w:r>
          </w:p>
          <w:p w:rsidR="002841B0" w:rsidRPr="00495EC2" w:rsidRDefault="002841B0" w:rsidP="00EC5583">
            <w:pPr>
              <w:jc w:val="both"/>
              <w:rPr>
                <w:rFonts w:eastAsia="Calibri"/>
                <w:sz w:val="20"/>
              </w:rPr>
            </w:pPr>
          </w:p>
        </w:tc>
      </w:tr>
      <w:tr w:rsidR="002841B0" w:rsidRPr="00495EC2" w:rsidTr="00EC5583">
        <w:tc>
          <w:tcPr>
            <w:tcW w:w="2427" w:type="pct"/>
          </w:tcPr>
          <w:p w:rsidR="002841B0" w:rsidRPr="00495EC2" w:rsidRDefault="002841B0" w:rsidP="00EC5583">
            <w:pPr>
              <w:jc w:val="both"/>
              <w:rPr>
                <w:rFonts w:eastAsia="Calibri"/>
                <w:sz w:val="20"/>
              </w:rPr>
            </w:pPr>
            <w:r w:rsidRPr="00495EC2">
              <w:rPr>
                <w:rFonts w:eastAsia="Calibri"/>
                <w:sz w:val="20"/>
              </w:rPr>
              <w:t>October 1, 2012</w:t>
            </w:r>
          </w:p>
          <w:p w:rsidR="002841B0" w:rsidRPr="00495EC2" w:rsidRDefault="002841B0" w:rsidP="00EC5583">
            <w:pPr>
              <w:jc w:val="both"/>
              <w:rPr>
                <w:rFonts w:eastAsia="Calibri"/>
                <w:sz w:val="20"/>
              </w:rPr>
            </w:pPr>
            <w:r w:rsidRPr="00495EC2">
              <w:rPr>
                <w:rFonts w:eastAsia="Calibri"/>
                <w:sz w:val="20"/>
              </w:rPr>
              <w:t>Supreme Court of Canada</w:t>
            </w:r>
          </w:p>
        </w:tc>
        <w:tc>
          <w:tcPr>
            <w:tcW w:w="243" w:type="pct"/>
          </w:tcPr>
          <w:p w:rsidR="002841B0" w:rsidRPr="00495EC2" w:rsidRDefault="002841B0" w:rsidP="00EC5583">
            <w:pPr>
              <w:jc w:val="both"/>
              <w:rPr>
                <w:rFonts w:eastAsia="Calibri"/>
                <w:sz w:val="20"/>
              </w:rPr>
            </w:pPr>
          </w:p>
        </w:tc>
        <w:tc>
          <w:tcPr>
            <w:tcW w:w="2330" w:type="pct"/>
          </w:tcPr>
          <w:p w:rsidR="002841B0" w:rsidRPr="00495EC2" w:rsidRDefault="002841B0" w:rsidP="00EC5583">
            <w:pPr>
              <w:jc w:val="both"/>
              <w:rPr>
                <w:rFonts w:eastAsia="Calibri"/>
                <w:sz w:val="20"/>
              </w:rPr>
            </w:pPr>
            <w:r w:rsidRPr="00495EC2">
              <w:rPr>
                <w:rFonts w:eastAsia="Calibri"/>
                <w:sz w:val="20"/>
              </w:rPr>
              <w:t>Application for leave to appeal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50"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41B0" w:rsidRPr="009714AD" w:rsidTr="00EC5583">
        <w:tc>
          <w:tcPr>
            <w:tcW w:w="5000" w:type="pct"/>
            <w:gridSpan w:val="3"/>
          </w:tcPr>
          <w:p w:rsidR="002841B0" w:rsidRPr="00495EC2" w:rsidRDefault="002841B0" w:rsidP="00EC5583">
            <w:pPr>
              <w:jc w:val="both"/>
              <w:rPr>
                <w:rFonts w:eastAsia="Calibri"/>
                <w:sz w:val="20"/>
                <w:lang w:val="fr-FR"/>
              </w:rPr>
            </w:pPr>
            <w:r w:rsidRPr="00495EC2">
              <w:rPr>
                <w:rFonts w:eastAsia="Calibri"/>
                <w:sz w:val="20"/>
                <w:lang w:val="fr-FR"/>
              </w:rPr>
              <w:t xml:space="preserve">Droit constitutionnel – Doctrine de l’exclusivité des compétences – Prépondérance fédérale –Institutions financières – Cartes de crédit – Applicabilité et opérabilité de la </w:t>
            </w:r>
            <w:r w:rsidRPr="00495EC2">
              <w:rPr>
                <w:rFonts w:eastAsia="Calibri"/>
                <w:i/>
                <w:sz w:val="20"/>
                <w:lang w:val="fr-FR"/>
              </w:rPr>
              <w:t>Loi sur la protection du consommateur</w:t>
            </w:r>
            <w:r w:rsidRPr="00495EC2">
              <w:rPr>
                <w:rFonts w:eastAsia="Calibri"/>
                <w:sz w:val="20"/>
                <w:lang w:val="fr-FR"/>
              </w:rPr>
              <w:t>, ch. P</w:t>
            </w:r>
            <w:r w:rsidRPr="00495EC2">
              <w:rPr>
                <w:rFonts w:eastAsia="Calibri"/>
                <w:sz w:val="20"/>
                <w:lang w:val="fr-FR"/>
              </w:rPr>
              <w:noBreakHyphen/>
              <w:t xml:space="preserve">40.1 (la « LPC »), en combinaison avec la </w:t>
            </w:r>
            <w:r w:rsidRPr="00495EC2">
              <w:rPr>
                <w:rFonts w:eastAsia="Calibri"/>
                <w:i/>
                <w:sz w:val="20"/>
                <w:lang w:val="fr-FR"/>
              </w:rPr>
              <w:t>Loi sur les</w:t>
            </w:r>
            <w:r w:rsidRPr="00495EC2">
              <w:rPr>
                <w:rFonts w:eastAsia="Calibri"/>
                <w:sz w:val="20"/>
                <w:lang w:val="fr-FR"/>
              </w:rPr>
              <w:t xml:space="preserve"> </w:t>
            </w:r>
            <w:r w:rsidRPr="00495EC2">
              <w:rPr>
                <w:rFonts w:eastAsia="Calibri"/>
                <w:i/>
                <w:sz w:val="20"/>
                <w:lang w:val="fr-FR"/>
              </w:rPr>
              <w:t>banques</w:t>
            </w:r>
            <w:r w:rsidRPr="00495EC2">
              <w:rPr>
                <w:rFonts w:eastAsia="Calibri"/>
                <w:sz w:val="20"/>
                <w:lang w:val="fr-FR"/>
              </w:rPr>
              <w:t xml:space="preserve">, L.C. 1991, ch. 46, et ses modifications, et le </w:t>
            </w:r>
            <w:r w:rsidRPr="00495EC2">
              <w:rPr>
                <w:rFonts w:eastAsia="Calibri"/>
                <w:i/>
                <w:sz w:val="20"/>
                <w:lang w:val="fr-FR"/>
              </w:rPr>
              <w:t>Règlement sur le coût d’emprunt (banques)</w:t>
            </w:r>
            <w:r w:rsidRPr="00495EC2">
              <w:rPr>
                <w:rFonts w:eastAsia="Calibri"/>
                <w:sz w:val="20"/>
                <w:lang w:val="fr-FR"/>
              </w:rPr>
              <w:t>, DORS/2001</w:t>
            </w:r>
            <w:r w:rsidRPr="00495EC2">
              <w:rPr>
                <w:rFonts w:eastAsia="Calibri"/>
                <w:sz w:val="20"/>
                <w:lang w:val="fr-FR"/>
              </w:rPr>
              <w:noBreakHyphen/>
              <w:t xml:space="preserve">101, et ses modifications – La LPC est-elle constitutionnellement inapplicable, de sorte qu’elle ne peut pas réglementer les cartes de crédit émises par des banques selon la doctrine de la prépondérance fédérale? – Le régime de crédit variable instauré par la LPC est-il incompatible avec la législation fédérale? </w:t>
            </w:r>
          </w:p>
          <w:p w:rsidR="002841B0" w:rsidRPr="00495EC2" w:rsidRDefault="002841B0" w:rsidP="00EC5583">
            <w:pPr>
              <w:jc w:val="both"/>
              <w:rPr>
                <w:rFonts w:eastAsia="Calibri"/>
                <w:sz w:val="20"/>
                <w:lang w:val="fr-FR"/>
              </w:rPr>
            </w:pPr>
          </w:p>
          <w:p w:rsidR="002841B0" w:rsidRPr="00495EC2" w:rsidRDefault="002841B0" w:rsidP="00EC5583">
            <w:pPr>
              <w:jc w:val="both"/>
              <w:rPr>
                <w:rFonts w:eastAsia="Calibri"/>
                <w:sz w:val="20"/>
                <w:lang w:val="fr-FR"/>
              </w:rPr>
            </w:pPr>
            <w:r w:rsidRPr="00495EC2">
              <w:rPr>
                <w:rFonts w:eastAsia="Calibri"/>
                <w:sz w:val="20"/>
                <w:lang w:val="fr-FR"/>
              </w:rPr>
              <w:t>Protection du consommateur – Institutions financières – Cartes de crédit – Les vendeurs de crédit peuvent-ils communiquer et facturer les frais des services associés au crédit séparément du taux de crédit annuel ou des droits d’adhésion prescrits par la LPC? – Quels sont les recours civils à la disposition des consommateurs aux termes de la LPC lorsque des « frais de crédit » sont communiqués et facturés d’une manière contraire au régime de crédit instauré par cette loi?</w:t>
            </w:r>
          </w:p>
          <w:p w:rsidR="002841B0" w:rsidRPr="00495EC2" w:rsidRDefault="002841B0" w:rsidP="00EC5583">
            <w:pPr>
              <w:jc w:val="both"/>
              <w:rPr>
                <w:rFonts w:eastAsia="Calibri"/>
                <w:sz w:val="20"/>
                <w:lang w:val="fr-FR"/>
              </w:rPr>
            </w:pPr>
          </w:p>
          <w:p w:rsidR="002841B0" w:rsidRPr="00495EC2" w:rsidRDefault="002841B0" w:rsidP="00EC5583">
            <w:pPr>
              <w:jc w:val="both"/>
              <w:rPr>
                <w:rFonts w:eastAsia="Calibri"/>
                <w:sz w:val="20"/>
                <w:lang w:val="fr-FR"/>
              </w:rPr>
            </w:pPr>
            <w:r w:rsidRPr="00495EC2">
              <w:rPr>
                <w:rFonts w:eastAsia="Calibri"/>
                <w:sz w:val="20"/>
                <w:lang w:val="fr-FR"/>
              </w:rPr>
              <w:t>Procédure civile – Recours collectifs – Le représentant des demandeurs a-t-il qualité pour intenter un recours collectif contre l’ensemble d’une industrie en l’absence d’une cause d’action contre certaines défenderesses?</w:t>
            </w:r>
          </w:p>
        </w:tc>
      </w:tr>
      <w:tr w:rsidR="002841B0" w:rsidRPr="009714AD" w:rsidTr="00EC5583">
        <w:tc>
          <w:tcPr>
            <w:tcW w:w="5000" w:type="pct"/>
            <w:gridSpan w:val="3"/>
          </w:tcPr>
          <w:p w:rsidR="002841B0" w:rsidRPr="00495EC2" w:rsidRDefault="002841B0" w:rsidP="00EC5583">
            <w:pPr>
              <w:jc w:val="both"/>
              <w:rPr>
                <w:rFonts w:eastAsia="Calibri"/>
                <w:sz w:val="20"/>
                <w:lang w:val="fr-FR"/>
              </w:rPr>
            </w:pPr>
          </w:p>
        </w:tc>
      </w:tr>
      <w:tr w:rsidR="002841B0" w:rsidRPr="009714AD" w:rsidTr="00EC5583">
        <w:tc>
          <w:tcPr>
            <w:tcW w:w="5000" w:type="pct"/>
            <w:gridSpan w:val="3"/>
          </w:tcPr>
          <w:p w:rsidR="002841B0" w:rsidRPr="00495EC2" w:rsidRDefault="002841B0" w:rsidP="00EC5583">
            <w:pPr>
              <w:jc w:val="both"/>
              <w:rPr>
                <w:rFonts w:eastAsia="Calibri"/>
                <w:sz w:val="20"/>
                <w:lang w:val="fr-FR"/>
              </w:rPr>
            </w:pPr>
            <w:r w:rsidRPr="00495EC2">
              <w:rPr>
                <w:rFonts w:eastAsia="Calibri"/>
                <w:sz w:val="20"/>
                <w:lang w:val="fr-FR"/>
              </w:rPr>
              <w:t>Dans ce recours collectif, les représentants des demandeurs allèguent que plusieurs institutions bancaires ont enfreint la LPC en ne communiquant pas les frais de conversion d’une devise étrangère imputés aux cartes de crédit comme « frais de crédit ».  La LPC exige que tous les « frais de crédit » soient inclus dans le « taux de crédit » et communiqués aux détenteurs de cartes de crédit sous la forme d’un pourcentage annuel.  Les représentants des demandeurs allèguent aussi qu’en tant que « frais de crédit », les frais de conversion d’une devise étrangère sont visés par le « délai de grâce » de 21 jours prévu à la LPC et qu’ils ne peuvent donc être imputés aux consommateurs ayant acquitté leur solde à l’intérieur de ce délai.  Enfin, il est aussi soutenu que les institutions bancaires n’avaient pas communiqué séparément les frais de conversion d’une devise étrangère durant certaines périodes, ce qui rend ces institutions redevables de restitution et de dommages-intérêts punitifs sous le régime de la LPC.  Toutes ces allégations sont réfutées par les institutions bancaires</w:t>
            </w:r>
            <w:r w:rsidRPr="00495EC2">
              <w:rPr>
                <w:rFonts w:eastAsia="Calibri"/>
                <w:iCs/>
                <w:sz w:val="20"/>
                <w:lang w:val="fr-FR"/>
              </w:rPr>
              <w:t xml:space="preserve">, pour qui les frais de conversion d’une devise étrangère ne constituent pas des « frais de crédit » au sens de la LPC.  Selon elles, les frais en question font plutôt partie du « capital net » et ne sont donc pas assujettis aux dispositions de la LPC sur la manière dont le taux de crédit doit être communiqué.  Les institutions bancaires soutiennent subsidiairement qu’étant donné la législation fédérale actuellement applicable à l’industrie bancaire, la LPC est constitutionnellement inapplicable selon la doctrine de l’exclusivité des compétences, et  qu’elle est par ailleurs inopérante selon la doctrine de la prépondérance fédérale. </w:t>
            </w:r>
          </w:p>
          <w:p w:rsidR="002841B0" w:rsidRPr="00495EC2" w:rsidRDefault="002841B0" w:rsidP="00EC5583">
            <w:pPr>
              <w:jc w:val="both"/>
              <w:rPr>
                <w:rFonts w:eastAsia="Calibri"/>
                <w:iCs/>
                <w:sz w:val="20"/>
                <w:lang w:val="fr-FR"/>
              </w:rPr>
            </w:pPr>
          </w:p>
        </w:tc>
      </w:tr>
      <w:tr w:rsidR="002841B0" w:rsidRPr="009714AD" w:rsidTr="00EC5583">
        <w:tc>
          <w:tcPr>
            <w:tcW w:w="2427" w:type="pct"/>
          </w:tcPr>
          <w:p w:rsidR="002841B0" w:rsidRPr="00495EC2" w:rsidRDefault="002841B0" w:rsidP="00EC5583">
            <w:pPr>
              <w:jc w:val="both"/>
              <w:rPr>
                <w:rFonts w:eastAsia="Calibri"/>
                <w:sz w:val="20"/>
                <w:lang w:val="fr-FR"/>
              </w:rPr>
            </w:pPr>
            <w:r w:rsidRPr="00495EC2">
              <w:rPr>
                <w:rFonts w:eastAsia="Calibri"/>
                <w:sz w:val="20"/>
                <w:lang w:val="fr-FR"/>
              </w:rPr>
              <w:t>11 juin 2009</w:t>
            </w:r>
          </w:p>
          <w:p w:rsidR="002841B0" w:rsidRPr="00495EC2" w:rsidRDefault="002841B0" w:rsidP="00EC5583">
            <w:pPr>
              <w:jc w:val="both"/>
              <w:rPr>
                <w:rFonts w:eastAsia="Calibri"/>
                <w:sz w:val="20"/>
                <w:lang w:val="fr-FR"/>
              </w:rPr>
            </w:pPr>
            <w:r w:rsidRPr="00495EC2">
              <w:rPr>
                <w:rFonts w:eastAsia="Calibri"/>
                <w:sz w:val="20"/>
                <w:lang w:val="fr-FR"/>
              </w:rPr>
              <w:t>Cour supérieure du Québec</w:t>
            </w:r>
          </w:p>
          <w:p w:rsidR="002841B0" w:rsidRPr="00495EC2" w:rsidRDefault="002841B0" w:rsidP="00EC5583">
            <w:pPr>
              <w:jc w:val="both"/>
              <w:rPr>
                <w:rFonts w:eastAsia="Calibri"/>
                <w:sz w:val="20"/>
                <w:lang w:val="fr-FR"/>
              </w:rPr>
            </w:pPr>
            <w:r w:rsidRPr="00495EC2">
              <w:rPr>
                <w:rFonts w:eastAsia="Calibri"/>
                <w:sz w:val="20"/>
                <w:lang w:val="fr-FR"/>
              </w:rPr>
              <w:t>(Juge Gascon)</w:t>
            </w:r>
          </w:p>
          <w:p w:rsidR="002841B0" w:rsidRPr="00495EC2" w:rsidRDefault="002841B0"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500</w:t>
            </w:r>
            <w:r w:rsidRPr="00495EC2">
              <w:rPr>
                <w:rFonts w:eastAsia="Calibri"/>
                <w:sz w:val="20"/>
              </w:rPr>
              <w:noBreakHyphen/>
              <w:t>06</w:t>
            </w:r>
            <w:r w:rsidRPr="00495EC2">
              <w:rPr>
                <w:rFonts w:eastAsia="Calibri"/>
                <w:sz w:val="20"/>
              </w:rPr>
              <w:noBreakHyphen/>
              <w:t>000197</w:t>
            </w:r>
            <w:r w:rsidRPr="00495EC2">
              <w:rPr>
                <w:rFonts w:eastAsia="Calibri"/>
                <w:sz w:val="20"/>
              </w:rPr>
              <w:noBreakHyphen/>
              <w:t>034</w:t>
            </w:r>
          </w:p>
          <w:p w:rsidR="002841B0" w:rsidRPr="00495EC2" w:rsidRDefault="002841B0" w:rsidP="00EC5583">
            <w:pPr>
              <w:jc w:val="both"/>
              <w:rPr>
                <w:rFonts w:eastAsia="Calibri"/>
                <w:sz w:val="20"/>
              </w:rPr>
            </w:pPr>
            <w:r w:rsidRPr="00495EC2">
              <w:rPr>
                <w:rFonts w:eastAsia="Calibri"/>
                <w:sz w:val="20"/>
              </w:rPr>
              <w:t>2009 QCCS 2764</w:t>
            </w:r>
          </w:p>
          <w:p w:rsidR="002841B0" w:rsidRPr="00495EC2" w:rsidRDefault="002841B0" w:rsidP="00EC5583">
            <w:pPr>
              <w:jc w:val="both"/>
              <w:rPr>
                <w:rFonts w:eastAsia="Calibri"/>
                <w:sz w:val="20"/>
              </w:rPr>
            </w:pPr>
          </w:p>
        </w:tc>
        <w:tc>
          <w:tcPr>
            <w:tcW w:w="243" w:type="pct"/>
          </w:tcPr>
          <w:p w:rsidR="002841B0" w:rsidRPr="00495EC2" w:rsidRDefault="002841B0" w:rsidP="00EC5583">
            <w:pPr>
              <w:jc w:val="both"/>
              <w:rPr>
                <w:rFonts w:eastAsia="Calibri"/>
                <w:sz w:val="20"/>
              </w:rPr>
            </w:pPr>
          </w:p>
        </w:tc>
        <w:tc>
          <w:tcPr>
            <w:tcW w:w="2330" w:type="pct"/>
          </w:tcPr>
          <w:p w:rsidR="002841B0" w:rsidRPr="00495EC2" w:rsidRDefault="002841B0" w:rsidP="00EC5583">
            <w:pPr>
              <w:jc w:val="both"/>
              <w:rPr>
                <w:rFonts w:eastAsia="Calibri"/>
                <w:sz w:val="20"/>
                <w:lang w:val="fr-FR"/>
              </w:rPr>
            </w:pPr>
            <w:r w:rsidRPr="00495EC2">
              <w:rPr>
                <w:rFonts w:eastAsia="Calibri"/>
                <w:sz w:val="20"/>
                <w:lang w:val="fr-FR"/>
              </w:rPr>
              <w:t xml:space="preserve">Recours collectif accueilli en partie, entre autres parce que des commissions de conversion d’une devise étrangère ont été imputées aux membres du groupe en contravention de la LPC, une loi dont l’application et l’opérabilité ne sont écartées ni par la doctrine de l’exclusivité des compétences, ni par la doctrine de la prépondérance fédérale. </w:t>
            </w:r>
          </w:p>
          <w:p w:rsidR="002841B0" w:rsidRPr="00495EC2" w:rsidRDefault="002841B0" w:rsidP="00EC5583">
            <w:pPr>
              <w:jc w:val="both"/>
              <w:rPr>
                <w:rFonts w:eastAsia="Calibri"/>
                <w:sz w:val="20"/>
                <w:lang w:val="fr-FR"/>
              </w:rPr>
            </w:pPr>
          </w:p>
        </w:tc>
      </w:tr>
      <w:tr w:rsidR="002841B0" w:rsidRPr="00495EC2" w:rsidTr="00EC5583">
        <w:tc>
          <w:tcPr>
            <w:tcW w:w="2427" w:type="pct"/>
          </w:tcPr>
          <w:p w:rsidR="002841B0" w:rsidRPr="00495EC2" w:rsidRDefault="002841B0" w:rsidP="00EC5583">
            <w:pPr>
              <w:jc w:val="both"/>
              <w:rPr>
                <w:rFonts w:eastAsia="Calibri"/>
                <w:sz w:val="20"/>
                <w:lang w:val="fr-FR"/>
              </w:rPr>
            </w:pPr>
            <w:r w:rsidRPr="00495EC2">
              <w:rPr>
                <w:rFonts w:eastAsia="Calibri"/>
                <w:sz w:val="20"/>
                <w:lang w:val="fr-FR"/>
              </w:rPr>
              <w:t>2 août 2012</w:t>
            </w:r>
          </w:p>
          <w:p w:rsidR="002841B0" w:rsidRPr="00495EC2" w:rsidRDefault="002841B0" w:rsidP="00EC5583">
            <w:pPr>
              <w:jc w:val="both"/>
              <w:rPr>
                <w:rFonts w:eastAsia="Calibri"/>
                <w:sz w:val="20"/>
                <w:lang w:val="fr-FR"/>
              </w:rPr>
            </w:pPr>
            <w:r w:rsidRPr="00495EC2">
              <w:rPr>
                <w:rFonts w:eastAsia="Calibri"/>
                <w:sz w:val="20"/>
                <w:lang w:val="fr-FR"/>
              </w:rPr>
              <w:t>Cour d’appel du Québec (Montréal)</w:t>
            </w:r>
          </w:p>
          <w:p w:rsidR="002841B0" w:rsidRPr="00495EC2" w:rsidRDefault="002841B0" w:rsidP="00EC5583">
            <w:pPr>
              <w:jc w:val="both"/>
              <w:rPr>
                <w:rFonts w:eastAsia="Calibri"/>
                <w:sz w:val="20"/>
                <w:lang w:val="fr-FR"/>
              </w:rPr>
            </w:pPr>
            <w:r w:rsidRPr="00495EC2">
              <w:rPr>
                <w:rFonts w:eastAsia="Calibri"/>
                <w:sz w:val="20"/>
                <w:lang w:val="fr-FR"/>
              </w:rPr>
              <w:t xml:space="preserve">(Juges Forget, </w:t>
            </w:r>
            <w:proofErr w:type="spellStart"/>
            <w:r w:rsidRPr="00495EC2">
              <w:rPr>
                <w:rFonts w:eastAsia="Calibri"/>
                <w:sz w:val="20"/>
                <w:lang w:val="fr-FR"/>
              </w:rPr>
              <w:t>Dalphond</w:t>
            </w:r>
            <w:proofErr w:type="spellEnd"/>
            <w:r w:rsidRPr="00495EC2">
              <w:rPr>
                <w:rFonts w:eastAsia="Calibri"/>
                <w:sz w:val="20"/>
                <w:lang w:val="fr-FR"/>
              </w:rPr>
              <w:t xml:space="preserve"> et </w:t>
            </w:r>
            <w:proofErr w:type="spellStart"/>
            <w:r w:rsidRPr="00495EC2">
              <w:rPr>
                <w:rFonts w:eastAsia="Calibri"/>
                <w:sz w:val="20"/>
                <w:lang w:val="fr-FR"/>
              </w:rPr>
              <w:t>Bich</w:t>
            </w:r>
            <w:proofErr w:type="spellEnd"/>
            <w:r w:rsidRPr="00495EC2">
              <w:rPr>
                <w:rFonts w:eastAsia="Calibri"/>
                <w:sz w:val="20"/>
                <w:lang w:val="fr-FR"/>
              </w:rPr>
              <w:t>)</w:t>
            </w:r>
          </w:p>
          <w:p w:rsidR="002841B0" w:rsidRPr="00495EC2" w:rsidRDefault="002841B0"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xml:space="preserve"> 500</w:t>
            </w:r>
            <w:r w:rsidRPr="00495EC2">
              <w:rPr>
                <w:rFonts w:eastAsia="Calibri"/>
                <w:sz w:val="20"/>
              </w:rPr>
              <w:noBreakHyphen/>
              <w:t>09</w:t>
            </w:r>
            <w:r w:rsidRPr="00495EC2">
              <w:rPr>
                <w:rFonts w:eastAsia="Calibri"/>
                <w:sz w:val="20"/>
              </w:rPr>
              <w:noBreakHyphen/>
              <w:t>019849</w:t>
            </w:r>
            <w:r w:rsidRPr="00495EC2">
              <w:rPr>
                <w:rFonts w:eastAsia="Calibri"/>
                <w:sz w:val="20"/>
              </w:rPr>
              <w:noBreakHyphen/>
              <w:t>090</w:t>
            </w:r>
          </w:p>
          <w:p w:rsidR="002841B0" w:rsidRPr="00495EC2" w:rsidRDefault="002841B0"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xml:space="preserve"> 500</w:t>
            </w:r>
            <w:r w:rsidRPr="00495EC2">
              <w:rPr>
                <w:rFonts w:eastAsia="Calibri"/>
                <w:sz w:val="20"/>
              </w:rPr>
              <w:noBreakHyphen/>
              <w:t>09</w:t>
            </w:r>
            <w:r w:rsidRPr="00495EC2">
              <w:rPr>
                <w:rFonts w:eastAsia="Calibri"/>
                <w:sz w:val="20"/>
              </w:rPr>
              <w:noBreakHyphen/>
              <w:t>019850</w:t>
            </w:r>
            <w:r w:rsidRPr="00495EC2">
              <w:rPr>
                <w:rFonts w:eastAsia="Calibri"/>
                <w:sz w:val="20"/>
              </w:rPr>
              <w:noBreakHyphen/>
              <w:t>098</w:t>
            </w:r>
          </w:p>
          <w:p w:rsidR="002841B0" w:rsidRPr="00495EC2" w:rsidRDefault="002841B0"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500</w:t>
            </w:r>
            <w:r w:rsidRPr="00495EC2">
              <w:rPr>
                <w:rFonts w:eastAsia="Calibri"/>
                <w:sz w:val="20"/>
              </w:rPr>
              <w:noBreakHyphen/>
              <w:t>09</w:t>
            </w:r>
            <w:r w:rsidRPr="00495EC2">
              <w:rPr>
                <w:rFonts w:eastAsia="Calibri"/>
                <w:sz w:val="20"/>
              </w:rPr>
              <w:noBreakHyphen/>
              <w:t>019851</w:t>
            </w:r>
            <w:r w:rsidRPr="00495EC2">
              <w:rPr>
                <w:rFonts w:eastAsia="Calibri"/>
                <w:sz w:val="20"/>
              </w:rPr>
              <w:noBreakHyphen/>
              <w:t>096</w:t>
            </w:r>
          </w:p>
          <w:p w:rsidR="002841B0" w:rsidRPr="00495EC2" w:rsidRDefault="002841B0"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xml:space="preserve"> 500</w:t>
            </w:r>
            <w:r w:rsidRPr="00495EC2">
              <w:rPr>
                <w:rFonts w:eastAsia="Calibri"/>
                <w:sz w:val="20"/>
              </w:rPr>
              <w:noBreakHyphen/>
              <w:t>09</w:t>
            </w:r>
            <w:r w:rsidRPr="00495EC2">
              <w:rPr>
                <w:rFonts w:eastAsia="Calibri"/>
                <w:sz w:val="20"/>
              </w:rPr>
              <w:noBreakHyphen/>
              <w:t>019852</w:t>
            </w:r>
            <w:r w:rsidRPr="00495EC2">
              <w:rPr>
                <w:rFonts w:eastAsia="Calibri"/>
                <w:sz w:val="20"/>
              </w:rPr>
              <w:noBreakHyphen/>
              <w:t>094</w:t>
            </w:r>
          </w:p>
          <w:p w:rsidR="002841B0" w:rsidRPr="00495EC2" w:rsidRDefault="002841B0"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xml:space="preserve"> 500</w:t>
            </w:r>
            <w:r w:rsidRPr="00495EC2">
              <w:rPr>
                <w:rFonts w:eastAsia="Calibri"/>
                <w:sz w:val="20"/>
              </w:rPr>
              <w:noBreakHyphen/>
              <w:t>09</w:t>
            </w:r>
            <w:r w:rsidRPr="00495EC2">
              <w:rPr>
                <w:rFonts w:eastAsia="Calibri"/>
                <w:sz w:val="20"/>
              </w:rPr>
              <w:noBreakHyphen/>
              <w:t>019853</w:t>
            </w:r>
            <w:r w:rsidRPr="00495EC2">
              <w:rPr>
                <w:rFonts w:eastAsia="Calibri"/>
                <w:sz w:val="20"/>
              </w:rPr>
              <w:noBreakHyphen/>
              <w:t>092</w:t>
            </w:r>
          </w:p>
          <w:p w:rsidR="002841B0" w:rsidRPr="00495EC2" w:rsidRDefault="002841B0"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xml:space="preserve"> 500</w:t>
            </w:r>
            <w:r w:rsidRPr="00495EC2">
              <w:rPr>
                <w:rFonts w:eastAsia="Calibri"/>
                <w:sz w:val="20"/>
              </w:rPr>
              <w:noBreakHyphen/>
              <w:t>09</w:t>
            </w:r>
            <w:r w:rsidRPr="00495EC2">
              <w:rPr>
                <w:rFonts w:eastAsia="Calibri"/>
                <w:sz w:val="20"/>
              </w:rPr>
              <w:noBreakHyphen/>
              <w:t>019854</w:t>
            </w:r>
            <w:r w:rsidRPr="00495EC2">
              <w:rPr>
                <w:rFonts w:eastAsia="Calibri"/>
                <w:sz w:val="20"/>
              </w:rPr>
              <w:noBreakHyphen/>
              <w:t xml:space="preserve">090 </w:t>
            </w:r>
          </w:p>
          <w:p w:rsidR="002841B0" w:rsidRPr="00495EC2" w:rsidRDefault="002841B0"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xml:space="preserve"> 500</w:t>
            </w:r>
            <w:r w:rsidRPr="00495EC2">
              <w:rPr>
                <w:rFonts w:eastAsia="Calibri"/>
                <w:sz w:val="20"/>
              </w:rPr>
              <w:noBreakHyphen/>
              <w:t>09</w:t>
            </w:r>
            <w:r w:rsidRPr="00495EC2">
              <w:rPr>
                <w:rFonts w:eastAsia="Calibri"/>
                <w:sz w:val="20"/>
              </w:rPr>
              <w:noBreakHyphen/>
              <w:t>019855</w:t>
            </w:r>
            <w:r w:rsidRPr="00495EC2">
              <w:rPr>
                <w:rFonts w:eastAsia="Calibri"/>
                <w:sz w:val="20"/>
              </w:rPr>
              <w:noBreakHyphen/>
              <w:t>097</w:t>
            </w:r>
          </w:p>
          <w:p w:rsidR="002841B0" w:rsidRPr="00495EC2" w:rsidRDefault="002841B0"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xml:space="preserve"> 500</w:t>
            </w:r>
            <w:r w:rsidRPr="00495EC2">
              <w:rPr>
                <w:rFonts w:eastAsia="Calibri"/>
                <w:sz w:val="20"/>
              </w:rPr>
              <w:noBreakHyphen/>
              <w:t>09</w:t>
            </w:r>
            <w:r w:rsidRPr="00495EC2">
              <w:rPr>
                <w:rFonts w:eastAsia="Calibri"/>
                <w:sz w:val="20"/>
              </w:rPr>
              <w:noBreakHyphen/>
              <w:t>019856</w:t>
            </w:r>
            <w:r w:rsidRPr="00495EC2">
              <w:rPr>
                <w:rFonts w:eastAsia="Calibri"/>
                <w:sz w:val="20"/>
              </w:rPr>
              <w:noBreakHyphen/>
              <w:t>095</w:t>
            </w:r>
          </w:p>
          <w:p w:rsidR="002841B0" w:rsidRPr="00495EC2" w:rsidRDefault="002841B0"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xml:space="preserve"> 500</w:t>
            </w:r>
            <w:r w:rsidRPr="00495EC2">
              <w:rPr>
                <w:rFonts w:eastAsia="Calibri"/>
                <w:sz w:val="20"/>
              </w:rPr>
              <w:noBreakHyphen/>
              <w:t>09</w:t>
            </w:r>
            <w:r w:rsidRPr="00495EC2">
              <w:rPr>
                <w:rFonts w:eastAsia="Calibri"/>
                <w:sz w:val="20"/>
              </w:rPr>
              <w:noBreakHyphen/>
              <w:t>019857</w:t>
            </w:r>
            <w:r w:rsidRPr="00495EC2">
              <w:rPr>
                <w:rFonts w:eastAsia="Calibri"/>
                <w:sz w:val="20"/>
              </w:rPr>
              <w:noBreakHyphen/>
              <w:t>093</w:t>
            </w:r>
          </w:p>
          <w:p w:rsidR="002841B0" w:rsidRPr="00495EC2" w:rsidRDefault="002841B0" w:rsidP="00EC5583">
            <w:pPr>
              <w:jc w:val="both"/>
              <w:rPr>
                <w:rFonts w:eastAsia="Calibri"/>
                <w:sz w:val="20"/>
              </w:rPr>
            </w:pPr>
            <w:r w:rsidRPr="00495EC2">
              <w:rPr>
                <w:rFonts w:eastAsia="Calibri"/>
                <w:sz w:val="20"/>
              </w:rPr>
              <w:t>2012 QCCA 1396</w:t>
            </w:r>
          </w:p>
          <w:p w:rsidR="002841B0" w:rsidRPr="00495EC2" w:rsidRDefault="002841B0" w:rsidP="00EC5583">
            <w:pPr>
              <w:jc w:val="both"/>
              <w:rPr>
                <w:rFonts w:eastAsia="Calibri"/>
                <w:sz w:val="20"/>
              </w:rPr>
            </w:pPr>
          </w:p>
        </w:tc>
        <w:tc>
          <w:tcPr>
            <w:tcW w:w="243" w:type="pct"/>
          </w:tcPr>
          <w:p w:rsidR="002841B0" w:rsidRPr="00495EC2" w:rsidRDefault="002841B0" w:rsidP="00EC5583">
            <w:pPr>
              <w:jc w:val="both"/>
              <w:rPr>
                <w:rFonts w:eastAsia="Calibri"/>
                <w:sz w:val="20"/>
              </w:rPr>
            </w:pPr>
          </w:p>
        </w:tc>
        <w:tc>
          <w:tcPr>
            <w:tcW w:w="2330" w:type="pct"/>
          </w:tcPr>
          <w:p w:rsidR="002841B0" w:rsidRPr="003F180F" w:rsidRDefault="002841B0" w:rsidP="00EC5583">
            <w:pPr>
              <w:jc w:val="both"/>
              <w:rPr>
                <w:rFonts w:eastAsia="Calibri"/>
                <w:sz w:val="20"/>
                <w:lang w:val="fr-CA"/>
              </w:rPr>
            </w:pPr>
            <w:r w:rsidRPr="003F180F">
              <w:rPr>
                <w:rFonts w:eastAsia="Calibri"/>
                <w:sz w:val="20"/>
                <w:lang w:val="fr-CA"/>
              </w:rPr>
              <w:t>Appels accueillis en partie.</w:t>
            </w:r>
          </w:p>
        </w:tc>
      </w:tr>
      <w:tr w:rsidR="002841B0" w:rsidRPr="00495EC2" w:rsidTr="00EC5583">
        <w:tc>
          <w:tcPr>
            <w:tcW w:w="2427" w:type="pct"/>
          </w:tcPr>
          <w:p w:rsidR="002841B0" w:rsidRPr="00495EC2" w:rsidRDefault="002841B0" w:rsidP="00EC5583">
            <w:pPr>
              <w:jc w:val="both"/>
              <w:rPr>
                <w:rFonts w:eastAsia="Calibri"/>
                <w:sz w:val="20"/>
                <w:lang w:val="fr-CA"/>
              </w:rPr>
            </w:pPr>
            <w:r w:rsidRPr="00495EC2">
              <w:rPr>
                <w:rFonts w:eastAsia="Calibri"/>
                <w:sz w:val="20"/>
                <w:lang w:val="fr-CA"/>
              </w:rPr>
              <w:t>1</w:t>
            </w:r>
            <w:r w:rsidRPr="00495EC2">
              <w:rPr>
                <w:rFonts w:eastAsia="Calibri"/>
                <w:sz w:val="20"/>
                <w:vertAlign w:val="superscript"/>
                <w:lang w:val="fr-CA"/>
              </w:rPr>
              <w:t>er</w:t>
            </w:r>
            <w:r w:rsidRPr="00495EC2">
              <w:rPr>
                <w:rFonts w:eastAsia="Calibri"/>
                <w:sz w:val="20"/>
                <w:lang w:val="fr-CA"/>
              </w:rPr>
              <w:t xml:space="preserve"> octobre 2012</w:t>
            </w:r>
          </w:p>
          <w:p w:rsidR="002841B0" w:rsidRPr="00495EC2" w:rsidRDefault="002841B0" w:rsidP="00EC5583">
            <w:pPr>
              <w:jc w:val="both"/>
              <w:rPr>
                <w:rFonts w:eastAsia="Calibri"/>
                <w:sz w:val="20"/>
                <w:lang w:val="fr-CA"/>
              </w:rPr>
            </w:pPr>
            <w:r w:rsidRPr="00495EC2">
              <w:rPr>
                <w:rFonts w:eastAsia="Calibri"/>
                <w:sz w:val="20"/>
                <w:lang w:val="fr-CA"/>
              </w:rPr>
              <w:t>Cour suprême du Canada</w:t>
            </w:r>
          </w:p>
          <w:p w:rsidR="002841B0" w:rsidRPr="00495EC2" w:rsidRDefault="002841B0" w:rsidP="00EC5583">
            <w:pPr>
              <w:jc w:val="both"/>
              <w:rPr>
                <w:rFonts w:eastAsia="Calibri"/>
                <w:sz w:val="20"/>
                <w:lang w:val="fr-CA"/>
              </w:rPr>
            </w:pPr>
          </w:p>
        </w:tc>
        <w:tc>
          <w:tcPr>
            <w:tcW w:w="243" w:type="pct"/>
          </w:tcPr>
          <w:p w:rsidR="002841B0" w:rsidRPr="00495EC2" w:rsidRDefault="002841B0" w:rsidP="00EC5583">
            <w:pPr>
              <w:jc w:val="both"/>
              <w:rPr>
                <w:rFonts w:eastAsia="Calibri"/>
                <w:sz w:val="20"/>
                <w:lang w:val="fr-CA"/>
              </w:rPr>
            </w:pPr>
          </w:p>
        </w:tc>
        <w:tc>
          <w:tcPr>
            <w:tcW w:w="2330" w:type="pct"/>
          </w:tcPr>
          <w:p w:rsidR="002841B0" w:rsidRPr="003F180F" w:rsidRDefault="002841B0" w:rsidP="00EC5583">
            <w:pPr>
              <w:jc w:val="both"/>
              <w:rPr>
                <w:rFonts w:eastAsia="Calibri"/>
                <w:sz w:val="20"/>
                <w:lang w:val="fr-CA"/>
              </w:rPr>
            </w:pPr>
            <w:r w:rsidRPr="003F180F">
              <w:rPr>
                <w:rFonts w:eastAsia="Calibri"/>
                <w:sz w:val="20"/>
                <w:lang w:val="fr-CA"/>
              </w:rPr>
              <w:t>Demande d’autorisation d’appel déposée.</w:t>
            </w:r>
          </w:p>
          <w:p w:rsidR="002841B0" w:rsidRPr="003F180F" w:rsidRDefault="002841B0" w:rsidP="00EC5583">
            <w:pPr>
              <w:jc w:val="both"/>
              <w:rPr>
                <w:rFonts w:eastAsia="Calibri"/>
                <w:sz w:val="20"/>
                <w:lang w:val="fr-CA"/>
              </w:rPr>
            </w:pPr>
          </w:p>
        </w:tc>
      </w:tr>
      <w:tr w:rsidR="002841B0" w:rsidRPr="00495EC2" w:rsidTr="00EC5583">
        <w:tc>
          <w:tcPr>
            <w:tcW w:w="2427" w:type="pct"/>
          </w:tcPr>
          <w:p w:rsidR="002841B0" w:rsidRPr="00495EC2" w:rsidRDefault="002841B0" w:rsidP="00EC5583">
            <w:pPr>
              <w:jc w:val="both"/>
              <w:rPr>
                <w:rFonts w:eastAsia="Calibri"/>
                <w:sz w:val="20"/>
                <w:lang w:val="fr-CA"/>
              </w:rPr>
            </w:pPr>
            <w:r w:rsidRPr="00495EC2">
              <w:rPr>
                <w:rFonts w:eastAsia="Calibri"/>
                <w:sz w:val="20"/>
                <w:lang w:val="fr-CA"/>
              </w:rPr>
              <w:t>1</w:t>
            </w:r>
            <w:r w:rsidRPr="00495EC2">
              <w:rPr>
                <w:rFonts w:eastAsia="Calibri"/>
                <w:sz w:val="20"/>
                <w:vertAlign w:val="superscript"/>
                <w:lang w:val="fr-CA"/>
              </w:rPr>
              <w:t>er</w:t>
            </w:r>
            <w:r w:rsidRPr="00495EC2">
              <w:rPr>
                <w:rFonts w:eastAsia="Calibri"/>
                <w:sz w:val="20"/>
                <w:lang w:val="fr-CA"/>
              </w:rPr>
              <w:t xml:space="preserve"> octobre 2012</w:t>
            </w:r>
          </w:p>
          <w:p w:rsidR="002841B0" w:rsidRPr="00495EC2" w:rsidRDefault="002841B0" w:rsidP="00EC5583">
            <w:pPr>
              <w:jc w:val="both"/>
              <w:rPr>
                <w:rFonts w:eastAsia="Calibri"/>
                <w:sz w:val="20"/>
                <w:lang w:val="fr-CA"/>
              </w:rPr>
            </w:pPr>
            <w:r w:rsidRPr="00495EC2">
              <w:rPr>
                <w:rFonts w:eastAsia="Calibri"/>
                <w:sz w:val="20"/>
                <w:lang w:val="fr-CA"/>
              </w:rPr>
              <w:t>Cour suprême du Canada</w:t>
            </w:r>
          </w:p>
        </w:tc>
        <w:tc>
          <w:tcPr>
            <w:tcW w:w="243" w:type="pct"/>
          </w:tcPr>
          <w:p w:rsidR="002841B0" w:rsidRPr="00495EC2" w:rsidRDefault="002841B0" w:rsidP="00EC5583">
            <w:pPr>
              <w:jc w:val="both"/>
              <w:rPr>
                <w:rFonts w:eastAsia="Calibri"/>
                <w:sz w:val="20"/>
                <w:lang w:val="fr-CA"/>
              </w:rPr>
            </w:pPr>
          </w:p>
        </w:tc>
        <w:tc>
          <w:tcPr>
            <w:tcW w:w="2330" w:type="pct"/>
          </w:tcPr>
          <w:p w:rsidR="002841B0" w:rsidRPr="003F180F" w:rsidRDefault="002841B0" w:rsidP="00EC5583">
            <w:pPr>
              <w:jc w:val="both"/>
              <w:rPr>
                <w:rFonts w:eastAsia="Calibri"/>
                <w:sz w:val="20"/>
                <w:lang w:val="fr-CA"/>
              </w:rPr>
            </w:pPr>
            <w:r w:rsidRPr="003F180F">
              <w:rPr>
                <w:rFonts w:eastAsia="Calibri"/>
                <w:sz w:val="20"/>
                <w:lang w:val="fr-CA"/>
              </w:rPr>
              <w:t>Demande d’autorisation d’appel déposée.</w:t>
            </w: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51"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5E1C" w:rsidRPr="00841F85" w:rsidTr="009E6124">
        <w:trPr>
          <w:cantSplit/>
        </w:trPr>
        <w:tc>
          <w:tcPr>
            <w:tcW w:w="1458" w:type="dxa"/>
          </w:tcPr>
          <w:p w:rsidR="00DF5E1C" w:rsidRPr="00841F85" w:rsidRDefault="00DF5E1C" w:rsidP="009E6124">
            <w:pPr>
              <w:rPr>
                <w:sz w:val="20"/>
                <w:szCs w:val="20"/>
              </w:rPr>
            </w:pPr>
            <w:r w:rsidRPr="00841F85">
              <w:rPr>
                <w:rStyle w:val="SCCFileNumberChar"/>
                <w:sz w:val="20"/>
                <w:szCs w:val="20"/>
              </w:rPr>
              <w:t>35018</w:t>
            </w:r>
          </w:p>
          <w:p w:rsidR="00DF5E1C" w:rsidRPr="00841F85" w:rsidRDefault="00DF5E1C" w:rsidP="009E6124">
            <w:pPr>
              <w:rPr>
                <w:b/>
                <w:sz w:val="20"/>
                <w:szCs w:val="20"/>
                <w:lang w:val="fr-CA"/>
              </w:rPr>
            </w:pPr>
          </w:p>
        </w:tc>
        <w:tc>
          <w:tcPr>
            <w:tcW w:w="8118" w:type="dxa"/>
          </w:tcPr>
          <w:p w:rsidR="00DF5E1C" w:rsidRPr="00841F85" w:rsidRDefault="00DF5E1C" w:rsidP="009E6124">
            <w:pPr>
              <w:rPr>
                <w:sz w:val="20"/>
                <w:szCs w:val="20"/>
              </w:rPr>
            </w:pPr>
            <w:r w:rsidRPr="00841F85">
              <w:rPr>
                <w:rStyle w:val="SCCLsocChar"/>
                <w:sz w:val="20"/>
                <w:szCs w:val="20"/>
              </w:rPr>
              <w:t>Réal Marcotte v. Fédération des caisses Desjardins du Québec</w:t>
            </w:r>
            <w:r w:rsidRPr="00841F85">
              <w:rPr>
                <w:sz w:val="20"/>
                <w:szCs w:val="20"/>
                <w:lang w:val="fr-CA"/>
              </w:rPr>
              <w:t xml:space="preserve"> (Que.) </w:t>
            </w:r>
            <w:r w:rsidRPr="00841F85">
              <w:rPr>
                <w:sz w:val="20"/>
                <w:szCs w:val="20"/>
              </w:rPr>
              <w:t>(Civil) (By Leave)</w:t>
            </w:r>
          </w:p>
          <w:p w:rsidR="00DF5E1C" w:rsidRPr="00841F85" w:rsidRDefault="00DF5E1C" w:rsidP="009E6124">
            <w:pPr>
              <w:rPr>
                <w:sz w:val="20"/>
                <w:szCs w:val="20"/>
              </w:rPr>
            </w:pPr>
          </w:p>
        </w:tc>
      </w:tr>
      <w:tr w:rsidR="00DF5E1C" w:rsidRPr="00841F85" w:rsidTr="009E6124">
        <w:trPr>
          <w:cantSplit/>
        </w:trPr>
        <w:tc>
          <w:tcPr>
            <w:tcW w:w="1458" w:type="dxa"/>
          </w:tcPr>
          <w:p w:rsidR="00DF5E1C" w:rsidRPr="00841F85" w:rsidRDefault="00DF5E1C" w:rsidP="009E6124">
            <w:pPr>
              <w:rPr>
                <w:sz w:val="20"/>
                <w:szCs w:val="20"/>
              </w:rPr>
            </w:pPr>
            <w:r w:rsidRPr="00841F85">
              <w:rPr>
                <w:sz w:val="20"/>
                <w:szCs w:val="20"/>
              </w:rPr>
              <w:t>Coram :</w:t>
            </w:r>
          </w:p>
        </w:tc>
        <w:tc>
          <w:tcPr>
            <w:tcW w:w="8118" w:type="dxa"/>
          </w:tcPr>
          <w:p w:rsidR="00DF5E1C" w:rsidRPr="00841F85" w:rsidRDefault="00DF5E1C" w:rsidP="009E6124">
            <w:pPr>
              <w:rPr>
                <w:sz w:val="20"/>
                <w:szCs w:val="20"/>
              </w:rPr>
            </w:pPr>
            <w:proofErr w:type="spellStart"/>
            <w:r w:rsidRPr="00841F85">
              <w:rPr>
                <w:rStyle w:val="SCCCoramChar"/>
                <w:sz w:val="20"/>
                <w:szCs w:val="20"/>
                <w:lang w:val="en-CA"/>
              </w:rPr>
              <w:t>LeBel</w:t>
            </w:r>
            <w:proofErr w:type="spellEnd"/>
            <w:r w:rsidRPr="00841F85">
              <w:rPr>
                <w:rStyle w:val="SCCCoramChar"/>
                <w:sz w:val="20"/>
                <w:szCs w:val="20"/>
                <w:lang w:val="en-CA"/>
              </w:rPr>
              <w:t xml:space="preserve">, </w:t>
            </w:r>
            <w:proofErr w:type="spellStart"/>
            <w:r w:rsidRPr="00841F85">
              <w:rPr>
                <w:rStyle w:val="SCCCoramChar"/>
                <w:sz w:val="20"/>
                <w:szCs w:val="20"/>
                <w:lang w:val="en-CA"/>
              </w:rPr>
              <w:t>Karakatsanis</w:t>
            </w:r>
            <w:proofErr w:type="spellEnd"/>
            <w:r w:rsidRPr="00841F85">
              <w:rPr>
                <w:rStyle w:val="SCCCoramChar"/>
                <w:sz w:val="20"/>
                <w:szCs w:val="20"/>
                <w:lang w:val="en-CA"/>
              </w:rPr>
              <w:t xml:space="preserve"> and Wagner JJ.</w:t>
            </w:r>
          </w:p>
          <w:p w:rsidR="00DF5E1C" w:rsidRPr="00841F85" w:rsidRDefault="00DF5E1C" w:rsidP="009E6124">
            <w:pPr>
              <w:rPr>
                <w:sz w:val="20"/>
                <w:szCs w:val="20"/>
                <w:u w:val="single"/>
              </w:rPr>
            </w:pPr>
          </w:p>
        </w:tc>
      </w:tr>
      <w:tr w:rsidR="00DF5E1C" w:rsidRPr="009714AD" w:rsidTr="009E6124">
        <w:trPr>
          <w:cantSplit/>
        </w:trPr>
        <w:tc>
          <w:tcPr>
            <w:tcW w:w="9576" w:type="dxa"/>
            <w:gridSpan w:val="2"/>
          </w:tcPr>
          <w:p w:rsidR="00DF5E1C" w:rsidRPr="00841F85" w:rsidRDefault="00DF5E1C" w:rsidP="009E6124">
            <w:pPr>
              <w:pStyle w:val="SCCShortJudgment"/>
              <w:rPr>
                <w:szCs w:val="20"/>
              </w:rPr>
            </w:pPr>
            <w:r w:rsidRPr="00841F85">
              <w:rPr>
                <w:szCs w:val="20"/>
              </w:rPr>
              <w:t>The application for leave to appeal from the judgment of the Court of Appeal of Quebec (Montréal), Number 500-09-019846-096, 2012 QCCA 1395, dated August 2, 2012, is granted with costs in the cause.</w:t>
            </w:r>
          </w:p>
          <w:p w:rsidR="00DF5E1C" w:rsidRPr="00841F85" w:rsidRDefault="00DF5E1C" w:rsidP="009E6124">
            <w:pPr>
              <w:pStyle w:val="SCCShortJudgment"/>
              <w:ind w:firstLine="0"/>
              <w:rPr>
                <w:szCs w:val="20"/>
              </w:rPr>
            </w:pPr>
          </w:p>
          <w:p w:rsidR="00DF5E1C" w:rsidRPr="00841F85" w:rsidRDefault="00DF5E1C" w:rsidP="009E6124">
            <w:pPr>
              <w:pStyle w:val="SCCShortJudgment"/>
              <w:rPr>
                <w:szCs w:val="20"/>
                <w:lang w:val="fr-CA"/>
              </w:rPr>
            </w:pPr>
            <w:r w:rsidRPr="00841F85">
              <w:rPr>
                <w:szCs w:val="20"/>
                <w:lang w:val="fr-CA"/>
              </w:rPr>
              <w:t>La demande d’autorisation d’appel de l’arrêt de la Cour d’appel du Québec (Montréal), numéro 500-09-019846-096, 2012 QCCA 1395, daté du 2 août 2012, est accueillie avec dépens selon l’issue de la cause.</w:t>
            </w:r>
          </w:p>
        </w:tc>
      </w:tr>
    </w:tbl>
    <w:p w:rsidR="000C7850" w:rsidRPr="000C7850"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41B0" w:rsidRPr="00495EC2" w:rsidTr="00EC5583">
        <w:tc>
          <w:tcPr>
            <w:tcW w:w="5000" w:type="pct"/>
            <w:gridSpan w:val="3"/>
          </w:tcPr>
          <w:p w:rsidR="002841B0" w:rsidRPr="00495EC2" w:rsidRDefault="002841B0" w:rsidP="00EC5583">
            <w:pPr>
              <w:jc w:val="both"/>
              <w:rPr>
                <w:rFonts w:eastAsia="Calibri"/>
                <w:sz w:val="20"/>
              </w:rPr>
            </w:pPr>
            <w:r w:rsidRPr="00495EC2">
              <w:rPr>
                <w:rFonts w:eastAsia="Calibri"/>
                <w:sz w:val="20"/>
              </w:rPr>
              <w:t xml:space="preserve">Consumer Protection – Financial Institutions – Credit Cards – Can credit merchants disclose and charge fees for services associated with credit separately from the annual credit rate or membership fee required by the </w:t>
            </w:r>
            <w:r w:rsidRPr="00495EC2">
              <w:rPr>
                <w:rFonts w:eastAsia="Calibri"/>
                <w:i/>
                <w:sz w:val="20"/>
              </w:rPr>
              <w:t>Consumer Protection Act</w:t>
            </w:r>
            <w:r w:rsidRPr="00495EC2">
              <w:rPr>
                <w:rFonts w:eastAsia="Calibri"/>
                <w:sz w:val="20"/>
              </w:rPr>
              <w:t xml:space="preserve">, c. P-40.1 (the “CPA”)? – What civil recourses can consumers exercise under the CPA in the case of “credit charges” that were disclosed and charged in a manner that violates its credit regime? – Is an external clause mentioned in a consumer contract but whose contents are not accessible or known until after the formation of that contract valid under article 1435 of the </w:t>
            </w:r>
            <w:r w:rsidRPr="00495EC2">
              <w:rPr>
                <w:rFonts w:eastAsia="Calibri"/>
                <w:i/>
                <w:sz w:val="20"/>
              </w:rPr>
              <w:t>Civil Code of Québec</w:t>
            </w:r>
            <w:r w:rsidRPr="00495EC2">
              <w:rPr>
                <w:rFonts w:eastAsia="Calibri"/>
                <w:sz w:val="20"/>
              </w:rPr>
              <w:t>?</w:t>
            </w:r>
          </w:p>
        </w:tc>
      </w:tr>
      <w:tr w:rsidR="002841B0" w:rsidRPr="00495EC2" w:rsidTr="00EC5583">
        <w:tc>
          <w:tcPr>
            <w:tcW w:w="5000" w:type="pct"/>
            <w:gridSpan w:val="3"/>
          </w:tcPr>
          <w:p w:rsidR="002841B0" w:rsidRPr="00495EC2" w:rsidRDefault="002841B0" w:rsidP="00EC5583">
            <w:pPr>
              <w:jc w:val="both"/>
              <w:rPr>
                <w:rFonts w:eastAsia="Calibri"/>
                <w:sz w:val="20"/>
              </w:rPr>
            </w:pPr>
          </w:p>
        </w:tc>
      </w:tr>
      <w:tr w:rsidR="002841B0" w:rsidRPr="00495EC2" w:rsidTr="00EC5583">
        <w:tc>
          <w:tcPr>
            <w:tcW w:w="5000" w:type="pct"/>
            <w:gridSpan w:val="3"/>
          </w:tcPr>
          <w:p w:rsidR="002841B0" w:rsidRPr="00495EC2" w:rsidRDefault="002841B0" w:rsidP="00EC5583">
            <w:pPr>
              <w:jc w:val="both"/>
              <w:rPr>
                <w:rFonts w:eastAsia="Calibri"/>
                <w:sz w:val="20"/>
              </w:rPr>
            </w:pPr>
            <w:r w:rsidRPr="00495EC2">
              <w:rPr>
                <w:rFonts w:eastAsia="Calibri"/>
                <w:sz w:val="20"/>
              </w:rPr>
              <w:t>In the context of this class action, the representative plaintiff alleged that the Respondent breached the CPA</w:t>
            </w:r>
            <w:r w:rsidRPr="00495EC2">
              <w:rPr>
                <w:rFonts w:eastAsia="Calibri"/>
                <w:i/>
                <w:iCs/>
                <w:sz w:val="20"/>
              </w:rPr>
              <w:t xml:space="preserve"> </w:t>
            </w:r>
            <w:r w:rsidRPr="00495EC2">
              <w:rPr>
                <w:rFonts w:eastAsia="Calibri"/>
                <w:sz w:val="20"/>
              </w:rPr>
              <w:t>by failing to disclose foreign exchange conversion charges on credit cards as a “credit charge”.  The CPA requires that all “credit charges” be included as part of the “credit rate” and disclosed to cardholders as an annual percentage.  The representative plaintiff further alleged that as a “credit charge”, foreign exchange charges were subject to the CPA’s 21-day “grace period” and hence could not be imposed to consumers who paid their balance within the grace period.  Finally, it was also contended that during certain periods, the Respondent did not disclose the foreign exchange conversion charge separately, thereby making the banking institutions liable for restitution and punitive damages under the CPA.</w:t>
            </w:r>
            <w:r w:rsidRPr="00495EC2">
              <w:rPr>
                <w:rFonts w:eastAsia="Calibri"/>
                <w:iCs/>
                <w:sz w:val="20"/>
              </w:rPr>
              <w:t xml:space="preserve">  All of these allegations were denied by the </w:t>
            </w:r>
            <w:r w:rsidRPr="00495EC2">
              <w:rPr>
                <w:rFonts w:eastAsia="Calibri"/>
                <w:sz w:val="20"/>
              </w:rPr>
              <w:t>Respondent</w:t>
            </w:r>
            <w:r w:rsidRPr="00495EC2">
              <w:rPr>
                <w:rFonts w:eastAsia="Calibri"/>
                <w:iCs/>
                <w:sz w:val="20"/>
              </w:rPr>
              <w:t xml:space="preserve">, who maintained that </w:t>
            </w:r>
            <w:r w:rsidRPr="00495EC2">
              <w:rPr>
                <w:rFonts w:eastAsia="Calibri"/>
                <w:sz w:val="20"/>
              </w:rPr>
              <w:t xml:space="preserve">foreign exchange conversion charges are not “credit charges” within the meaning of the CPA.  Rather, it was contended that the charges at issue are part of the “net capital”, and are accordingly not subject to the provisions of the CPA regarding the manner in which the credit rate must be disclosed.  Alternatively, on the basis of the exclusive jurisdiction of Parliament over bills of exchange and promissory notes, the Respondent contended that the sections of the CPA in dispute are constitutionally inapplicable under the </w:t>
            </w:r>
            <w:proofErr w:type="spellStart"/>
            <w:r w:rsidRPr="00495EC2">
              <w:rPr>
                <w:rFonts w:eastAsia="Calibri"/>
                <w:sz w:val="20"/>
              </w:rPr>
              <w:t>interjurisdictional</w:t>
            </w:r>
            <w:proofErr w:type="spellEnd"/>
            <w:r w:rsidRPr="00495EC2">
              <w:rPr>
                <w:rFonts w:eastAsia="Calibri"/>
                <w:sz w:val="20"/>
              </w:rPr>
              <w:t xml:space="preserve"> immunity doctrine, and otherwise inoperative under the </w:t>
            </w:r>
            <w:proofErr w:type="spellStart"/>
            <w:r w:rsidRPr="00495EC2">
              <w:rPr>
                <w:rFonts w:eastAsia="Calibri"/>
                <w:sz w:val="20"/>
              </w:rPr>
              <w:t>paramountcy</w:t>
            </w:r>
            <w:proofErr w:type="spellEnd"/>
            <w:r w:rsidRPr="00495EC2">
              <w:rPr>
                <w:rFonts w:eastAsia="Calibri"/>
                <w:sz w:val="20"/>
              </w:rPr>
              <w:t xml:space="preserve"> doctrine.</w:t>
            </w:r>
          </w:p>
          <w:p w:rsidR="002841B0" w:rsidRPr="00495EC2" w:rsidRDefault="002841B0" w:rsidP="00EC5583">
            <w:pPr>
              <w:jc w:val="both"/>
              <w:rPr>
                <w:rFonts w:eastAsia="Calibri"/>
                <w:iCs/>
                <w:sz w:val="20"/>
              </w:rPr>
            </w:pPr>
          </w:p>
        </w:tc>
      </w:tr>
      <w:tr w:rsidR="002841B0" w:rsidRPr="00495EC2" w:rsidTr="00EC5583">
        <w:tc>
          <w:tcPr>
            <w:tcW w:w="2427" w:type="pct"/>
          </w:tcPr>
          <w:p w:rsidR="002841B0" w:rsidRPr="00495EC2" w:rsidRDefault="002841B0" w:rsidP="00EC5583">
            <w:pPr>
              <w:jc w:val="both"/>
              <w:rPr>
                <w:rFonts w:eastAsia="Calibri"/>
                <w:sz w:val="20"/>
              </w:rPr>
            </w:pPr>
            <w:r w:rsidRPr="00495EC2">
              <w:rPr>
                <w:rFonts w:eastAsia="Calibri"/>
                <w:sz w:val="20"/>
              </w:rPr>
              <w:t>June 11, 2009</w:t>
            </w:r>
          </w:p>
          <w:p w:rsidR="002841B0" w:rsidRPr="00495EC2" w:rsidRDefault="002841B0" w:rsidP="00EC5583">
            <w:pPr>
              <w:jc w:val="both"/>
              <w:rPr>
                <w:rFonts w:eastAsia="Calibri"/>
                <w:sz w:val="20"/>
              </w:rPr>
            </w:pPr>
            <w:r w:rsidRPr="00495EC2">
              <w:rPr>
                <w:rFonts w:eastAsia="Calibri"/>
                <w:sz w:val="20"/>
              </w:rPr>
              <w:t>Superior Court of Quebec</w:t>
            </w:r>
          </w:p>
          <w:p w:rsidR="002841B0" w:rsidRPr="00495EC2" w:rsidRDefault="002841B0" w:rsidP="00EC5583">
            <w:pPr>
              <w:jc w:val="both"/>
              <w:rPr>
                <w:rFonts w:eastAsia="Calibri"/>
                <w:sz w:val="20"/>
              </w:rPr>
            </w:pPr>
            <w:r w:rsidRPr="00495EC2">
              <w:rPr>
                <w:rFonts w:eastAsia="Calibri"/>
                <w:sz w:val="20"/>
              </w:rPr>
              <w:t>(</w:t>
            </w:r>
            <w:proofErr w:type="spellStart"/>
            <w:r w:rsidRPr="00495EC2">
              <w:rPr>
                <w:rFonts w:eastAsia="Calibri"/>
                <w:sz w:val="20"/>
              </w:rPr>
              <w:t>Gascon</w:t>
            </w:r>
            <w:proofErr w:type="spellEnd"/>
            <w:r w:rsidRPr="00495EC2">
              <w:rPr>
                <w:rFonts w:eastAsia="Calibri"/>
                <w:sz w:val="20"/>
              </w:rPr>
              <w:t xml:space="preserve"> J.)</w:t>
            </w:r>
          </w:p>
          <w:p w:rsidR="002841B0" w:rsidRPr="00495EC2" w:rsidRDefault="002841B0" w:rsidP="00EC5583">
            <w:pPr>
              <w:jc w:val="both"/>
              <w:rPr>
                <w:rFonts w:eastAsia="Calibri"/>
                <w:sz w:val="20"/>
              </w:rPr>
            </w:pPr>
            <w:r w:rsidRPr="00495EC2">
              <w:rPr>
                <w:rFonts w:eastAsia="Calibri"/>
                <w:sz w:val="20"/>
              </w:rPr>
              <w:t>No. 500-06-000223-046</w:t>
            </w:r>
          </w:p>
          <w:p w:rsidR="002841B0" w:rsidRPr="00495EC2" w:rsidRDefault="002841B0" w:rsidP="00EC5583">
            <w:pPr>
              <w:jc w:val="both"/>
              <w:rPr>
                <w:rFonts w:eastAsia="Calibri"/>
                <w:sz w:val="20"/>
              </w:rPr>
            </w:pPr>
            <w:r w:rsidRPr="00495EC2">
              <w:rPr>
                <w:rFonts w:eastAsia="Calibri"/>
                <w:sz w:val="20"/>
              </w:rPr>
              <w:t>2009 QCCS 2743</w:t>
            </w:r>
          </w:p>
          <w:p w:rsidR="002841B0" w:rsidRPr="00495EC2" w:rsidRDefault="002841B0" w:rsidP="00EC5583">
            <w:pPr>
              <w:jc w:val="both"/>
              <w:rPr>
                <w:rFonts w:eastAsia="Calibri"/>
                <w:sz w:val="20"/>
              </w:rPr>
            </w:pPr>
          </w:p>
        </w:tc>
        <w:tc>
          <w:tcPr>
            <w:tcW w:w="243" w:type="pct"/>
          </w:tcPr>
          <w:p w:rsidR="002841B0" w:rsidRPr="00495EC2" w:rsidRDefault="002841B0" w:rsidP="00EC5583">
            <w:pPr>
              <w:jc w:val="both"/>
              <w:rPr>
                <w:rFonts w:eastAsia="Calibri"/>
                <w:sz w:val="20"/>
              </w:rPr>
            </w:pPr>
          </w:p>
        </w:tc>
        <w:tc>
          <w:tcPr>
            <w:tcW w:w="2330" w:type="pct"/>
          </w:tcPr>
          <w:p w:rsidR="002841B0" w:rsidRPr="00495EC2" w:rsidRDefault="002841B0" w:rsidP="00EC5583">
            <w:pPr>
              <w:jc w:val="both"/>
              <w:rPr>
                <w:rFonts w:eastAsia="Calibri"/>
                <w:sz w:val="20"/>
              </w:rPr>
            </w:pPr>
            <w:r w:rsidRPr="00495EC2">
              <w:rPr>
                <w:rFonts w:eastAsia="Calibri"/>
                <w:sz w:val="20"/>
              </w:rPr>
              <w:t xml:space="preserve">Class action allowed in part, </w:t>
            </w:r>
            <w:r w:rsidRPr="00495EC2">
              <w:rPr>
                <w:rFonts w:eastAsia="Calibri"/>
                <w:i/>
                <w:sz w:val="20"/>
              </w:rPr>
              <w:t>inter alia</w:t>
            </w:r>
            <w:r w:rsidRPr="00495EC2">
              <w:rPr>
                <w:rFonts w:eastAsia="Calibri"/>
                <w:sz w:val="20"/>
              </w:rPr>
              <w:t xml:space="preserve"> on grounds that foreign currency conversion commissions were charged to the class members in violation of the CPA, the application and operability of which were not barred by either the doctrine of </w:t>
            </w:r>
            <w:proofErr w:type="spellStart"/>
            <w:r w:rsidRPr="00495EC2">
              <w:rPr>
                <w:rFonts w:eastAsia="Calibri"/>
                <w:sz w:val="20"/>
              </w:rPr>
              <w:t>interjurisdictional</w:t>
            </w:r>
            <w:proofErr w:type="spellEnd"/>
            <w:r w:rsidRPr="00495EC2">
              <w:rPr>
                <w:rFonts w:eastAsia="Calibri"/>
                <w:sz w:val="20"/>
              </w:rPr>
              <w:t xml:space="preserve"> immunity or the doctrine of federal </w:t>
            </w:r>
            <w:proofErr w:type="spellStart"/>
            <w:r w:rsidRPr="00495EC2">
              <w:rPr>
                <w:rFonts w:eastAsia="Calibri"/>
                <w:sz w:val="20"/>
              </w:rPr>
              <w:t>paramountcy</w:t>
            </w:r>
            <w:proofErr w:type="spellEnd"/>
            <w:r w:rsidRPr="00495EC2">
              <w:rPr>
                <w:rFonts w:eastAsia="Calibri"/>
                <w:sz w:val="20"/>
              </w:rPr>
              <w:t>.</w:t>
            </w:r>
          </w:p>
          <w:p w:rsidR="002841B0" w:rsidRPr="00495EC2" w:rsidRDefault="002841B0" w:rsidP="00EC5583">
            <w:pPr>
              <w:jc w:val="both"/>
              <w:rPr>
                <w:rFonts w:eastAsia="Calibri"/>
                <w:sz w:val="20"/>
              </w:rPr>
            </w:pPr>
          </w:p>
        </w:tc>
      </w:tr>
      <w:tr w:rsidR="002841B0" w:rsidRPr="00495EC2" w:rsidTr="00A73ADB">
        <w:trPr>
          <w:cantSplit/>
        </w:trPr>
        <w:tc>
          <w:tcPr>
            <w:tcW w:w="2427" w:type="pct"/>
          </w:tcPr>
          <w:p w:rsidR="002841B0" w:rsidRPr="00495EC2" w:rsidRDefault="002841B0" w:rsidP="00EC5583">
            <w:pPr>
              <w:jc w:val="both"/>
              <w:rPr>
                <w:rFonts w:eastAsia="Calibri"/>
                <w:sz w:val="20"/>
              </w:rPr>
            </w:pPr>
            <w:r w:rsidRPr="00495EC2">
              <w:rPr>
                <w:rFonts w:eastAsia="Calibri"/>
                <w:sz w:val="20"/>
              </w:rPr>
              <w:t>August 2, 2012</w:t>
            </w:r>
          </w:p>
          <w:p w:rsidR="002841B0" w:rsidRPr="00495EC2" w:rsidRDefault="002841B0" w:rsidP="00EC5583">
            <w:pPr>
              <w:jc w:val="both"/>
              <w:rPr>
                <w:rFonts w:eastAsia="Calibri"/>
                <w:sz w:val="20"/>
              </w:rPr>
            </w:pPr>
            <w:r w:rsidRPr="00495EC2">
              <w:rPr>
                <w:rFonts w:eastAsia="Calibri"/>
                <w:sz w:val="20"/>
              </w:rPr>
              <w:t>Court of Appeal of Quebec (Montréal)</w:t>
            </w:r>
          </w:p>
          <w:p w:rsidR="002841B0" w:rsidRPr="00495EC2" w:rsidRDefault="002841B0" w:rsidP="00EC5583">
            <w:pPr>
              <w:jc w:val="both"/>
              <w:rPr>
                <w:rFonts w:eastAsia="Calibri"/>
                <w:sz w:val="20"/>
              </w:rPr>
            </w:pPr>
            <w:r w:rsidRPr="00495EC2">
              <w:rPr>
                <w:rFonts w:eastAsia="Calibri"/>
                <w:sz w:val="20"/>
              </w:rPr>
              <w:t xml:space="preserve">(Forget, </w:t>
            </w:r>
            <w:proofErr w:type="spellStart"/>
            <w:r w:rsidRPr="00495EC2">
              <w:rPr>
                <w:rFonts w:eastAsia="Calibri"/>
                <w:sz w:val="20"/>
              </w:rPr>
              <w:t>Dalphond</w:t>
            </w:r>
            <w:proofErr w:type="spellEnd"/>
            <w:r w:rsidRPr="00495EC2">
              <w:rPr>
                <w:rFonts w:eastAsia="Calibri"/>
                <w:sz w:val="20"/>
              </w:rPr>
              <w:t xml:space="preserve"> and </w:t>
            </w:r>
            <w:proofErr w:type="spellStart"/>
            <w:r w:rsidRPr="00495EC2">
              <w:rPr>
                <w:rFonts w:eastAsia="Calibri"/>
                <w:sz w:val="20"/>
              </w:rPr>
              <w:t>Bich</w:t>
            </w:r>
            <w:proofErr w:type="spellEnd"/>
            <w:r w:rsidRPr="00495EC2">
              <w:rPr>
                <w:rFonts w:eastAsia="Calibri"/>
                <w:sz w:val="20"/>
              </w:rPr>
              <w:t xml:space="preserve"> JJ.A.)</w:t>
            </w:r>
          </w:p>
          <w:p w:rsidR="002841B0" w:rsidRPr="00495EC2" w:rsidRDefault="002841B0" w:rsidP="00EC5583">
            <w:pPr>
              <w:jc w:val="both"/>
              <w:rPr>
                <w:rFonts w:eastAsia="Calibri"/>
                <w:sz w:val="20"/>
              </w:rPr>
            </w:pPr>
            <w:r w:rsidRPr="00495EC2">
              <w:rPr>
                <w:rFonts w:eastAsia="Calibri"/>
                <w:sz w:val="20"/>
              </w:rPr>
              <w:t>No. 500-09-019846-096</w:t>
            </w:r>
          </w:p>
          <w:p w:rsidR="002841B0" w:rsidRPr="00495EC2" w:rsidRDefault="002841B0" w:rsidP="00EC5583">
            <w:pPr>
              <w:jc w:val="both"/>
              <w:rPr>
                <w:rFonts w:eastAsia="Calibri"/>
                <w:sz w:val="20"/>
              </w:rPr>
            </w:pPr>
            <w:r w:rsidRPr="00495EC2">
              <w:rPr>
                <w:rFonts w:eastAsia="Calibri"/>
                <w:sz w:val="20"/>
              </w:rPr>
              <w:t>2012 QCCA 1395</w:t>
            </w:r>
          </w:p>
          <w:p w:rsidR="002841B0" w:rsidRPr="00495EC2" w:rsidRDefault="002841B0" w:rsidP="00EC5583">
            <w:pPr>
              <w:jc w:val="both"/>
              <w:rPr>
                <w:rFonts w:eastAsia="Calibri"/>
                <w:sz w:val="20"/>
              </w:rPr>
            </w:pPr>
          </w:p>
        </w:tc>
        <w:tc>
          <w:tcPr>
            <w:tcW w:w="243" w:type="pct"/>
          </w:tcPr>
          <w:p w:rsidR="002841B0" w:rsidRPr="00495EC2" w:rsidRDefault="002841B0" w:rsidP="00EC5583">
            <w:pPr>
              <w:jc w:val="both"/>
              <w:rPr>
                <w:rFonts w:eastAsia="Calibri"/>
                <w:sz w:val="20"/>
                <w:lang w:val="fr-CA"/>
              </w:rPr>
            </w:pPr>
          </w:p>
        </w:tc>
        <w:tc>
          <w:tcPr>
            <w:tcW w:w="2330" w:type="pct"/>
          </w:tcPr>
          <w:p w:rsidR="002841B0" w:rsidRPr="00495EC2" w:rsidRDefault="002841B0" w:rsidP="00EC5583">
            <w:pPr>
              <w:shd w:val="clear" w:color="auto" w:fill="FFFFFF"/>
              <w:spacing w:line="280" w:lineRule="atLeast"/>
              <w:rPr>
                <w:color w:val="444444"/>
                <w:sz w:val="20"/>
                <w:lang w:eastAsia="fr-CA"/>
              </w:rPr>
            </w:pPr>
            <w:r w:rsidRPr="00495EC2">
              <w:rPr>
                <w:sz w:val="20"/>
                <w:lang w:eastAsia="fr-CA"/>
              </w:rPr>
              <w:t>Appeal allowed.</w:t>
            </w:r>
          </w:p>
          <w:p w:rsidR="002841B0" w:rsidRPr="00495EC2" w:rsidRDefault="002841B0" w:rsidP="00EC5583">
            <w:pPr>
              <w:jc w:val="both"/>
              <w:rPr>
                <w:rFonts w:eastAsia="Calibri"/>
                <w:sz w:val="20"/>
              </w:rPr>
            </w:pPr>
          </w:p>
        </w:tc>
      </w:tr>
      <w:tr w:rsidR="002841B0" w:rsidRPr="00495EC2" w:rsidTr="00A73ADB">
        <w:trPr>
          <w:cantSplit/>
        </w:trPr>
        <w:tc>
          <w:tcPr>
            <w:tcW w:w="2427" w:type="pct"/>
          </w:tcPr>
          <w:p w:rsidR="002841B0" w:rsidRPr="00495EC2" w:rsidRDefault="002841B0" w:rsidP="00EC5583">
            <w:pPr>
              <w:jc w:val="both"/>
              <w:rPr>
                <w:rFonts w:eastAsia="Calibri"/>
                <w:sz w:val="20"/>
              </w:rPr>
            </w:pPr>
            <w:r w:rsidRPr="00495EC2">
              <w:rPr>
                <w:rFonts w:eastAsia="Calibri"/>
                <w:sz w:val="20"/>
              </w:rPr>
              <w:t>October 1, 2012</w:t>
            </w:r>
          </w:p>
          <w:p w:rsidR="002841B0" w:rsidRPr="00495EC2" w:rsidRDefault="002841B0" w:rsidP="00EC5583">
            <w:pPr>
              <w:jc w:val="both"/>
              <w:rPr>
                <w:rFonts w:eastAsia="Calibri"/>
                <w:sz w:val="20"/>
              </w:rPr>
            </w:pPr>
            <w:r w:rsidRPr="00495EC2">
              <w:rPr>
                <w:rFonts w:eastAsia="Calibri"/>
                <w:sz w:val="20"/>
              </w:rPr>
              <w:t>Supreme Court of Canada</w:t>
            </w:r>
          </w:p>
        </w:tc>
        <w:tc>
          <w:tcPr>
            <w:tcW w:w="243" w:type="pct"/>
          </w:tcPr>
          <w:p w:rsidR="002841B0" w:rsidRPr="00495EC2" w:rsidRDefault="002841B0" w:rsidP="00EC5583">
            <w:pPr>
              <w:jc w:val="both"/>
              <w:rPr>
                <w:rFonts w:eastAsia="Calibri"/>
                <w:sz w:val="20"/>
              </w:rPr>
            </w:pPr>
          </w:p>
        </w:tc>
        <w:tc>
          <w:tcPr>
            <w:tcW w:w="2330" w:type="pct"/>
          </w:tcPr>
          <w:p w:rsidR="002841B0" w:rsidRPr="00495EC2" w:rsidRDefault="002841B0" w:rsidP="00EC5583">
            <w:pPr>
              <w:jc w:val="both"/>
              <w:rPr>
                <w:rFonts w:eastAsia="Calibri"/>
                <w:sz w:val="20"/>
              </w:rPr>
            </w:pPr>
            <w:r w:rsidRPr="00495EC2">
              <w:rPr>
                <w:rFonts w:eastAsia="Calibri"/>
                <w:sz w:val="20"/>
              </w:rPr>
              <w:t>Application for leave to appeal filed.</w:t>
            </w:r>
          </w:p>
          <w:p w:rsidR="002841B0" w:rsidRPr="00495EC2" w:rsidRDefault="002841B0" w:rsidP="00EC5583">
            <w:pPr>
              <w:jc w:val="both"/>
              <w:rPr>
                <w:rFonts w:eastAsia="Calibri"/>
                <w:sz w:val="20"/>
              </w:rPr>
            </w:pP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52"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41B0" w:rsidRPr="009714AD" w:rsidTr="00EC5583">
        <w:tc>
          <w:tcPr>
            <w:tcW w:w="5000" w:type="pct"/>
            <w:gridSpan w:val="3"/>
          </w:tcPr>
          <w:p w:rsidR="002841B0" w:rsidRPr="00C16FDC" w:rsidRDefault="002841B0" w:rsidP="00EC5583">
            <w:pPr>
              <w:jc w:val="both"/>
              <w:rPr>
                <w:rFonts w:eastAsia="Calibri"/>
                <w:sz w:val="20"/>
                <w:lang w:val="fr-CA"/>
              </w:rPr>
            </w:pPr>
            <w:r w:rsidRPr="003F180F">
              <w:rPr>
                <w:rFonts w:eastAsia="Calibri"/>
                <w:sz w:val="20"/>
                <w:lang w:val="fr-CA"/>
              </w:rPr>
              <w:t>Protection du consommateur – Institutions financières – Cartes de crédit – Des vendeurs de crédit peuvent-ils communiquer et facturer les frais des services relatifs au crédit séparément du taux de crédit annuel ou des frais d’adhésion prescrits par la Loi sur la protection du consommateur, ch. </w:t>
            </w:r>
            <w:r w:rsidRPr="00C16FDC">
              <w:rPr>
                <w:rFonts w:eastAsia="Calibri"/>
                <w:sz w:val="20"/>
                <w:lang w:val="fr-CA"/>
              </w:rPr>
              <w:t>P</w:t>
            </w:r>
            <w:r w:rsidRPr="00C16FDC">
              <w:rPr>
                <w:rFonts w:eastAsia="Calibri"/>
                <w:sz w:val="20"/>
                <w:lang w:val="fr-CA"/>
              </w:rPr>
              <w:noBreakHyphen/>
              <w:t>40.1 (la « LPC »)? – Quels sont les recours civils à la disposition des consommateurs aux termes de la LPC  lorsque des « frais de crédit » sont communiqués et facturés d’une manière contraire au régime de crédit instauré par cette loi? – La clause externe mentionnée dans un contrat de consommation mais dont le contenu n’est accessible ou connu qu’après la formation de ce contrat est-elle valide aux termes de l’article 1435 du Code civil du Québec?</w:t>
            </w:r>
          </w:p>
        </w:tc>
      </w:tr>
      <w:tr w:rsidR="002841B0" w:rsidRPr="009714AD" w:rsidTr="00EC5583">
        <w:tc>
          <w:tcPr>
            <w:tcW w:w="5000" w:type="pct"/>
            <w:gridSpan w:val="3"/>
          </w:tcPr>
          <w:p w:rsidR="002841B0" w:rsidRPr="00C16FDC" w:rsidRDefault="002841B0" w:rsidP="00EC5583">
            <w:pPr>
              <w:jc w:val="both"/>
              <w:rPr>
                <w:rFonts w:eastAsia="Calibri"/>
                <w:sz w:val="20"/>
                <w:lang w:val="fr-CA"/>
              </w:rPr>
            </w:pPr>
          </w:p>
        </w:tc>
      </w:tr>
      <w:tr w:rsidR="002841B0" w:rsidRPr="009714AD" w:rsidTr="00EC5583">
        <w:tc>
          <w:tcPr>
            <w:tcW w:w="5000" w:type="pct"/>
            <w:gridSpan w:val="3"/>
          </w:tcPr>
          <w:p w:rsidR="002841B0" w:rsidRPr="00C16FDC" w:rsidRDefault="002841B0" w:rsidP="00EC5583">
            <w:pPr>
              <w:jc w:val="both"/>
              <w:rPr>
                <w:rFonts w:eastAsia="Calibri"/>
                <w:sz w:val="20"/>
                <w:lang w:val="fr-CA"/>
              </w:rPr>
            </w:pPr>
            <w:r w:rsidRPr="00C16FDC">
              <w:rPr>
                <w:rFonts w:eastAsia="Calibri"/>
                <w:sz w:val="20"/>
                <w:lang w:val="fr-CA"/>
              </w:rPr>
              <w:t xml:space="preserve">Dans ce recours collectif, le représentant des demandeurs allègue que l’intimée a enfreint la LPC en ne communiquant pas les frais de conversion d’une devise étrangère imputés aux cartes de crédit comme « frais de crédit ».  La LPC exige que tous les « frais de crédit » soient inclus dans le « taux de crédit » et communiqués aux détenteurs de cartes de crédit sous la forme d’un pourcentage annuel.  Le représentant des demandeurs allègue aussi qu’en tant que « frais de crédit », les frais de conversion d’une devise étrangère sont visés par le « délai de grâce » de 21 jours prévu à la LPC et qu’ils ne peuvent donc être imputés aux consommateurs ayant acquitté leur solde à l’intérieur de ce délai.  Enfin, il est aussi soutenu que l’intimée n’a pas communiqué séparément les frais de conversion d’une devise étrangère durant certaines périodes, ce qui rend l’intimée redevable de restitution et de dommages-intérêts punitifs sous le régime de la LPC.  Toutes ces allégations sont réfutées par l’intimée, pour qui les frais de conversion d’une devise étrangère ne constituent pas des « frais de crédit » au sens de la LPC. Selon elle, les frais en question font plutôt partie du « capital net » et ne sont donc pas assujettis aux dispositions de la LPC sur la manière dont le taux de crédit doit être communiqué.  L’intimée soutient subsidiairement qu’étant donné la compétence exclusive du Parlement sur les lettres de change et les billets </w:t>
            </w:r>
            <w:proofErr w:type="spellStart"/>
            <w:r w:rsidRPr="00C16FDC">
              <w:rPr>
                <w:rFonts w:eastAsia="Calibri"/>
                <w:sz w:val="20"/>
                <w:lang w:val="fr-CA"/>
              </w:rPr>
              <w:t>promissoires</w:t>
            </w:r>
            <w:proofErr w:type="spellEnd"/>
            <w:r w:rsidRPr="00C16FDC">
              <w:rPr>
                <w:rFonts w:eastAsia="Calibri"/>
                <w:sz w:val="20"/>
                <w:lang w:val="fr-CA"/>
              </w:rPr>
              <w:t>, les dispositions de la LPC en litige sont constitutionnellement inapplicables selon la doctrine de l’exclusivité des compétences, et qu’elles sont par ailleurs inopérantes selon la doctrine de la prépondérance fédérale.</w:t>
            </w:r>
          </w:p>
          <w:p w:rsidR="002841B0" w:rsidRPr="00C16FDC" w:rsidRDefault="002841B0" w:rsidP="00EC5583">
            <w:pPr>
              <w:jc w:val="both"/>
              <w:rPr>
                <w:rFonts w:eastAsia="Calibri"/>
                <w:sz w:val="20"/>
                <w:lang w:val="fr-CA"/>
              </w:rPr>
            </w:pPr>
          </w:p>
        </w:tc>
      </w:tr>
      <w:tr w:rsidR="002841B0" w:rsidRPr="009714AD" w:rsidTr="00EC5583">
        <w:tc>
          <w:tcPr>
            <w:tcW w:w="2427" w:type="pct"/>
          </w:tcPr>
          <w:p w:rsidR="002841B0" w:rsidRPr="00C16FDC" w:rsidRDefault="002841B0" w:rsidP="00EC5583">
            <w:pPr>
              <w:jc w:val="both"/>
              <w:rPr>
                <w:rFonts w:eastAsia="Calibri"/>
                <w:sz w:val="20"/>
                <w:lang w:val="fr-CA"/>
              </w:rPr>
            </w:pPr>
            <w:r w:rsidRPr="00C16FDC">
              <w:rPr>
                <w:rFonts w:eastAsia="Calibri"/>
                <w:sz w:val="20"/>
                <w:lang w:val="fr-CA"/>
              </w:rPr>
              <w:t>11 juin 2009</w:t>
            </w:r>
          </w:p>
          <w:p w:rsidR="002841B0" w:rsidRPr="00C16FDC" w:rsidRDefault="002841B0" w:rsidP="00EC5583">
            <w:pPr>
              <w:jc w:val="both"/>
              <w:rPr>
                <w:rFonts w:eastAsia="Calibri"/>
                <w:sz w:val="20"/>
                <w:lang w:val="fr-CA"/>
              </w:rPr>
            </w:pPr>
            <w:r w:rsidRPr="00C16FDC">
              <w:rPr>
                <w:rFonts w:eastAsia="Calibri"/>
                <w:sz w:val="20"/>
                <w:lang w:val="fr-CA"/>
              </w:rPr>
              <w:t>Cour supérieure du Québec</w:t>
            </w:r>
          </w:p>
          <w:p w:rsidR="002841B0" w:rsidRPr="00C16FDC" w:rsidRDefault="002841B0" w:rsidP="00EC5583">
            <w:pPr>
              <w:jc w:val="both"/>
              <w:rPr>
                <w:rFonts w:eastAsia="Calibri"/>
                <w:sz w:val="20"/>
                <w:lang w:val="fr-CA"/>
              </w:rPr>
            </w:pPr>
            <w:r w:rsidRPr="00C16FDC">
              <w:rPr>
                <w:rFonts w:eastAsia="Calibri"/>
                <w:sz w:val="20"/>
                <w:lang w:val="fr-CA"/>
              </w:rPr>
              <w:t>(Juge Gascon)</w:t>
            </w:r>
          </w:p>
          <w:p w:rsidR="002841B0" w:rsidRPr="00495EC2" w:rsidRDefault="002841B0" w:rsidP="00EC5583">
            <w:pPr>
              <w:jc w:val="both"/>
              <w:rPr>
                <w:rFonts w:eastAsia="Calibri"/>
                <w:sz w:val="20"/>
              </w:rPr>
            </w:pPr>
            <w:r w:rsidRPr="00495EC2">
              <w:rPr>
                <w:rFonts w:eastAsia="Calibri"/>
                <w:sz w:val="20"/>
              </w:rPr>
              <w:t>No 500</w:t>
            </w:r>
            <w:r w:rsidRPr="00495EC2">
              <w:rPr>
                <w:rFonts w:eastAsia="Calibri"/>
                <w:sz w:val="20"/>
              </w:rPr>
              <w:noBreakHyphen/>
              <w:t>06</w:t>
            </w:r>
            <w:r w:rsidRPr="00495EC2">
              <w:rPr>
                <w:rFonts w:eastAsia="Calibri"/>
                <w:sz w:val="20"/>
              </w:rPr>
              <w:noBreakHyphen/>
              <w:t>000223</w:t>
            </w:r>
            <w:r w:rsidRPr="00495EC2">
              <w:rPr>
                <w:rFonts w:eastAsia="Calibri"/>
                <w:sz w:val="20"/>
              </w:rPr>
              <w:noBreakHyphen/>
              <w:t>046</w:t>
            </w:r>
          </w:p>
          <w:p w:rsidR="002841B0" w:rsidRPr="00495EC2" w:rsidRDefault="002841B0" w:rsidP="00EC5583">
            <w:pPr>
              <w:jc w:val="both"/>
              <w:rPr>
                <w:rFonts w:eastAsia="Calibri"/>
                <w:sz w:val="20"/>
              </w:rPr>
            </w:pPr>
            <w:r w:rsidRPr="00495EC2">
              <w:rPr>
                <w:rFonts w:eastAsia="Calibri"/>
                <w:sz w:val="20"/>
              </w:rPr>
              <w:t>2009 QCCS 2743</w:t>
            </w:r>
          </w:p>
          <w:p w:rsidR="002841B0" w:rsidRPr="00495EC2" w:rsidRDefault="002841B0" w:rsidP="00EC5583">
            <w:pPr>
              <w:jc w:val="both"/>
              <w:rPr>
                <w:rFonts w:eastAsia="Calibri"/>
                <w:sz w:val="20"/>
              </w:rPr>
            </w:pPr>
          </w:p>
        </w:tc>
        <w:tc>
          <w:tcPr>
            <w:tcW w:w="243" w:type="pct"/>
          </w:tcPr>
          <w:p w:rsidR="002841B0" w:rsidRPr="00495EC2" w:rsidRDefault="002841B0" w:rsidP="00EC5583">
            <w:pPr>
              <w:jc w:val="both"/>
              <w:rPr>
                <w:rFonts w:eastAsia="Calibri"/>
                <w:sz w:val="20"/>
              </w:rPr>
            </w:pPr>
          </w:p>
        </w:tc>
        <w:tc>
          <w:tcPr>
            <w:tcW w:w="2330" w:type="pct"/>
          </w:tcPr>
          <w:p w:rsidR="002841B0" w:rsidRPr="00C16FDC" w:rsidRDefault="002841B0" w:rsidP="00EC5583">
            <w:pPr>
              <w:jc w:val="both"/>
              <w:rPr>
                <w:rFonts w:eastAsia="Calibri"/>
                <w:sz w:val="20"/>
                <w:lang w:val="fr-CA"/>
              </w:rPr>
            </w:pPr>
            <w:r w:rsidRPr="00C16FDC">
              <w:rPr>
                <w:rFonts w:eastAsia="Calibri"/>
                <w:sz w:val="20"/>
                <w:lang w:val="fr-CA"/>
              </w:rPr>
              <w:t>Recours collectif accueilli en partie, entre autres parce que des commissions de conversion d’une devise étrangère ont été imputées aux membres du groupe en contravention de la LPC, une loi dont l’application et l’opérabilité ne sont écartées ni par la doctrine de l’exclusivité des compétences, ni par la doctrine de la prépondérance fédérale.</w:t>
            </w:r>
          </w:p>
          <w:p w:rsidR="002841B0" w:rsidRPr="00C16FDC" w:rsidRDefault="002841B0" w:rsidP="00EC5583">
            <w:pPr>
              <w:jc w:val="both"/>
              <w:rPr>
                <w:rFonts w:eastAsia="Calibri"/>
                <w:sz w:val="20"/>
                <w:lang w:val="fr-CA"/>
              </w:rPr>
            </w:pPr>
          </w:p>
        </w:tc>
      </w:tr>
      <w:tr w:rsidR="002841B0" w:rsidRPr="00495EC2" w:rsidTr="00EC5583">
        <w:tc>
          <w:tcPr>
            <w:tcW w:w="2427" w:type="pct"/>
          </w:tcPr>
          <w:p w:rsidR="002841B0" w:rsidRPr="00C16FDC" w:rsidRDefault="002841B0" w:rsidP="00EC5583">
            <w:pPr>
              <w:jc w:val="both"/>
              <w:rPr>
                <w:rFonts w:eastAsia="Calibri"/>
                <w:sz w:val="20"/>
                <w:lang w:val="fr-CA"/>
              </w:rPr>
            </w:pPr>
            <w:r w:rsidRPr="00C16FDC">
              <w:rPr>
                <w:rFonts w:eastAsia="Calibri"/>
                <w:sz w:val="20"/>
                <w:lang w:val="fr-CA"/>
              </w:rPr>
              <w:t>2 août 2012</w:t>
            </w:r>
          </w:p>
          <w:p w:rsidR="002841B0" w:rsidRPr="00C16FDC" w:rsidRDefault="002841B0" w:rsidP="00EC5583">
            <w:pPr>
              <w:jc w:val="both"/>
              <w:rPr>
                <w:rFonts w:eastAsia="Calibri"/>
                <w:sz w:val="20"/>
                <w:lang w:val="fr-CA"/>
              </w:rPr>
            </w:pPr>
            <w:r w:rsidRPr="00C16FDC">
              <w:rPr>
                <w:rFonts w:eastAsia="Calibri"/>
                <w:sz w:val="20"/>
                <w:lang w:val="fr-CA"/>
              </w:rPr>
              <w:t>Cour d’appel du Québec (Montréal)</w:t>
            </w:r>
          </w:p>
          <w:p w:rsidR="002841B0" w:rsidRPr="00C16FDC" w:rsidRDefault="002841B0" w:rsidP="00EC5583">
            <w:pPr>
              <w:jc w:val="both"/>
              <w:rPr>
                <w:rFonts w:eastAsia="Calibri"/>
                <w:sz w:val="20"/>
                <w:lang w:val="fr-CA"/>
              </w:rPr>
            </w:pPr>
            <w:r w:rsidRPr="00C16FDC">
              <w:rPr>
                <w:rFonts w:eastAsia="Calibri"/>
                <w:sz w:val="20"/>
                <w:lang w:val="fr-CA"/>
              </w:rPr>
              <w:t xml:space="preserve">(Juges Forget, </w:t>
            </w:r>
            <w:proofErr w:type="spellStart"/>
            <w:r w:rsidRPr="00C16FDC">
              <w:rPr>
                <w:rFonts w:eastAsia="Calibri"/>
                <w:sz w:val="20"/>
                <w:lang w:val="fr-CA"/>
              </w:rPr>
              <w:t>Dalphond</w:t>
            </w:r>
            <w:proofErr w:type="spellEnd"/>
            <w:r w:rsidRPr="00C16FDC">
              <w:rPr>
                <w:rFonts w:eastAsia="Calibri"/>
                <w:sz w:val="20"/>
                <w:lang w:val="fr-CA"/>
              </w:rPr>
              <w:t xml:space="preserve"> et </w:t>
            </w:r>
            <w:proofErr w:type="spellStart"/>
            <w:r w:rsidRPr="00C16FDC">
              <w:rPr>
                <w:rFonts w:eastAsia="Calibri"/>
                <w:sz w:val="20"/>
                <w:lang w:val="fr-CA"/>
              </w:rPr>
              <w:t>Bich</w:t>
            </w:r>
            <w:proofErr w:type="spellEnd"/>
            <w:r w:rsidRPr="00C16FDC">
              <w:rPr>
                <w:rFonts w:eastAsia="Calibri"/>
                <w:sz w:val="20"/>
                <w:lang w:val="fr-CA"/>
              </w:rPr>
              <w:t>)</w:t>
            </w:r>
          </w:p>
          <w:p w:rsidR="002841B0" w:rsidRPr="00495EC2" w:rsidRDefault="002841B0" w:rsidP="00EC5583">
            <w:pPr>
              <w:jc w:val="both"/>
              <w:rPr>
                <w:rFonts w:eastAsia="Calibri"/>
                <w:sz w:val="20"/>
              </w:rPr>
            </w:pPr>
            <w:r w:rsidRPr="00495EC2">
              <w:rPr>
                <w:rFonts w:eastAsia="Calibri"/>
                <w:sz w:val="20"/>
              </w:rPr>
              <w:t>No 500</w:t>
            </w:r>
            <w:r w:rsidRPr="00495EC2">
              <w:rPr>
                <w:rFonts w:eastAsia="Calibri"/>
                <w:sz w:val="20"/>
              </w:rPr>
              <w:noBreakHyphen/>
              <w:t>09</w:t>
            </w:r>
            <w:r w:rsidRPr="00495EC2">
              <w:rPr>
                <w:rFonts w:eastAsia="Calibri"/>
                <w:sz w:val="20"/>
              </w:rPr>
              <w:noBreakHyphen/>
              <w:t>019846</w:t>
            </w:r>
            <w:r w:rsidRPr="00495EC2">
              <w:rPr>
                <w:rFonts w:eastAsia="Calibri"/>
                <w:sz w:val="20"/>
              </w:rPr>
              <w:noBreakHyphen/>
              <w:t>096</w:t>
            </w:r>
          </w:p>
          <w:p w:rsidR="002841B0" w:rsidRPr="00495EC2" w:rsidRDefault="002841B0" w:rsidP="00EC5583">
            <w:pPr>
              <w:jc w:val="both"/>
              <w:rPr>
                <w:rFonts w:eastAsia="Calibri"/>
                <w:sz w:val="20"/>
              </w:rPr>
            </w:pPr>
            <w:r w:rsidRPr="00495EC2">
              <w:rPr>
                <w:rFonts w:eastAsia="Calibri"/>
                <w:sz w:val="20"/>
              </w:rPr>
              <w:t>2012 QCCA 1395</w:t>
            </w:r>
          </w:p>
          <w:p w:rsidR="002841B0" w:rsidRPr="00495EC2" w:rsidRDefault="002841B0" w:rsidP="00EC5583">
            <w:pPr>
              <w:jc w:val="both"/>
              <w:rPr>
                <w:rFonts w:eastAsia="Calibri"/>
                <w:sz w:val="20"/>
              </w:rPr>
            </w:pPr>
          </w:p>
        </w:tc>
        <w:tc>
          <w:tcPr>
            <w:tcW w:w="243" w:type="pct"/>
          </w:tcPr>
          <w:p w:rsidR="002841B0" w:rsidRPr="00495EC2" w:rsidRDefault="002841B0" w:rsidP="00EC5583">
            <w:pPr>
              <w:jc w:val="both"/>
              <w:rPr>
                <w:rFonts w:eastAsia="Calibri"/>
                <w:sz w:val="20"/>
              </w:rPr>
            </w:pPr>
          </w:p>
        </w:tc>
        <w:tc>
          <w:tcPr>
            <w:tcW w:w="2330" w:type="pct"/>
          </w:tcPr>
          <w:p w:rsidR="002841B0" w:rsidRPr="002841B0" w:rsidRDefault="002841B0" w:rsidP="00EC5583">
            <w:pPr>
              <w:pStyle w:val="paragraphe"/>
              <w:shd w:val="clear" w:color="auto" w:fill="FFFFFF"/>
              <w:spacing w:line="280" w:lineRule="atLeast"/>
              <w:jc w:val="both"/>
              <w:rPr>
                <w:rFonts w:eastAsia="Calibri"/>
                <w:sz w:val="20"/>
                <w:szCs w:val="20"/>
                <w:lang w:eastAsia="en-US"/>
              </w:rPr>
            </w:pPr>
            <w:r w:rsidRPr="002841B0">
              <w:rPr>
                <w:rFonts w:eastAsia="Calibri"/>
                <w:sz w:val="20"/>
                <w:szCs w:val="20"/>
                <w:lang w:eastAsia="en-US"/>
              </w:rPr>
              <w:t>Appel accueilli.</w:t>
            </w:r>
          </w:p>
          <w:p w:rsidR="002841B0" w:rsidRPr="00495EC2" w:rsidRDefault="002841B0" w:rsidP="00EC5583">
            <w:pPr>
              <w:jc w:val="both"/>
              <w:rPr>
                <w:rFonts w:eastAsia="Calibri"/>
                <w:sz w:val="20"/>
              </w:rPr>
            </w:pPr>
          </w:p>
        </w:tc>
      </w:tr>
      <w:tr w:rsidR="002841B0" w:rsidRPr="00495EC2" w:rsidTr="00EC5583">
        <w:tc>
          <w:tcPr>
            <w:tcW w:w="2427" w:type="pct"/>
          </w:tcPr>
          <w:p w:rsidR="002841B0" w:rsidRPr="00C16FDC" w:rsidRDefault="002841B0" w:rsidP="00EC5583">
            <w:pPr>
              <w:jc w:val="both"/>
              <w:rPr>
                <w:rFonts w:eastAsia="Calibri"/>
                <w:sz w:val="20"/>
                <w:lang w:val="fr-CA"/>
              </w:rPr>
            </w:pPr>
            <w:r w:rsidRPr="00C16FDC">
              <w:rPr>
                <w:rFonts w:eastAsia="Calibri"/>
                <w:sz w:val="20"/>
                <w:lang w:val="fr-CA"/>
              </w:rPr>
              <w:t>1</w:t>
            </w:r>
            <w:r w:rsidRPr="00C16FDC">
              <w:rPr>
                <w:rFonts w:eastAsia="Calibri"/>
                <w:sz w:val="20"/>
                <w:vertAlign w:val="superscript"/>
                <w:lang w:val="fr-CA"/>
              </w:rPr>
              <w:t>er</w:t>
            </w:r>
            <w:r w:rsidRPr="00C16FDC">
              <w:rPr>
                <w:rFonts w:eastAsia="Calibri"/>
                <w:sz w:val="20"/>
                <w:lang w:val="fr-CA"/>
              </w:rPr>
              <w:t xml:space="preserve"> octobre 2012</w:t>
            </w:r>
          </w:p>
          <w:p w:rsidR="002841B0" w:rsidRPr="00C16FDC" w:rsidRDefault="002841B0" w:rsidP="00EC5583">
            <w:pPr>
              <w:jc w:val="both"/>
              <w:rPr>
                <w:rFonts w:eastAsia="Calibri"/>
                <w:sz w:val="20"/>
                <w:lang w:val="fr-CA"/>
              </w:rPr>
            </w:pPr>
            <w:r w:rsidRPr="00C16FDC">
              <w:rPr>
                <w:rFonts w:eastAsia="Calibri"/>
                <w:sz w:val="20"/>
                <w:lang w:val="fr-CA"/>
              </w:rPr>
              <w:t>Cour suprême du Canada</w:t>
            </w:r>
          </w:p>
        </w:tc>
        <w:tc>
          <w:tcPr>
            <w:tcW w:w="243" w:type="pct"/>
          </w:tcPr>
          <w:p w:rsidR="002841B0" w:rsidRPr="00C16FDC" w:rsidRDefault="002841B0" w:rsidP="00EC5583">
            <w:pPr>
              <w:jc w:val="both"/>
              <w:rPr>
                <w:rFonts w:eastAsia="Calibri"/>
                <w:sz w:val="20"/>
                <w:lang w:val="fr-CA"/>
              </w:rPr>
            </w:pPr>
          </w:p>
        </w:tc>
        <w:tc>
          <w:tcPr>
            <w:tcW w:w="2330" w:type="pct"/>
          </w:tcPr>
          <w:p w:rsidR="002841B0" w:rsidRPr="00495EC2" w:rsidRDefault="002841B0" w:rsidP="00EC5583">
            <w:pPr>
              <w:jc w:val="both"/>
              <w:rPr>
                <w:rFonts w:eastAsia="Calibri"/>
                <w:sz w:val="20"/>
              </w:rPr>
            </w:pPr>
            <w:r w:rsidRPr="002841B0">
              <w:rPr>
                <w:rFonts w:eastAsia="Calibri"/>
                <w:sz w:val="20"/>
                <w:lang w:val="fr-CA"/>
              </w:rPr>
              <w:t>Demande d’autorisation d’appel déposée</w:t>
            </w:r>
            <w:r w:rsidRPr="00495EC2">
              <w:rPr>
                <w:rFonts w:eastAsia="Calibri"/>
                <w:sz w:val="20"/>
              </w:rPr>
              <w:t>.</w:t>
            </w: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53"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5E1C" w:rsidRPr="00841F85" w:rsidTr="009E6124">
        <w:trPr>
          <w:cantSplit/>
        </w:trPr>
        <w:tc>
          <w:tcPr>
            <w:tcW w:w="1458" w:type="dxa"/>
          </w:tcPr>
          <w:p w:rsidR="00DF5E1C" w:rsidRPr="00841F85" w:rsidRDefault="00DF5E1C" w:rsidP="009E6124">
            <w:pPr>
              <w:rPr>
                <w:sz w:val="20"/>
                <w:szCs w:val="20"/>
              </w:rPr>
            </w:pPr>
            <w:r w:rsidRPr="00841F85">
              <w:rPr>
                <w:rStyle w:val="SCCFileNumberChar"/>
                <w:sz w:val="20"/>
                <w:szCs w:val="20"/>
              </w:rPr>
              <w:t>35023</w:t>
            </w:r>
          </w:p>
          <w:p w:rsidR="00DF5E1C" w:rsidRPr="00841F85" w:rsidRDefault="00DF5E1C" w:rsidP="009E6124">
            <w:pPr>
              <w:rPr>
                <w:b/>
                <w:sz w:val="20"/>
                <w:szCs w:val="20"/>
                <w:lang w:val="fr-CA"/>
              </w:rPr>
            </w:pPr>
          </w:p>
        </w:tc>
        <w:tc>
          <w:tcPr>
            <w:tcW w:w="8118" w:type="dxa"/>
          </w:tcPr>
          <w:p w:rsidR="00DF5E1C" w:rsidRPr="00841F85" w:rsidRDefault="00DF5E1C" w:rsidP="009E6124">
            <w:pPr>
              <w:jc w:val="both"/>
              <w:rPr>
                <w:sz w:val="20"/>
                <w:szCs w:val="20"/>
              </w:rPr>
            </w:pPr>
            <w:r w:rsidRPr="00841F85">
              <w:rPr>
                <w:rStyle w:val="SCCLsocChar"/>
                <w:sz w:val="20"/>
                <w:szCs w:val="20"/>
                <w:lang w:val="en-CA"/>
              </w:rPr>
              <w:t>Adams Lake Indian Band v. Lieutenant Governor in Council, Sun Pea</w:t>
            </w:r>
            <w:r w:rsidR="003B3E0C">
              <w:rPr>
                <w:rStyle w:val="SCCLsocChar"/>
                <w:sz w:val="20"/>
                <w:szCs w:val="20"/>
                <w:lang w:val="en-CA"/>
              </w:rPr>
              <w:t>ks Mountain Resort Municipality and</w:t>
            </w:r>
            <w:r w:rsidRPr="00841F85">
              <w:rPr>
                <w:rStyle w:val="SCCLsocChar"/>
                <w:sz w:val="20"/>
                <w:szCs w:val="20"/>
                <w:lang w:val="en-CA"/>
              </w:rPr>
              <w:t xml:space="preserve"> Sun Peaks Resort Corporation</w:t>
            </w:r>
            <w:r w:rsidRPr="00841F85">
              <w:rPr>
                <w:sz w:val="20"/>
                <w:szCs w:val="20"/>
              </w:rPr>
              <w:t xml:space="preserve"> (B.C.) (Civil) (By Leave)</w:t>
            </w:r>
          </w:p>
          <w:p w:rsidR="00DF5E1C" w:rsidRPr="00841F85" w:rsidRDefault="00DF5E1C" w:rsidP="009E6124">
            <w:pPr>
              <w:jc w:val="both"/>
              <w:rPr>
                <w:sz w:val="20"/>
                <w:szCs w:val="20"/>
              </w:rPr>
            </w:pPr>
          </w:p>
        </w:tc>
      </w:tr>
      <w:tr w:rsidR="00DF5E1C" w:rsidRPr="00841F85" w:rsidTr="009E6124">
        <w:trPr>
          <w:cantSplit/>
        </w:trPr>
        <w:tc>
          <w:tcPr>
            <w:tcW w:w="1458" w:type="dxa"/>
          </w:tcPr>
          <w:p w:rsidR="00DF5E1C" w:rsidRPr="00841F85" w:rsidRDefault="00DF5E1C" w:rsidP="009E6124">
            <w:pPr>
              <w:rPr>
                <w:sz w:val="20"/>
                <w:szCs w:val="20"/>
              </w:rPr>
            </w:pPr>
            <w:r w:rsidRPr="00841F85">
              <w:rPr>
                <w:sz w:val="20"/>
                <w:szCs w:val="20"/>
              </w:rPr>
              <w:t>Coram :</w:t>
            </w:r>
          </w:p>
        </w:tc>
        <w:tc>
          <w:tcPr>
            <w:tcW w:w="8118" w:type="dxa"/>
          </w:tcPr>
          <w:p w:rsidR="00DF5E1C" w:rsidRPr="00841F85" w:rsidRDefault="00DF5E1C" w:rsidP="009E6124">
            <w:pPr>
              <w:rPr>
                <w:sz w:val="20"/>
                <w:szCs w:val="20"/>
              </w:rPr>
            </w:pPr>
            <w:proofErr w:type="spellStart"/>
            <w:r w:rsidRPr="00841F85">
              <w:rPr>
                <w:rStyle w:val="SCCCoramChar"/>
                <w:sz w:val="20"/>
                <w:szCs w:val="20"/>
                <w:lang w:val="en-CA"/>
              </w:rPr>
              <w:t>McLachlin</w:t>
            </w:r>
            <w:proofErr w:type="spellEnd"/>
            <w:r w:rsidRPr="00841F85">
              <w:rPr>
                <w:rStyle w:val="SCCCoramChar"/>
                <w:sz w:val="20"/>
                <w:szCs w:val="20"/>
                <w:lang w:val="en-CA"/>
              </w:rPr>
              <w:t xml:space="preserve"> C.J. and </w:t>
            </w:r>
            <w:proofErr w:type="spellStart"/>
            <w:r w:rsidRPr="00841F85">
              <w:rPr>
                <w:rStyle w:val="SCCCoramChar"/>
                <w:sz w:val="20"/>
                <w:szCs w:val="20"/>
                <w:lang w:val="en-CA"/>
              </w:rPr>
              <w:t>Abella</w:t>
            </w:r>
            <w:proofErr w:type="spellEnd"/>
            <w:r w:rsidRPr="00841F85">
              <w:rPr>
                <w:rStyle w:val="SCCCoramChar"/>
                <w:sz w:val="20"/>
                <w:szCs w:val="20"/>
                <w:lang w:val="en-CA"/>
              </w:rPr>
              <w:t xml:space="preserve"> and Cromwell JJ.</w:t>
            </w:r>
          </w:p>
          <w:p w:rsidR="00DF5E1C" w:rsidRPr="00841F85" w:rsidRDefault="00DF5E1C" w:rsidP="009E6124">
            <w:pPr>
              <w:rPr>
                <w:sz w:val="20"/>
                <w:szCs w:val="20"/>
                <w:u w:val="single"/>
              </w:rPr>
            </w:pPr>
          </w:p>
        </w:tc>
      </w:tr>
      <w:tr w:rsidR="00DF5E1C" w:rsidRPr="009714AD" w:rsidTr="009E6124">
        <w:trPr>
          <w:cantSplit/>
        </w:trPr>
        <w:tc>
          <w:tcPr>
            <w:tcW w:w="9576" w:type="dxa"/>
            <w:gridSpan w:val="2"/>
          </w:tcPr>
          <w:p w:rsidR="00DF5E1C" w:rsidRPr="00841F85" w:rsidRDefault="00DF5E1C" w:rsidP="009E6124">
            <w:pPr>
              <w:pStyle w:val="SCCShortJudgment"/>
              <w:rPr>
                <w:szCs w:val="20"/>
              </w:rPr>
            </w:pPr>
            <w:r w:rsidRPr="00841F85">
              <w:rPr>
                <w:szCs w:val="20"/>
              </w:rPr>
              <w:t>The application for leave to appeal from the judgment of the Court of Appeal for British Columbia (Vancouver), Number CA038926, 2012 BCCA 333, dated August 9, 2012, is dismissed with costs.</w:t>
            </w:r>
          </w:p>
          <w:p w:rsidR="00DF5E1C" w:rsidRPr="00841F85" w:rsidRDefault="00DF5E1C" w:rsidP="009E6124">
            <w:pPr>
              <w:pStyle w:val="SCCShortJudgment"/>
              <w:ind w:firstLine="0"/>
              <w:rPr>
                <w:szCs w:val="20"/>
              </w:rPr>
            </w:pPr>
          </w:p>
          <w:p w:rsidR="00DF5E1C" w:rsidRPr="00841F85" w:rsidRDefault="00DF5E1C" w:rsidP="009E6124">
            <w:pPr>
              <w:pStyle w:val="SCCShortJudgment"/>
              <w:rPr>
                <w:szCs w:val="20"/>
                <w:lang w:val="fr-CA"/>
              </w:rPr>
            </w:pPr>
            <w:r w:rsidRPr="00841F85">
              <w:rPr>
                <w:szCs w:val="20"/>
                <w:lang w:val="fr-CA"/>
              </w:rPr>
              <w:t>La demande d’autorisation d’appel de l’arrêt de la Cour d’appel de la Colombie-Britannique (Vancouver), numéro CA038926, 2012 BCCA 333, daté du 9 août 2012, est rejetée avec dépens.</w:t>
            </w:r>
          </w:p>
        </w:tc>
      </w:tr>
    </w:tbl>
    <w:p w:rsidR="000C7850" w:rsidRPr="00DF5E1C"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E52F3" w:rsidRPr="00495EC2" w:rsidTr="00EC5583">
        <w:tc>
          <w:tcPr>
            <w:tcW w:w="5000" w:type="pct"/>
            <w:gridSpan w:val="3"/>
          </w:tcPr>
          <w:p w:rsidR="00EE52F3" w:rsidRPr="00495EC2" w:rsidRDefault="00EE52F3" w:rsidP="00EC5583">
            <w:pPr>
              <w:jc w:val="both"/>
              <w:rPr>
                <w:rFonts w:eastAsia="Calibri"/>
                <w:sz w:val="20"/>
              </w:rPr>
            </w:pPr>
            <w:r w:rsidRPr="00495EC2">
              <w:rPr>
                <w:rFonts w:eastAsia="Calibri"/>
                <w:sz w:val="20"/>
              </w:rPr>
              <w:t xml:space="preserve">Constitutional law ― Aboriginal rights ― Crown ―  Duty of Crown to consult and accommodate ― Indian Band seeking to quash decision relating to incorporation of a Municipality involving lands which they claim on basis Crown failed to properly consult them ― Whether Court of Appeal erred in law in holding Lieutenant Governor in Counsel met its duty to consult ― Whether Court of Appeal erred in law by holding Lieutenant Governor in Council not required to assess strength of aboriginal rights and title claims at question ― Whether duty to consult arises when Crown is making a legislative or </w:t>
            </w:r>
            <w:proofErr w:type="spellStart"/>
            <w:r w:rsidRPr="00495EC2">
              <w:rPr>
                <w:rFonts w:eastAsia="Calibri"/>
                <w:sz w:val="20"/>
              </w:rPr>
              <w:t>quasilegislative</w:t>
            </w:r>
            <w:proofErr w:type="spellEnd"/>
            <w:r w:rsidRPr="00495EC2">
              <w:rPr>
                <w:rFonts w:eastAsia="Calibri"/>
                <w:sz w:val="20"/>
              </w:rPr>
              <w:t xml:space="preserve"> decision authorized by statute ― </w:t>
            </w:r>
            <w:r w:rsidRPr="00495EC2">
              <w:rPr>
                <w:rFonts w:eastAsia="Calibri"/>
                <w:i/>
                <w:sz w:val="20"/>
              </w:rPr>
              <w:t>Constitution Act, 1982</w:t>
            </w:r>
            <w:r w:rsidRPr="00495EC2">
              <w:rPr>
                <w:rFonts w:eastAsia="Calibri"/>
                <w:sz w:val="20"/>
              </w:rPr>
              <w:t>, s. 35.</w:t>
            </w:r>
          </w:p>
        </w:tc>
      </w:tr>
      <w:tr w:rsidR="00EE52F3" w:rsidRPr="00495EC2" w:rsidTr="00EC5583">
        <w:tc>
          <w:tcPr>
            <w:tcW w:w="5000" w:type="pct"/>
            <w:gridSpan w:val="3"/>
          </w:tcPr>
          <w:p w:rsidR="00EE52F3" w:rsidRPr="00495EC2" w:rsidRDefault="00EE52F3" w:rsidP="00EC5583">
            <w:pPr>
              <w:jc w:val="both"/>
              <w:rPr>
                <w:rFonts w:eastAsia="Calibri"/>
                <w:sz w:val="20"/>
              </w:rPr>
            </w:pPr>
          </w:p>
        </w:tc>
      </w:tr>
      <w:tr w:rsidR="00EE52F3" w:rsidRPr="00495EC2" w:rsidTr="00EC5583">
        <w:tc>
          <w:tcPr>
            <w:tcW w:w="5000" w:type="pct"/>
            <w:gridSpan w:val="3"/>
          </w:tcPr>
          <w:p w:rsidR="00EE52F3" w:rsidRPr="00495EC2" w:rsidRDefault="00EE52F3" w:rsidP="00EC5583">
            <w:pPr>
              <w:jc w:val="both"/>
              <w:rPr>
                <w:rFonts w:eastAsia="Calibri"/>
                <w:sz w:val="20"/>
              </w:rPr>
            </w:pPr>
            <w:r w:rsidRPr="00495EC2">
              <w:rPr>
                <w:rFonts w:eastAsia="Calibri"/>
                <w:sz w:val="20"/>
              </w:rPr>
              <w:t xml:space="preserve">In 1993, the British Columbia provincial government entered into a master development agreement (“MDA”) with </w:t>
            </w:r>
            <w:proofErr w:type="spellStart"/>
            <w:r w:rsidRPr="00495EC2">
              <w:rPr>
                <w:rFonts w:eastAsia="Calibri"/>
                <w:sz w:val="20"/>
              </w:rPr>
              <w:t>Tod</w:t>
            </w:r>
            <w:proofErr w:type="spellEnd"/>
            <w:r w:rsidRPr="00495EC2">
              <w:rPr>
                <w:rFonts w:eastAsia="Calibri"/>
                <w:sz w:val="20"/>
              </w:rPr>
              <w:t xml:space="preserve"> Mountain Development Ltd. (now Sun Peaks Resort Corporation) that contemplated an expansion of the ski hill with the development of resort facilities and recreational improvements.  The MDA permitted purchase of Crown lands within the traditional areas claimed by the applicant, Adams Lake Indian Band (“Adams Lake”).  </w:t>
            </w:r>
          </w:p>
          <w:p w:rsidR="00EE52F3" w:rsidRPr="00495EC2" w:rsidRDefault="00EE52F3" w:rsidP="00EC5583">
            <w:pPr>
              <w:jc w:val="both"/>
              <w:rPr>
                <w:rFonts w:eastAsia="Calibri"/>
                <w:sz w:val="20"/>
              </w:rPr>
            </w:pPr>
          </w:p>
          <w:p w:rsidR="00EE52F3" w:rsidRPr="00495EC2" w:rsidRDefault="00EE52F3" w:rsidP="00EC5583">
            <w:pPr>
              <w:jc w:val="both"/>
              <w:rPr>
                <w:rFonts w:eastAsia="Calibri"/>
                <w:sz w:val="20"/>
              </w:rPr>
            </w:pPr>
            <w:r w:rsidRPr="00495EC2">
              <w:rPr>
                <w:rFonts w:eastAsia="Calibri"/>
                <w:sz w:val="20"/>
              </w:rPr>
              <w:t xml:space="preserve">In 2010, the Lieutenant Governor in Council passed an order in council that authorized the issuance of letters patent to create Sun Peaks Mountain Resort Municipality (which came into force June 2010).  </w:t>
            </w:r>
          </w:p>
          <w:p w:rsidR="00EE52F3" w:rsidRPr="00495EC2" w:rsidRDefault="00EE52F3" w:rsidP="00EC5583">
            <w:pPr>
              <w:jc w:val="both"/>
              <w:rPr>
                <w:rFonts w:eastAsia="Calibri"/>
                <w:sz w:val="20"/>
              </w:rPr>
            </w:pPr>
          </w:p>
          <w:p w:rsidR="00EE52F3" w:rsidRPr="00495EC2" w:rsidRDefault="00EE52F3" w:rsidP="00EC5583">
            <w:pPr>
              <w:jc w:val="both"/>
              <w:rPr>
                <w:rFonts w:eastAsia="Calibri"/>
                <w:sz w:val="20"/>
              </w:rPr>
            </w:pPr>
            <w:r w:rsidRPr="00495EC2">
              <w:rPr>
                <w:rFonts w:eastAsia="Calibri"/>
                <w:sz w:val="20"/>
              </w:rPr>
              <w:t>On July 9, 2010, Adams Lake filed a petition for an order quashing the order in council on the basis that government consultation with Adams Lake had been inadequate.  The B.C. Supreme Court allowed the petition in part.  Justice Bruce found there was inadequate consultation and ordered the province to conduct further consultation with Adams Lake.  However, she did not quash the order in council.  The Court of Appeal allowed the appeal and dismissed the petition and cross-appeal.</w:t>
            </w:r>
            <w:r w:rsidRPr="00495EC2">
              <w:rPr>
                <w:rFonts w:eastAsia="Calibri"/>
                <w:b/>
                <w:sz w:val="20"/>
              </w:rPr>
              <w:t xml:space="preserve"> </w:t>
            </w:r>
          </w:p>
          <w:p w:rsidR="00EE52F3" w:rsidRPr="00495EC2" w:rsidRDefault="00EE52F3" w:rsidP="00EC5583">
            <w:pPr>
              <w:jc w:val="both"/>
              <w:rPr>
                <w:rFonts w:eastAsia="Calibri"/>
                <w:sz w:val="20"/>
              </w:rPr>
            </w:pPr>
          </w:p>
        </w:tc>
      </w:tr>
      <w:tr w:rsidR="00EE52F3" w:rsidRPr="00495EC2" w:rsidTr="00EC5583">
        <w:tc>
          <w:tcPr>
            <w:tcW w:w="2427" w:type="pct"/>
          </w:tcPr>
          <w:p w:rsidR="00EE52F3" w:rsidRPr="00495EC2" w:rsidRDefault="00EE52F3" w:rsidP="00EC5583">
            <w:pPr>
              <w:jc w:val="both"/>
              <w:rPr>
                <w:rFonts w:eastAsia="Calibri"/>
                <w:sz w:val="20"/>
              </w:rPr>
            </w:pPr>
            <w:r w:rsidRPr="00495EC2">
              <w:rPr>
                <w:rFonts w:eastAsia="Calibri"/>
                <w:sz w:val="20"/>
              </w:rPr>
              <w:t>March 4, 2011</w:t>
            </w:r>
          </w:p>
          <w:p w:rsidR="00EE52F3" w:rsidRPr="00495EC2" w:rsidRDefault="00EE52F3" w:rsidP="00EC5583">
            <w:pPr>
              <w:jc w:val="both"/>
              <w:rPr>
                <w:rFonts w:eastAsia="Calibri"/>
                <w:sz w:val="20"/>
              </w:rPr>
            </w:pPr>
            <w:r w:rsidRPr="00495EC2">
              <w:rPr>
                <w:rFonts w:eastAsia="Calibri"/>
                <w:sz w:val="20"/>
              </w:rPr>
              <w:t>Supreme Court of British Columbia</w:t>
            </w:r>
          </w:p>
          <w:p w:rsidR="00EE52F3" w:rsidRPr="00495EC2" w:rsidRDefault="00EE52F3" w:rsidP="00EC5583">
            <w:pPr>
              <w:jc w:val="both"/>
              <w:rPr>
                <w:rFonts w:eastAsia="Calibri"/>
                <w:sz w:val="20"/>
              </w:rPr>
            </w:pPr>
            <w:r w:rsidRPr="00495EC2">
              <w:rPr>
                <w:rFonts w:eastAsia="Calibri"/>
                <w:sz w:val="20"/>
              </w:rPr>
              <w:t>(Bruce J.)</w:t>
            </w:r>
          </w:p>
          <w:p w:rsidR="00EE52F3" w:rsidRPr="00495EC2" w:rsidRDefault="00EE52F3" w:rsidP="00EC5583">
            <w:pPr>
              <w:jc w:val="both"/>
              <w:rPr>
                <w:rFonts w:eastAsia="Calibri"/>
                <w:sz w:val="20"/>
              </w:rPr>
            </w:pPr>
            <w:r w:rsidRPr="00495EC2">
              <w:rPr>
                <w:rFonts w:eastAsia="Calibri"/>
                <w:sz w:val="20"/>
              </w:rPr>
              <w:t>2011 BCSC 266</w:t>
            </w:r>
          </w:p>
          <w:p w:rsidR="00EE52F3" w:rsidRPr="00495EC2" w:rsidRDefault="00EE52F3" w:rsidP="00EC5583">
            <w:pPr>
              <w:jc w:val="both"/>
              <w:rPr>
                <w:rFonts w:eastAsia="Calibri"/>
                <w:sz w:val="20"/>
              </w:rPr>
            </w:pPr>
          </w:p>
        </w:tc>
        <w:tc>
          <w:tcPr>
            <w:tcW w:w="243" w:type="pct"/>
          </w:tcPr>
          <w:p w:rsidR="00EE52F3" w:rsidRPr="00495EC2" w:rsidRDefault="00EE52F3" w:rsidP="00EC5583">
            <w:pPr>
              <w:jc w:val="both"/>
              <w:rPr>
                <w:rFonts w:eastAsia="Calibri"/>
                <w:sz w:val="20"/>
              </w:rPr>
            </w:pPr>
          </w:p>
        </w:tc>
        <w:tc>
          <w:tcPr>
            <w:tcW w:w="2330" w:type="pct"/>
          </w:tcPr>
          <w:p w:rsidR="00EE52F3" w:rsidRPr="00495EC2" w:rsidRDefault="00EE52F3" w:rsidP="00EC5583">
            <w:pPr>
              <w:jc w:val="both"/>
              <w:rPr>
                <w:rFonts w:eastAsia="Calibri"/>
                <w:sz w:val="20"/>
              </w:rPr>
            </w:pPr>
            <w:r w:rsidRPr="00495EC2">
              <w:rPr>
                <w:rFonts w:eastAsia="Calibri"/>
                <w:sz w:val="20"/>
              </w:rPr>
              <w:t>Petition allowed in part.</w:t>
            </w:r>
          </w:p>
          <w:p w:rsidR="00EE52F3" w:rsidRPr="00495EC2" w:rsidRDefault="00EE52F3" w:rsidP="00EC5583">
            <w:pPr>
              <w:jc w:val="both"/>
              <w:rPr>
                <w:rFonts w:eastAsia="Calibri"/>
                <w:sz w:val="20"/>
              </w:rPr>
            </w:pPr>
          </w:p>
        </w:tc>
      </w:tr>
      <w:tr w:rsidR="00EE52F3" w:rsidRPr="00495EC2" w:rsidTr="00EC5583">
        <w:tc>
          <w:tcPr>
            <w:tcW w:w="2427" w:type="pct"/>
          </w:tcPr>
          <w:p w:rsidR="00EE52F3" w:rsidRPr="00495EC2" w:rsidRDefault="00EE52F3" w:rsidP="00EC5583">
            <w:pPr>
              <w:jc w:val="both"/>
              <w:rPr>
                <w:rFonts w:eastAsia="Calibri"/>
                <w:sz w:val="20"/>
              </w:rPr>
            </w:pPr>
            <w:r w:rsidRPr="00495EC2">
              <w:rPr>
                <w:rFonts w:eastAsia="Calibri"/>
                <w:sz w:val="20"/>
              </w:rPr>
              <w:t>August 9, 2012</w:t>
            </w:r>
          </w:p>
          <w:p w:rsidR="00EE52F3" w:rsidRPr="00495EC2" w:rsidRDefault="00EE52F3" w:rsidP="00EC5583">
            <w:pPr>
              <w:jc w:val="both"/>
              <w:rPr>
                <w:rFonts w:eastAsia="Calibri"/>
                <w:sz w:val="20"/>
              </w:rPr>
            </w:pPr>
            <w:r w:rsidRPr="00495EC2">
              <w:rPr>
                <w:rFonts w:eastAsia="Calibri"/>
                <w:sz w:val="20"/>
              </w:rPr>
              <w:t xml:space="preserve">Court of Appeal for British Columbia </w:t>
            </w:r>
          </w:p>
          <w:p w:rsidR="00EE52F3" w:rsidRPr="00495EC2" w:rsidRDefault="00EE52F3" w:rsidP="00EC5583">
            <w:pPr>
              <w:jc w:val="both"/>
              <w:rPr>
                <w:rFonts w:eastAsia="Calibri"/>
                <w:sz w:val="20"/>
              </w:rPr>
            </w:pPr>
            <w:r w:rsidRPr="00495EC2">
              <w:rPr>
                <w:rFonts w:eastAsia="Calibri"/>
                <w:sz w:val="20"/>
              </w:rPr>
              <w:t>(Vancouver)</w:t>
            </w:r>
          </w:p>
          <w:p w:rsidR="00EE52F3" w:rsidRPr="00495EC2" w:rsidRDefault="00EE52F3" w:rsidP="00EC5583">
            <w:pPr>
              <w:jc w:val="both"/>
              <w:rPr>
                <w:rFonts w:eastAsia="Calibri"/>
                <w:sz w:val="20"/>
              </w:rPr>
            </w:pPr>
            <w:r w:rsidRPr="00495EC2">
              <w:rPr>
                <w:rFonts w:eastAsia="Calibri"/>
                <w:sz w:val="20"/>
              </w:rPr>
              <w:t xml:space="preserve">(Newbury, Low and </w:t>
            </w:r>
            <w:proofErr w:type="spellStart"/>
            <w:r w:rsidRPr="00495EC2">
              <w:rPr>
                <w:rFonts w:eastAsia="Calibri"/>
                <w:sz w:val="20"/>
              </w:rPr>
              <w:t>Tysoe</w:t>
            </w:r>
            <w:proofErr w:type="spellEnd"/>
            <w:r w:rsidRPr="00495EC2">
              <w:rPr>
                <w:rFonts w:eastAsia="Calibri"/>
                <w:sz w:val="20"/>
              </w:rPr>
              <w:t xml:space="preserve"> JJ.A.)</w:t>
            </w:r>
          </w:p>
          <w:p w:rsidR="00EE52F3" w:rsidRPr="00495EC2" w:rsidRDefault="00EE52F3" w:rsidP="00EC5583">
            <w:pPr>
              <w:jc w:val="both"/>
              <w:rPr>
                <w:rFonts w:eastAsia="Calibri"/>
                <w:sz w:val="20"/>
              </w:rPr>
            </w:pPr>
            <w:r w:rsidRPr="00495EC2">
              <w:rPr>
                <w:rFonts w:eastAsia="Calibri"/>
                <w:sz w:val="20"/>
              </w:rPr>
              <w:t>2012 BCCA 333</w:t>
            </w:r>
          </w:p>
          <w:p w:rsidR="00EE52F3" w:rsidRPr="00495EC2" w:rsidRDefault="00EE52F3" w:rsidP="00EC5583">
            <w:pPr>
              <w:jc w:val="both"/>
              <w:rPr>
                <w:rFonts w:eastAsia="Calibri"/>
                <w:sz w:val="20"/>
              </w:rPr>
            </w:pPr>
          </w:p>
        </w:tc>
        <w:tc>
          <w:tcPr>
            <w:tcW w:w="243" w:type="pct"/>
          </w:tcPr>
          <w:p w:rsidR="00EE52F3" w:rsidRPr="00495EC2" w:rsidRDefault="00EE52F3" w:rsidP="00EC5583">
            <w:pPr>
              <w:jc w:val="both"/>
              <w:rPr>
                <w:rFonts w:eastAsia="Calibri"/>
                <w:sz w:val="20"/>
              </w:rPr>
            </w:pPr>
          </w:p>
        </w:tc>
        <w:tc>
          <w:tcPr>
            <w:tcW w:w="2330" w:type="pct"/>
          </w:tcPr>
          <w:p w:rsidR="00EE52F3" w:rsidRPr="00495EC2" w:rsidRDefault="00EE52F3" w:rsidP="00EC5583">
            <w:pPr>
              <w:jc w:val="both"/>
              <w:rPr>
                <w:rFonts w:eastAsia="Calibri"/>
                <w:sz w:val="20"/>
              </w:rPr>
            </w:pPr>
            <w:r w:rsidRPr="00495EC2">
              <w:rPr>
                <w:rFonts w:eastAsia="Calibri"/>
                <w:sz w:val="20"/>
              </w:rPr>
              <w:t>Appeal allowed and petition dismissed; cross-appeal dismissed.</w:t>
            </w:r>
          </w:p>
          <w:p w:rsidR="00EE52F3" w:rsidRPr="00495EC2" w:rsidRDefault="00EE52F3" w:rsidP="00EC5583">
            <w:pPr>
              <w:jc w:val="both"/>
              <w:rPr>
                <w:rFonts w:eastAsia="Calibri"/>
                <w:sz w:val="20"/>
              </w:rPr>
            </w:pPr>
          </w:p>
        </w:tc>
      </w:tr>
      <w:tr w:rsidR="00EE52F3" w:rsidRPr="00495EC2" w:rsidTr="00EC5583">
        <w:tc>
          <w:tcPr>
            <w:tcW w:w="2427" w:type="pct"/>
          </w:tcPr>
          <w:p w:rsidR="00EE52F3" w:rsidRPr="00495EC2" w:rsidRDefault="00EE52F3" w:rsidP="00EC5583">
            <w:pPr>
              <w:jc w:val="both"/>
              <w:rPr>
                <w:rFonts w:eastAsia="Calibri"/>
                <w:sz w:val="20"/>
              </w:rPr>
            </w:pPr>
            <w:r w:rsidRPr="00495EC2">
              <w:rPr>
                <w:rFonts w:eastAsia="Calibri"/>
                <w:sz w:val="20"/>
              </w:rPr>
              <w:t>October 4, 2012</w:t>
            </w:r>
          </w:p>
          <w:p w:rsidR="00EE52F3" w:rsidRPr="00495EC2" w:rsidRDefault="00EE52F3" w:rsidP="00EC5583">
            <w:pPr>
              <w:jc w:val="both"/>
              <w:rPr>
                <w:rFonts w:eastAsia="Calibri"/>
                <w:sz w:val="20"/>
              </w:rPr>
            </w:pPr>
            <w:r w:rsidRPr="00495EC2">
              <w:rPr>
                <w:rFonts w:eastAsia="Calibri"/>
                <w:sz w:val="20"/>
              </w:rPr>
              <w:t>Supreme Court of Canada</w:t>
            </w:r>
          </w:p>
        </w:tc>
        <w:tc>
          <w:tcPr>
            <w:tcW w:w="243" w:type="pct"/>
          </w:tcPr>
          <w:p w:rsidR="00EE52F3" w:rsidRPr="00495EC2" w:rsidRDefault="00EE52F3" w:rsidP="00EC5583">
            <w:pPr>
              <w:jc w:val="both"/>
              <w:rPr>
                <w:rFonts w:eastAsia="Calibri"/>
                <w:sz w:val="20"/>
              </w:rPr>
            </w:pPr>
          </w:p>
        </w:tc>
        <w:tc>
          <w:tcPr>
            <w:tcW w:w="2330" w:type="pct"/>
          </w:tcPr>
          <w:p w:rsidR="00EE52F3" w:rsidRPr="00495EC2" w:rsidRDefault="00EE52F3" w:rsidP="00EC5583">
            <w:pPr>
              <w:jc w:val="both"/>
              <w:rPr>
                <w:rFonts w:eastAsia="Calibri"/>
                <w:sz w:val="20"/>
              </w:rPr>
            </w:pPr>
            <w:r w:rsidRPr="00495EC2">
              <w:rPr>
                <w:rFonts w:eastAsia="Calibri"/>
                <w:sz w:val="20"/>
              </w:rPr>
              <w:t>Application for leave to appeal filed.</w:t>
            </w:r>
          </w:p>
          <w:p w:rsidR="00EE52F3" w:rsidRPr="00495EC2" w:rsidRDefault="00EE52F3" w:rsidP="00EC5583">
            <w:pPr>
              <w:jc w:val="both"/>
              <w:rPr>
                <w:rFonts w:eastAsia="Calibri"/>
                <w:sz w:val="20"/>
              </w:rPr>
            </w:pP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54"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E52F3" w:rsidRPr="009714AD" w:rsidTr="00EC5583">
        <w:tc>
          <w:tcPr>
            <w:tcW w:w="5000" w:type="pct"/>
            <w:gridSpan w:val="3"/>
          </w:tcPr>
          <w:p w:rsidR="00EE52F3" w:rsidRPr="00495EC2" w:rsidRDefault="00EE52F3" w:rsidP="00EC5583">
            <w:pPr>
              <w:jc w:val="both"/>
              <w:rPr>
                <w:rFonts w:eastAsia="Calibri"/>
                <w:sz w:val="20"/>
                <w:lang w:val="fr-CA"/>
              </w:rPr>
            </w:pPr>
            <w:r w:rsidRPr="00495EC2">
              <w:rPr>
                <w:rFonts w:eastAsia="Calibri"/>
                <w:sz w:val="20"/>
                <w:lang w:val="fr-CA"/>
              </w:rPr>
              <w:t xml:space="preserve">Droit constitutionnel ― Droits ancestraux ― Couronne ― Obligation de la Couronne de consulter et d'accommoder ― La bande indienne demande l'annulation d'une décision relative à la constitution d'une municipalité intéressant des terres qu'elle revendique au motif que la Couronne ne l’a pas dûment consultée ― La Cour d'appel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elle</w:t>
            </w:r>
            <w:proofErr w:type="spellEnd"/>
            <w:r w:rsidRPr="00495EC2">
              <w:rPr>
                <w:rFonts w:eastAsia="Calibri"/>
                <w:sz w:val="20"/>
                <w:lang w:val="fr-CA"/>
              </w:rPr>
              <w:t xml:space="preserve"> commis une erreur de droit en statuant que le lieutenant gouverneur en conseil avait satisfait à son obligation de consulter? ― La Cour d'appel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elle</w:t>
            </w:r>
            <w:proofErr w:type="spellEnd"/>
            <w:r w:rsidRPr="00495EC2">
              <w:rPr>
                <w:rFonts w:eastAsia="Calibri"/>
                <w:sz w:val="20"/>
                <w:lang w:val="fr-CA"/>
              </w:rPr>
              <w:t xml:space="preserve"> commis une erreur de droit en statuant que le lieutenant gouverneur en conseil n'était pas tenu d'évaluer le sérieux des revendications de droits et de titre ancestraux en cause? ― Y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il</w:t>
            </w:r>
            <w:proofErr w:type="spellEnd"/>
            <w:r w:rsidRPr="00495EC2">
              <w:rPr>
                <w:rFonts w:eastAsia="Calibri"/>
                <w:sz w:val="20"/>
                <w:lang w:val="fr-CA"/>
              </w:rPr>
              <w:t xml:space="preserve"> obligation de consulter lorsque que la Couronne prend une décision législative ou quasi législative autorisée par la loi? ―</w:t>
            </w:r>
            <w:r w:rsidRPr="00495EC2">
              <w:rPr>
                <w:rFonts w:eastAsia="Calibri"/>
                <w:i/>
                <w:sz w:val="20"/>
                <w:lang w:val="fr-CA"/>
              </w:rPr>
              <w:t xml:space="preserve"> Loi constitutionnelle de 1982</w:t>
            </w:r>
            <w:r w:rsidRPr="00495EC2">
              <w:rPr>
                <w:rFonts w:eastAsia="Calibri"/>
                <w:sz w:val="20"/>
                <w:lang w:val="fr-CA"/>
              </w:rPr>
              <w:t>, art. 35.</w:t>
            </w:r>
          </w:p>
        </w:tc>
      </w:tr>
      <w:tr w:rsidR="00EE52F3" w:rsidRPr="009714AD" w:rsidTr="00EC5583">
        <w:tc>
          <w:tcPr>
            <w:tcW w:w="5000" w:type="pct"/>
            <w:gridSpan w:val="3"/>
          </w:tcPr>
          <w:p w:rsidR="00EE52F3" w:rsidRPr="00495EC2" w:rsidRDefault="00EE52F3" w:rsidP="00EC5583">
            <w:pPr>
              <w:jc w:val="both"/>
              <w:rPr>
                <w:rFonts w:eastAsia="Calibri"/>
                <w:sz w:val="20"/>
                <w:lang w:val="fr-CA"/>
              </w:rPr>
            </w:pPr>
          </w:p>
        </w:tc>
      </w:tr>
      <w:tr w:rsidR="00EE52F3" w:rsidRPr="009714AD" w:rsidTr="00EC5583">
        <w:tc>
          <w:tcPr>
            <w:tcW w:w="5000" w:type="pct"/>
            <w:gridSpan w:val="3"/>
          </w:tcPr>
          <w:p w:rsidR="00EE52F3" w:rsidRPr="00495EC2" w:rsidRDefault="00EE52F3" w:rsidP="00EC5583">
            <w:pPr>
              <w:jc w:val="both"/>
              <w:rPr>
                <w:rFonts w:eastAsia="Calibri"/>
                <w:sz w:val="20"/>
                <w:lang w:val="fr-CA"/>
              </w:rPr>
            </w:pPr>
            <w:r w:rsidRPr="00495EC2">
              <w:rPr>
                <w:rFonts w:eastAsia="Calibri"/>
                <w:sz w:val="20"/>
                <w:lang w:val="fr-CA"/>
              </w:rPr>
              <w:t xml:space="preserve">En 1993, le gouvernement provincial de la </w:t>
            </w:r>
            <w:proofErr w:type="spellStart"/>
            <w:r w:rsidRPr="00495EC2">
              <w:rPr>
                <w:rFonts w:eastAsia="Calibri"/>
                <w:sz w:val="20"/>
                <w:lang w:val="fr-CA"/>
              </w:rPr>
              <w:t>Colombie</w:t>
            </w:r>
            <w:r w:rsidRPr="00495EC2">
              <w:rPr>
                <w:rFonts w:eastAsia="Calibri"/>
                <w:sz w:val="20"/>
                <w:lang w:val="fr-CA"/>
              </w:rPr>
              <w:noBreakHyphen/>
              <w:t>Britannique</w:t>
            </w:r>
            <w:proofErr w:type="spellEnd"/>
            <w:r w:rsidRPr="00495EC2">
              <w:rPr>
                <w:rFonts w:eastAsia="Calibri"/>
                <w:sz w:val="20"/>
                <w:lang w:val="fr-CA"/>
              </w:rPr>
              <w:t xml:space="preserve"> a conclu un </w:t>
            </w:r>
            <w:proofErr w:type="spellStart"/>
            <w:r w:rsidRPr="00495EC2">
              <w:rPr>
                <w:rFonts w:eastAsia="Calibri"/>
                <w:sz w:val="20"/>
                <w:lang w:val="fr-CA"/>
              </w:rPr>
              <w:t>accord</w:t>
            </w:r>
            <w:r w:rsidRPr="00495EC2">
              <w:rPr>
                <w:rFonts w:eastAsia="Calibri"/>
                <w:sz w:val="20"/>
                <w:lang w:val="fr-CA"/>
              </w:rPr>
              <w:noBreakHyphen/>
              <w:t>cadre</w:t>
            </w:r>
            <w:proofErr w:type="spellEnd"/>
            <w:r w:rsidRPr="00495EC2">
              <w:rPr>
                <w:rFonts w:eastAsia="Calibri"/>
                <w:sz w:val="20"/>
                <w:lang w:val="fr-CA"/>
              </w:rPr>
              <w:t xml:space="preserve"> d'aménagement (l’« </w:t>
            </w:r>
            <w:proofErr w:type="spellStart"/>
            <w:r w:rsidRPr="00495EC2">
              <w:rPr>
                <w:rFonts w:eastAsia="Calibri"/>
                <w:sz w:val="20"/>
                <w:lang w:val="fr-CA"/>
              </w:rPr>
              <w:t>accord</w:t>
            </w:r>
            <w:r w:rsidRPr="00495EC2">
              <w:rPr>
                <w:rFonts w:eastAsia="Calibri"/>
                <w:sz w:val="20"/>
                <w:lang w:val="fr-CA"/>
              </w:rPr>
              <w:noBreakHyphen/>
              <w:t>cadre</w:t>
            </w:r>
            <w:proofErr w:type="spellEnd"/>
            <w:r w:rsidRPr="00495EC2">
              <w:rPr>
                <w:rFonts w:eastAsia="Calibri"/>
                <w:sz w:val="20"/>
                <w:lang w:val="fr-CA"/>
              </w:rPr>
              <w:t xml:space="preserve"> ») avec </w:t>
            </w:r>
            <w:proofErr w:type="spellStart"/>
            <w:r w:rsidRPr="00495EC2">
              <w:rPr>
                <w:rFonts w:eastAsia="Calibri"/>
                <w:sz w:val="20"/>
                <w:lang w:val="fr-CA"/>
              </w:rPr>
              <w:t>Tod</w:t>
            </w:r>
            <w:proofErr w:type="spellEnd"/>
            <w:r w:rsidRPr="00495EC2">
              <w:rPr>
                <w:rFonts w:eastAsia="Calibri"/>
                <w:sz w:val="20"/>
                <w:lang w:val="fr-CA"/>
              </w:rPr>
              <w:t xml:space="preserve"> </w:t>
            </w:r>
            <w:proofErr w:type="spellStart"/>
            <w:r w:rsidRPr="00495EC2">
              <w:rPr>
                <w:rFonts w:eastAsia="Calibri"/>
                <w:sz w:val="20"/>
                <w:lang w:val="fr-CA"/>
              </w:rPr>
              <w:t>Mountain</w:t>
            </w:r>
            <w:proofErr w:type="spellEnd"/>
            <w:r w:rsidRPr="00495EC2">
              <w:rPr>
                <w:rFonts w:eastAsia="Calibri"/>
                <w:sz w:val="20"/>
                <w:lang w:val="fr-CA"/>
              </w:rPr>
              <w:t xml:space="preserve"> </w:t>
            </w:r>
            <w:proofErr w:type="spellStart"/>
            <w:r w:rsidRPr="00495EC2">
              <w:rPr>
                <w:rFonts w:eastAsia="Calibri"/>
                <w:sz w:val="20"/>
                <w:lang w:val="fr-CA"/>
              </w:rPr>
              <w:t>Development</w:t>
            </w:r>
            <w:proofErr w:type="spellEnd"/>
            <w:r w:rsidRPr="00495EC2">
              <w:rPr>
                <w:rFonts w:eastAsia="Calibri"/>
                <w:sz w:val="20"/>
                <w:lang w:val="fr-CA"/>
              </w:rPr>
              <w:t xml:space="preserve"> Ltd. (Maintenant Sun </w:t>
            </w:r>
            <w:proofErr w:type="spellStart"/>
            <w:r w:rsidRPr="00495EC2">
              <w:rPr>
                <w:rFonts w:eastAsia="Calibri"/>
                <w:sz w:val="20"/>
                <w:lang w:val="fr-CA"/>
              </w:rPr>
              <w:t>Peaks</w:t>
            </w:r>
            <w:proofErr w:type="spellEnd"/>
            <w:r w:rsidRPr="00495EC2">
              <w:rPr>
                <w:rFonts w:eastAsia="Calibri"/>
                <w:sz w:val="20"/>
                <w:lang w:val="fr-CA"/>
              </w:rPr>
              <w:t xml:space="preserve"> </w:t>
            </w:r>
            <w:proofErr w:type="spellStart"/>
            <w:r w:rsidRPr="00495EC2">
              <w:rPr>
                <w:rFonts w:eastAsia="Calibri"/>
                <w:sz w:val="20"/>
                <w:lang w:val="fr-CA"/>
              </w:rPr>
              <w:t>Resort</w:t>
            </w:r>
            <w:proofErr w:type="spellEnd"/>
            <w:r w:rsidRPr="00495EC2">
              <w:rPr>
                <w:rFonts w:eastAsia="Calibri"/>
                <w:sz w:val="20"/>
                <w:lang w:val="fr-CA"/>
              </w:rPr>
              <w:t xml:space="preserve"> Corporation) qui prévoyait l'agrandissement du centre de ski par l'aménagement d'installations de villégiature et d'améliorations récréatives. L'</w:t>
            </w:r>
            <w:proofErr w:type="spellStart"/>
            <w:r w:rsidRPr="00495EC2">
              <w:rPr>
                <w:rFonts w:eastAsia="Calibri"/>
                <w:sz w:val="20"/>
                <w:lang w:val="fr-CA"/>
              </w:rPr>
              <w:t>accord</w:t>
            </w:r>
            <w:r w:rsidRPr="00495EC2">
              <w:rPr>
                <w:rFonts w:eastAsia="Calibri"/>
                <w:sz w:val="20"/>
                <w:lang w:val="fr-CA"/>
              </w:rPr>
              <w:noBreakHyphen/>
              <w:t>cadre</w:t>
            </w:r>
            <w:proofErr w:type="spellEnd"/>
            <w:r w:rsidRPr="00495EC2">
              <w:rPr>
                <w:rFonts w:eastAsia="Calibri"/>
                <w:sz w:val="20"/>
                <w:lang w:val="fr-CA"/>
              </w:rPr>
              <w:t xml:space="preserve"> autorisait l'achat de terres publiques situées à l'intérieur de zones traditionnelles revendiquées par la demanderesse, la bande indienne d’Adams Lake (« Adams Lake »).  </w:t>
            </w:r>
          </w:p>
          <w:p w:rsidR="00EE52F3" w:rsidRPr="00495EC2" w:rsidRDefault="00EE52F3" w:rsidP="00EC5583">
            <w:pPr>
              <w:jc w:val="both"/>
              <w:rPr>
                <w:rFonts w:eastAsia="Calibri"/>
                <w:sz w:val="20"/>
                <w:lang w:val="fr-CA"/>
              </w:rPr>
            </w:pPr>
          </w:p>
          <w:p w:rsidR="00EE52F3" w:rsidRPr="00495EC2" w:rsidRDefault="00EE52F3" w:rsidP="00EC5583">
            <w:pPr>
              <w:jc w:val="both"/>
              <w:rPr>
                <w:rFonts w:eastAsia="Calibri"/>
                <w:sz w:val="20"/>
                <w:lang w:val="fr-CA"/>
              </w:rPr>
            </w:pPr>
            <w:r w:rsidRPr="00495EC2">
              <w:rPr>
                <w:rFonts w:eastAsia="Calibri"/>
                <w:sz w:val="20"/>
                <w:lang w:val="fr-CA"/>
              </w:rPr>
              <w:t xml:space="preserve">En 2010, le lieutenant gouverneur en conseil a pris un décret qui autorisait la délivrance de lettres patentes pour créer la municipalité de Sun </w:t>
            </w:r>
            <w:proofErr w:type="spellStart"/>
            <w:r w:rsidRPr="00495EC2">
              <w:rPr>
                <w:rFonts w:eastAsia="Calibri"/>
                <w:sz w:val="20"/>
                <w:lang w:val="fr-CA"/>
              </w:rPr>
              <w:t>Peaks</w:t>
            </w:r>
            <w:proofErr w:type="spellEnd"/>
            <w:r w:rsidRPr="00495EC2">
              <w:rPr>
                <w:rFonts w:eastAsia="Calibri"/>
                <w:sz w:val="20"/>
                <w:lang w:val="fr-CA"/>
              </w:rPr>
              <w:t xml:space="preserve"> </w:t>
            </w:r>
            <w:proofErr w:type="spellStart"/>
            <w:r w:rsidRPr="00495EC2">
              <w:rPr>
                <w:rFonts w:eastAsia="Calibri"/>
                <w:sz w:val="20"/>
                <w:lang w:val="fr-CA"/>
              </w:rPr>
              <w:t>Mountain</w:t>
            </w:r>
            <w:proofErr w:type="spellEnd"/>
            <w:r w:rsidRPr="00495EC2">
              <w:rPr>
                <w:rFonts w:eastAsia="Calibri"/>
                <w:sz w:val="20"/>
                <w:lang w:val="fr-CA"/>
              </w:rPr>
              <w:t xml:space="preserve"> </w:t>
            </w:r>
            <w:proofErr w:type="spellStart"/>
            <w:r w:rsidRPr="00495EC2">
              <w:rPr>
                <w:rFonts w:eastAsia="Calibri"/>
                <w:sz w:val="20"/>
                <w:lang w:val="fr-CA"/>
              </w:rPr>
              <w:t>Resort</w:t>
            </w:r>
            <w:proofErr w:type="spellEnd"/>
            <w:r w:rsidRPr="00495EC2">
              <w:rPr>
                <w:rFonts w:eastAsia="Calibri"/>
                <w:sz w:val="20"/>
                <w:lang w:val="fr-CA"/>
              </w:rPr>
              <w:t xml:space="preserve"> (entrées en vigueur en juin 2010).  </w:t>
            </w:r>
          </w:p>
          <w:p w:rsidR="00EE52F3" w:rsidRPr="00495EC2" w:rsidRDefault="00EE52F3" w:rsidP="00EC5583">
            <w:pPr>
              <w:jc w:val="both"/>
              <w:rPr>
                <w:rFonts w:eastAsia="Calibri"/>
                <w:sz w:val="20"/>
                <w:lang w:val="fr-CA"/>
              </w:rPr>
            </w:pPr>
          </w:p>
          <w:p w:rsidR="00EE52F3" w:rsidRPr="00495EC2" w:rsidRDefault="00EE52F3" w:rsidP="00EC5583">
            <w:pPr>
              <w:jc w:val="both"/>
              <w:rPr>
                <w:rFonts w:eastAsia="Calibri"/>
                <w:sz w:val="20"/>
                <w:lang w:val="fr-CA"/>
              </w:rPr>
            </w:pPr>
            <w:r w:rsidRPr="00495EC2">
              <w:rPr>
                <w:rFonts w:eastAsia="Calibri"/>
                <w:sz w:val="20"/>
                <w:lang w:val="fr-CA"/>
              </w:rPr>
              <w:t xml:space="preserve">Le 9 juillet 2010, Adams Lake a déposé une requête en annulation du décret au motif que la consultation d’Adams Lake par le gouvernement avait été inadéquate. La Cour suprême de la </w:t>
            </w:r>
            <w:proofErr w:type="spellStart"/>
            <w:r w:rsidRPr="00495EC2">
              <w:rPr>
                <w:rFonts w:eastAsia="Calibri"/>
                <w:sz w:val="20"/>
                <w:lang w:val="fr-CA"/>
              </w:rPr>
              <w:t>Colombie</w:t>
            </w:r>
            <w:r w:rsidRPr="00495EC2">
              <w:rPr>
                <w:rFonts w:eastAsia="Calibri"/>
                <w:sz w:val="20"/>
                <w:lang w:val="fr-CA"/>
              </w:rPr>
              <w:noBreakHyphen/>
              <w:t>Britannique</w:t>
            </w:r>
            <w:proofErr w:type="spellEnd"/>
            <w:r w:rsidRPr="00495EC2">
              <w:rPr>
                <w:rFonts w:eastAsia="Calibri"/>
                <w:sz w:val="20"/>
                <w:lang w:val="fr-CA"/>
              </w:rPr>
              <w:t xml:space="preserve"> a accueilli la requête en partie. La juge Bruce a conclu qu'il y avait eu consultation inadéquate et a ordonné à la Province de tenir des consultations supplémentaires avec Adams Lake. Toutefois, elle n'a pas annulé le décret. La Cour d'appel a accueilli l'appel et rejeté la requête et l'appel incident</w:t>
            </w:r>
            <w:r w:rsidRPr="00495EC2">
              <w:rPr>
                <w:rFonts w:eastAsia="Calibri"/>
                <w:b/>
                <w:sz w:val="20"/>
                <w:lang w:val="fr-CA"/>
              </w:rPr>
              <w:t xml:space="preserve"> </w:t>
            </w:r>
          </w:p>
          <w:p w:rsidR="00EE52F3" w:rsidRPr="00495EC2" w:rsidRDefault="00EE52F3" w:rsidP="00EC5583">
            <w:pPr>
              <w:jc w:val="both"/>
              <w:rPr>
                <w:rFonts w:eastAsia="Calibri"/>
                <w:sz w:val="20"/>
                <w:lang w:val="fr-CA"/>
              </w:rPr>
            </w:pPr>
          </w:p>
        </w:tc>
      </w:tr>
      <w:tr w:rsidR="00EE52F3" w:rsidRPr="00495EC2" w:rsidTr="00EC5583">
        <w:tc>
          <w:tcPr>
            <w:tcW w:w="2427" w:type="pct"/>
          </w:tcPr>
          <w:p w:rsidR="00EE52F3" w:rsidRPr="00495EC2" w:rsidRDefault="00EE52F3" w:rsidP="00EC5583">
            <w:pPr>
              <w:jc w:val="both"/>
              <w:rPr>
                <w:rFonts w:eastAsia="Calibri"/>
                <w:sz w:val="20"/>
                <w:lang w:val="fr-CA"/>
              </w:rPr>
            </w:pPr>
            <w:r w:rsidRPr="00495EC2">
              <w:rPr>
                <w:rFonts w:eastAsia="Calibri"/>
                <w:sz w:val="20"/>
                <w:lang w:val="fr-CA"/>
              </w:rPr>
              <w:t>4 mars 2011</w:t>
            </w:r>
          </w:p>
          <w:p w:rsidR="00EE52F3" w:rsidRPr="00495EC2" w:rsidRDefault="00EE52F3" w:rsidP="00EC5583">
            <w:pPr>
              <w:jc w:val="both"/>
              <w:rPr>
                <w:rFonts w:eastAsia="Calibri"/>
                <w:sz w:val="20"/>
                <w:lang w:val="fr-CA"/>
              </w:rPr>
            </w:pPr>
            <w:r w:rsidRPr="00495EC2">
              <w:rPr>
                <w:rFonts w:eastAsia="Calibri"/>
                <w:sz w:val="20"/>
                <w:lang w:val="fr-CA"/>
              </w:rPr>
              <w:t xml:space="preserve">Cour suprême de la </w:t>
            </w:r>
            <w:proofErr w:type="spellStart"/>
            <w:r w:rsidRPr="00495EC2">
              <w:rPr>
                <w:rFonts w:eastAsia="Calibri"/>
                <w:sz w:val="20"/>
                <w:lang w:val="fr-CA"/>
              </w:rPr>
              <w:t>Colombie</w:t>
            </w:r>
            <w:r w:rsidRPr="00495EC2">
              <w:rPr>
                <w:rFonts w:eastAsia="Calibri"/>
                <w:sz w:val="20"/>
                <w:lang w:val="fr-CA"/>
              </w:rPr>
              <w:noBreakHyphen/>
              <w:t>Britannique</w:t>
            </w:r>
            <w:proofErr w:type="spellEnd"/>
          </w:p>
          <w:p w:rsidR="00EE52F3" w:rsidRPr="00495EC2" w:rsidRDefault="00EE52F3" w:rsidP="00EC5583">
            <w:pPr>
              <w:jc w:val="both"/>
              <w:rPr>
                <w:rFonts w:eastAsia="Calibri"/>
                <w:sz w:val="20"/>
                <w:lang w:val="fr-CA"/>
              </w:rPr>
            </w:pPr>
            <w:r w:rsidRPr="00495EC2">
              <w:rPr>
                <w:rFonts w:eastAsia="Calibri"/>
                <w:sz w:val="20"/>
                <w:lang w:val="fr-CA"/>
              </w:rPr>
              <w:t>(Juge Bruce)</w:t>
            </w:r>
          </w:p>
          <w:p w:rsidR="00EE52F3" w:rsidRPr="00495EC2" w:rsidRDefault="00EE52F3" w:rsidP="00EC5583">
            <w:pPr>
              <w:jc w:val="both"/>
              <w:rPr>
                <w:rFonts w:eastAsia="Calibri"/>
                <w:sz w:val="20"/>
                <w:lang w:val="fr-CA"/>
              </w:rPr>
            </w:pPr>
            <w:r w:rsidRPr="00495EC2">
              <w:rPr>
                <w:rFonts w:eastAsia="Calibri"/>
                <w:sz w:val="20"/>
                <w:lang w:val="fr-CA"/>
              </w:rPr>
              <w:t>2011 BCSC 266</w:t>
            </w:r>
          </w:p>
          <w:p w:rsidR="00EE52F3" w:rsidRPr="00495EC2" w:rsidRDefault="00EE52F3" w:rsidP="00EC5583">
            <w:pPr>
              <w:jc w:val="both"/>
              <w:rPr>
                <w:rFonts w:eastAsia="Calibri"/>
                <w:sz w:val="20"/>
                <w:lang w:val="fr-CA"/>
              </w:rPr>
            </w:pPr>
          </w:p>
        </w:tc>
        <w:tc>
          <w:tcPr>
            <w:tcW w:w="243" w:type="pct"/>
          </w:tcPr>
          <w:p w:rsidR="00EE52F3" w:rsidRPr="00495EC2" w:rsidRDefault="00EE52F3" w:rsidP="00EC5583">
            <w:pPr>
              <w:jc w:val="both"/>
              <w:rPr>
                <w:rFonts w:eastAsia="Calibri"/>
                <w:sz w:val="20"/>
                <w:lang w:val="fr-CA"/>
              </w:rPr>
            </w:pPr>
          </w:p>
        </w:tc>
        <w:tc>
          <w:tcPr>
            <w:tcW w:w="2330" w:type="pct"/>
          </w:tcPr>
          <w:p w:rsidR="00EE52F3" w:rsidRPr="00495EC2" w:rsidRDefault="00EE52F3" w:rsidP="00EC5583">
            <w:pPr>
              <w:jc w:val="both"/>
              <w:rPr>
                <w:rFonts w:eastAsia="Calibri"/>
                <w:sz w:val="20"/>
                <w:lang w:val="fr-CA"/>
              </w:rPr>
            </w:pPr>
            <w:r w:rsidRPr="00495EC2">
              <w:rPr>
                <w:rFonts w:eastAsia="Calibri"/>
                <w:sz w:val="20"/>
                <w:lang w:val="fr-CA"/>
              </w:rPr>
              <w:t>Requête accueillie en partie.</w:t>
            </w:r>
          </w:p>
          <w:p w:rsidR="00EE52F3" w:rsidRPr="00495EC2" w:rsidRDefault="00EE52F3" w:rsidP="00EC5583">
            <w:pPr>
              <w:jc w:val="both"/>
              <w:rPr>
                <w:rFonts w:eastAsia="Calibri"/>
                <w:sz w:val="20"/>
                <w:lang w:val="fr-CA"/>
              </w:rPr>
            </w:pPr>
          </w:p>
        </w:tc>
      </w:tr>
      <w:tr w:rsidR="00EE52F3" w:rsidRPr="009714AD" w:rsidTr="00EC5583">
        <w:tc>
          <w:tcPr>
            <w:tcW w:w="2427" w:type="pct"/>
          </w:tcPr>
          <w:p w:rsidR="00EE52F3" w:rsidRPr="00495EC2" w:rsidRDefault="00EE52F3" w:rsidP="00EC5583">
            <w:pPr>
              <w:jc w:val="both"/>
              <w:rPr>
                <w:rFonts w:eastAsia="Calibri"/>
                <w:sz w:val="20"/>
                <w:lang w:val="fr-CA"/>
              </w:rPr>
            </w:pPr>
            <w:r w:rsidRPr="00495EC2">
              <w:rPr>
                <w:rFonts w:eastAsia="Calibri"/>
                <w:sz w:val="20"/>
                <w:lang w:val="fr-CA"/>
              </w:rPr>
              <w:t>9 août 2012</w:t>
            </w:r>
          </w:p>
          <w:p w:rsidR="00EE52F3" w:rsidRPr="00495EC2" w:rsidRDefault="00EE52F3" w:rsidP="00EC5583">
            <w:pPr>
              <w:jc w:val="both"/>
              <w:rPr>
                <w:rFonts w:eastAsia="Calibri"/>
                <w:sz w:val="20"/>
                <w:lang w:val="fr-CA"/>
              </w:rPr>
            </w:pPr>
            <w:r w:rsidRPr="00495EC2">
              <w:rPr>
                <w:rFonts w:eastAsia="Calibri"/>
                <w:sz w:val="20"/>
                <w:lang w:val="fr-CA"/>
              </w:rPr>
              <w:t xml:space="preserve">Cour d'appel de la </w:t>
            </w:r>
            <w:proofErr w:type="spellStart"/>
            <w:r w:rsidRPr="00495EC2">
              <w:rPr>
                <w:rFonts w:eastAsia="Calibri"/>
                <w:sz w:val="20"/>
                <w:lang w:val="fr-CA"/>
              </w:rPr>
              <w:t>Colombie</w:t>
            </w:r>
            <w:r w:rsidRPr="00495EC2">
              <w:rPr>
                <w:rFonts w:eastAsia="Calibri"/>
                <w:sz w:val="20"/>
                <w:lang w:val="fr-CA"/>
              </w:rPr>
              <w:noBreakHyphen/>
              <w:t>Britannique</w:t>
            </w:r>
            <w:proofErr w:type="spellEnd"/>
          </w:p>
          <w:p w:rsidR="00EE52F3" w:rsidRPr="00495EC2" w:rsidRDefault="00EE52F3" w:rsidP="00EC5583">
            <w:pPr>
              <w:jc w:val="both"/>
              <w:rPr>
                <w:rFonts w:eastAsia="Calibri"/>
                <w:sz w:val="20"/>
                <w:lang w:val="fr-CA"/>
              </w:rPr>
            </w:pPr>
            <w:r w:rsidRPr="00495EC2">
              <w:rPr>
                <w:rFonts w:eastAsia="Calibri"/>
                <w:sz w:val="20"/>
                <w:lang w:val="fr-CA"/>
              </w:rPr>
              <w:t>(Vancouver)</w:t>
            </w:r>
          </w:p>
          <w:p w:rsidR="00EE52F3" w:rsidRPr="00495EC2" w:rsidRDefault="00EE52F3" w:rsidP="00EC5583">
            <w:pPr>
              <w:jc w:val="both"/>
              <w:rPr>
                <w:rFonts w:eastAsia="Calibri"/>
                <w:sz w:val="20"/>
                <w:lang w:val="fr-CA"/>
              </w:rPr>
            </w:pPr>
            <w:r w:rsidRPr="00495EC2">
              <w:rPr>
                <w:rFonts w:eastAsia="Calibri"/>
                <w:sz w:val="20"/>
                <w:lang w:val="fr-CA"/>
              </w:rPr>
              <w:t xml:space="preserve">(Juges Newbury, </w:t>
            </w:r>
            <w:proofErr w:type="spellStart"/>
            <w:r w:rsidRPr="00495EC2">
              <w:rPr>
                <w:rFonts w:eastAsia="Calibri"/>
                <w:sz w:val="20"/>
                <w:lang w:val="fr-CA"/>
              </w:rPr>
              <w:t>Low</w:t>
            </w:r>
            <w:proofErr w:type="spellEnd"/>
            <w:r w:rsidRPr="00495EC2">
              <w:rPr>
                <w:rFonts w:eastAsia="Calibri"/>
                <w:sz w:val="20"/>
                <w:lang w:val="fr-CA"/>
              </w:rPr>
              <w:t xml:space="preserve"> et </w:t>
            </w:r>
            <w:proofErr w:type="spellStart"/>
            <w:r w:rsidRPr="00495EC2">
              <w:rPr>
                <w:rFonts w:eastAsia="Calibri"/>
                <w:sz w:val="20"/>
                <w:lang w:val="fr-CA"/>
              </w:rPr>
              <w:t>Tysoe</w:t>
            </w:r>
            <w:proofErr w:type="spellEnd"/>
            <w:r w:rsidRPr="00495EC2">
              <w:rPr>
                <w:rFonts w:eastAsia="Calibri"/>
                <w:sz w:val="20"/>
                <w:lang w:val="fr-CA"/>
              </w:rPr>
              <w:t>)</w:t>
            </w:r>
          </w:p>
          <w:p w:rsidR="00EE52F3" w:rsidRPr="00495EC2" w:rsidRDefault="00EE52F3" w:rsidP="00EC5583">
            <w:pPr>
              <w:jc w:val="both"/>
              <w:rPr>
                <w:rFonts w:eastAsia="Calibri"/>
                <w:sz w:val="20"/>
                <w:lang w:val="fr-CA"/>
              </w:rPr>
            </w:pPr>
            <w:r w:rsidRPr="00495EC2">
              <w:rPr>
                <w:rFonts w:eastAsia="Calibri"/>
                <w:sz w:val="20"/>
                <w:lang w:val="fr-CA"/>
              </w:rPr>
              <w:t>2012 BCCA 333</w:t>
            </w:r>
          </w:p>
          <w:p w:rsidR="00EE52F3" w:rsidRPr="00495EC2" w:rsidRDefault="00EE52F3" w:rsidP="00EC5583">
            <w:pPr>
              <w:jc w:val="both"/>
              <w:rPr>
                <w:rFonts w:eastAsia="Calibri"/>
                <w:sz w:val="20"/>
                <w:lang w:val="fr-CA"/>
              </w:rPr>
            </w:pPr>
          </w:p>
        </w:tc>
        <w:tc>
          <w:tcPr>
            <w:tcW w:w="243" w:type="pct"/>
          </w:tcPr>
          <w:p w:rsidR="00EE52F3" w:rsidRPr="00495EC2" w:rsidRDefault="00EE52F3" w:rsidP="00EC5583">
            <w:pPr>
              <w:jc w:val="both"/>
              <w:rPr>
                <w:rFonts w:eastAsia="Calibri"/>
                <w:sz w:val="20"/>
                <w:lang w:val="fr-CA"/>
              </w:rPr>
            </w:pPr>
          </w:p>
        </w:tc>
        <w:tc>
          <w:tcPr>
            <w:tcW w:w="2330" w:type="pct"/>
          </w:tcPr>
          <w:p w:rsidR="00EE52F3" w:rsidRPr="00495EC2" w:rsidRDefault="00EE52F3" w:rsidP="00EC5583">
            <w:pPr>
              <w:jc w:val="both"/>
              <w:rPr>
                <w:rFonts w:eastAsia="Calibri"/>
                <w:sz w:val="20"/>
                <w:lang w:val="fr-CA"/>
              </w:rPr>
            </w:pPr>
            <w:r w:rsidRPr="00495EC2">
              <w:rPr>
                <w:rFonts w:eastAsia="Calibri"/>
                <w:sz w:val="20"/>
                <w:lang w:val="fr-CA"/>
              </w:rPr>
              <w:t>Appel accueilli et requête rejetée; appel incident rejeté.</w:t>
            </w:r>
          </w:p>
          <w:p w:rsidR="00EE52F3" w:rsidRPr="00495EC2" w:rsidRDefault="00EE52F3" w:rsidP="00EC5583">
            <w:pPr>
              <w:jc w:val="both"/>
              <w:rPr>
                <w:rFonts w:eastAsia="Calibri"/>
                <w:sz w:val="20"/>
                <w:lang w:val="fr-CA"/>
              </w:rPr>
            </w:pPr>
          </w:p>
        </w:tc>
      </w:tr>
      <w:tr w:rsidR="00EE52F3" w:rsidRPr="00495EC2" w:rsidTr="00EC5583">
        <w:tc>
          <w:tcPr>
            <w:tcW w:w="2427" w:type="pct"/>
          </w:tcPr>
          <w:p w:rsidR="00EE52F3" w:rsidRPr="00495EC2" w:rsidRDefault="00EE52F3" w:rsidP="00EC5583">
            <w:pPr>
              <w:jc w:val="both"/>
              <w:rPr>
                <w:rFonts w:eastAsia="Calibri"/>
                <w:sz w:val="20"/>
                <w:lang w:val="fr-CA"/>
              </w:rPr>
            </w:pPr>
            <w:r w:rsidRPr="00495EC2">
              <w:rPr>
                <w:rFonts w:eastAsia="Calibri"/>
                <w:sz w:val="20"/>
                <w:lang w:val="fr-CA"/>
              </w:rPr>
              <w:t>4 octobre 2012</w:t>
            </w:r>
          </w:p>
          <w:p w:rsidR="00EE52F3" w:rsidRPr="00495EC2" w:rsidRDefault="00EE52F3" w:rsidP="00EC5583">
            <w:pPr>
              <w:jc w:val="both"/>
              <w:rPr>
                <w:rFonts w:eastAsia="Calibri"/>
                <w:sz w:val="20"/>
                <w:lang w:val="fr-CA"/>
              </w:rPr>
            </w:pPr>
            <w:r w:rsidRPr="00495EC2">
              <w:rPr>
                <w:rFonts w:eastAsia="Calibri"/>
                <w:sz w:val="20"/>
                <w:lang w:val="fr-CA"/>
              </w:rPr>
              <w:t>Cour suprême du Canada</w:t>
            </w:r>
          </w:p>
        </w:tc>
        <w:tc>
          <w:tcPr>
            <w:tcW w:w="243" w:type="pct"/>
          </w:tcPr>
          <w:p w:rsidR="00EE52F3" w:rsidRPr="00495EC2" w:rsidRDefault="00EE52F3" w:rsidP="00EC5583">
            <w:pPr>
              <w:jc w:val="both"/>
              <w:rPr>
                <w:rFonts w:eastAsia="Calibri"/>
                <w:sz w:val="20"/>
                <w:lang w:val="fr-CA"/>
              </w:rPr>
            </w:pPr>
          </w:p>
        </w:tc>
        <w:tc>
          <w:tcPr>
            <w:tcW w:w="2330" w:type="pct"/>
          </w:tcPr>
          <w:p w:rsidR="00EE52F3" w:rsidRPr="00495EC2" w:rsidRDefault="00EE52F3" w:rsidP="00EC5583">
            <w:pPr>
              <w:jc w:val="both"/>
              <w:rPr>
                <w:rFonts w:eastAsia="Calibri"/>
                <w:sz w:val="20"/>
                <w:lang w:val="fr-CA"/>
              </w:rPr>
            </w:pPr>
            <w:r w:rsidRPr="00495EC2">
              <w:rPr>
                <w:rFonts w:eastAsia="Calibri"/>
                <w:sz w:val="20"/>
                <w:lang w:val="fr-CA"/>
              </w:rPr>
              <w:t>Demande d'autorisation d'appel, déposée.</w:t>
            </w: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55" style="width:2in;height:1pt" o:hrpct="0" o:hralign="center" o:hrstd="t" o:hrnoshade="t" o:hr="t" fillcolor="black [3213]" stroked="f"/>
        </w:pict>
      </w:r>
    </w:p>
    <w:p w:rsidR="000C7850" w:rsidRDefault="000C7850" w:rsidP="000C7850">
      <w:pPr>
        <w:rPr>
          <w:sz w:val="20"/>
          <w:szCs w:val="20"/>
        </w:rPr>
      </w:pPr>
    </w:p>
    <w:p w:rsidR="00A73ADB" w:rsidRDefault="00A73AD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A0B3A" w:rsidRPr="00CE3693" w:rsidTr="004A0323">
        <w:trPr>
          <w:cantSplit/>
        </w:trPr>
        <w:tc>
          <w:tcPr>
            <w:tcW w:w="1458" w:type="dxa"/>
          </w:tcPr>
          <w:p w:rsidR="006A0B3A" w:rsidRPr="00CE3693" w:rsidRDefault="006A0B3A" w:rsidP="004A0323">
            <w:pPr>
              <w:rPr>
                <w:sz w:val="20"/>
                <w:szCs w:val="20"/>
              </w:rPr>
            </w:pPr>
            <w:r w:rsidRPr="00CE3693">
              <w:rPr>
                <w:rStyle w:val="SCCFileNumberChar"/>
                <w:sz w:val="20"/>
                <w:szCs w:val="20"/>
              </w:rPr>
              <w:t>35024</w:t>
            </w:r>
          </w:p>
          <w:p w:rsidR="006A0B3A" w:rsidRPr="00CE3693" w:rsidRDefault="006A0B3A" w:rsidP="004A0323">
            <w:pPr>
              <w:rPr>
                <w:b/>
                <w:sz w:val="20"/>
                <w:szCs w:val="20"/>
                <w:lang w:val="fr-CA"/>
              </w:rPr>
            </w:pPr>
          </w:p>
        </w:tc>
        <w:tc>
          <w:tcPr>
            <w:tcW w:w="8118" w:type="dxa"/>
          </w:tcPr>
          <w:p w:rsidR="006A0B3A" w:rsidRPr="00CE3693" w:rsidRDefault="006A0B3A" w:rsidP="004A0323">
            <w:pPr>
              <w:jc w:val="both"/>
              <w:rPr>
                <w:sz w:val="20"/>
                <w:szCs w:val="20"/>
              </w:rPr>
            </w:pPr>
            <w:r w:rsidRPr="00CE3693">
              <w:rPr>
                <w:rStyle w:val="SCCLsocChar"/>
                <w:sz w:val="20"/>
                <w:szCs w:val="20"/>
                <w:lang w:val="en-CA"/>
              </w:rPr>
              <w:t xml:space="preserve">Attorney General of Canada v. Christopher John Whaling AND BETWEEN Attorney General of Canada v. Judith Lynn </w:t>
            </w:r>
            <w:proofErr w:type="spellStart"/>
            <w:r w:rsidRPr="00CE3693">
              <w:rPr>
                <w:rStyle w:val="SCCLsocChar"/>
                <w:sz w:val="20"/>
                <w:szCs w:val="20"/>
                <w:lang w:val="en-CA"/>
              </w:rPr>
              <w:t>Slobbe</w:t>
            </w:r>
            <w:proofErr w:type="spellEnd"/>
            <w:r w:rsidRPr="00CE3693">
              <w:rPr>
                <w:rStyle w:val="SCCLsocChar"/>
                <w:sz w:val="20"/>
                <w:szCs w:val="20"/>
                <w:lang w:val="en-CA"/>
              </w:rPr>
              <w:t xml:space="preserve"> AND BETWEEN Attorney General of Canada v. Cesar </w:t>
            </w:r>
            <w:proofErr w:type="spellStart"/>
            <w:r w:rsidRPr="00CE3693">
              <w:rPr>
                <w:rStyle w:val="SCCLsocChar"/>
                <w:sz w:val="20"/>
                <w:szCs w:val="20"/>
                <w:lang w:val="en-CA"/>
              </w:rPr>
              <w:t>Maidana</w:t>
            </w:r>
            <w:proofErr w:type="spellEnd"/>
            <w:r w:rsidRPr="00CE3693">
              <w:rPr>
                <w:sz w:val="20"/>
                <w:szCs w:val="20"/>
              </w:rPr>
              <w:t xml:space="preserve"> (B.C.) (Criminal) (By Leave)</w:t>
            </w:r>
          </w:p>
          <w:p w:rsidR="006A0B3A" w:rsidRPr="00CE3693" w:rsidRDefault="006A0B3A" w:rsidP="004A0323">
            <w:pPr>
              <w:jc w:val="both"/>
              <w:rPr>
                <w:sz w:val="20"/>
                <w:szCs w:val="20"/>
              </w:rPr>
            </w:pPr>
          </w:p>
        </w:tc>
      </w:tr>
      <w:tr w:rsidR="006A0B3A" w:rsidRPr="00CE3693" w:rsidTr="004A0323">
        <w:trPr>
          <w:cantSplit/>
        </w:trPr>
        <w:tc>
          <w:tcPr>
            <w:tcW w:w="1458" w:type="dxa"/>
          </w:tcPr>
          <w:p w:rsidR="006A0B3A" w:rsidRPr="00CE3693" w:rsidRDefault="006A0B3A" w:rsidP="004A0323">
            <w:pPr>
              <w:rPr>
                <w:sz w:val="20"/>
                <w:szCs w:val="20"/>
              </w:rPr>
            </w:pPr>
            <w:r w:rsidRPr="00CE3693">
              <w:rPr>
                <w:sz w:val="20"/>
                <w:szCs w:val="20"/>
              </w:rPr>
              <w:t>Coram :</w:t>
            </w:r>
          </w:p>
        </w:tc>
        <w:tc>
          <w:tcPr>
            <w:tcW w:w="8118" w:type="dxa"/>
          </w:tcPr>
          <w:p w:rsidR="006A0B3A" w:rsidRPr="00CE3693" w:rsidRDefault="006A0B3A" w:rsidP="004A0323">
            <w:pPr>
              <w:rPr>
                <w:sz w:val="20"/>
                <w:szCs w:val="20"/>
              </w:rPr>
            </w:pPr>
            <w:r w:rsidRPr="00CE3693">
              <w:rPr>
                <w:rStyle w:val="SCCCoramChar"/>
                <w:sz w:val="20"/>
                <w:szCs w:val="20"/>
                <w:lang w:val="en-CA"/>
              </w:rPr>
              <w:t xml:space="preserve">Fish, Rothstein and </w:t>
            </w:r>
            <w:proofErr w:type="spellStart"/>
            <w:r w:rsidRPr="00CE3693">
              <w:rPr>
                <w:rStyle w:val="SCCCoramChar"/>
                <w:sz w:val="20"/>
                <w:szCs w:val="20"/>
                <w:lang w:val="en-CA"/>
              </w:rPr>
              <w:t>Moldaver</w:t>
            </w:r>
            <w:proofErr w:type="spellEnd"/>
            <w:r w:rsidRPr="00CE3693">
              <w:rPr>
                <w:rStyle w:val="SCCCoramChar"/>
                <w:sz w:val="20"/>
                <w:szCs w:val="20"/>
                <w:lang w:val="en-CA"/>
              </w:rPr>
              <w:t> JJ.</w:t>
            </w:r>
          </w:p>
          <w:p w:rsidR="006A0B3A" w:rsidRPr="00CE3693" w:rsidRDefault="006A0B3A" w:rsidP="004A0323">
            <w:pPr>
              <w:rPr>
                <w:sz w:val="20"/>
                <w:szCs w:val="20"/>
                <w:u w:val="single"/>
              </w:rPr>
            </w:pPr>
          </w:p>
        </w:tc>
      </w:tr>
      <w:tr w:rsidR="006A0B3A" w:rsidRPr="009714AD" w:rsidTr="004A0323">
        <w:trPr>
          <w:cantSplit/>
        </w:trPr>
        <w:tc>
          <w:tcPr>
            <w:tcW w:w="9576" w:type="dxa"/>
            <w:gridSpan w:val="2"/>
          </w:tcPr>
          <w:p w:rsidR="006A0B3A" w:rsidRPr="00CE3693" w:rsidRDefault="006A0B3A" w:rsidP="004A0323">
            <w:pPr>
              <w:pStyle w:val="SCCShortJudgment"/>
              <w:rPr>
                <w:szCs w:val="20"/>
              </w:rPr>
            </w:pPr>
            <w:r w:rsidRPr="00CE3693">
              <w:rPr>
                <w:szCs w:val="20"/>
              </w:rPr>
              <w:t>The motion to expedite the application for leave to appeal is granted.  The motion to expedite the hearing of the appeal is granted.  The motion for a stay of lower court judgments is dismissed.  The application for leave to appeal from the judgment of the Court of Appeal for British Columbia (Vancouver), Numbers CA040061, CA040063 and CA040059, 2012 BCCA 435, dated November 2, 2012, is granted without costs.</w:t>
            </w:r>
          </w:p>
          <w:p w:rsidR="006A0B3A" w:rsidRPr="00CE3693" w:rsidRDefault="006A0B3A" w:rsidP="004A0323">
            <w:pPr>
              <w:pStyle w:val="SCCShortJudgment"/>
              <w:ind w:firstLine="0"/>
              <w:rPr>
                <w:szCs w:val="20"/>
              </w:rPr>
            </w:pPr>
          </w:p>
          <w:p w:rsidR="006A0B3A" w:rsidRPr="00CE3693" w:rsidRDefault="006A0B3A" w:rsidP="004A0323">
            <w:pPr>
              <w:pStyle w:val="SCCShortJudgment"/>
              <w:rPr>
                <w:szCs w:val="20"/>
                <w:lang w:val="fr-CA"/>
              </w:rPr>
            </w:pPr>
            <w:r w:rsidRPr="00CE3693">
              <w:rPr>
                <w:szCs w:val="20"/>
                <w:lang w:val="fr-CA"/>
              </w:rPr>
              <w:t>La requête visant à accélérer la procédure de la demande d’autorisation d’appel est accueillie.  La requête visant à accélérer l’audition de l’appel est accueillie.  La requête visant la demande d'arrêt des jugements des juridictions inférieures est rejetée.  La demande d’autorisation d’appel de l’arrêt de la Cour d’appel de la Colombie- Britannique (Vancouver), numéros CA040061, CA040063 et CA040059, 2012 BCCA 435, daté du 2 novembre 2012, est accueillie sans dépens.</w:t>
            </w:r>
          </w:p>
        </w:tc>
      </w:tr>
    </w:tbl>
    <w:p w:rsidR="000C7850" w:rsidRPr="006A0B3A"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E52F3" w:rsidRPr="00495EC2" w:rsidTr="00EC5583">
        <w:tc>
          <w:tcPr>
            <w:tcW w:w="5000" w:type="pct"/>
            <w:gridSpan w:val="3"/>
          </w:tcPr>
          <w:p w:rsidR="00EE52F3" w:rsidRPr="00495EC2" w:rsidRDefault="00EE52F3" w:rsidP="00EC5583">
            <w:pPr>
              <w:jc w:val="both"/>
              <w:rPr>
                <w:rFonts w:eastAsia="Calibri"/>
                <w:sz w:val="20"/>
              </w:rPr>
            </w:pPr>
            <w:r w:rsidRPr="00495EC2">
              <w:rPr>
                <w:rFonts w:eastAsia="Calibri"/>
                <w:i/>
                <w:sz w:val="20"/>
              </w:rPr>
              <w:t>Charter of Rights</w:t>
            </w:r>
            <w:r w:rsidRPr="00495EC2">
              <w:rPr>
                <w:rFonts w:eastAsia="Calibri"/>
                <w:sz w:val="20"/>
              </w:rPr>
              <w:t xml:space="preserve"> – Double jeopardy – Repeal of statutory provisions providing early parole applied to inmates already sentenced and incarcerated – Whether post-sentence repeal of early parole eligibility is "punishment" for the purpose of s. 11(</w:t>
            </w:r>
            <w:r w:rsidRPr="00495EC2">
              <w:rPr>
                <w:rFonts w:eastAsia="Calibri"/>
                <w:i/>
                <w:sz w:val="20"/>
              </w:rPr>
              <w:t>h</w:t>
            </w:r>
            <w:r w:rsidRPr="00495EC2">
              <w:rPr>
                <w:rFonts w:eastAsia="Calibri"/>
                <w:sz w:val="20"/>
              </w:rPr>
              <w:t xml:space="preserve">) of </w:t>
            </w:r>
            <w:r w:rsidRPr="00495EC2">
              <w:rPr>
                <w:rFonts w:eastAsia="Calibri"/>
                <w:i/>
                <w:sz w:val="20"/>
              </w:rPr>
              <w:t>Charter</w:t>
            </w:r>
            <w:r w:rsidRPr="00495EC2">
              <w:rPr>
                <w:rFonts w:eastAsia="Calibri"/>
                <w:sz w:val="20"/>
              </w:rPr>
              <w:t xml:space="preserve"> – Scope of the protection against double jeopardy and double punishment – Whether punitive effect of a measure can be evaluated independently of its non-punitive purposes – Whether post-sentence change to parole eligibility is punishment or is part and parcel of sentence imposed at punishment – Whether issues of public safety arise – </w:t>
            </w:r>
            <w:r w:rsidRPr="00495EC2">
              <w:rPr>
                <w:rFonts w:eastAsia="Calibri"/>
                <w:i/>
                <w:sz w:val="20"/>
              </w:rPr>
              <w:t>Canadian Charter of Rights and Freedoms</w:t>
            </w:r>
            <w:r w:rsidRPr="00495EC2">
              <w:rPr>
                <w:rFonts w:eastAsia="Calibri"/>
                <w:sz w:val="20"/>
              </w:rPr>
              <w:t>, s. 11(</w:t>
            </w:r>
            <w:r w:rsidRPr="00495EC2">
              <w:rPr>
                <w:rFonts w:eastAsia="Calibri"/>
                <w:i/>
                <w:sz w:val="20"/>
              </w:rPr>
              <w:t>h</w:t>
            </w:r>
            <w:r w:rsidRPr="00495EC2">
              <w:rPr>
                <w:rFonts w:eastAsia="Calibri"/>
                <w:sz w:val="20"/>
              </w:rPr>
              <w:t>)</w:t>
            </w:r>
          </w:p>
        </w:tc>
      </w:tr>
      <w:tr w:rsidR="00EE52F3" w:rsidRPr="00495EC2" w:rsidTr="00EC5583">
        <w:tc>
          <w:tcPr>
            <w:tcW w:w="5000" w:type="pct"/>
            <w:gridSpan w:val="3"/>
          </w:tcPr>
          <w:p w:rsidR="00EE52F3" w:rsidRPr="00495EC2" w:rsidRDefault="00EE52F3" w:rsidP="00EC5583">
            <w:pPr>
              <w:jc w:val="both"/>
              <w:rPr>
                <w:rFonts w:eastAsia="Calibri"/>
                <w:sz w:val="20"/>
              </w:rPr>
            </w:pPr>
          </w:p>
        </w:tc>
      </w:tr>
      <w:tr w:rsidR="00EE52F3" w:rsidRPr="00495EC2" w:rsidTr="00EC5583">
        <w:tc>
          <w:tcPr>
            <w:tcW w:w="5000" w:type="pct"/>
            <w:gridSpan w:val="3"/>
          </w:tcPr>
          <w:p w:rsidR="00EE52F3" w:rsidRPr="00495EC2" w:rsidRDefault="00EE52F3" w:rsidP="00EC5583">
            <w:pPr>
              <w:jc w:val="both"/>
              <w:rPr>
                <w:rFonts w:eastAsia="Calibri"/>
                <w:sz w:val="20"/>
              </w:rPr>
            </w:pPr>
            <w:r w:rsidRPr="00495EC2">
              <w:rPr>
                <w:rFonts w:eastAsia="Calibri"/>
                <w:sz w:val="20"/>
              </w:rPr>
              <w:t xml:space="preserve">When the respondents began serving sentences in federal penitentiaries, the accelerated parole release provisions of the </w:t>
            </w:r>
            <w:r w:rsidRPr="00495EC2">
              <w:rPr>
                <w:rFonts w:eastAsia="Calibri"/>
                <w:i/>
                <w:sz w:val="20"/>
              </w:rPr>
              <w:t>Corrections and Conditional Release Act</w:t>
            </w:r>
            <w:r w:rsidRPr="00495EC2">
              <w:rPr>
                <w:rFonts w:eastAsia="Calibri"/>
                <w:sz w:val="20"/>
              </w:rPr>
              <w:t xml:space="preserve">, S.C. 1992, c. 20, entitled them to early parole after serving one-sixth of their sentences, without hearings before the Parole Board.  Those provisions were repealed by the </w:t>
            </w:r>
            <w:r w:rsidRPr="00495EC2">
              <w:rPr>
                <w:rFonts w:eastAsia="Calibri"/>
                <w:i/>
                <w:sz w:val="20"/>
              </w:rPr>
              <w:t>Abolition of Early Parole Act</w:t>
            </w:r>
            <w:r w:rsidRPr="00495EC2">
              <w:rPr>
                <w:rFonts w:eastAsia="Calibri"/>
                <w:sz w:val="20"/>
              </w:rPr>
              <w:t>, S.C. 2011, c. 11, after each respondent had been sentenced.  Section 10(1) of that Act applies the Act to inmates not released on parole as of March 28, 2011.  The respondents brought constitutional challenges.  The trial judge and the Court of Appeal held that the transitional provision breaches the right guaranteed by s. 11(</w:t>
            </w:r>
            <w:r w:rsidRPr="00495EC2">
              <w:rPr>
                <w:rFonts w:eastAsia="Calibri"/>
                <w:i/>
                <w:sz w:val="20"/>
              </w:rPr>
              <w:t>h</w:t>
            </w:r>
            <w:r w:rsidRPr="00495EC2">
              <w:rPr>
                <w:rFonts w:eastAsia="Calibri"/>
                <w:sz w:val="20"/>
              </w:rPr>
              <w:t>) of the</w:t>
            </w:r>
            <w:r w:rsidRPr="00495EC2">
              <w:rPr>
                <w:rFonts w:eastAsia="Calibri"/>
                <w:i/>
                <w:sz w:val="20"/>
              </w:rPr>
              <w:t xml:space="preserve"> Charter</w:t>
            </w:r>
            <w:r w:rsidRPr="00495EC2">
              <w:rPr>
                <w:rFonts w:eastAsia="Calibri"/>
                <w:sz w:val="20"/>
              </w:rPr>
              <w:t xml:space="preserve"> not to be punished again for an offence.</w:t>
            </w:r>
          </w:p>
          <w:p w:rsidR="00EE52F3" w:rsidRPr="00495EC2" w:rsidRDefault="00EE52F3" w:rsidP="00EC5583">
            <w:pPr>
              <w:jc w:val="both"/>
              <w:rPr>
                <w:rFonts w:eastAsia="Calibri"/>
                <w:sz w:val="20"/>
              </w:rPr>
            </w:pPr>
          </w:p>
        </w:tc>
      </w:tr>
      <w:tr w:rsidR="00EE52F3" w:rsidRPr="00495EC2" w:rsidTr="00EC5583">
        <w:tc>
          <w:tcPr>
            <w:tcW w:w="2427" w:type="pct"/>
          </w:tcPr>
          <w:p w:rsidR="00EE52F3" w:rsidRPr="00495EC2" w:rsidRDefault="00EE52F3" w:rsidP="00EC5583">
            <w:pPr>
              <w:jc w:val="both"/>
              <w:rPr>
                <w:rFonts w:eastAsia="Calibri"/>
                <w:sz w:val="20"/>
              </w:rPr>
            </w:pPr>
            <w:r w:rsidRPr="00495EC2">
              <w:rPr>
                <w:rFonts w:eastAsia="Calibri"/>
                <w:sz w:val="20"/>
              </w:rPr>
              <w:t>June 26, 2012</w:t>
            </w:r>
          </w:p>
          <w:p w:rsidR="00EE52F3" w:rsidRPr="00495EC2" w:rsidRDefault="00EE52F3" w:rsidP="00EC5583">
            <w:pPr>
              <w:jc w:val="both"/>
              <w:rPr>
                <w:rFonts w:eastAsia="Calibri"/>
                <w:sz w:val="20"/>
              </w:rPr>
            </w:pPr>
            <w:r w:rsidRPr="00495EC2">
              <w:rPr>
                <w:rFonts w:eastAsia="Calibri"/>
                <w:sz w:val="20"/>
              </w:rPr>
              <w:t>Supreme Court of British Columbia</w:t>
            </w:r>
          </w:p>
          <w:p w:rsidR="00EE52F3" w:rsidRPr="00495EC2" w:rsidRDefault="00EE52F3" w:rsidP="00EC5583">
            <w:pPr>
              <w:jc w:val="both"/>
              <w:rPr>
                <w:rFonts w:eastAsia="Calibri"/>
                <w:sz w:val="20"/>
              </w:rPr>
            </w:pPr>
            <w:r w:rsidRPr="00495EC2">
              <w:rPr>
                <w:rFonts w:eastAsia="Calibri"/>
                <w:sz w:val="20"/>
              </w:rPr>
              <w:t>(Holmes J.)</w:t>
            </w:r>
          </w:p>
          <w:p w:rsidR="00EE52F3" w:rsidRPr="00495EC2" w:rsidRDefault="00EE52F3" w:rsidP="00EC5583">
            <w:pPr>
              <w:jc w:val="both"/>
              <w:rPr>
                <w:rFonts w:eastAsia="Calibri"/>
                <w:sz w:val="20"/>
              </w:rPr>
            </w:pPr>
            <w:r w:rsidRPr="00495EC2">
              <w:rPr>
                <w:rFonts w:eastAsia="Calibri"/>
                <w:sz w:val="20"/>
              </w:rPr>
              <w:t>2012 BCSC 944</w:t>
            </w:r>
          </w:p>
          <w:p w:rsidR="00EE52F3" w:rsidRPr="00495EC2" w:rsidRDefault="00EE52F3" w:rsidP="00EC5583">
            <w:pPr>
              <w:jc w:val="both"/>
              <w:rPr>
                <w:rFonts w:eastAsia="Calibri"/>
                <w:sz w:val="20"/>
              </w:rPr>
            </w:pPr>
          </w:p>
        </w:tc>
        <w:tc>
          <w:tcPr>
            <w:tcW w:w="243" w:type="pct"/>
          </w:tcPr>
          <w:p w:rsidR="00EE52F3" w:rsidRPr="00495EC2" w:rsidRDefault="00EE52F3" w:rsidP="00EC5583">
            <w:pPr>
              <w:jc w:val="both"/>
              <w:rPr>
                <w:rFonts w:eastAsia="Calibri"/>
                <w:sz w:val="20"/>
              </w:rPr>
            </w:pPr>
          </w:p>
        </w:tc>
        <w:tc>
          <w:tcPr>
            <w:tcW w:w="2330" w:type="pct"/>
          </w:tcPr>
          <w:p w:rsidR="00EE52F3" w:rsidRPr="00495EC2" w:rsidRDefault="00EE52F3" w:rsidP="00EC5583">
            <w:pPr>
              <w:jc w:val="both"/>
              <w:rPr>
                <w:rFonts w:eastAsia="Calibri"/>
                <w:sz w:val="20"/>
              </w:rPr>
            </w:pPr>
            <w:r w:rsidRPr="00495EC2">
              <w:rPr>
                <w:rFonts w:eastAsia="Calibri"/>
                <w:sz w:val="20"/>
              </w:rPr>
              <w:t xml:space="preserve">Section 10(1) of the </w:t>
            </w:r>
            <w:r w:rsidRPr="00495EC2">
              <w:rPr>
                <w:rFonts w:eastAsia="Calibri"/>
                <w:i/>
                <w:sz w:val="20"/>
              </w:rPr>
              <w:t>Abolition of Early Parole Act</w:t>
            </w:r>
            <w:r w:rsidRPr="00495EC2">
              <w:rPr>
                <w:rFonts w:eastAsia="Calibri"/>
                <w:sz w:val="20"/>
              </w:rPr>
              <w:t>, S.C. 2011, c. 11, found to be a breach of s. 11(</w:t>
            </w:r>
            <w:r w:rsidRPr="00495EC2">
              <w:rPr>
                <w:rFonts w:eastAsia="Calibri"/>
                <w:i/>
                <w:sz w:val="20"/>
              </w:rPr>
              <w:t>h</w:t>
            </w:r>
            <w:r w:rsidRPr="00495EC2">
              <w:rPr>
                <w:rFonts w:eastAsia="Calibri"/>
                <w:sz w:val="20"/>
              </w:rPr>
              <w:t xml:space="preserve">) of the </w:t>
            </w:r>
            <w:r w:rsidRPr="00495EC2">
              <w:rPr>
                <w:rFonts w:eastAsia="Calibri"/>
                <w:i/>
                <w:sz w:val="20"/>
              </w:rPr>
              <w:t xml:space="preserve"> Charter</w:t>
            </w:r>
            <w:r w:rsidRPr="00495EC2">
              <w:rPr>
                <w:rFonts w:eastAsia="Calibri"/>
                <w:sz w:val="20"/>
              </w:rPr>
              <w:t xml:space="preserve"> and offending words severed from s. 10(1)</w:t>
            </w:r>
          </w:p>
        </w:tc>
      </w:tr>
      <w:tr w:rsidR="00EE52F3" w:rsidRPr="00495EC2" w:rsidTr="00EC5583">
        <w:tc>
          <w:tcPr>
            <w:tcW w:w="2427" w:type="pct"/>
          </w:tcPr>
          <w:p w:rsidR="00EE52F3" w:rsidRPr="00495EC2" w:rsidRDefault="00EE52F3" w:rsidP="00EC5583">
            <w:pPr>
              <w:jc w:val="both"/>
              <w:rPr>
                <w:rFonts w:eastAsia="Calibri"/>
                <w:sz w:val="20"/>
              </w:rPr>
            </w:pPr>
            <w:r w:rsidRPr="00495EC2">
              <w:rPr>
                <w:rFonts w:eastAsia="Calibri"/>
                <w:sz w:val="20"/>
              </w:rPr>
              <w:t>November 2, 2012</w:t>
            </w:r>
          </w:p>
          <w:p w:rsidR="00EE52F3" w:rsidRPr="00495EC2" w:rsidRDefault="00EE52F3" w:rsidP="00EC5583">
            <w:pPr>
              <w:jc w:val="both"/>
              <w:rPr>
                <w:rFonts w:eastAsia="Calibri"/>
                <w:sz w:val="20"/>
              </w:rPr>
            </w:pPr>
            <w:r w:rsidRPr="00495EC2">
              <w:rPr>
                <w:rFonts w:eastAsia="Calibri"/>
                <w:sz w:val="20"/>
              </w:rPr>
              <w:t>Court of Appeal for British Columbia</w:t>
            </w:r>
          </w:p>
          <w:p w:rsidR="00EE52F3" w:rsidRPr="00495EC2" w:rsidRDefault="00EE52F3" w:rsidP="00EC5583">
            <w:pPr>
              <w:jc w:val="both"/>
              <w:rPr>
                <w:rFonts w:eastAsia="Calibri"/>
                <w:sz w:val="20"/>
              </w:rPr>
            </w:pPr>
            <w:r w:rsidRPr="00495EC2">
              <w:rPr>
                <w:rFonts w:eastAsia="Calibri"/>
                <w:sz w:val="20"/>
              </w:rPr>
              <w:t xml:space="preserve">(Levine, Smith, </w:t>
            </w:r>
            <w:proofErr w:type="spellStart"/>
            <w:r w:rsidRPr="00495EC2">
              <w:rPr>
                <w:rFonts w:eastAsia="Calibri"/>
                <w:sz w:val="20"/>
              </w:rPr>
              <w:t>Groberman</w:t>
            </w:r>
            <w:proofErr w:type="spellEnd"/>
            <w:r w:rsidRPr="00495EC2">
              <w:rPr>
                <w:rFonts w:eastAsia="Calibri"/>
                <w:sz w:val="20"/>
              </w:rPr>
              <w:t xml:space="preserve"> JJ.A.)</w:t>
            </w:r>
          </w:p>
          <w:p w:rsidR="00EE52F3" w:rsidRPr="00495EC2" w:rsidRDefault="00EE52F3" w:rsidP="00EC5583">
            <w:pPr>
              <w:jc w:val="both"/>
              <w:rPr>
                <w:rFonts w:eastAsia="Calibri"/>
                <w:sz w:val="20"/>
              </w:rPr>
            </w:pPr>
            <w:r w:rsidRPr="00495EC2">
              <w:rPr>
                <w:rFonts w:eastAsia="Calibri"/>
                <w:sz w:val="20"/>
              </w:rPr>
              <w:t>2012 BCCA 435</w:t>
            </w:r>
          </w:p>
          <w:p w:rsidR="00EE52F3" w:rsidRPr="00495EC2" w:rsidRDefault="00EE52F3" w:rsidP="00EC5583">
            <w:pPr>
              <w:jc w:val="both"/>
              <w:rPr>
                <w:rFonts w:eastAsia="Calibri"/>
                <w:sz w:val="20"/>
              </w:rPr>
            </w:pPr>
            <w:r w:rsidRPr="00495EC2">
              <w:rPr>
                <w:rFonts w:eastAsia="Calibri"/>
                <w:sz w:val="20"/>
              </w:rPr>
              <w:t>CA040061 (Whaling); CA040063 (</w:t>
            </w:r>
            <w:proofErr w:type="spellStart"/>
            <w:r w:rsidRPr="00495EC2">
              <w:rPr>
                <w:rFonts w:eastAsia="Calibri"/>
                <w:sz w:val="20"/>
              </w:rPr>
              <w:t>Slobbe</w:t>
            </w:r>
            <w:proofErr w:type="spellEnd"/>
            <w:r w:rsidRPr="00495EC2">
              <w:rPr>
                <w:rFonts w:eastAsia="Calibri"/>
                <w:sz w:val="20"/>
              </w:rPr>
              <w:t>); CA040059 (</w:t>
            </w:r>
            <w:proofErr w:type="spellStart"/>
            <w:r w:rsidRPr="00495EC2">
              <w:rPr>
                <w:rFonts w:eastAsia="Calibri"/>
                <w:sz w:val="20"/>
              </w:rPr>
              <w:t>Maidana</w:t>
            </w:r>
            <w:proofErr w:type="spellEnd"/>
            <w:r w:rsidRPr="00495EC2">
              <w:rPr>
                <w:rFonts w:eastAsia="Calibri"/>
                <w:sz w:val="20"/>
              </w:rPr>
              <w:t>)</w:t>
            </w:r>
          </w:p>
          <w:p w:rsidR="00EE52F3" w:rsidRPr="00495EC2" w:rsidRDefault="00EE52F3" w:rsidP="00EC5583">
            <w:pPr>
              <w:jc w:val="both"/>
              <w:rPr>
                <w:rFonts w:eastAsia="Calibri"/>
                <w:sz w:val="20"/>
              </w:rPr>
            </w:pPr>
          </w:p>
        </w:tc>
        <w:tc>
          <w:tcPr>
            <w:tcW w:w="243" w:type="pct"/>
          </w:tcPr>
          <w:p w:rsidR="00EE52F3" w:rsidRPr="00495EC2" w:rsidRDefault="00EE52F3" w:rsidP="00EC5583">
            <w:pPr>
              <w:jc w:val="both"/>
              <w:rPr>
                <w:rFonts w:eastAsia="Calibri"/>
                <w:sz w:val="20"/>
              </w:rPr>
            </w:pPr>
          </w:p>
        </w:tc>
        <w:tc>
          <w:tcPr>
            <w:tcW w:w="2330" w:type="pct"/>
          </w:tcPr>
          <w:p w:rsidR="00EE52F3" w:rsidRPr="00495EC2" w:rsidRDefault="00EE52F3" w:rsidP="00EC5583">
            <w:pPr>
              <w:jc w:val="both"/>
              <w:rPr>
                <w:rFonts w:eastAsia="Calibri"/>
                <w:sz w:val="20"/>
              </w:rPr>
            </w:pPr>
            <w:r w:rsidRPr="00495EC2">
              <w:rPr>
                <w:rFonts w:eastAsia="Calibri"/>
                <w:sz w:val="20"/>
              </w:rPr>
              <w:t>Appeal dismissed</w:t>
            </w:r>
          </w:p>
        </w:tc>
      </w:tr>
      <w:tr w:rsidR="00EE52F3" w:rsidRPr="00495EC2" w:rsidTr="00A73ADB">
        <w:trPr>
          <w:cantSplit/>
        </w:trPr>
        <w:tc>
          <w:tcPr>
            <w:tcW w:w="2427" w:type="pct"/>
          </w:tcPr>
          <w:p w:rsidR="00EE52F3" w:rsidRPr="00495EC2" w:rsidRDefault="00EE52F3" w:rsidP="00EC5583">
            <w:pPr>
              <w:jc w:val="both"/>
              <w:rPr>
                <w:rFonts w:eastAsia="Calibri"/>
                <w:sz w:val="20"/>
              </w:rPr>
            </w:pPr>
            <w:r w:rsidRPr="00495EC2">
              <w:rPr>
                <w:rFonts w:eastAsia="Calibri"/>
                <w:sz w:val="20"/>
              </w:rPr>
              <w:t>December 10, 2012</w:t>
            </w:r>
          </w:p>
          <w:p w:rsidR="00EE52F3" w:rsidRPr="00495EC2" w:rsidRDefault="00EE52F3" w:rsidP="00EC5583">
            <w:pPr>
              <w:jc w:val="both"/>
              <w:rPr>
                <w:rFonts w:eastAsia="Calibri"/>
                <w:sz w:val="20"/>
              </w:rPr>
            </w:pPr>
            <w:r w:rsidRPr="00495EC2">
              <w:rPr>
                <w:rFonts w:eastAsia="Calibri"/>
                <w:sz w:val="20"/>
              </w:rPr>
              <w:t>Supreme Court of Canada</w:t>
            </w:r>
          </w:p>
          <w:p w:rsidR="00EE52F3" w:rsidRPr="00495EC2" w:rsidRDefault="00EE52F3" w:rsidP="00EC5583">
            <w:pPr>
              <w:jc w:val="both"/>
              <w:rPr>
                <w:rFonts w:eastAsia="Calibri"/>
                <w:sz w:val="20"/>
              </w:rPr>
            </w:pPr>
            <w:r w:rsidRPr="00495EC2">
              <w:rPr>
                <w:rFonts w:eastAsia="Calibri"/>
                <w:sz w:val="20"/>
              </w:rPr>
              <w:t>(</w:t>
            </w:r>
            <w:proofErr w:type="spellStart"/>
            <w:r w:rsidRPr="00495EC2">
              <w:rPr>
                <w:rFonts w:eastAsia="Calibri"/>
                <w:sz w:val="20"/>
              </w:rPr>
              <w:t>Moldaver</w:t>
            </w:r>
            <w:proofErr w:type="spellEnd"/>
            <w:r w:rsidRPr="00495EC2">
              <w:rPr>
                <w:rFonts w:eastAsia="Calibri"/>
                <w:sz w:val="20"/>
              </w:rPr>
              <w:t xml:space="preserve"> J.)</w:t>
            </w:r>
          </w:p>
          <w:p w:rsidR="00EE52F3" w:rsidRPr="00495EC2" w:rsidRDefault="00EE52F3" w:rsidP="00EC5583">
            <w:pPr>
              <w:jc w:val="both"/>
              <w:rPr>
                <w:rFonts w:eastAsia="Calibri"/>
                <w:sz w:val="20"/>
              </w:rPr>
            </w:pPr>
          </w:p>
        </w:tc>
        <w:tc>
          <w:tcPr>
            <w:tcW w:w="243" w:type="pct"/>
          </w:tcPr>
          <w:p w:rsidR="00EE52F3" w:rsidRPr="00495EC2" w:rsidRDefault="00EE52F3" w:rsidP="00EC5583">
            <w:pPr>
              <w:jc w:val="both"/>
              <w:rPr>
                <w:rFonts w:eastAsia="Calibri"/>
                <w:sz w:val="20"/>
              </w:rPr>
            </w:pPr>
          </w:p>
        </w:tc>
        <w:tc>
          <w:tcPr>
            <w:tcW w:w="2330" w:type="pct"/>
          </w:tcPr>
          <w:p w:rsidR="00EE52F3" w:rsidRPr="00495EC2" w:rsidRDefault="00EE52F3" w:rsidP="00EC5583">
            <w:pPr>
              <w:jc w:val="both"/>
              <w:rPr>
                <w:rFonts w:eastAsia="Calibri"/>
                <w:sz w:val="20"/>
              </w:rPr>
            </w:pPr>
            <w:r w:rsidRPr="00495EC2">
              <w:rPr>
                <w:rFonts w:eastAsia="Calibri"/>
                <w:sz w:val="20"/>
              </w:rPr>
              <w:t>Motion for interim, interim stay of trial judgment and motion for interim stay of trial judgment dismissed; Motion for stay of trial judgment referred to panel seized of application for leave to appeal</w:t>
            </w:r>
          </w:p>
          <w:p w:rsidR="00EE52F3" w:rsidRPr="00495EC2" w:rsidRDefault="00EE52F3" w:rsidP="00EC5583">
            <w:pPr>
              <w:jc w:val="both"/>
              <w:rPr>
                <w:rFonts w:eastAsia="Calibri"/>
                <w:sz w:val="20"/>
              </w:rPr>
            </w:pPr>
          </w:p>
        </w:tc>
      </w:tr>
      <w:tr w:rsidR="00EE52F3" w:rsidRPr="00495EC2" w:rsidTr="00A73ADB">
        <w:trPr>
          <w:cantSplit/>
        </w:trPr>
        <w:tc>
          <w:tcPr>
            <w:tcW w:w="2427" w:type="pct"/>
          </w:tcPr>
          <w:p w:rsidR="00EE52F3" w:rsidRPr="00495EC2" w:rsidRDefault="00EE52F3" w:rsidP="00EC5583">
            <w:pPr>
              <w:jc w:val="both"/>
              <w:rPr>
                <w:rFonts w:eastAsia="Calibri"/>
                <w:sz w:val="20"/>
              </w:rPr>
            </w:pPr>
            <w:r w:rsidRPr="00495EC2">
              <w:rPr>
                <w:rFonts w:eastAsia="Calibri"/>
                <w:sz w:val="20"/>
              </w:rPr>
              <w:t>December 13, 2012</w:t>
            </w:r>
          </w:p>
          <w:p w:rsidR="00EE52F3" w:rsidRPr="00495EC2" w:rsidRDefault="00EE52F3" w:rsidP="00EC5583">
            <w:pPr>
              <w:jc w:val="both"/>
              <w:rPr>
                <w:rFonts w:eastAsia="Calibri"/>
                <w:sz w:val="20"/>
              </w:rPr>
            </w:pPr>
            <w:r w:rsidRPr="00495EC2">
              <w:rPr>
                <w:rFonts w:eastAsia="Calibri"/>
                <w:sz w:val="20"/>
              </w:rPr>
              <w:t>Supreme Court of Canada</w:t>
            </w:r>
          </w:p>
        </w:tc>
        <w:tc>
          <w:tcPr>
            <w:tcW w:w="243" w:type="pct"/>
          </w:tcPr>
          <w:p w:rsidR="00EE52F3" w:rsidRPr="00495EC2" w:rsidRDefault="00EE52F3" w:rsidP="00EC5583">
            <w:pPr>
              <w:jc w:val="both"/>
              <w:rPr>
                <w:rFonts w:eastAsia="Calibri"/>
                <w:sz w:val="20"/>
              </w:rPr>
            </w:pPr>
          </w:p>
        </w:tc>
        <w:tc>
          <w:tcPr>
            <w:tcW w:w="2330" w:type="pct"/>
          </w:tcPr>
          <w:p w:rsidR="00EE52F3" w:rsidRPr="00495EC2" w:rsidRDefault="00EE52F3" w:rsidP="00EC5583">
            <w:pPr>
              <w:jc w:val="both"/>
              <w:rPr>
                <w:rFonts w:eastAsia="Calibri"/>
                <w:sz w:val="20"/>
              </w:rPr>
            </w:pPr>
            <w:r w:rsidRPr="00495EC2">
              <w:rPr>
                <w:rFonts w:eastAsia="Calibri"/>
                <w:sz w:val="20"/>
              </w:rPr>
              <w:t>Amended motion for stay and motion to expedite filed; Application for Leave to Appeal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56"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E52F3" w:rsidRPr="009714AD" w:rsidTr="00EC5583">
        <w:tc>
          <w:tcPr>
            <w:tcW w:w="5000" w:type="pct"/>
            <w:gridSpan w:val="3"/>
          </w:tcPr>
          <w:p w:rsidR="00EE52F3" w:rsidRPr="00495EC2" w:rsidRDefault="00EE52F3" w:rsidP="00EC5583">
            <w:pPr>
              <w:jc w:val="both"/>
              <w:rPr>
                <w:rFonts w:eastAsia="Calibri"/>
                <w:sz w:val="20"/>
                <w:lang w:val="fr-FR"/>
              </w:rPr>
            </w:pPr>
            <w:r w:rsidRPr="00495EC2">
              <w:rPr>
                <w:rFonts w:eastAsia="Calibri"/>
                <w:i/>
                <w:sz w:val="20"/>
                <w:lang w:val="fr-FR"/>
              </w:rPr>
              <w:t>Charte des droits</w:t>
            </w:r>
            <w:r w:rsidRPr="00495EC2">
              <w:rPr>
                <w:rFonts w:eastAsia="Calibri"/>
                <w:sz w:val="20"/>
                <w:lang w:val="fr-FR"/>
              </w:rPr>
              <w:t xml:space="preserve"> – Double péril – Abrogation des dispositions législatives prévoyant la libération anticipée des détenus déjà condamnés – La suppression de l’admissibilité d’un criminel à une libération anticipée après sa condamnation </w:t>
            </w:r>
            <w:proofErr w:type="spellStart"/>
            <w:r w:rsidRPr="00495EC2">
              <w:rPr>
                <w:rFonts w:eastAsia="Calibri"/>
                <w:sz w:val="20"/>
                <w:lang w:val="fr-FR"/>
              </w:rPr>
              <w:t>constitue</w:t>
            </w:r>
            <w:r w:rsidRPr="00495EC2">
              <w:rPr>
                <w:rFonts w:eastAsia="Calibri"/>
                <w:sz w:val="20"/>
                <w:lang w:val="fr-FR"/>
              </w:rPr>
              <w:noBreakHyphen/>
              <w:t>t</w:t>
            </w:r>
            <w:r w:rsidRPr="00495EC2">
              <w:rPr>
                <w:rFonts w:eastAsia="Calibri"/>
                <w:sz w:val="20"/>
                <w:lang w:val="fr-FR"/>
              </w:rPr>
              <w:noBreakHyphen/>
              <w:t>elle</w:t>
            </w:r>
            <w:proofErr w:type="spellEnd"/>
            <w:r w:rsidRPr="00495EC2">
              <w:rPr>
                <w:rFonts w:eastAsia="Calibri"/>
                <w:sz w:val="20"/>
                <w:lang w:val="fr-FR"/>
              </w:rPr>
              <w:t xml:space="preserve"> une « peine » pour l’application de l’al. 11</w:t>
            </w:r>
            <w:r w:rsidRPr="00495EC2">
              <w:rPr>
                <w:rFonts w:eastAsia="Calibri"/>
                <w:i/>
                <w:sz w:val="20"/>
                <w:lang w:val="fr-FR"/>
              </w:rPr>
              <w:t>h</w:t>
            </w:r>
            <w:r w:rsidRPr="00495EC2">
              <w:rPr>
                <w:rFonts w:eastAsia="Calibri"/>
                <w:sz w:val="20"/>
                <w:lang w:val="fr-FR"/>
              </w:rPr>
              <w:t xml:space="preserve">) de la </w:t>
            </w:r>
            <w:r w:rsidRPr="00495EC2">
              <w:rPr>
                <w:rFonts w:eastAsia="Calibri"/>
                <w:i/>
                <w:sz w:val="20"/>
                <w:lang w:val="fr-FR"/>
              </w:rPr>
              <w:t>Charte</w:t>
            </w:r>
            <w:r w:rsidRPr="00495EC2">
              <w:rPr>
                <w:rFonts w:eastAsia="Calibri"/>
                <w:sz w:val="20"/>
                <w:lang w:val="fr-FR"/>
              </w:rPr>
              <w:t xml:space="preserve">? – Étendue de la protection contre le double péril et la double peine – L’effet punitif d’une mesure </w:t>
            </w:r>
            <w:proofErr w:type="spellStart"/>
            <w:r w:rsidRPr="00495EC2">
              <w:rPr>
                <w:rFonts w:eastAsia="Calibri"/>
                <w:sz w:val="20"/>
                <w:lang w:val="fr-FR"/>
              </w:rPr>
              <w:t>peut</w:t>
            </w:r>
            <w:r w:rsidRPr="00495EC2">
              <w:rPr>
                <w:rFonts w:eastAsia="Calibri"/>
                <w:sz w:val="20"/>
                <w:lang w:val="fr-FR"/>
              </w:rPr>
              <w:noBreakHyphen/>
              <w:t>il</w:t>
            </w:r>
            <w:proofErr w:type="spellEnd"/>
            <w:r w:rsidRPr="00495EC2">
              <w:rPr>
                <w:rFonts w:eastAsia="Calibri"/>
                <w:sz w:val="20"/>
                <w:lang w:val="fr-FR"/>
              </w:rPr>
              <w:t xml:space="preserve"> être évalué indépendamment de ses objectifs non punitifs? – Une modification apportée à l’admissibilité d’un criminel à une libération anticipée après sa condamnation </w:t>
            </w:r>
            <w:proofErr w:type="spellStart"/>
            <w:r w:rsidRPr="00495EC2">
              <w:rPr>
                <w:rFonts w:eastAsia="Calibri"/>
                <w:sz w:val="20"/>
                <w:lang w:val="fr-FR"/>
              </w:rPr>
              <w:t>est</w:t>
            </w:r>
            <w:r w:rsidRPr="00495EC2">
              <w:rPr>
                <w:rFonts w:eastAsia="Calibri"/>
                <w:sz w:val="20"/>
                <w:lang w:val="fr-FR"/>
              </w:rPr>
              <w:noBreakHyphen/>
              <w:t>elle</w:t>
            </w:r>
            <w:proofErr w:type="spellEnd"/>
            <w:r w:rsidRPr="00495EC2">
              <w:rPr>
                <w:rFonts w:eastAsia="Calibri"/>
                <w:sz w:val="20"/>
                <w:lang w:val="fr-FR"/>
              </w:rPr>
              <w:t xml:space="preserve"> une peine ou </w:t>
            </w:r>
            <w:proofErr w:type="spellStart"/>
            <w:r w:rsidRPr="00495EC2">
              <w:rPr>
                <w:rFonts w:eastAsia="Calibri"/>
                <w:sz w:val="20"/>
                <w:lang w:val="fr-FR"/>
              </w:rPr>
              <w:t>fait</w:t>
            </w:r>
            <w:r w:rsidRPr="00495EC2">
              <w:rPr>
                <w:rFonts w:eastAsia="Calibri"/>
                <w:sz w:val="20"/>
                <w:lang w:val="fr-FR"/>
              </w:rPr>
              <w:noBreakHyphen/>
              <w:t>elle</w:t>
            </w:r>
            <w:proofErr w:type="spellEnd"/>
            <w:r w:rsidRPr="00495EC2">
              <w:rPr>
                <w:rFonts w:eastAsia="Calibri"/>
                <w:sz w:val="20"/>
                <w:lang w:val="fr-FR"/>
              </w:rPr>
              <w:t xml:space="preserve"> partie de la peine infligée? – L’affaire </w:t>
            </w:r>
            <w:proofErr w:type="spellStart"/>
            <w:r w:rsidRPr="00495EC2">
              <w:rPr>
                <w:rFonts w:eastAsia="Calibri"/>
                <w:sz w:val="20"/>
                <w:lang w:val="fr-FR"/>
              </w:rPr>
              <w:t>soulève</w:t>
            </w:r>
            <w:r w:rsidRPr="00495EC2">
              <w:rPr>
                <w:rFonts w:eastAsia="Calibri"/>
                <w:sz w:val="20"/>
                <w:lang w:val="fr-FR"/>
              </w:rPr>
              <w:noBreakHyphen/>
              <w:t>t</w:t>
            </w:r>
            <w:r w:rsidRPr="00495EC2">
              <w:rPr>
                <w:rFonts w:eastAsia="Calibri"/>
                <w:sz w:val="20"/>
                <w:lang w:val="fr-FR"/>
              </w:rPr>
              <w:noBreakHyphen/>
              <w:t>elle</w:t>
            </w:r>
            <w:proofErr w:type="spellEnd"/>
            <w:r w:rsidRPr="00495EC2">
              <w:rPr>
                <w:rFonts w:eastAsia="Calibri"/>
                <w:sz w:val="20"/>
                <w:lang w:val="fr-FR"/>
              </w:rPr>
              <w:t xml:space="preserve"> des questions de sécurité publique? – </w:t>
            </w:r>
            <w:r w:rsidRPr="00495EC2">
              <w:rPr>
                <w:rFonts w:eastAsia="Calibri"/>
                <w:i/>
                <w:sz w:val="20"/>
                <w:lang w:val="fr-FR"/>
              </w:rPr>
              <w:t>Charte des droits et libertés</w:t>
            </w:r>
            <w:r w:rsidRPr="00495EC2">
              <w:rPr>
                <w:rFonts w:eastAsia="Calibri"/>
                <w:sz w:val="20"/>
                <w:lang w:val="fr-FR"/>
              </w:rPr>
              <w:t>, art. 11(</w:t>
            </w:r>
            <w:r w:rsidRPr="00495EC2">
              <w:rPr>
                <w:rFonts w:eastAsia="Calibri"/>
                <w:i/>
                <w:sz w:val="20"/>
                <w:lang w:val="fr-FR"/>
              </w:rPr>
              <w:t>h</w:t>
            </w:r>
            <w:r w:rsidRPr="00495EC2">
              <w:rPr>
                <w:rFonts w:eastAsia="Calibri"/>
                <w:sz w:val="20"/>
                <w:lang w:val="fr-FR"/>
              </w:rPr>
              <w:t>)</w:t>
            </w:r>
          </w:p>
        </w:tc>
      </w:tr>
      <w:tr w:rsidR="00EE52F3" w:rsidRPr="009714AD" w:rsidTr="00EC5583">
        <w:tc>
          <w:tcPr>
            <w:tcW w:w="5000" w:type="pct"/>
            <w:gridSpan w:val="3"/>
          </w:tcPr>
          <w:p w:rsidR="00EE52F3" w:rsidRPr="00495EC2" w:rsidRDefault="00EE52F3" w:rsidP="00EC5583">
            <w:pPr>
              <w:jc w:val="both"/>
              <w:rPr>
                <w:rFonts w:eastAsia="Calibri"/>
                <w:sz w:val="20"/>
                <w:lang w:val="fr-FR"/>
              </w:rPr>
            </w:pPr>
          </w:p>
        </w:tc>
      </w:tr>
      <w:tr w:rsidR="00EE52F3" w:rsidRPr="009714AD" w:rsidTr="00EC5583">
        <w:tc>
          <w:tcPr>
            <w:tcW w:w="5000" w:type="pct"/>
            <w:gridSpan w:val="3"/>
          </w:tcPr>
          <w:p w:rsidR="00EE52F3" w:rsidRPr="00495EC2" w:rsidRDefault="00EE52F3" w:rsidP="00EC5583">
            <w:pPr>
              <w:jc w:val="both"/>
              <w:rPr>
                <w:rFonts w:eastAsia="Calibri"/>
                <w:sz w:val="20"/>
                <w:lang w:val="fr-FR"/>
              </w:rPr>
            </w:pPr>
            <w:r w:rsidRPr="00495EC2">
              <w:rPr>
                <w:rFonts w:eastAsia="Calibri"/>
                <w:sz w:val="20"/>
                <w:lang w:val="fr-FR"/>
              </w:rPr>
              <w:t xml:space="preserve">Lorsque les intimés ont commencé à purger leur peine dans des pénitenciers fédéraux, les dispositions de la </w:t>
            </w:r>
            <w:r w:rsidRPr="00495EC2">
              <w:rPr>
                <w:rFonts w:eastAsia="Calibri"/>
                <w:i/>
                <w:sz w:val="20"/>
                <w:lang w:val="fr-FR"/>
              </w:rPr>
              <w:t>Loi sur le système correctionnel et la mise en liberté sous condition</w:t>
            </w:r>
            <w:r w:rsidRPr="00495EC2">
              <w:rPr>
                <w:rFonts w:eastAsia="Calibri"/>
                <w:sz w:val="20"/>
                <w:lang w:val="fr-FR"/>
              </w:rPr>
              <w:t xml:space="preserve">, L.C. 1992, ch. 20, relatives à la libération conditionnelle anticipée leur donnaient droit à une libération anticipée après qu’ils aient purgé un sixième de leur peine, et ce, sans avoir à comparaître devant la Commission des libérations conditionnelles.  Ces dispositions ont été abrogées par la </w:t>
            </w:r>
            <w:r w:rsidRPr="00495EC2">
              <w:rPr>
                <w:rFonts w:eastAsia="Calibri"/>
                <w:i/>
                <w:sz w:val="20"/>
                <w:lang w:val="fr-FR"/>
              </w:rPr>
              <w:t>Loi sur la libération anticipée des criminels</w:t>
            </w:r>
            <w:r w:rsidRPr="00495EC2">
              <w:rPr>
                <w:rFonts w:eastAsia="Calibri"/>
                <w:sz w:val="20"/>
                <w:lang w:val="fr-FR"/>
              </w:rPr>
              <w:t xml:space="preserve">, L.C. 2011, ch. 11, après la condamnation de tous les intimés.  Selon le paragraphe 10(1) de cette loi, </w:t>
            </w:r>
            <w:proofErr w:type="spellStart"/>
            <w:r w:rsidRPr="00495EC2">
              <w:rPr>
                <w:rFonts w:eastAsia="Calibri"/>
                <w:sz w:val="20"/>
                <w:lang w:val="fr-FR"/>
              </w:rPr>
              <w:t>celle</w:t>
            </w:r>
            <w:r w:rsidRPr="00495EC2">
              <w:rPr>
                <w:rFonts w:eastAsia="Calibri"/>
                <w:sz w:val="20"/>
                <w:lang w:val="fr-FR"/>
              </w:rPr>
              <w:noBreakHyphen/>
              <w:t>ci</w:t>
            </w:r>
            <w:proofErr w:type="spellEnd"/>
            <w:r w:rsidRPr="00495EC2">
              <w:rPr>
                <w:rFonts w:eastAsia="Calibri"/>
                <w:sz w:val="20"/>
                <w:lang w:val="fr-FR"/>
              </w:rPr>
              <w:t xml:space="preserve"> s’applique aux détenus qui ne bénéficiaient d’une libération conditionnelle le 28 mars 2011.  </w:t>
            </w:r>
            <w:r w:rsidRPr="00495EC2">
              <w:rPr>
                <w:rFonts w:eastAsia="Calibri"/>
                <w:sz w:val="20"/>
                <w:lang w:val="fr-CA"/>
              </w:rPr>
              <w:t xml:space="preserve">Les intimés ont présenté des contestations constitutionnelles.  </w:t>
            </w:r>
            <w:r w:rsidRPr="00495EC2">
              <w:rPr>
                <w:rFonts w:eastAsia="Calibri"/>
                <w:sz w:val="20"/>
                <w:lang w:val="fr-FR"/>
              </w:rPr>
              <w:t>Le juge de première instance et la Cour d’appel ont conclu que les dispositions transitoires portent atteinte au droit, garanti par l’al. 11</w:t>
            </w:r>
            <w:r w:rsidRPr="00495EC2">
              <w:rPr>
                <w:rFonts w:eastAsia="Calibri"/>
                <w:i/>
                <w:sz w:val="20"/>
                <w:lang w:val="fr-FR"/>
              </w:rPr>
              <w:t>h</w:t>
            </w:r>
            <w:r w:rsidRPr="00495EC2">
              <w:rPr>
                <w:rFonts w:eastAsia="Calibri"/>
                <w:sz w:val="20"/>
                <w:lang w:val="fr-FR"/>
              </w:rPr>
              <w:t xml:space="preserve">) de la </w:t>
            </w:r>
            <w:r w:rsidRPr="00495EC2">
              <w:rPr>
                <w:rFonts w:eastAsia="Calibri"/>
                <w:i/>
                <w:sz w:val="20"/>
                <w:lang w:val="fr-FR"/>
              </w:rPr>
              <w:t>Charte</w:t>
            </w:r>
            <w:r w:rsidRPr="00495EC2">
              <w:rPr>
                <w:rFonts w:eastAsia="Calibri"/>
                <w:sz w:val="20"/>
                <w:lang w:val="fr-FR"/>
              </w:rPr>
              <w:t>, de ne pas être puni une deuxième fois pour la même infraction.</w:t>
            </w:r>
          </w:p>
          <w:p w:rsidR="00EE52F3" w:rsidRPr="00495EC2" w:rsidRDefault="00EE52F3" w:rsidP="00EC5583">
            <w:pPr>
              <w:jc w:val="both"/>
              <w:rPr>
                <w:rFonts w:eastAsia="Calibri"/>
                <w:sz w:val="20"/>
                <w:lang w:val="fr-FR"/>
              </w:rPr>
            </w:pPr>
          </w:p>
        </w:tc>
      </w:tr>
      <w:tr w:rsidR="00EE52F3" w:rsidRPr="009714AD" w:rsidTr="00EC5583">
        <w:tc>
          <w:tcPr>
            <w:tcW w:w="2427" w:type="pct"/>
          </w:tcPr>
          <w:p w:rsidR="00EE52F3" w:rsidRPr="00495EC2" w:rsidRDefault="00EE52F3" w:rsidP="00EC5583">
            <w:pPr>
              <w:jc w:val="both"/>
              <w:rPr>
                <w:rFonts w:eastAsia="Calibri"/>
                <w:sz w:val="20"/>
                <w:lang w:val="fr-FR"/>
              </w:rPr>
            </w:pPr>
            <w:r w:rsidRPr="00495EC2">
              <w:rPr>
                <w:rFonts w:eastAsia="Calibri"/>
                <w:sz w:val="20"/>
                <w:lang w:val="fr-FR"/>
              </w:rPr>
              <w:t>26 juin 2012</w:t>
            </w:r>
          </w:p>
          <w:p w:rsidR="00EE52F3" w:rsidRPr="00495EC2" w:rsidRDefault="00EE52F3" w:rsidP="00EC5583">
            <w:pPr>
              <w:jc w:val="both"/>
              <w:rPr>
                <w:rFonts w:eastAsia="Calibri"/>
                <w:sz w:val="20"/>
                <w:lang w:val="fr-FR"/>
              </w:rPr>
            </w:pPr>
            <w:r w:rsidRPr="00495EC2">
              <w:rPr>
                <w:rFonts w:eastAsia="Calibri"/>
                <w:sz w:val="20"/>
                <w:lang w:val="fr-FR"/>
              </w:rPr>
              <w:t xml:space="preserve">Cour suprême de la </w:t>
            </w:r>
            <w:proofErr w:type="spellStart"/>
            <w:r w:rsidRPr="00495EC2">
              <w:rPr>
                <w:rFonts w:eastAsia="Calibri"/>
                <w:sz w:val="20"/>
                <w:lang w:val="fr-FR"/>
              </w:rPr>
              <w:t>Colombie</w:t>
            </w:r>
            <w:r w:rsidRPr="00495EC2">
              <w:rPr>
                <w:rFonts w:eastAsia="Calibri"/>
                <w:sz w:val="20"/>
                <w:lang w:val="fr-FR"/>
              </w:rPr>
              <w:noBreakHyphen/>
              <w:t>Britannique</w:t>
            </w:r>
            <w:proofErr w:type="spellEnd"/>
          </w:p>
          <w:p w:rsidR="00EE52F3" w:rsidRPr="00495EC2" w:rsidRDefault="00EE52F3" w:rsidP="00EC5583">
            <w:pPr>
              <w:jc w:val="both"/>
              <w:rPr>
                <w:rFonts w:eastAsia="Calibri"/>
                <w:sz w:val="20"/>
              </w:rPr>
            </w:pPr>
            <w:r w:rsidRPr="00495EC2">
              <w:rPr>
                <w:rFonts w:eastAsia="Calibri"/>
                <w:sz w:val="20"/>
              </w:rPr>
              <w:t>(</w:t>
            </w:r>
            <w:proofErr w:type="spellStart"/>
            <w:r w:rsidRPr="00495EC2">
              <w:rPr>
                <w:rFonts w:eastAsia="Calibri"/>
                <w:sz w:val="20"/>
              </w:rPr>
              <w:t>Juge</w:t>
            </w:r>
            <w:proofErr w:type="spellEnd"/>
            <w:r w:rsidRPr="00495EC2">
              <w:rPr>
                <w:rFonts w:eastAsia="Calibri"/>
                <w:sz w:val="20"/>
              </w:rPr>
              <w:t xml:space="preserve"> Holmes)</w:t>
            </w:r>
          </w:p>
          <w:p w:rsidR="00EE52F3" w:rsidRPr="00495EC2" w:rsidRDefault="00EE52F3" w:rsidP="00EC5583">
            <w:pPr>
              <w:jc w:val="both"/>
              <w:rPr>
                <w:rFonts w:eastAsia="Calibri"/>
                <w:sz w:val="20"/>
              </w:rPr>
            </w:pPr>
            <w:r w:rsidRPr="00495EC2">
              <w:rPr>
                <w:rFonts w:eastAsia="Calibri"/>
                <w:sz w:val="20"/>
              </w:rPr>
              <w:t>2012 BCSC 944</w:t>
            </w:r>
          </w:p>
          <w:p w:rsidR="00EE52F3" w:rsidRPr="00495EC2" w:rsidRDefault="00EE52F3" w:rsidP="00EC5583">
            <w:pPr>
              <w:jc w:val="both"/>
              <w:rPr>
                <w:rFonts w:eastAsia="Calibri"/>
                <w:sz w:val="20"/>
              </w:rPr>
            </w:pPr>
          </w:p>
        </w:tc>
        <w:tc>
          <w:tcPr>
            <w:tcW w:w="243" w:type="pct"/>
          </w:tcPr>
          <w:p w:rsidR="00EE52F3" w:rsidRPr="00495EC2" w:rsidRDefault="00EE52F3" w:rsidP="00EC5583">
            <w:pPr>
              <w:jc w:val="both"/>
              <w:rPr>
                <w:rFonts w:eastAsia="Calibri"/>
                <w:sz w:val="20"/>
              </w:rPr>
            </w:pPr>
          </w:p>
        </w:tc>
        <w:tc>
          <w:tcPr>
            <w:tcW w:w="2330" w:type="pct"/>
          </w:tcPr>
          <w:p w:rsidR="00EE52F3" w:rsidRPr="00495EC2" w:rsidRDefault="00EE52F3" w:rsidP="00EC5583">
            <w:pPr>
              <w:jc w:val="both"/>
              <w:rPr>
                <w:rFonts w:eastAsia="Calibri"/>
                <w:sz w:val="20"/>
                <w:lang w:val="fr-FR"/>
              </w:rPr>
            </w:pPr>
            <w:r w:rsidRPr="00495EC2">
              <w:rPr>
                <w:rFonts w:eastAsia="Calibri"/>
                <w:sz w:val="20"/>
                <w:lang w:val="fr-FR"/>
              </w:rPr>
              <w:t xml:space="preserve">Paragraphe 10(1) de la </w:t>
            </w:r>
            <w:r w:rsidRPr="00495EC2">
              <w:rPr>
                <w:rFonts w:eastAsia="Calibri"/>
                <w:i/>
                <w:sz w:val="20"/>
                <w:lang w:val="fr-FR"/>
              </w:rPr>
              <w:t>Loi sur la libération anticipée des criminels</w:t>
            </w:r>
            <w:r w:rsidRPr="00495EC2">
              <w:rPr>
                <w:rFonts w:eastAsia="Calibri"/>
                <w:sz w:val="20"/>
                <w:lang w:val="fr-FR"/>
              </w:rPr>
              <w:t>, L.C. 2011, ch. 11, jugé contraire à l’al. 11</w:t>
            </w:r>
            <w:r w:rsidRPr="00495EC2">
              <w:rPr>
                <w:rFonts w:eastAsia="Calibri"/>
                <w:i/>
                <w:sz w:val="20"/>
                <w:lang w:val="fr-FR"/>
              </w:rPr>
              <w:t>h</w:t>
            </w:r>
            <w:r w:rsidRPr="00495EC2">
              <w:rPr>
                <w:rFonts w:eastAsia="Calibri"/>
                <w:sz w:val="20"/>
                <w:lang w:val="fr-FR"/>
              </w:rPr>
              <w:t xml:space="preserve">) de la </w:t>
            </w:r>
            <w:r w:rsidRPr="00495EC2">
              <w:rPr>
                <w:rFonts w:eastAsia="Calibri"/>
                <w:i/>
                <w:sz w:val="20"/>
                <w:lang w:val="fr-FR"/>
              </w:rPr>
              <w:t>Charte</w:t>
            </w:r>
            <w:r w:rsidRPr="00495EC2">
              <w:rPr>
                <w:rFonts w:eastAsia="Calibri"/>
                <w:sz w:val="20"/>
                <w:lang w:val="fr-FR"/>
              </w:rPr>
              <w:t xml:space="preserve"> et suppression du passage attentatoire du par. 10(1)</w:t>
            </w:r>
          </w:p>
          <w:p w:rsidR="00EE52F3" w:rsidRPr="00495EC2" w:rsidRDefault="00EE52F3" w:rsidP="00EC5583">
            <w:pPr>
              <w:jc w:val="both"/>
              <w:rPr>
                <w:rFonts w:eastAsia="Calibri"/>
                <w:sz w:val="20"/>
                <w:lang w:val="fr-FR"/>
              </w:rPr>
            </w:pPr>
          </w:p>
        </w:tc>
      </w:tr>
      <w:tr w:rsidR="00EE52F3" w:rsidRPr="00495EC2" w:rsidTr="00EC5583">
        <w:tc>
          <w:tcPr>
            <w:tcW w:w="2427" w:type="pct"/>
          </w:tcPr>
          <w:p w:rsidR="00EE52F3" w:rsidRPr="00495EC2" w:rsidRDefault="00EE52F3" w:rsidP="00EC5583">
            <w:pPr>
              <w:jc w:val="both"/>
              <w:rPr>
                <w:rFonts w:eastAsia="Calibri"/>
                <w:sz w:val="20"/>
                <w:lang w:val="fr-FR"/>
              </w:rPr>
            </w:pPr>
            <w:r w:rsidRPr="00495EC2">
              <w:rPr>
                <w:rFonts w:eastAsia="Calibri"/>
                <w:sz w:val="20"/>
                <w:lang w:val="fr-FR"/>
              </w:rPr>
              <w:t>2 novembre 2012</w:t>
            </w:r>
          </w:p>
          <w:p w:rsidR="00EE52F3" w:rsidRPr="00495EC2" w:rsidRDefault="00EE52F3" w:rsidP="00EC5583">
            <w:pPr>
              <w:jc w:val="both"/>
              <w:rPr>
                <w:rFonts w:eastAsia="Calibri"/>
                <w:sz w:val="20"/>
                <w:lang w:val="fr-FR"/>
              </w:rPr>
            </w:pPr>
            <w:r w:rsidRPr="00495EC2">
              <w:rPr>
                <w:rFonts w:eastAsia="Calibri"/>
                <w:sz w:val="20"/>
                <w:lang w:val="fr-FR"/>
              </w:rPr>
              <w:t xml:space="preserve">Cour d’appel de la </w:t>
            </w:r>
            <w:proofErr w:type="spellStart"/>
            <w:r w:rsidRPr="00495EC2">
              <w:rPr>
                <w:rFonts w:eastAsia="Calibri"/>
                <w:sz w:val="20"/>
                <w:lang w:val="fr-FR"/>
              </w:rPr>
              <w:t>Colombie</w:t>
            </w:r>
            <w:r w:rsidRPr="00495EC2">
              <w:rPr>
                <w:rFonts w:eastAsia="Calibri"/>
                <w:sz w:val="20"/>
                <w:lang w:val="fr-FR"/>
              </w:rPr>
              <w:noBreakHyphen/>
              <w:t>Britannique</w:t>
            </w:r>
            <w:proofErr w:type="spellEnd"/>
          </w:p>
          <w:p w:rsidR="00EE52F3" w:rsidRPr="00495EC2" w:rsidRDefault="00EE52F3" w:rsidP="00EC5583">
            <w:pPr>
              <w:jc w:val="both"/>
              <w:rPr>
                <w:rFonts w:eastAsia="Calibri"/>
                <w:sz w:val="20"/>
                <w:lang w:val="fr-FR"/>
              </w:rPr>
            </w:pPr>
            <w:r w:rsidRPr="00495EC2">
              <w:rPr>
                <w:rFonts w:eastAsia="Calibri"/>
                <w:sz w:val="20"/>
                <w:lang w:val="fr-FR"/>
              </w:rPr>
              <w:t xml:space="preserve">(Juges </w:t>
            </w:r>
            <w:proofErr w:type="spellStart"/>
            <w:r w:rsidRPr="00495EC2">
              <w:rPr>
                <w:rFonts w:eastAsia="Calibri"/>
                <w:sz w:val="20"/>
                <w:lang w:val="fr-FR"/>
              </w:rPr>
              <w:t>Levine</w:t>
            </w:r>
            <w:proofErr w:type="spellEnd"/>
            <w:r w:rsidRPr="00495EC2">
              <w:rPr>
                <w:rFonts w:eastAsia="Calibri"/>
                <w:sz w:val="20"/>
                <w:lang w:val="fr-FR"/>
              </w:rPr>
              <w:t xml:space="preserve">, Smith et </w:t>
            </w:r>
            <w:proofErr w:type="spellStart"/>
            <w:r w:rsidRPr="00495EC2">
              <w:rPr>
                <w:rFonts w:eastAsia="Calibri"/>
                <w:sz w:val="20"/>
                <w:lang w:val="fr-FR"/>
              </w:rPr>
              <w:t>Groberman</w:t>
            </w:r>
            <w:proofErr w:type="spellEnd"/>
            <w:r w:rsidRPr="00495EC2">
              <w:rPr>
                <w:rFonts w:eastAsia="Calibri"/>
                <w:sz w:val="20"/>
                <w:lang w:val="fr-FR"/>
              </w:rPr>
              <w:t>)</w:t>
            </w:r>
          </w:p>
          <w:p w:rsidR="00EE52F3" w:rsidRPr="00495EC2" w:rsidRDefault="00EE52F3" w:rsidP="00EC5583">
            <w:pPr>
              <w:jc w:val="both"/>
              <w:rPr>
                <w:rFonts w:eastAsia="Calibri"/>
                <w:sz w:val="20"/>
              </w:rPr>
            </w:pPr>
            <w:r w:rsidRPr="00495EC2">
              <w:rPr>
                <w:rFonts w:eastAsia="Calibri"/>
                <w:sz w:val="20"/>
              </w:rPr>
              <w:t>2012 BCCA 435</w:t>
            </w:r>
          </w:p>
          <w:p w:rsidR="00EE52F3" w:rsidRPr="00495EC2" w:rsidRDefault="00EE52F3" w:rsidP="00EC5583">
            <w:pPr>
              <w:jc w:val="both"/>
              <w:rPr>
                <w:rFonts w:eastAsia="Calibri"/>
                <w:sz w:val="20"/>
              </w:rPr>
            </w:pPr>
            <w:r w:rsidRPr="00495EC2">
              <w:rPr>
                <w:rFonts w:eastAsia="Calibri"/>
                <w:sz w:val="20"/>
              </w:rPr>
              <w:t>CA040061 (Whaling); CA040063 (</w:t>
            </w:r>
            <w:proofErr w:type="spellStart"/>
            <w:r w:rsidRPr="00495EC2">
              <w:rPr>
                <w:rFonts w:eastAsia="Calibri"/>
                <w:sz w:val="20"/>
              </w:rPr>
              <w:t>Slobbe</w:t>
            </w:r>
            <w:proofErr w:type="spellEnd"/>
            <w:r w:rsidRPr="00495EC2">
              <w:rPr>
                <w:rFonts w:eastAsia="Calibri"/>
                <w:sz w:val="20"/>
              </w:rPr>
              <w:t>); CA040059 (</w:t>
            </w:r>
            <w:proofErr w:type="spellStart"/>
            <w:r w:rsidRPr="00495EC2">
              <w:rPr>
                <w:rFonts w:eastAsia="Calibri"/>
                <w:sz w:val="20"/>
              </w:rPr>
              <w:t>Maidana</w:t>
            </w:r>
            <w:proofErr w:type="spellEnd"/>
            <w:r w:rsidRPr="00495EC2">
              <w:rPr>
                <w:rFonts w:eastAsia="Calibri"/>
                <w:sz w:val="20"/>
              </w:rPr>
              <w:t>)</w:t>
            </w:r>
          </w:p>
          <w:p w:rsidR="00EE52F3" w:rsidRPr="00495EC2" w:rsidRDefault="00EE52F3" w:rsidP="00EC5583">
            <w:pPr>
              <w:jc w:val="both"/>
              <w:rPr>
                <w:rFonts w:eastAsia="Calibri"/>
                <w:sz w:val="20"/>
              </w:rPr>
            </w:pPr>
          </w:p>
        </w:tc>
        <w:tc>
          <w:tcPr>
            <w:tcW w:w="243" w:type="pct"/>
          </w:tcPr>
          <w:p w:rsidR="00EE52F3" w:rsidRPr="00495EC2" w:rsidRDefault="00EE52F3" w:rsidP="00EC5583">
            <w:pPr>
              <w:jc w:val="both"/>
              <w:rPr>
                <w:rFonts w:eastAsia="Calibri"/>
                <w:sz w:val="20"/>
              </w:rPr>
            </w:pPr>
          </w:p>
        </w:tc>
        <w:tc>
          <w:tcPr>
            <w:tcW w:w="2330" w:type="pct"/>
          </w:tcPr>
          <w:p w:rsidR="00EE52F3" w:rsidRPr="00495EC2" w:rsidRDefault="00EE52F3" w:rsidP="00EC5583">
            <w:pPr>
              <w:jc w:val="both"/>
              <w:rPr>
                <w:rFonts w:eastAsia="Calibri"/>
                <w:sz w:val="20"/>
              </w:rPr>
            </w:pPr>
            <w:proofErr w:type="spellStart"/>
            <w:r w:rsidRPr="00495EC2">
              <w:rPr>
                <w:rFonts w:eastAsia="Calibri"/>
                <w:sz w:val="20"/>
              </w:rPr>
              <w:t>Appel</w:t>
            </w:r>
            <w:proofErr w:type="spellEnd"/>
            <w:r w:rsidRPr="00495EC2">
              <w:rPr>
                <w:rFonts w:eastAsia="Calibri"/>
                <w:sz w:val="20"/>
              </w:rPr>
              <w:t xml:space="preserve"> </w:t>
            </w:r>
            <w:proofErr w:type="spellStart"/>
            <w:r w:rsidRPr="00495EC2">
              <w:rPr>
                <w:rFonts w:eastAsia="Calibri"/>
                <w:sz w:val="20"/>
              </w:rPr>
              <w:t>rejeté</w:t>
            </w:r>
            <w:proofErr w:type="spellEnd"/>
          </w:p>
        </w:tc>
      </w:tr>
      <w:tr w:rsidR="00EE52F3" w:rsidRPr="009714AD" w:rsidTr="00EC5583">
        <w:tc>
          <w:tcPr>
            <w:tcW w:w="2427" w:type="pct"/>
          </w:tcPr>
          <w:p w:rsidR="00EE52F3" w:rsidRPr="00495EC2" w:rsidRDefault="00EE52F3" w:rsidP="00EC5583">
            <w:pPr>
              <w:jc w:val="both"/>
              <w:rPr>
                <w:rFonts w:eastAsia="Calibri"/>
                <w:sz w:val="20"/>
                <w:lang w:val="fr-FR"/>
              </w:rPr>
            </w:pPr>
            <w:r w:rsidRPr="00495EC2">
              <w:rPr>
                <w:rFonts w:eastAsia="Calibri"/>
                <w:sz w:val="20"/>
                <w:lang w:val="fr-FR"/>
              </w:rPr>
              <w:t>10 décembre 2012</w:t>
            </w:r>
          </w:p>
          <w:p w:rsidR="00EE52F3" w:rsidRPr="00495EC2" w:rsidRDefault="00EE52F3" w:rsidP="00EC5583">
            <w:pPr>
              <w:jc w:val="both"/>
              <w:rPr>
                <w:rFonts w:eastAsia="Calibri"/>
                <w:sz w:val="20"/>
                <w:lang w:val="fr-FR"/>
              </w:rPr>
            </w:pPr>
            <w:r w:rsidRPr="00495EC2">
              <w:rPr>
                <w:rFonts w:eastAsia="Calibri"/>
                <w:sz w:val="20"/>
                <w:lang w:val="fr-FR"/>
              </w:rPr>
              <w:t>Cour suprême du Canada</w:t>
            </w:r>
          </w:p>
          <w:p w:rsidR="00EE52F3" w:rsidRPr="00495EC2" w:rsidRDefault="00EE52F3" w:rsidP="00EC5583">
            <w:pPr>
              <w:jc w:val="both"/>
              <w:rPr>
                <w:rFonts w:eastAsia="Calibri"/>
                <w:sz w:val="20"/>
                <w:lang w:val="fr-FR"/>
              </w:rPr>
            </w:pPr>
            <w:r w:rsidRPr="00495EC2">
              <w:rPr>
                <w:rFonts w:eastAsia="Calibri"/>
                <w:sz w:val="20"/>
                <w:lang w:val="fr-FR"/>
              </w:rPr>
              <w:t xml:space="preserve">(Juge </w:t>
            </w:r>
            <w:proofErr w:type="spellStart"/>
            <w:r w:rsidRPr="00495EC2">
              <w:rPr>
                <w:rFonts w:eastAsia="Calibri"/>
                <w:sz w:val="20"/>
                <w:lang w:val="fr-FR"/>
              </w:rPr>
              <w:t>Moldaver</w:t>
            </w:r>
            <w:proofErr w:type="spellEnd"/>
            <w:r w:rsidRPr="00495EC2">
              <w:rPr>
                <w:rFonts w:eastAsia="Calibri"/>
                <w:sz w:val="20"/>
                <w:lang w:val="fr-FR"/>
              </w:rPr>
              <w:t>)</w:t>
            </w:r>
          </w:p>
          <w:p w:rsidR="00EE52F3" w:rsidRPr="00495EC2" w:rsidRDefault="00EE52F3" w:rsidP="00EC5583">
            <w:pPr>
              <w:jc w:val="both"/>
              <w:rPr>
                <w:rFonts w:eastAsia="Calibri"/>
                <w:sz w:val="20"/>
                <w:lang w:val="fr-FR"/>
              </w:rPr>
            </w:pPr>
          </w:p>
        </w:tc>
        <w:tc>
          <w:tcPr>
            <w:tcW w:w="243" w:type="pct"/>
          </w:tcPr>
          <w:p w:rsidR="00EE52F3" w:rsidRPr="00495EC2" w:rsidRDefault="00EE52F3" w:rsidP="00EC5583">
            <w:pPr>
              <w:jc w:val="both"/>
              <w:rPr>
                <w:rFonts w:eastAsia="Calibri"/>
                <w:sz w:val="20"/>
                <w:lang w:val="fr-FR"/>
              </w:rPr>
            </w:pPr>
          </w:p>
        </w:tc>
        <w:tc>
          <w:tcPr>
            <w:tcW w:w="2330" w:type="pct"/>
          </w:tcPr>
          <w:p w:rsidR="00EE52F3" w:rsidRPr="00495EC2" w:rsidRDefault="00EE52F3" w:rsidP="00EC5583">
            <w:pPr>
              <w:jc w:val="both"/>
              <w:rPr>
                <w:rFonts w:eastAsia="Calibri"/>
                <w:sz w:val="20"/>
                <w:lang w:val="fr-FR"/>
              </w:rPr>
            </w:pPr>
            <w:r w:rsidRPr="00495EC2">
              <w:rPr>
                <w:rFonts w:eastAsia="Calibri"/>
                <w:sz w:val="20"/>
                <w:lang w:val="fr-FR"/>
              </w:rPr>
              <w:t xml:space="preserve">Requête en vue de faire surseoir </w:t>
            </w:r>
            <w:proofErr w:type="spellStart"/>
            <w:r w:rsidRPr="00495EC2">
              <w:rPr>
                <w:rFonts w:eastAsia="Calibri"/>
                <w:sz w:val="20"/>
                <w:lang w:val="fr-FR"/>
              </w:rPr>
              <w:t>sur</w:t>
            </w:r>
            <w:r w:rsidRPr="00495EC2">
              <w:rPr>
                <w:rFonts w:eastAsia="Calibri"/>
                <w:sz w:val="20"/>
                <w:lang w:val="fr-FR"/>
              </w:rPr>
              <w:noBreakHyphen/>
              <w:t>le</w:t>
            </w:r>
            <w:r w:rsidRPr="00495EC2">
              <w:rPr>
                <w:rFonts w:eastAsia="Calibri"/>
                <w:sz w:val="20"/>
                <w:lang w:val="fr-FR"/>
              </w:rPr>
              <w:noBreakHyphen/>
              <w:t>champ</w:t>
            </w:r>
            <w:proofErr w:type="spellEnd"/>
            <w:r w:rsidRPr="00495EC2">
              <w:rPr>
                <w:rFonts w:eastAsia="Calibri"/>
                <w:sz w:val="20"/>
                <w:lang w:val="fr-FR"/>
              </w:rPr>
              <w:t xml:space="preserve"> et provisoirement à l’exécution du jugement de première instance et requête en sursis provisoire de ce jugement rejetées; requête en sursis à l’exécution du jugement de première instance renvoyée à la formation saisie de la demande d’autorisation d’appel </w:t>
            </w:r>
          </w:p>
          <w:p w:rsidR="00EE52F3" w:rsidRPr="00495EC2" w:rsidRDefault="00EE52F3" w:rsidP="00EC5583">
            <w:pPr>
              <w:jc w:val="both"/>
              <w:rPr>
                <w:rFonts w:eastAsia="Calibri"/>
                <w:sz w:val="20"/>
                <w:lang w:val="fr-FR"/>
              </w:rPr>
            </w:pPr>
          </w:p>
        </w:tc>
      </w:tr>
      <w:tr w:rsidR="00EE52F3" w:rsidRPr="009714AD" w:rsidTr="00A73ADB">
        <w:trPr>
          <w:cantSplit/>
        </w:trPr>
        <w:tc>
          <w:tcPr>
            <w:tcW w:w="2427" w:type="pct"/>
          </w:tcPr>
          <w:p w:rsidR="00EE52F3" w:rsidRPr="00495EC2" w:rsidRDefault="00EE52F3" w:rsidP="00EC5583">
            <w:pPr>
              <w:jc w:val="both"/>
              <w:rPr>
                <w:rFonts w:eastAsia="Calibri"/>
                <w:sz w:val="20"/>
                <w:lang w:val="fr-FR"/>
              </w:rPr>
            </w:pPr>
            <w:r w:rsidRPr="00495EC2">
              <w:rPr>
                <w:rFonts w:eastAsia="Calibri"/>
                <w:sz w:val="20"/>
                <w:lang w:val="fr-FR"/>
              </w:rPr>
              <w:t>13 décembre 2012</w:t>
            </w:r>
          </w:p>
          <w:p w:rsidR="00EE52F3" w:rsidRPr="00495EC2" w:rsidRDefault="00EE52F3" w:rsidP="00EC5583">
            <w:pPr>
              <w:jc w:val="both"/>
              <w:rPr>
                <w:rFonts w:eastAsia="Calibri"/>
                <w:sz w:val="20"/>
                <w:lang w:val="fr-FR"/>
              </w:rPr>
            </w:pPr>
            <w:r w:rsidRPr="00495EC2">
              <w:rPr>
                <w:rFonts w:eastAsia="Calibri"/>
                <w:sz w:val="20"/>
                <w:lang w:val="fr-FR"/>
              </w:rPr>
              <w:t>Cour suprême du Canada</w:t>
            </w:r>
          </w:p>
        </w:tc>
        <w:tc>
          <w:tcPr>
            <w:tcW w:w="243" w:type="pct"/>
          </w:tcPr>
          <w:p w:rsidR="00EE52F3" w:rsidRPr="00495EC2" w:rsidRDefault="00EE52F3" w:rsidP="00EC5583">
            <w:pPr>
              <w:jc w:val="both"/>
              <w:rPr>
                <w:rFonts w:eastAsia="Calibri"/>
                <w:sz w:val="20"/>
                <w:lang w:val="fr-FR"/>
              </w:rPr>
            </w:pPr>
          </w:p>
        </w:tc>
        <w:tc>
          <w:tcPr>
            <w:tcW w:w="2330" w:type="pct"/>
          </w:tcPr>
          <w:p w:rsidR="00EE52F3" w:rsidRPr="00495EC2" w:rsidRDefault="00EE52F3" w:rsidP="00EC5583">
            <w:pPr>
              <w:jc w:val="both"/>
              <w:rPr>
                <w:rFonts w:eastAsia="Calibri"/>
                <w:sz w:val="20"/>
                <w:lang w:val="fr-FR"/>
              </w:rPr>
            </w:pPr>
            <w:r w:rsidRPr="00495EC2">
              <w:rPr>
                <w:rFonts w:eastAsia="Calibri"/>
                <w:sz w:val="20"/>
                <w:lang w:val="fr-FR"/>
              </w:rPr>
              <w:t>Requête modifiée en sursis et requête en traitement accéléré déposées; demande d’autorisation d’appel déposée</w:t>
            </w:r>
          </w:p>
        </w:tc>
      </w:tr>
    </w:tbl>
    <w:p w:rsidR="000C7850" w:rsidRPr="00EE52F3" w:rsidRDefault="000C7850" w:rsidP="000C7850">
      <w:pPr>
        <w:rPr>
          <w:sz w:val="20"/>
          <w:szCs w:val="20"/>
          <w:lang w:val="fr-CA"/>
        </w:rPr>
      </w:pPr>
    </w:p>
    <w:p w:rsidR="000C7850" w:rsidRDefault="00BE6ED8" w:rsidP="000C7850">
      <w:pPr>
        <w:rPr>
          <w:sz w:val="20"/>
          <w:szCs w:val="20"/>
        </w:rPr>
      </w:pPr>
      <w:r w:rsidRPr="00BE6ED8">
        <w:rPr>
          <w:sz w:val="20"/>
          <w:szCs w:val="20"/>
          <w:lang w:val="fr-CA"/>
        </w:rPr>
        <w:pict>
          <v:rect id="_x0000_i1057"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5E1C" w:rsidRPr="00042BE6" w:rsidTr="009E6124">
        <w:trPr>
          <w:cantSplit/>
        </w:trPr>
        <w:tc>
          <w:tcPr>
            <w:tcW w:w="1458" w:type="dxa"/>
          </w:tcPr>
          <w:p w:rsidR="00DF5E1C" w:rsidRPr="00841F85" w:rsidRDefault="00DF5E1C" w:rsidP="009E6124">
            <w:pPr>
              <w:rPr>
                <w:sz w:val="20"/>
                <w:szCs w:val="20"/>
              </w:rPr>
            </w:pPr>
            <w:r w:rsidRPr="00841F85">
              <w:rPr>
                <w:rStyle w:val="SCCFileNumberChar"/>
                <w:sz w:val="20"/>
                <w:szCs w:val="20"/>
              </w:rPr>
              <w:t>35033</w:t>
            </w:r>
          </w:p>
          <w:p w:rsidR="00DF5E1C" w:rsidRPr="00841F85" w:rsidRDefault="00DF5E1C" w:rsidP="009E6124">
            <w:pPr>
              <w:rPr>
                <w:b/>
                <w:sz w:val="20"/>
                <w:szCs w:val="20"/>
                <w:lang w:val="fr-CA"/>
              </w:rPr>
            </w:pPr>
          </w:p>
        </w:tc>
        <w:tc>
          <w:tcPr>
            <w:tcW w:w="8118" w:type="dxa"/>
          </w:tcPr>
          <w:p w:rsidR="00DF5E1C" w:rsidRPr="00042BE6" w:rsidRDefault="00DF5E1C" w:rsidP="009E6124">
            <w:pPr>
              <w:jc w:val="both"/>
              <w:rPr>
                <w:sz w:val="20"/>
                <w:szCs w:val="20"/>
                <w:lang w:val="fr-CA"/>
              </w:rPr>
            </w:pPr>
            <w:r w:rsidRPr="00841F85">
              <w:rPr>
                <w:rStyle w:val="SCCLsocChar"/>
                <w:sz w:val="20"/>
                <w:szCs w:val="20"/>
              </w:rPr>
              <w:t xml:space="preserve">Amex Bank of Canada v. </w:t>
            </w:r>
            <w:proofErr w:type="spellStart"/>
            <w:r w:rsidRPr="00841F85">
              <w:rPr>
                <w:rStyle w:val="SCCLsocChar"/>
                <w:sz w:val="20"/>
                <w:szCs w:val="20"/>
              </w:rPr>
              <w:t>Sylvan</w:t>
            </w:r>
            <w:proofErr w:type="spellEnd"/>
            <w:r w:rsidRPr="00841F85">
              <w:rPr>
                <w:rStyle w:val="SCCLsocChar"/>
                <w:sz w:val="20"/>
                <w:szCs w:val="20"/>
              </w:rPr>
              <w:t xml:space="preserve"> Adams, Attorney General of </w:t>
            </w:r>
            <w:proofErr w:type="spellStart"/>
            <w:r w:rsidRPr="00841F85">
              <w:rPr>
                <w:rStyle w:val="SCCLsocChar"/>
                <w:sz w:val="20"/>
                <w:szCs w:val="20"/>
              </w:rPr>
              <w:t>Quebec</w:t>
            </w:r>
            <w:proofErr w:type="spellEnd"/>
            <w:r w:rsidR="00580B56">
              <w:rPr>
                <w:rStyle w:val="SCCLsocChar"/>
                <w:sz w:val="20"/>
                <w:szCs w:val="20"/>
              </w:rPr>
              <w:t xml:space="preserve"> and</w:t>
            </w:r>
            <w:r w:rsidRPr="00841F85">
              <w:rPr>
                <w:rStyle w:val="SCCLsocChar"/>
                <w:sz w:val="20"/>
                <w:szCs w:val="20"/>
              </w:rPr>
              <w:t xml:space="preserve"> Président de l'Office de la protection du consommateur</w:t>
            </w:r>
            <w:r w:rsidRPr="00841F85">
              <w:rPr>
                <w:sz w:val="20"/>
                <w:szCs w:val="20"/>
                <w:lang w:val="fr-CA"/>
              </w:rPr>
              <w:t xml:space="preserve"> (Que.) </w:t>
            </w:r>
            <w:r w:rsidRPr="00042BE6">
              <w:rPr>
                <w:sz w:val="20"/>
                <w:szCs w:val="20"/>
                <w:lang w:val="fr-CA"/>
              </w:rPr>
              <w:t xml:space="preserve">(Civil) (By </w:t>
            </w:r>
            <w:proofErr w:type="spellStart"/>
            <w:r w:rsidRPr="00042BE6">
              <w:rPr>
                <w:sz w:val="20"/>
                <w:szCs w:val="20"/>
                <w:lang w:val="fr-CA"/>
              </w:rPr>
              <w:t>Leave</w:t>
            </w:r>
            <w:proofErr w:type="spellEnd"/>
            <w:r w:rsidRPr="00042BE6">
              <w:rPr>
                <w:sz w:val="20"/>
                <w:szCs w:val="20"/>
                <w:lang w:val="fr-CA"/>
              </w:rPr>
              <w:t>)</w:t>
            </w:r>
          </w:p>
          <w:p w:rsidR="00DF5E1C" w:rsidRPr="00042BE6" w:rsidRDefault="00DF5E1C" w:rsidP="009E6124">
            <w:pPr>
              <w:jc w:val="both"/>
              <w:rPr>
                <w:sz w:val="20"/>
                <w:szCs w:val="20"/>
                <w:lang w:val="fr-CA"/>
              </w:rPr>
            </w:pPr>
          </w:p>
        </w:tc>
      </w:tr>
      <w:tr w:rsidR="00DF5E1C" w:rsidRPr="00841F85" w:rsidTr="009E6124">
        <w:trPr>
          <w:cantSplit/>
        </w:trPr>
        <w:tc>
          <w:tcPr>
            <w:tcW w:w="1458" w:type="dxa"/>
          </w:tcPr>
          <w:p w:rsidR="00DF5E1C" w:rsidRPr="00841F85" w:rsidRDefault="00DF5E1C" w:rsidP="009E6124">
            <w:pPr>
              <w:rPr>
                <w:sz w:val="20"/>
                <w:szCs w:val="20"/>
              </w:rPr>
            </w:pPr>
            <w:r w:rsidRPr="00841F85">
              <w:rPr>
                <w:sz w:val="20"/>
                <w:szCs w:val="20"/>
              </w:rPr>
              <w:t>Coram :</w:t>
            </w:r>
          </w:p>
        </w:tc>
        <w:tc>
          <w:tcPr>
            <w:tcW w:w="8118" w:type="dxa"/>
          </w:tcPr>
          <w:p w:rsidR="00DF5E1C" w:rsidRPr="00841F85" w:rsidRDefault="00DF5E1C" w:rsidP="009E6124">
            <w:pPr>
              <w:rPr>
                <w:sz w:val="20"/>
                <w:szCs w:val="20"/>
              </w:rPr>
            </w:pPr>
            <w:proofErr w:type="spellStart"/>
            <w:r w:rsidRPr="00841F85">
              <w:rPr>
                <w:rStyle w:val="SCCCoramChar"/>
                <w:sz w:val="20"/>
                <w:szCs w:val="20"/>
                <w:lang w:val="en-CA"/>
              </w:rPr>
              <w:t>LeBel</w:t>
            </w:r>
            <w:proofErr w:type="spellEnd"/>
            <w:r w:rsidRPr="00841F85">
              <w:rPr>
                <w:rStyle w:val="SCCCoramChar"/>
                <w:sz w:val="20"/>
                <w:szCs w:val="20"/>
                <w:lang w:val="en-CA"/>
              </w:rPr>
              <w:t xml:space="preserve">, </w:t>
            </w:r>
            <w:proofErr w:type="spellStart"/>
            <w:r w:rsidRPr="00841F85">
              <w:rPr>
                <w:rStyle w:val="SCCCoramChar"/>
                <w:sz w:val="20"/>
                <w:szCs w:val="20"/>
                <w:lang w:val="en-CA"/>
              </w:rPr>
              <w:t>Karakatsanis</w:t>
            </w:r>
            <w:proofErr w:type="spellEnd"/>
            <w:r w:rsidRPr="00841F85">
              <w:rPr>
                <w:rStyle w:val="SCCCoramChar"/>
                <w:sz w:val="20"/>
                <w:szCs w:val="20"/>
                <w:lang w:val="en-CA"/>
              </w:rPr>
              <w:t xml:space="preserve"> and Wagner JJ.</w:t>
            </w:r>
          </w:p>
          <w:p w:rsidR="00DF5E1C" w:rsidRPr="00841F85" w:rsidRDefault="00DF5E1C" w:rsidP="009E6124">
            <w:pPr>
              <w:rPr>
                <w:sz w:val="20"/>
                <w:szCs w:val="20"/>
                <w:u w:val="single"/>
              </w:rPr>
            </w:pPr>
          </w:p>
        </w:tc>
      </w:tr>
      <w:tr w:rsidR="00DF5E1C" w:rsidRPr="009714AD" w:rsidTr="009E6124">
        <w:trPr>
          <w:cantSplit/>
        </w:trPr>
        <w:tc>
          <w:tcPr>
            <w:tcW w:w="9576" w:type="dxa"/>
            <w:gridSpan w:val="2"/>
          </w:tcPr>
          <w:p w:rsidR="00DF5E1C" w:rsidRPr="00841F85" w:rsidRDefault="00DF5E1C" w:rsidP="009E6124">
            <w:pPr>
              <w:pStyle w:val="SCCShortJudgment"/>
              <w:rPr>
                <w:szCs w:val="20"/>
              </w:rPr>
            </w:pPr>
            <w:r w:rsidRPr="00841F85">
              <w:rPr>
                <w:szCs w:val="20"/>
              </w:rPr>
              <w:t>The motion for an extension of time to serve and file the application for leave to appeal is granted. The application for leave to appeal from the judgment of the Court of Appeal of Quebec (Montréal), Number 500-09-019842-095, 2012 QCCA 1394, dated August 2, 2012, is granted with costs in the cause.</w:t>
            </w:r>
          </w:p>
          <w:p w:rsidR="00DF5E1C" w:rsidRPr="00841F85" w:rsidRDefault="00DF5E1C" w:rsidP="009E6124">
            <w:pPr>
              <w:pStyle w:val="SCCShortJudgment"/>
              <w:ind w:firstLine="0"/>
              <w:rPr>
                <w:szCs w:val="20"/>
              </w:rPr>
            </w:pPr>
          </w:p>
          <w:p w:rsidR="00DF5E1C" w:rsidRPr="00841F85" w:rsidRDefault="00DF5E1C" w:rsidP="009E6124">
            <w:pPr>
              <w:pStyle w:val="SCCShortJudgment"/>
              <w:rPr>
                <w:szCs w:val="20"/>
                <w:lang w:val="fr-CA"/>
              </w:rPr>
            </w:pPr>
            <w:r w:rsidRPr="00841F85">
              <w:rPr>
                <w:szCs w:val="20"/>
                <w:lang w:val="fr-CA"/>
              </w:rPr>
              <w:t>La requête en prorogation du délai de signification et de dépôt de la demande d’autorisation d’appel est accueillie. La demande d’autorisation d’appel de l’arrêt de la Cour d’appel du Québec (Montréal), numéro 500-09-019842-095, 2012 QCCA 1394, daté du 2 août 2012, est accueillie avec dépens selon l’issue de la cause.</w:t>
            </w:r>
          </w:p>
        </w:tc>
      </w:tr>
    </w:tbl>
    <w:p w:rsidR="000C7850" w:rsidRPr="00DF5E1C"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44F8B" w:rsidRPr="00495EC2" w:rsidTr="00EC5583">
        <w:tc>
          <w:tcPr>
            <w:tcW w:w="5000" w:type="pct"/>
            <w:gridSpan w:val="3"/>
          </w:tcPr>
          <w:p w:rsidR="00F44F8B" w:rsidRPr="00495EC2" w:rsidRDefault="00F44F8B" w:rsidP="00EC5583">
            <w:pPr>
              <w:jc w:val="both"/>
              <w:rPr>
                <w:rFonts w:eastAsia="Calibri"/>
                <w:sz w:val="20"/>
              </w:rPr>
            </w:pPr>
            <w:r w:rsidRPr="00495EC2">
              <w:rPr>
                <w:rFonts w:eastAsia="Calibri"/>
                <w:sz w:val="20"/>
              </w:rPr>
              <w:t xml:space="preserve">Constitutional Law – </w:t>
            </w:r>
            <w:proofErr w:type="spellStart"/>
            <w:r w:rsidRPr="00495EC2">
              <w:rPr>
                <w:rFonts w:eastAsia="Calibri"/>
                <w:sz w:val="20"/>
              </w:rPr>
              <w:t>Interjurisdictional</w:t>
            </w:r>
            <w:proofErr w:type="spellEnd"/>
            <w:r w:rsidRPr="00495EC2">
              <w:rPr>
                <w:rFonts w:eastAsia="Calibri"/>
                <w:sz w:val="20"/>
              </w:rPr>
              <w:t xml:space="preserve"> Immunity – Federal </w:t>
            </w:r>
            <w:proofErr w:type="spellStart"/>
            <w:r w:rsidRPr="00495EC2">
              <w:rPr>
                <w:rFonts w:eastAsia="Calibri"/>
                <w:sz w:val="20"/>
              </w:rPr>
              <w:t>Paramountcy</w:t>
            </w:r>
            <w:proofErr w:type="spellEnd"/>
            <w:r w:rsidRPr="00495EC2">
              <w:rPr>
                <w:rFonts w:eastAsia="Calibri"/>
                <w:sz w:val="20"/>
              </w:rPr>
              <w:t xml:space="preserve"> – Financial Institutions – Credit Cards – Applicability and Operability of the Consumer Protection Act, c. P</w:t>
            </w:r>
            <w:r w:rsidRPr="00495EC2">
              <w:rPr>
                <w:rFonts w:eastAsia="Calibri"/>
                <w:sz w:val="20"/>
              </w:rPr>
              <w:noBreakHyphen/>
              <w:t xml:space="preserve">40.1 (the “CPA”) in conjunction with Bank Act, S.C. 1991, c. 46, as am. </w:t>
            </w:r>
            <w:proofErr w:type="gramStart"/>
            <w:r w:rsidRPr="00495EC2">
              <w:rPr>
                <w:rFonts w:eastAsia="Calibri"/>
                <w:sz w:val="20"/>
              </w:rPr>
              <w:t>and</w:t>
            </w:r>
            <w:proofErr w:type="gramEnd"/>
            <w:r w:rsidRPr="00495EC2">
              <w:rPr>
                <w:rFonts w:eastAsia="Calibri"/>
                <w:sz w:val="20"/>
              </w:rPr>
              <w:t xml:space="preserve"> the Cost of Borrowing (Banks) Regulations, SOR/2001</w:t>
            </w:r>
            <w:r w:rsidRPr="00495EC2">
              <w:rPr>
                <w:rFonts w:eastAsia="Calibri"/>
                <w:sz w:val="20"/>
              </w:rPr>
              <w:noBreakHyphen/>
              <w:t>101, as am. – Is the CPA constitutionally inapplicable to regulate bank</w:t>
            </w:r>
            <w:r w:rsidRPr="00495EC2">
              <w:rPr>
                <w:rFonts w:eastAsia="Calibri"/>
                <w:sz w:val="20"/>
              </w:rPr>
              <w:noBreakHyphen/>
            </w:r>
            <w:proofErr w:type="spellStart"/>
            <w:r w:rsidRPr="00495EC2">
              <w:rPr>
                <w:rFonts w:eastAsia="Calibri"/>
                <w:sz w:val="20"/>
              </w:rPr>
              <w:t>issued</w:t>
            </w:r>
            <w:proofErr w:type="spellEnd"/>
            <w:r w:rsidRPr="00495EC2">
              <w:rPr>
                <w:rFonts w:eastAsia="Calibri"/>
                <w:sz w:val="20"/>
              </w:rPr>
              <w:t xml:space="preserve"> credit cards under the </w:t>
            </w:r>
            <w:proofErr w:type="spellStart"/>
            <w:r w:rsidRPr="00495EC2">
              <w:rPr>
                <w:rFonts w:eastAsia="Calibri"/>
                <w:sz w:val="20"/>
              </w:rPr>
              <w:t>interjurisdictional</w:t>
            </w:r>
            <w:proofErr w:type="spellEnd"/>
            <w:r w:rsidRPr="00495EC2">
              <w:rPr>
                <w:rFonts w:eastAsia="Calibri"/>
                <w:sz w:val="20"/>
              </w:rPr>
              <w:t xml:space="preserve"> immunity doctrine? – Is the CPA constitutionally inoperative to regulate bank</w:t>
            </w:r>
            <w:r w:rsidRPr="00495EC2">
              <w:rPr>
                <w:rFonts w:eastAsia="Calibri"/>
                <w:sz w:val="20"/>
              </w:rPr>
              <w:noBreakHyphen/>
            </w:r>
            <w:proofErr w:type="spellStart"/>
            <w:r w:rsidRPr="00495EC2">
              <w:rPr>
                <w:rFonts w:eastAsia="Calibri"/>
                <w:sz w:val="20"/>
              </w:rPr>
              <w:t>issued</w:t>
            </w:r>
            <w:proofErr w:type="spellEnd"/>
            <w:r w:rsidRPr="00495EC2">
              <w:rPr>
                <w:rFonts w:eastAsia="Calibri"/>
                <w:sz w:val="20"/>
              </w:rPr>
              <w:t xml:space="preserve"> credit cards under the </w:t>
            </w:r>
            <w:proofErr w:type="spellStart"/>
            <w:r w:rsidRPr="00495EC2">
              <w:rPr>
                <w:rFonts w:eastAsia="Calibri"/>
                <w:sz w:val="20"/>
              </w:rPr>
              <w:t>paramountcy</w:t>
            </w:r>
            <w:proofErr w:type="spellEnd"/>
            <w:r w:rsidRPr="00495EC2">
              <w:rPr>
                <w:rFonts w:eastAsia="Calibri"/>
                <w:sz w:val="20"/>
              </w:rPr>
              <w:t xml:space="preserve"> doctrine? – Does the CPA’s variable credit regime conflict with federal legislation?</w:t>
            </w:r>
          </w:p>
        </w:tc>
      </w:tr>
      <w:tr w:rsidR="00F44F8B" w:rsidRPr="00495EC2" w:rsidTr="00EC5583">
        <w:tc>
          <w:tcPr>
            <w:tcW w:w="5000" w:type="pct"/>
            <w:gridSpan w:val="3"/>
          </w:tcPr>
          <w:p w:rsidR="00F44F8B" w:rsidRPr="00495EC2" w:rsidRDefault="00F44F8B" w:rsidP="00EC5583">
            <w:pPr>
              <w:jc w:val="both"/>
              <w:rPr>
                <w:rFonts w:eastAsia="Calibri"/>
                <w:sz w:val="20"/>
              </w:rPr>
            </w:pPr>
          </w:p>
        </w:tc>
      </w:tr>
      <w:tr w:rsidR="00F44F8B" w:rsidRPr="00495EC2" w:rsidTr="00EC5583">
        <w:tc>
          <w:tcPr>
            <w:tcW w:w="5000" w:type="pct"/>
            <w:gridSpan w:val="3"/>
          </w:tcPr>
          <w:p w:rsidR="00F44F8B" w:rsidRPr="00495EC2" w:rsidRDefault="00F44F8B" w:rsidP="00EC5583">
            <w:pPr>
              <w:jc w:val="both"/>
              <w:rPr>
                <w:rFonts w:eastAsia="Calibri"/>
                <w:sz w:val="20"/>
              </w:rPr>
            </w:pPr>
            <w:r w:rsidRPr="00495EC2">
              <w:rPr>
                <w:rFonts w:eastAsia="Calibri"/>
                <w:sz w:val="20"/>
              </w:rPr>
              <w:t xml:space="preserve">In the context of this class action, the representative plaintiff alleged that the Applicant breached the CPA by failing to disclose foreign exchange conversion charges on credit cards as a “credit charge”, in violation of the Civil Code of Québec and the CPA, thereby making the Applicant liable for restitution and punitive damages under the CPA.  These allegations were denied by the Applicant, who further maintained that on the basis of existing federal legislation applicable to the banking industry, the CPA is constitutionally inapplicable under the </w:t>
            </w:r>
            <w:proofErr w:type="spellStart"/>
            <w:r w:rsidRPr="00495EC2">
              <w:rPr>
                <w:rFonts w:eastAsia="Calibri"/>
                <w:sz w:val="20"/>
              </w:rPr>
              <w:t>interjurisdictional</w:t>
            </w:r>
            <w:proofErr w:type="spellEnd"/>
            <w:r w:rsidRPr="00495EC2">
              <w:rPr>
                <w:rFonts w:eastAsia="Calibri"/>
                <w:sz w:val="20"/>
              </w:rPr>
              <w:t xml:space="preserve"> immunity doctrine, and that it is otherwise inoperative under the </w:t>
            </w:r>
            <w:proofErr w:type="spellStart"/>
            <w:r w:rsidRPr="00495EC2">
              <w:rPr>
                <w:rFonts w:eastAsia="Calibri"/>
                <w:sz w:val="20"/>
              </w:rPr>
              <w:t>paramountcy</w:t>
            </w:r>
            <w:proofErr w:type="spellEnd"/>
            <w:r w:rsidRPr="00495EC2">
              <w:rPr>
                <w:rFonts w:eastAsia="Calibri"/>
                <w:sz w:val="20"/>
              </w:rPr>
              <w:t xml:space="preserve"> doctrine.</w:t>
            </w:r>
          </w:p>
          <w:p w:rsidR="00F44F8B" w:rsidRPr="00495EC2" w:rsidRDefault="00F44F8B" w:rsidP="00EC5583">
            <w:pPr>
              <w:jc w:val="both"/>
              <w:rPr>
                <w:rFonts w:eastAsia="Calibri"/>
                <w:sz w:val="20"/>
              </w:rPr>
            </w:pPr>
          </w:p>
        </w:tc>
      </w:tr>
      <w:tr w:rsidR="00F44F8B" w:rsidRPr="00495EC2" w:rsidTr="00EC5583">
        <w:tc>
          <w:tcPr>
            <w:tcW w:w="2427" w:type="pct"/>
          </w:tcPr>
          <w:p w:rsidR="00F44F8B" w:rsidRPr="00495EC2" w:rsidRDefault="00F44F8B" w:rsidP="00EC5583">
            <w:pPr>
              <w:jc w:val="both"/>
              <w:rPr>
                <w:rFonts w:eastAsia="Calibri"/>
                <w:sz w:val="20"/>
              </w:rPr>
            </w:pPr>
            <w:r w:rsidRPr="00495EC2">
              <w:rPr>
                <w:rFonts w:eastAsia="Calibri"/>
                <w:sz w:val="20"/>
              </w:rPr>
              <w:t>June 11, 2009</w:t>
            </w:r>
          </w:p>
          <w:p w:rsidR="00F44F8B" w:rsidRPr="00495EC2" w:rsidRDefault="00F44F8B" w:rsidP="00EC5583">
            <w:pPr>
              <w:jc w:val="both"/>
              <w:rPr>
                <w:rFonts w:eastAsia="Calibri"/>
                <w:sz w:val="20"/>
              </w:rPr>
            </w:pPr>
            <w:r w:rsidRPr="00495EC2">
              <w:rPr>
                <w:rFonts w:eastAsia="Calibri"/>
                <w:sz w:val="20"/>
              </w:rPr>
              <w:t>Superior Court of Quebec</w:t>
            </w:r>
          </w:p>
          <w:p w:rsidR="00F44F8B" w:rsidRPr="00495EC2" w:rsidRDefault="00F44F8B" w:rsidP="00EC5583">
            <w:pPr>
              <w:jc w:val="both"/>
              <w:rPr>
                <w:rFonts w:eastAsia="Calibri"/>
                <w:sz w:val="20"/>
              </w:rPr>
            </w:pPr>
            <w:r w:rsidRPr="00495EC2">
              <w:rPr>
                <w:rFonts w:eastAsia="Calibri"/>
                <w:sz w:val="20"/>
              </w:rPr>
              <w:t>(</w:t>
            </w:r>
            <w:proofErr w:type="spellStart"/>
            <w:r w:rsidRPr="00495EC2">
              <w:rPr>
                <w:rFonts w:eastAsia="Calibri"/>
                <w:sz w:val="20"/>
              </w:rPr>
              <w:t>Gascon</w:t>
            </w:r>
            <w:proofErr w:type="spellEnd"/>
            <w:r w:rsidRPr="00495EC2">
              <w:rPr>
                <w:rFonts w:eastAsia="Calibri"/>
                <w:sz w:val="20"/>
              </w:rPr>
              <w:t xml:space="preserve"> J.)</w:t>
            </w:r>
          </w:p>
          <w:p w:rsidR="00F44F8B" w:rsidRPr="00495EC2" w:rsidRDefault="00F44F8B" w:rsidP="00EC5583">
            <w:pPr>
              <w:jc w:val="both"/>
              <w:rPr>
                <w:rFonts w:eastAsia="Calibri"/>
                <w:sz w:val="20"/>
              </w:rPr>
            </w:pPr>
            <w:r w:rsidRPr="00495EC2">
              <w:rPr>
                <w:rFonts w:eastAsia="Calibri"/>
                <w:sz w:val="20"/>
              </w:rPr>
              <w:t>No. 500</w:t>
            </w:r>
            <w:r w:rsidRPr="00495EC2">
              <w:rPr>
                <w:rFonts w:eastAsia="Calibri"/>
                <w:sz w:val="20"/>
              </w:rPr>
              <w:noBreakHyphen/>
              <w:t>06</w:t>
            </w:r>
            <w:r w:rsidRPr="00495EC2">
              <w:rPr>
                <w:rFonts w:eastAsia="Calibri"/>
                <w:sz w:val="20"/>
              </w:rPr>
              <w:noBreakHyphen/>
              <w:t>000262</w:t>
            </w:r>
            <w:r w:rsidRPr="00495EC2">
              <w:rPr>
                <w:rFonts w:eastAsia="Calibri"/>
                <w:sz w:val="20"/>
              </w:rPr>
              <w:noBreakHyphen/>
              <w:t>044</w:t>
            </w:r>
          </w:p>
          <w:p w:rsidR="00F44F8B" w:rsidRPr="00495EC2" w:rsidRDefault="00F44F8B" w:rsidP="00EC5583">
            <w:pPr>
              <w:jc w:val="both"/>
              <w:rPr>
                <w:rFonts w:eastAsia="Calibri"/>
                <w:sz w:val="20"/>
              </w:rPr>
            </w:pPr>
            <w:r w:rsidRPr="00495EC2">
              <w:rPr>
                <w:rFonts w:eastAsia="Calibri"/>
                <w:sz w:val="20"/>
              </w:rPr>
              <w:t>2009 QCCS 2695</w:t>
            </w:r>
          </w:p>
          <w:p w:rsidR="00F44F8B" w:rsidRPr="00495EC2" w:rsidRDefault="00F44F8B" w:rsidP="00EC5583">
            <w:pPr>
              <w:jc w:val="both"/>
              <w:rPr>
                <w:rFonts w:eastAsia="Calibri"/>
                <w:sz w:val="20"/>
              </w:rPr>
            </w:pPr>
          </w:p>
        </w:tc>
        <w:tc>
          <w:tcPr>
            <w:tcW w:w="243" w:type="pct"/>
          </w:tcPr>
          <w:p w:rsidR="00F44F8B" w:rsidRPr="00495EC2" w:rsidRDefault="00F44F8B" w:rsidP="00EC5583">
            <w:pPr>
              <w:jc w:val="both"/>
              <w:rPr>
                <w:rFonts w:eastAsia="Calibri"/>
                <w:sz w:val="20"/>
              </w:rPr>
            </w:pPr>
          </w:p>
        </w:tc>
        <w:tc>
          <w:tcPr>
            <w:tcW w:w="2330" w:type="pct"/>
          </w:tcPr>
          <w:p w:rsidR="00F44F8B" w:rsidRPr="00495EC2" w:rsidRDefault="00F44F8B" w:rsidP="00EC5583">
            <w:pPr>
              <w:jc w:val="both"/>
              <w:rPr>
                <w:rFonts w:eastAsia="Calibri"/>
                <w:sz w:val="20"/>
              </w:rPr>
            </w:pPr>
            <w:r w:rsidRPr="00495EC2">
              <w:rPr>
                <w:rFonts w:eastAsia="Calibri"/>
                <w:sz w:val="20"/>
              </w:rPr>
              <w:t xml:space="preserve">Class action allowed in part, inter alia on grounds that foreign currency conversion commissions were charged to the class members in violation of the CPA, the application and operability of which were not barred by either the doctrine of </w:t>
            </w:r>
            <w:proofErr w:type="spellStart"/>
            <w:r w:rsidRPr="00495EC2">
              <w:rPr>
                <w:rFonts w:eastAsia="Calibri"/>
                <w:sz w:val="20"/>
              </w:rPr>
              <w:t>interjurisdictional</w:t>
            </w:r>
            <w:proofErr w:type="spellEnd"/>
            <w:r w:rsidRPr="00495EC2">
              <w:rPr>
                <w:rFonts w:eastAsia="Calibri"/>
                <w:sz w:val="20"/>
              </w:rPr>
              <w:t xml:space="preserve"> immunity or the doctrine of federal </w:t>
            </w:r>
            <w:proofErr w:type="spellStart"/>
            <w:r w:rsidRPr="00495EC2">
              <w:rPr>
                <w:rFonts w:eastAsia="Calibri"/>
                <w:sz w:val="20"/>
              </w:rPr>
              <w:t>paramountcy</w:t>
            </w:r>
            <w:proofErr w:type="spellEnd"/>
            <w:r w:rsidRPr="00495EC2">
              <w:rPr>
                <w:rFonts w:eastAsia="Calibri"/>
                <w:sz w:val="20"/>
              </w:rPr>
              <w:t>.</w:t>
            </w:r>
          </w:p>
          <w:p w:rsidR="00F44F8B" w:rsidRPr="00495EC2" w:rsidRDefault="00F44F8B" w:rsidP="00EC5583">
            <w:pPr>
              <w:jc w:val="both"/>
              <w:rPr>
                <w:rFonts w:eastAsia="Calibri"/>
                <w:sz w:val="20"/>
              </w:rPr>
            </w:pPr>
          </w:p>
        </w:tc>
      </w:tr>
      <w:tr w:rsidR="00F44F8B" w:rsidRPr="00495EC2" w:rsidTr="00EC5583">
        <w:tc>
          <w:tcPr>
            <w:tcW w:w="2427" w:type="pct"/>
          </w:tcPr>
          <w:p w:rsidR="00F44F8B" w:rsidRPr="00495EC2" w:rsidRDefault="00F44F8B" w:rsidP="00EC5583">
            <w:pPr>
              <w:jc w:val="both"/>
              <w:rPr>
                <w:rFonts w:eastAsia="Calibri"/>
                <w:sz w:val="20"/>
              </w:rPr>
            </w:pPr>
            <w:r w:rsidRPr="00495EC2">
              <w:rPr>
                <w:rFonts w:eastAsia="Calibri"/>
                <w:sz w:val="20"/>
              </w:rPr>
              <w:t>August 2, 2012</w:t>
            </w:r>
          </w:p>
          <w:p w:rsidR="00F44F8B" w:rsidRPr="00495EC2" w:rsidRDefault="00F44F8B" w:rsidP="00EC5583">
            <w:pPr>
              <w:jc w:val="both"/>
              <w:rPr>
                <w:rFonts w:eastAsia="Calibri"/>
                <w:sz w:val="20"/>
              </w:rPr>
            </w:pPr>
            <w:r w:rsidRPr="00495EC2">
              <w:rPr>
                <w:rFonts w:eastAsia="Calibri"/>
                <w:sz w:val="20"/>
              </w:rPr>
              <w:t>Court of Appeal of Quebec (Montréal)</w:t>
            </w:r>
          </w:p>
          <w:p w:rsidR="00F44F8B" w:rsidRPr="00495EC2" w:rsidRDefault="00F44F8B" w:rsidP="00EC5583">
            <w:pPr>
              <w:jc w:val="both"/>
              <w:rPr>
                <w:rFonts w:eastAsia="Calibri"/>
                <w:sz w:val="20"/>
              </w:rPr>
            </w:pPr>
            <w:r w:rsidRPr="00495EC2">
              <w:rPr>
                <w:rFonts w:eastAsia="Calibri"/>
                <w:sz w:val="20"/>
              </w:rPr>
              <w:t xml:space="preserve">(Forget, </w:t>
            </w:r>
            <w:proofErr w:type="spellStart"/>
            <w:r w:rsidRPr="00495EC2">
              <w:rPr>
                <w:rFonts w:eastAsia="Calibri"/>
                <w:sz w:val="20"/>
              </w:rPr>
              <w:t>Dalphond</w:t>
            </w:r>
            <w:proofErr w:type="spellEnd"/>
            <w:r w:rsidRPr="00495EC2">
              <w:rPr>
                <w:rFonts w:eastAsia="Calibri"/>
                <w:sz w:val="20"/>
              </w:rPr>
              <w:t xml:space="preserve"> and </w:t>
            </w:r>
            <w:proofErr w:type="spellStart"/>
            <w:r w:rsidRPr="00495EC2">
              <w:rPr>
                <w:rFonts w:eastAsia="Calibri"/>
                <w:sz w:val="20"/>
              </w:rPr>
              <w:t>Bich</w:t>
            </w:r>
            <w:proofErr w:type="spellEnd"/>
            <w:r w:rsidRPr="00495EC2">
              <w:rPr>
                <w:rFonts w:eastAsia="Calibri"/>
                <w:sz w:val="20"/>
              </w:rPr>
              <w:t xml:space="preserve"> JJ.A.)</w:t>
            </w:r>
          </w:p>
          <w:p w:rsidR="00F44F8B" w:rsidRPr="00495EC2" w:rsidRDefault="00F44F8B" w:rsidP="00EC5583">
            <w:pPr>
              <w:jc w:val="both"/>
              <w:rPr>
                <w:rFonts w:eastAsia="Calibri"/>
                <w:sz w:val="20"/>
              </w:rPr>
            </w:pPr>
            <w:r w:rsidRPr="00495EC2">
              <w:rPr>
                <w:rFonts w:eastAsia="Calibri"/>
                <w:sz w:val="20"/>
              </w:rPr>
              <w:t>No. 500</w:t>
            </w:r>
            <w:r w:rsidRPr="00495EC2">
              <w:rPr>
                <w:rFonts w:eastAsia="Calibri"/>
                <w:sz w:val="20"/>
              </w:rPr>
              <w:noBreakHyphen/>
              <w:t>09</w:t>
            </w:r>
            <w:r w:rsidRPr="00495EC2">
              <w:rPr>
                <w:rFonts w:eastAsia="Calibri"/>
                <w:sz w:val="20"/>
              </w:rPr>
              <w:noBreakHyphen/>
              <w:t>019842</w:t>
            </w:r>
            <w:r w:rsidRPr="00495EC2">
              <w:rPr>
                <w:rFonts w:eastAsia="Calibri"/>
                <w:sz w:val="20"/>
              </w:rPr>
              <w:noBreakHyphen/>
              <w:t>095</w:t>
            </w:r>
          </w:p>
          <w:p w:rsidR="00F44F8B" w:rsidRPr="00495EC2" w:rsidRDefault="00F44F8B" w:rsidP="00EC5583">
            <w:pPr>
              <w:jc w:val="both"/>
              <w:rPr>
                <w:rFonts w:eastAsia="Calibri"/>
                <w:sz w:val="20"/>
              </w:rPr>
            </w:pPr>
            <w:r w:rsidRPr="00495EC2">
              <w:rPr>
                <w:rFonts w:eastAsia="Calibri"/>
                <w:sz w:val="20"/>
              </w:rPr>
              <w:t>2012 QCCA 1394</w:t>
            </w:r>
          </w:p>
          <w:p w:rsidR="00F44F8B" w:rsidRPr="00495EC2" w:rsidRDefault="00F44F8B" w:rsidP="00EC5583">
            <w:pPr>
              <w:jc w:val="both"/>
              <w:rPr>
                <w:rFonts w:eastAsia="Calibri"/>
                <w:sz w:val="20"/>
              </w:rPr>
            </w:pPr>
          </w:p>
        </w:tc>
        <w:tc>
          <w:tcPr>
            <w:tcW w:w="243" w:type="pct"/>
          </w:tcPr>
          <w:p w:rsidR="00F44F8B" w:rsidRPr="00495EC2" w:rsidRDefault="00F44F8B" w:rsidP="00EC5583">
            <w:pPr>
              <w:jc w:val="both"/>
              <w:rPr>
                <w:rFonts w:eastAsia="Calibri"/>
                <w:sz w:val="20"/>
              </w:rPr>
            </w:pPr>
          </w:p>
        </w:tc>
        <w:tc>
          <w:tcPr>
            <w:tcW w:w="2330" w:type="pct"/>
          </w:tcPr>
          <w:p w:rsidR="00F44F8B" w:rsidRPr="00495EC2" w:rsidRDefault="00F44F8B" w:rsidP="00EC5583">
            <w:pPr>
              <w:jc w:val="both"/>
              <w:rPr>
                <w:rFonts w:eastAsia="Calibri"/>
                <w:sz w:val="20"/>
              </w:rPr>
            </w:pPr>
            <w:r w:rsidRPr="00495EC2">
              <w:rPr>
                <w:rFonts w:eastAsia="Calibri"/>
                <w:sz w:val="20"/>
              </w:rPr>
              <w:t>Appeal allowed in part.</w:t>
            </w:r>
          </w:p>
        </w:tc>
      </w:tr>
      <w:tr w:rsidR="00F44F8B" w:rsidRPr="00495EC2" w:rsidTr="00A80FCF">
        <w:trPr>
          <w:cantSplit/>
        </w:trPr>
        <w:tc>
          <w:tcPr>
            <w:tcW w:w="2427" w:type="pct"/>
          </w:tcPr>
          <w:p w:rsidR="00F44F8B" w:rsidRPr="00495EC2" w:rsidRDefault="00F44F8B" w:rsidP="00EC5583">
            <w:pPr>
              <w:jc w:val="both"/>
              <w:rPr>
                <w:rFonts w:eastAsia="Calibri"/>
                <w:sz w:val="20"/>
              </w:rPr>
            </w:pPr>
            <w:r w:rsidRPr="00495EC2">
              <w:rPr>
                <w:rFonts w:eastAsia="Calibri"/>
                <w:sz w:val="20"/>
              </w:rPr>
              <w:t>October 15, 2012</w:t>
            </w:r>
          </w:p>
          <w:p w:rsidR="00F44F8B" w:rsidRPr="00495EC2" w:rsidRDefault="00F44F8B" w:rsidP="00EC5583">
            <w:pPr>
              <w:jc w:val="both"/>
              <w:rPr>
                <w:rFonts w:eastAsia="Calibri"/>
                <w:sz w:val="20"/>
              </w:rPr>
            </w:pPr>
            <w:r w:rsidRPr="00495EC2">
              <w:rPr>
                <w:rFonts w:eastAsia="Calibri"/>
                <w:sz w:val="20"/>
              </w:rPr>
              <w:t>Supreme Court of Canada</w:t>
            </w:r>
          </w:p>
          <w:p w:rsidR="00F44F8B" w:rsidRPr="00495EC2" w:rsidRDefault="00F44F8B" w:rsidP="00EC5583">
            <w:pPr>
              <w:jc w:val="both"/>
              <w:rPr>
                <w:rFonts w:eastAsia="Calibri"/>
                <w:sz w:val="20"/>
              </w:rPr>
            </w:pPr>
          </w:p>
        </w:tc>
        <w:tc>
          <w:tcPr>
            <w:tcW w:w="243" w:type="pct"/>
          </w:tcPr>
          <w:p w:rsidR="00F44F8B" w:rsidRPr="00495EC2" w:rsidRDefault="00F44F8B" w:rsidP="00EC5583">
            <w:pPr>
              <w:jc w:val="both"/>
              <w:rPr>
                <w:rFonts w:eastAsia="Calibri"/>
                <w:sz w:val="20"/>
              </w:rPr>
            </w:pPr>
          </w:p>
        </w:tc>
        <w:tc>
          <w:tcPr>
            <w:tcW w:w="2330" w:type="pct"/>
          </w:tcPr>
          <w:p w:rsidR="00F44F8B" w:rsidRPr="00495EC2" w:rsidRDefault="00F44F8B" w:rsidP="00EC5583">
            <w:pPr>
              <w:jc w:val="both"/>
              <w:rPr>
                <w:rFonts w:eastAsia="Calibri"/>
                <w:sz w:val="20"/>
              </w:rPr>
            </w:pPr>
            <w:r w:rsidRPr="00495EC2">
              <w:rPr>
                <w:rFonts w:eastAsia="Calibri"/>
                <w:sz w:val="20"/>
              </w:rPr>
              <w:t>Application for leave to appeal filed.</w:t>
            </w:r>
          </w:p>
          <w:p w:rsidR="00F44F8B" w:rsidRPr="00495EC2" w:rsidRDefault="00F44F8B" w:rsidP="00EC5583">
            <w:pPr>
              <w:jc w:val="both"/>
              <w:rPr>
                <w:rFonts w:eastAsia="Calibri"/>
                <w:sz w:val="20"/>
              </w:rPr>
            </w:pPr>
          </w:p>
        </w:tc>
      </w:tr>
      <w:tr w:rsidR="00F44F8B" w:rsidRPr="00495EC2" w:rsidTr="00A80FCF">
        <w:trPr>
          <w:cantSplit/>
        </w:trPr>
        <w:tc>
          <w:tcPr>
            <w:tcW w:w="2427" w:type="pct"/>
          </w:tcPr>
          <w:p w:rsidR="00F44F8B" w:rsidRPr="00495EC2" w:rsidRDefault="00F44F8B" w:rsidP="00EC5583">
            <w:pPr>
              <w:jc w:val="both"/>
              <w:rPr>
                <w:rFonts w:eastAsia="Calibri"/>
                <w:sz w:val="20"/>
              </w:rPr>
            </w:pPr>
            <w:r w:rsidRPr="00495EC2">
              <w:rPr>
                <w:rFonts w:eastAsia="Calibri"/>
                <w:sz w:val="20"/>
              </w:rPr>
              <w:t>October 15, 2012</w:t>
            </w:r>
          </w:p>
          <w:p w:rsidR="00F44F8B" w:rsidRPr="00495EC2" w:rsidRDefault="00F44F8B" w:rsidP="00EC5583">
            <w:pPr>
              <w:jc w:val="both"/>
              <w:rPr>
                <w:rFonts w:eastAsia="Calibri"/>
                <w:sz w:val="20"/>
              </w:rPr>
            </w:pPr>
            <w:r w:rsidRPr="00495EC2">
              <w:rPr>
                <w:rFonts w:eastAsia="Calibri"/>
                <w:sz w:val="20"/>
              </w:rPr>
              <w:t>Supreme Court of Canada</w:t>
            </w:r>
          </w:p>
        </w:tc>
        <w:tc>
          <w:tcPr>
            <w:tcW w:w="243" w:type="pct"/>
          </w:tcPr>
          <w:p w:rsidR="00F44F8B" w:rsidRPr="00495EC2" w:rsidRDefault="00F44F8B" w:rsidP="00EC5583">
            <w:pPr>
              <w:jc w:val="both"/>
              <w:rPr>
                <w:rFonts w:eastAsia="Calibri"/>
                <w:sz w:val="20"/>
              </w:rPr>
            </w:pPr>
          </w:p>
        </w:tc>
        <w:tc>
          <w:tcPr>
            <w:tcW w:w="2330" w:type="pct"/>
          </w:tcPr>
          <w:p w:rsidR="00F44F8B" w:rsidRPr="00495EC2" w:rsidRDefault="00F44F8B" w:rsidP="00EC5583">
            <w:pPr>
              <w:jc w:val="both"/>
              <w:rPr>
                <w:rFonts w:eastAsia="Calibri"/>
                <w:sz w:val="20"/>
              </w:rPr>
            </w:pPr>
            <w:r w:rsidRPr="00495EC2">
              <w:rPr>
                <w:rFonts w:eastAsia="Calibri"/>
                <w:sz w:val="20"/>
              </w:rPr>
              <w:t>Motion for an extension of time to file and serve application for leave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58"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44F8B" w:rsidRPr="009714AD" w:rsidTr="00EC5583">
        <w:tc>
          <w:tcPr>
            <w:tcW w:w="5000" w:type="pct"/>
            <w:gridSpan w:val="3"/>
          </w:tcPr>
          <w:p w:rsidR="00F44F8B" w:rsidRPr="00495EC2" w:rsidRDefault="00F44F8B" w:rsidP="00EC5583">
            <w:pPr>
              <w:autoSpaceDE w:val="0"/>
              <w:autoSpaceDN w:val="0"/>
              <w:adjustRightInd w:val="0"/>
              <w:jc w:val="both"/>
              <w:rPr>
                <w:rFonts w:eastAsia="Calibri"/>
                <w:sz w:val="20"/>
                <w:lang w:val="fr-FR"/>
              </w:rPr>
            </w:pPr>
            <w:r w:rsidRPr="00495EC2">
              <w:rPr>
                <w:rFonts w:eastAsia="Calibri"/>
                <w:sz w:val="20"/>
                <w:lang w:val="fr-FR"/>
              </w:rPr>
              <w:t xml:space="preserve">Droit constitutionnel – Doctrine de l’exclusivité des compétences – Prépondérance fédérale –  Institutions financières – Cartes de crédit – Applicabilité et opérabilité de la </w:t>
            </w:r>
            <w:r w:rsidRPr="00495EC2">
              <w:rPr>
                <w:rFonts w:eastAsia="Calibri"/>
                <w:i/>
                <w:sz w:val="20"/>
                <w:lang w:val="fr-FR"/>
              </w:rPr>
              <w:t>Loi sur la protection du consommateur</w:t>
            </w:r>
            <w:r w:rsidRPr="00495EC2">
              <w:rPr>
                <w:rFonts w:eastAsia="Calibri"/>
                <w:sz w:val="20"/>
                <w:lang w:val="fr-FR"/>
              </w:rPr>
              <w:t>, ch. P</w:t>
            </w:r>
            <w:r w:rsidRPr="00495EC2">
              <w:rPr>
                <w:rFonts w:eastAsia="Calibri"/>
                <w:sz w:val="20"/>
                <w:lang w:val="fr-FR"/>
              </w:rPr>
              <w:noBreakHyphen/>
              <w:t xml:space="preserve">40.1 (la « LPC »), en combinaison avec la </w:t>
            </w:r>
            <w:r w:rsidRPr="00495EC2">
              <w:rPr>
                <w:rFonts w:eastAsia="Calibri"/>
                <w:i/>
                <w:sz w:val="20"/>
                <w:lang w:val="fr-FR"/>
              </w:rPr>
              <w:t>Loi sur les</w:t>
            </w:r>
            <w:r w:rsidRPr="00495EC2">
              <w:rPr>
                <w:rFonts w:eastAsia="Calibri"/>
                <w:sz w:val="20"/>
                <w:lang w:val="fr-FR"/>
              </w:rPr>
              <w:t xml:space="preserve">   </w:t>
            </w:r>
            <w:r w:rsidRPr="00495EC2">
              <w:rPr>
                <w:rFonts w:eastAsia="Calibri"/>
                <w:i/>
                <w:sz w:val="20"/>
                <w:lang w:val="fr-FR"/>
              </w:rPr>
              <w:t>banques</w:t>
            </w:r>
            <w:r w:rsidRPr="00495EC2">
              <w:rPr>
                <w:rFonts w:eastAsia="Calibri"/>
                <w:sz w:val="20"/>
                <w:lang w:val="fr-FR"/>
              </w:rPr>
              <w:t xml:space="preserve">, L.C. 1991, ch. 46, et ses modifications, et le </w:t>
            </w:r>
            <w:r w:rsidRPr="00495EC2">
              <w:rPr>
                <w:rFonts w:eastAsia="Calibri"/>
                <w:i/>
                <w:sz w:val="20"/>
                <w:lang w:val="fr-FR"/>
              </w:rPr>
              <w:t>Règlement sur le coût d’emprunt (banques)</w:t>
            </w:r>
            <w:r w:rsidRPr="00495EC2">
              <w:rPr>
                <w:rFonts w:eastAsia="Calibri"/>
                <w:sz w:val="20"/>
                <w:lang w:val="fr-FR"/>
              </w:rPr>
              <w:t>, DORS/2001</w:t>
            </w:r>
            <w:r w:rsidRPr="00495EC2">
              <w:rPr>
                <w:rFonts w:eastAsia="Calibri"/>
                <w:sz w:val="20"/>
                <w:lang w:val="fr-FR"/>
              </w:rPr>
              <w:noBreakHyphen/>
              <w:t>101, et ses modifications – La LPC est-elle constitutionnellement inapplicable, de sorte qu’elle ne peut pas réglementer les cartes de crédit émises par des banques selon la doctrine de la prépondérance fédérale? – Le régime de crédit variable instauré par la LPC est-il incompatible avec la législation fédérale?</w:t>
            </w:r>
          </w:p>
        </w:tc>
      </w:tr>
      <w:tr w:rsidR="00F44F8B" w:rsidRPr="009714AD" w:rsidTr="00EC5583">
        <w:tc>
          <w:tcPr>
            <w:tcW w:w="5000" w:type="pct"/>
            <w:gridSpan w:val="3"/>
          </w:tcPr>
          <w:p w:rsidR="00F44F8B" w:rsidRPr="00495EC2" w:rsidRDefault="00F44F8B" w:rsidP="00EC5583">
            <w:pPr>
              <w:jc w:val="both"/>
              <w:rPr>
                <w:rFonts w:eastAsia="Calibri"/>
                <w:sz w:val="20"/>
                <w:lang w:val="fr-FR"/>
              </w:rPr>
            </w:pPr>
          </w:p>
        </w:tc>
      </w:tr>
      <w:tr w:rsidR="00F44F8B" w:rsidRPr="009714AD" w:rsidTr="00EC5583">
        <w:tc>
          <w:tcPr>
            <w:tcW w:w="5000" w:type="pct"/>
            <w:gridSpan w:val="3"/>
          </w:tcPr>
          <w:p w:rsidR="00F44F8B" w:rsidRPr="00495EC2" w:rsidRDefault="00F44F8B" w:rsidP="00EC5583">
            <w:pPr>
              <w:jc w:val="both"/>
              <w:rPr>
                <w:rFonts w:eastAsia="Calibri"/>
                <w:sz w:val="20"/>
                <w:lang w:val="fr-FR"/>
              </w:rPr>
            </w:pPr>
            <w:r w:rsidRPr="00495EC2">
              <w:rPr>
                <w:rFonts w:eastAsia="Calibri"/>
                <w:sz w:val="20"/>
                <w:lang w:val="fr-FR"/>
              </w:rPr>
              <w:t xml:space="preserve">Dans ce recours collectif, le représentant du groupe allègue que la demanderesse a contrevenu à la LPC en ne communiquant pas les frais de conversion d’une devise étrangère imputés aux cartes de crédit comme « frais de crédit », en violation du </w:t>
            </w:r>
            <w:r w:rsidRPr="00495EC2">
              <w:rPr>
                <w:rFonts w:eastAsia="Calibri"/>
                <w:i/>
                <w:sz w:val="20"/>
                <w:lang w:val="fr-FR"/>
              </w:rPr>
              <w:t>Code civil du Québec</w:t>
            </w:r>
            <w:r w:rsidRPr="00495EC2">
              <w:rPr>
                <w:rFonts w:eastAsia="Calibri"/>
                <w:sz w:val="20"/>
                <w:lang w:val="fr-FR"/>
              </w:rPr>
              <w:t xml:space="preserve"> et de la LPC, ce qui rend la demanderesse redevable de restitution et de dommages-intérêts punitifs sous le régime de la LPC.  Ces allégations sont réfutées par la demanderesse, qui soutient en outre qu’étant donné la législation fédérale actuellement applicable à l’industrie bancaire, la LPC est constitutionnellement inapplicable selon la doctrine de l’exclusivité des compétences, et qu’elle est par ailleurs inopérante selon la doctrine de la prépondérance fédérale.</w:t>
            </w:r>
          </w:p>
          <w:p w:rsidR="00F44F8B" w:rsidRPr="00495EC2" w:rsidRDefault="00F44F8B" w:rsidP="00EC5583">
            <w:pPr>
              <w:jc w:val="both"/>
              <w:rPr>
                <w:rFonts w:eastAsia="Calibri"/>
                <w:sz w:val="20"/>
                <w:lang w:val="fr-FR"/>
              </w:rPr>
            </w:pPr>
          </w:p>
        </w:tc>
      </w:tr>
      <w:tr w:rsidR="00F44F8B" w:rsidRPr="009714AD" w:rsidTr="00EC5583">
        <w:tc>
          <w:tcPr>
            <w:tcW w:w="2427" w:type="pct"/>
          </w:tcPr>
          <w:p w:rsidR="00F44F8B" w:rsidRPr="00495EC2" w:rsidRDefault="00F44F8B" w:rsidP="00EC5583">
            <w:pPr>
              <w:jc w:val="both"/>
              <w:rPr>
                <w:rFonts w:eastAsia="Calibri"/>
                <w:sz w:val="20"/>
                <w:lang w:val="fr-FR"/>
              </w:rPr>
            </w:pPr>
            <w:r w:rsidRPr="00495EC2">
              <w:rPr>
                <w:rFonts w:eastAsia="Calibri"/>
                <w:sz w:val="20"/>
                <w:lang w:val="fr-FR"/>
              </w:rPr>
              <w:t>11 juin 2009</w:t>
            </w:r>
          </w:p>
          <w:p w:rsidR="00F44F8B" w:rsidRPr="00495EC2" w:rsidRDefault="00F44F8B" w:rsidP="00EC5583">
            <w:pPr>
              <w:jc w:val="both"/>
              <w:rPr>
                <w:rFonts w:eastAsia="Calibri"/>
                <w:sz w:val="20"/>
                <w:lang w:val="fr-FR"/>
              </w:rPr>
            </w:pPr>
            <w:r w:rsidRPr="00495EC2">
              <w:rPr>
                <w:rFonts w:eastAsia="Calibri"/>
                <w:sz w:val="20"/>
                <w:lang w:val="fr-FR"/>
              </w:rPr>
              <w:t>Cour supérieure du Québec</w:t>
            </w:r>
          </w:p>
          <w:p w:rsidR="00F44F8B" w:rsidRPr="00495EC2" w:rsidRDefault="00F44F8B" w:rsidP="00EC5583">
            <w:pPr>
              <w:jc w:val="both"/>
              <w:rPr>
                <w:rFonts w:eastAsia="Calibri"/>
                <w:sz w:val="20"/>
                <w:lang w:val="fr-FR"/>
              </w:rPr>
            </w:pPr>
            <w:r w:rsidRPr="00495EC2">
              <w:rPr>
                <w:rFonts w:eastAsia="Calibri"/>
                <w:sz w:val="20"/>
                <w:lang w:val="fr-FR"/>
              </w:rPr>
              <w:t>(Juge Gascon)</w:t>
            </w:r>
          </w:p>
          <w:p w:rsidR="00F44F8B" w:rsidRPr="00495EC2" w:rsidRDefault="00F44F8B"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xml:space="preserve"> 500</w:t>
            </w:r>
            <w:r w:rsidRPr="00495EC2">
              <w:rPr>
                <w:rFonts w:eastAsia="Calibri"/>
                <w:sz w:val="20"/>
              </w:rPr>
              <w:noBreakHyphen/>
              <w:t>06</w:t>
            </w:r>
            <w:r w:rsidRPr="00495EC2">
              <w:rPr>
                <w:rFonts w:eastAsia="Calibri"/>
                <w:sz w:val="20"/>
              </w:rPr>
              <w:noBreakHyphen/>
              <w:t>000262</w:t>
            </w:r>
            <w:r w:rsidRPr="00495EC2">
              <w:rPr>
                <w:rFonts w:eastAsia="Calibri"/>
                <w:sz w:val="20"/>
              </w:rPr>
              <w:noBreakHyphen/>
              <w:t>044</w:t>
            </w:r>
          </w:p>
          <w:p w:rsidR="00F44F8B" w:rsidRPr="00495EC2" w:rsidRDefault="00F44F8B" w:rsidP="00EC5583">
            <w:pPr>
              <w:jc w:val="both"/>
              <w:rPr>
                <w:rFonts w:eastAsia="Calibri"/>
                <w:sz w:val="20"/>
              </w:rPr>
            </w:pPr>
            <w:r w:rsidRPr="00495EC2">
              <w:rPr>
                <w:rFonts w:eastAsia="Calibri"/>
                <w:sz w:val="20"/>
              </w:rPr>
              <w:t>2009 QCCS 2695</w:t>
            </w:r>
          </w:p>
          <w:p w:rsidR="00F44F8B" w:rsidRPr="00495EC2" w:rsidRDefault="00F44F8B" w:rsidP="00EC5583">
            <w:pPr>
              <w:jc w:val="both"/>
              <w:rPr>
                <w:rFonts w:eastAsia="Calibri"/>
                <w:sz w:val="20"/>
              </w:rPr>
            </w:pPr>
          </w:p>
        </w:tc>
        <w:tc>
          <w:tcPr>
            <w:tcW w:w="243" w:type="pct"/>
          </w:tcPr>
          <w:p w:rsidR="00F44F8B" w:rsidRPr="00495EC2" w:rsidRDefault="00F44F8B" w:rsidP="00EC5583">
            <w:pPr>
              <w:jc w:val="both"/>
              <w:rPr>
                <w:rFonts w:eastAsia="Calibri"/>
                <w:sz w:val="20"/>
              </w:rPr>
            </w:pPr>
          </w:p>
        </w:tc>
        <w:tc>
          <w:tcPr>
            <w:tcW w:w="2330" w:type="pct"/>
          </w:tcPr>
          <w:p w:rsidR="00F44F8B" w:rsidRPr="00495EC2" w:rsidRDefault="00F44F8B" w:rsidP="00EC5583">
            <w:pPr>
              <w:jc w:val="both"/>
              <w:rPr>
                <w:rFonts w:eastAsia="Calibri"/>
                <w:sz w:val="20"/>
                <w:lang w:val="fr-FR"/>
              </w:rPr>
            </w:pPr>
            <w:r w:rsidRPr="00495EC2">
              <w:rPr>
                <w:rFonts w:eastAsia="Calibri"/>
                <w:sz w:val="20"/>
                <w:lang w:val="fr-FR"/>
              </w:rPr>
              <w:t>Recours collectif accueilli en partie, entre autres parce que des commissions de conversion d’une devise étrangère ont été imputées aux membres du groupe en contravention de la LPC, une loi dont l’application et l’opérabilité ne sont écartées ni par la doctrine de l’exclusivité des compétences, ni par la doctrine de la prépondérance fédérale.</w:t>
            </w:r>
          </w:p>
          <w:p w:rsidR="00F44F8B" w:rsidRPr="00495EC2" w:rsidRDefault="00F44F8B" w:rsidP="00EC5583">
            <w:pPr>
              <w:jc w:val="both"/>
              <w:rPr>
                <w:rFonts w:eastAsia="Calibri"/>
                <w:sz w:val="20"/>
                <w:lang w:val="fr-FR"/>
              </w:rPr>
            </w:pPr>
          </w:p>
        </w:tc>
      </w:tr>
      <w:tr w:rsidR="00F44F8B" w:rsidRPr="00495EC2" w:rsidTr="00EC5583">
        <w:tc>
          <w:tcPr>
            <w:tcW w:w="2427" w:type="pct"/>
          </w:tcPr>
          <w:p w:rsidR="00F44F8B" w:rsidRPr="00495EC2" w:rsidRDefault="00F44F8B" w:rsidP="00EC5583">
            <w:pPr>
              <w:jc w:val="both"/>
              <w:rPr>
                <w:rFonts w:eastAsia="Calibri"/>
                <w:sz w:val="20"/>
                <w:lang w:val="fr-FR"/>
              </w:rPr>
            </w:pPr>
            <w:r w:rsidRPr="00495EC2">
              <w:rPr>
                <w:rFonts w:eastAsia="Calibri"/>
                <w:sz w:val="20"/>
                <w:lang w:val="fr-FR"/>
              </w:rPr>
              <w:t>2 août 2012</w:t>
            </w:r>
          </w:p>
          <w:p w:rsidR="00F44F8B" w:rsidRPr="00495EC2" w:rsidRDefault="00F44F8B" w:rsidP="00EC5583">
            <w:pPr>
              <w:jc w:val="both"/>
              <w:rPr>
                <w:rFonts w:eastAsia="Calibri"/>
                <w:sz w:val="20"/>
                <w:lang w:val="fr-FR"/>
              </w:rPr>
            </w:pPr>
            <w:r w:rsidRPr="00495EC2">
              <w:rPr>
                <w:rFonts w:eastAsia="Calibri"/>
                <w:sz w:val="20"/>
                <w:lang w:val="fr-FR"/>
              </w:rPr>
              <w:t>Cour d’appel du Québec (Montréal)</w:t>
            </w:r>
          </w:p>
          <w:p w:rsidR="00F44F8B" w:rsidRPr="00495EC2" w:rsidRDefault="00F44F8B" w:rsidP="00EC5583">
            <w:pPr>
              <w:jc w:val="both"/>
              <w:rPr>
                <w:rFonts w:eastAsia="Calibri"/>
                <w:sz w:val="20"/>
                <w:lang w:val="fr-FR"/>
              </w:rPr>
            </w:pPr>
            <w:r w:rsidRPr="00495EC2">
              <w:rPr>
                <w:rFonts w:eastAsia="Calibri"/>
                <w:sz w:val="20"/>
                <w:lang w:val="fr-FR"/>
              </w:rPr>
              <w:t xml:space="preserve">(Juges Forget, </w:t>
            </w:r>
            <w:proofErr w:type="spellStart"/>
            <w:r w:rsidRPr="00495EC2">
              <w:rPr>
                <w:rFonts w:eastAsia="Calibri"/>
                <w:sz w:val="20"/>
                <w:lang w:val="fr-FR"/>
              </w:rPr>
              <w:t>Dalphond</w:t>
            </w:r>
            <w:proofErr w:type="spellEnd"/>
            <w:r w:rsidRPr="00495EC2">
              <w:rPr>
                <w:rFonts w:eastAsia="Calibri"/>
                <w:sz w:val="20"/>
                <w:lang w:val="fr-FR"/>
              </w:rPr>
              <w:t xml:space="preserve"> et </w:t>
            </w:r>
            <w:proofErr w:type="spellStart"/>
            <w:r w:rsidRPr="00495EC2">
              <w:rPr>
                <w:rFonts w:eastAsia="Calibri"/>
                <w:sz w:val="20"/>
                <w:lang w:val="fr-FR"/>
              </w:rPr>
              <w:t>Bich</w:t>
            </w:r>
            <w:proofErr w:type="spellEnd"/>
            <w:r w:rsidRPr="00495EC2">
              <w:rPr>
                <w:rFonts w:eastAsia="Calibri"/>
                <w:sz w:val="20"/>
                <w:lang w:val="fr-FR"/>
              </w:rPr>
              <w:t>)</w:t>
            </w:r>
          </w:p>
          <w:p w:rsidR="00F44F8B" w:rsidRPr="00495EC2" w:rsidRDefault="00F44F8B" w:rsidP="00EC5583">
            <w:pPr>
              <w:jc w:val="both"/>
              <w:rPr>
                <w:rFonts w:eastAsia="Calibri"/>
                <w:sz w:val="20"/>
              </w:rPr>
            </w:pPr>
            <w:r w:rsidRPr="00495EC2">
              <w:rPr>
                <w:rFonts w:eastAsia="Calibri"/>
                <w:sz w:val="20"/>
              </w:rPr>
              <w:t>N</w:t>
            </w:r>
            <w:r w:rsidRPr="00495EC2">
              <w:rPr>
                <w:rFonts w:eastAsia="Calibri"/>
                <w:sz w:val="20"/>
                <w:vertAlign w:val="superscript"/>
              </w:rPr>
              <w:t>o</w:t>
            </w:r>
            <w:r w:rsidRPr="00495EC2">
              <w:rPr>
                <w:rFonts w:eastAsia="Calibri"/>
                <w:sz w:val="20"/>
              </w:rPr>
              <w:t> 500</w:t>
            </w:r>
            <w:r w:rsidRPr="00495EC2">
              <w:rPr>
                <w:rFonts w:eastAsia="Calibri"/>
                <w:sz w:val="20"/>
              </w:rPr>
              <w:noBreakHyphen/>
              <w:t>09</w:t>
            </w:r>
            <w:r w:rsidRPr="00495EC2">
              <w:rPr>
                <w:rFonts w:eastAsia="Calibri"/>
                <w:sz w:val="20"/>
              </w:rPr>
              <w:noBreakHyphen/>
              <w:t>019842</w:t>
            </w:r>
            <w:r w:rsidRPr="00495EC2">
              <w:rPr>
                <w:rFonts w:eastAsia="Calibri"/>
                <w:sz w:val="20"/>
              </w:rPr>
              <w:noBreakHyphen/>
              <w:t>095</w:t>
            </w:r>
          </w:p>
          <w:p w:rsidR="00F44F8B" w:rsidRPr="00495EC2" w:rsidRDefault="00F44F8B" w:rsidP="00EC5583">
            <w:pPr>
              <w:jc w:val="both"/>
              <w:rPr>
                <w:rFonts w:eastAsia="Calibri"/>
                <w:color w:val="444444"/>
                <w:sz w:val="20"/>
              </w:rPr>
            </w:pPr>
            <w:r w:rsidRPr="00495EC2">
              <w:rPr>
                <w:rFonts w:eastAsia="Calibri"/>
                <w:sz w:val="20"/>
              </w:rPr>
              <w:t>2012 QCCA 1394</w:t>
            </w:r>
          </w:p>
          <w:p w:rsidR="00F44F8B" w:rsidRPr="00495EC2" w:rsidRDefault="00F44F8B" w:rsidP="00EC5583">
            <w:pPr>
              <w:jc w:val="both"/>
              <w:rPr>
                <w:rFonts w:eastAsia="Calibri"/>
                <w:sz w:val="20"/>
                <w:lang w:val="fr-CA"/>
              </w:rPr>
            </w:pPr>
          </w:p>
        </w:tc>
        <w:tc>
          <w:tcPr>
            <w:tcW w:w="243" w:type="pct"/>
          </w:tcPr>
          <w:p w:rsidR="00F44F8B" w:rsidRPr="00495EC2" w:rsidRDefault="00F44F8B" w:rsidP="00EC5583">
            <w:pPr>
              <w:jc w:val="both"/>
              <w:rPr>
                <w:rFonts w:eastAsia="Calibri"/>
                <w:sz w:val="20"/>
                <w:lang w:val="fr-CA"/>
              </w:rPr>
            </w:pPr>
          </w:p>
        </w:tc>
        <w:tc>
          <w:tcPr>
            <w:tcW w:w="2330" w:type="pct"/>
          </w:tcPr>
          <w:p w:rsidR="00F44F8B" w:rsidRPr="008D6E24" w:rsidRDefault="00F44F8B" w:rsidP="00EC5583">
            <w:pPr>
              <w:jc w:val="both"/>
              <w:rPr>
                <w:rFonts w:eastAsia="Calibri"/>
                <w:sz w:val="20"/>
                <w:lang w:val="fr-CA"/>
              </w:rPr>
            </w:pPr>
            <w:r w:rsidRPr="008D6E24">
              <w:rPr>
                <w:rFonts w:eastAsia="Calibri"/>
                <w:sz w:val="20"/>
                <w:lang w:val="fr-CA"/>
              </w:rPr>
              <w:t>Appel accueilli en partie.</w:t>
            </w:r>
          </w:p>
        </w:tc>
      </w:tr>
      <w:tr w:rsidR="00F44F8B" w:rsidRPr="00495EC2" w:rsidTr="00EC5583">
        <w:tc>
          <w:tcPr>
            <w:tcW w:w="2427" w:type="pct"/>
          </w:tcPr>
          <w:p w:rsidR="00F44F8B" w:rsidRPr="00495EC2" w:rsidRDefault="00F44F8B" w:rsidP="00EC5583">
            <w:pPr>
              <w:jc w:val="both"/>
              <w:rPr>
                <w:rFonts w:eastAsia="Calibri"/>
                <w:sz w:val="20"/>
              </w:rPr>
            </w:pPr>
            <w:r w:rsidRPr="00495EC2">
              <w:rPr>
                <w:rFonts w:eastAsia="Calibri"/>
                <w:sz w:val="20"/>
              </w:rPr>
              <w:t xml:space="preserve">15 </w:t>
            </w:r>
            <w:proofErr w:type="spellStart"/>
            <w:r w:rsidRPr="00495EC2">
              <w:rPr>
                <w:rFonts w:eastAsia="Calibri"/>
                <w:sz w:val="20"/>
              </w:rPr>
              <w:t>octobre</w:t>
            </w:r>
            <w:proofErr w:type="spellEnd"/>
            <w:r w:rsidRPr="00495EC2">
              <w:rPr>
                <w:rFonts w:eastAsia="Calibri"/>
                <w:sz w:val="20"/>
              </w:rPr>
              <w:t xml:space="preserve"> 2012</w:t>
            </w:r>
          </w:p>
          <w:p w:rsidR="00F44F8B" w:rsidRPr="00495EC2" w:rsidRDefault="00F44F8B" w:rsidP="00EC5583">
            <w:pPr>
              <w:jc w:val="both"/>
              <w:rPr>
                <w:rFonts w:eastAsia="Calibri"/>
                <w:sz w:val="20"/>
              </w:rPr>
            </w:pPr>
            <w:proofErr w:type="spellStart"/>
            <w:r w:rsidRPr="00495EC2">
              <w:rPr>
                <w:rFonts w:eastAsia="Calibri"/>
                <w:sz w:val="20"/>
              </w:rPr>
              <w:t>Cour</w:t>
            </w:r>
            <w:proofErr w:type="spellEnd"/>
            <w:r w:rsidRPr="00495EC2">
              <w:rPr>
                <w:rFonts w:eastAsia="Calibri"/>
                <w:sz w:val="20"/>
              </w:rPr>
              <w:t xml:space="preserve"> </w:t>
            </w:r>
            <w:proofErr w:type="spellStart"/>
            <w:r w:rsidRPr="00495EC2">
              <w:rPr>
                <w:rFonts w:eastAsia="Calibri"/>
                <w:sz w:val="20"/>
              </w:rPr>
              <w:t>suprême</w:t>
            </w:r>
            <w:proofErr w:type="spellEnd"/>
            <w:r w:rsidRPr="00495EC2">
              <w:rPr>
                <w:rFonts w:eastAsia="Calibri"/>
                <w:sz w:val="20"/>
              </w:rPr>
              <w:t xml:space="preserve"> du Canada</w:t>
            </w:r>
          </w:p>
          <w:p w:rsidR="00F44F8B" w:rsidRPr="00495EC2" w:rsidRDefault="00F44F8B" w:rsidP="00EC5583">
            <w:pPr>
              <w:jc w:val="both"/>
              <w:rPr>
                <w:rFonts w:eastAsia="Calibri"/>
                <w:sz w:val="20"/>
              </w:rPr>
            </w:pPr>
          </w:p>
        </w:tc>
        <w:tc>
          <w:tcPr>
            <w:tcW w:w="243" w:type="pct"/>
          </w:tcPr>
          <w:p w:rsidR="00F44F8B" w:rsidRPr="00495EC2" w:rsidRDefault="00F44F8B" w:rsidP="00EC5583">
            <w:pPr>
              <w:jc w:val="both"/>
              <w:rPr>
                <w:rFonts w:eastAsia="Calibri"/>
                <w:sz w:val="20"/>
              </w:rPr>
            </w:pPr>
          </w:p>
        </w:tc>
        <w:tc>
          <w:tcPr>
            <w:tcW w:w="2330" w:type="pct"/>
          </w:tcPr>
          <w:p w:rsidR="00F44F8B" w:rsidRPr="008D6E24" w:rsidRDefault="00F44F8B" w:rsidP="00EC5583">
            <w:pPr>
              <w:jc w:val="both"/>
              <w:rPr>
                <w:rFonts w:eastAsia="Calibri"/>
                <w:sz w:val="20"/>
                <w:lang w:val="fr-CA"/>
              </w:rPr>
            </w:pPr>
            <w:r w:rsidRPr="008D6E24">
              <w:rPr>
                <w:rFonts w:eastAsia="Calibri"/>
                <w:sz w:val="20"/>
                <w:lang w:val="fr-CA"/>
              </w:rPr>
              <w:t>Demande d’autorisation d’appel déposée.</w:t>
            </w:r>
          </w:p>
          <w:p w:rsidR="00F44F8B" w:rsidRPr="008D6E24" w:rsidRDefault="00F44F8B" w:rsidP="00EC5583">
            <w:pPr>
              <w:jc w:val="both"/>
              <w:rPr>
                <w:rFonts w:eastAsia="Calibri"/>
                <w:sz w:val="20"/>
                <w:lang w:val="fr-CA"/>
              </w:rPr>
            </w:pPr>
          </w:p>
        </w:tc>
      </w:tr>
      <w:tr w:rsidR="00F44F8B" w:rsidRPr="009714AD" w:rsidTr="00EC5583">
        <w:tc>
          <w:tcPr>
            <w:tcW w:w="2427" w:type="pct"/>
          </w:tcPr>
          <w:p w:rsidR="00F44F8B" w:rsidRPr="00495EC2" w:rsidRDefault="00F44F8B" w:rsidP="00EC5583">
            <w:pPr>
              <w:jc w:val="both"/>
              <w:rPr>
                <w:rFonts w:eastAsia="Calibri"/>
                <w:sz w:val="20"/>
                <w:lang w:val="fr-CA"/>
              </w:rPr>
            </w:pPr>
            <w:r w:rsidRPr="00495EC2">
              <w:rPr>
                <w:rFonts w:eastAsia="Calibri"/>
                <w:sz w:val="20"/>
                <w:lang w:val="fr-CA"/>
              </w:rPr>
              <w:t>15 octobre 2012</w:t>
            </w:r>
          </w:p>
          <w:p w:rsidR="00F44F8B" w:rsidRPr="00495EC2" w:rsidRDefault="00F44F8B" w:rsidP="00F44F8B">
            <w:pPr>
              <w:jc w:val="both"/>
              <w:rPr>
                <w:rFonts w:eastAsia="Calibri"/>
                <w:sz w:val="20"/>
                <w:lang w:val="fr-CA"/>
              </w:rPr>
            </w:pPr>
            <w:r w:rsidRPr="00495EC2">
              <w:rPr>
                <w:rFonts w:eastAsia="Calibri"/>
                <w:sz w:val="20"/>
                <w:lang w:val="fr-CA"/>
              </w:rPr>
              <w:t>Cour suprême du Canada</w:t>
            </w:r>
          </w:p>
        </w:tc>
        <w:tc>
          <w:tcPr>
            <w:tcW w:w="243" w:type="pct"/>
          </w:tcPr>
          <w:p w:rsidR="00F44F8B" w:rsidRPr="00495EC2" w:rsidRDefault="00F44F8B" w:rsidP="00EC5583">
            <w:pPr>
              <w:jc w:val="both"/>
              <w:rPr>
                <w:rFonts w:eastAsia="Calibri"/>
                <w:sz w:val="20"/>
                <w:lang w:val="fr-CA"/>
              </w:rPr>
            </w:pPr>
          </w:p>
        </w:tc>
        <w:tc>
          <w:tcPr>
            <w:tcW w:w="2330" w:type="pct"/>
          </w:tcPr>
          <w:p w:rsidR="00F44F8B" w:rsidRPr="00495EC2" w:rsidRDefault="00F44F8B" w:rsidP="00EC5583">
            <w:pPr>
              <w:jc w:val="both"/>
              <w:rPr>
                <w:rFonts w:eastAsia="Calibri"/>
                <w:sz w:val="20"/>
                <w:lang w:val="fr-FR"/>
              </w:rPr>
            </w:pPr>
            <w:r w:rsidRPr="00495EC2">
              <w:rPr>
                <w:rFonts w:eastAsia="Calibri"/>
                <w:sz w:val="20"/>
                <w:lang w:val="fr-FR"/>
              </w:rPr>
              <w:t>Requête en prorogation du délai pour déposer et signifier la demande d’autorisation d’appel déposée.</w:t>
            </w:r>
          </w:p>
        </w:tc>
      </w:tr>
    </w:tbl>
    <w:p w:rsidR="000C7850" w:rsidRPr="00F44F8B" w:rsidRDefault="000C7850" w:rsidP="000C7850">
      <w:pPr>
        <w:rPr>
          <w:sz w:val="20"/>
          <w:szCs w:val="20"/>
          <w:lang w:val="fr-CA"/>
        </w:rPr>
      </w:pPr>
    </w:p>
    <w:p w:rsidR="000C7850" w:rsidRDefault="00BE6ED8" w:rsidP="000C7850">
      <w:pPr>
        <w:rPr>
          <w:sz w:val="20"/>
          <w:szCs w:val="20"/>
        </w:rPr>
      </w:pPr>
      <w:r w:rsidRPr="00BE6ED8">
        <w:rPr>
          <w:sz w:val="20"/>
          <w:szCs w:val="20"/>
          <w:lang w:val="fr-CA"/>
        </w:rPr>
        <w:pict>
          <v:rect id="_x0000_i1059" style="width:2in;height:1pt" o:hrpct="0" o:hralign="center" o:hrstd="t" o:hrnoshade="t" o:hr="t" fillcolor="black [3213]" stroked="f"/>
        </w:pict>
      </w:r>
    </w:p>
    <w:p w:rsidR="000C7850" w:rsidRDefault="000C7850" w:rsidP="000C7850">
      <w:pPr>
        <w:rPr>
          <w:sz w:val="20"/>
          <w:szCs w:val="20"/>
        </w:rPr>
      </w:pPr>
    </w:p>
    <w:p w:rsidR="00A80FCF" w:rsidRDefault="00A80FCF"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5E1C" w:rsidRPr="00841F85" w:rsidTr="009E6124">
        <w:trPr>
          <w:cantSplit/>
        </w:trPr>
        <w:tc>
          <w:tcPr>
            <w:tcW w:w="1458" w:type="dxa"/>
          </w:tcPr>
          <w:p w:rsidR="00DF5E1C" w:rsidRPr="00841F85" w:rsidRDefault="00DF5E1C" w:rsidP="009E6124">
            <w:pPr>
              <w:rPr>
                <w:sz w:val="20"/>
                <w:szCs w:val="20"/>
              </w:rPr>
            </w:pPr>
            <w:r w:rsidRPr="00841F85">
              <w:rPr>
                <w:rStyle w:val="SCCFileNumberChar"/>
                <w:sz w:val="20"/>
                <w:szCs w:val="20"/>
              </w:rPr>
              <w:t>35064</w:t>
            </w:r>
          </w:p>
          <w:p w:rsidR="00DF5E1C" w:rsidRPr="00841F85" w:rsidRDefault="00DF5E1C" w:rsidP="009E6124">
            <w:pPr>
              <w:rPr>
                <w:b/>
                <w:sz w:val="20"/>
                <w:szCs w:val="20"/>
                <w:lang w:val="fr-CA"/>
              </w:rPr>
            </w:pPr>
          </w:p>
        </w:tc>
        <w:tc>
          <w:tcPr>
            <w:tcW w:w="8118" w:type="dxa"/>
          </w:tcPr>
          <w:p w:rsidR="00DF5E1C" w:rsidRPr="00841F85" w:rsidRDefault="00DF5E1C" w:rsidP="009E6124">
            <w:pPr>
              <w:jc w:val="both"/>
              <w:rPr>
                <w:sz w:val="20"/>
                <w:szCs w:val="20"/>
              </w:rPr>
            </w:pPr>
            <w:r w:rsidRPr="00841F85">
              <w:rPr>
                <w:rStyle w:val="SCCLsocChar"/>
                <w:sz w:val="20"/>
                <w:szCs w:val="20"/>
                <w:lang w:val="en-CA"/>
              </w:rPr>
              <w:t>Anthony Diamond</w:t>
            </w:r>
            <w:r w:rsidR="00042BE6">
              <w:rPr>
                <w:rStyle w:val="SCCLsocChar"/>
                <w:sz w:val="20"/>
                <w:szCs w:val="20"/>
                <w:lang w:val="en-CA"/>
              </w:rPr>
              <w:t xml:space="preserve"> and</w:t>
            </w:r>
            <w:r w:rsidRPr="00841F85">
              <w:rPr>
                <w:rStyle w:val="SCCLsocChar"/>
                <w:sz w:val="20"/>
                <w:szCs w:val="20"/>
                <w:lang w:val="en-CA"/>
              </w:rPr>
              <w:t xml:space="preserve"> Diamond + Diamond Merchan</w:t>
            </w:r>
            <w:r w:rsidR="00042BE6">
              <w:rPr>
                <w:rStyle w:val="SCCLsocChar"/>
                <w:sz w:val="20"/>
                <w:szCs w:val="20"/>
                <w:lang w:val="en-CA"/>
              </w:rPr>
              <w:t xml:space="preserve">t Banking Group v. Danny </w:t>
            </w:r>
            <w:proofErr w:type="spellStart"/>
            <w:r w:rsidR="00042BE6">
              <w:rPr>
                <w:rStyle w:val="SCCLsocChar"/>
                <w:sz w:val="20"/>
                <w:szCs w:val="20"/>
                <w:lang w:val="en-CA"/>
              </w:rPr>
              <w:t>Doobay</w:t>
            </w:r>
            <w:proofErr w:type="spellEnd"/>
            <w:r w:rsidR="00042BE6">
              <w:rPr>
                <w:rStyle w:val="SCCLsocChar"/>
                <w:sz w:val="20"/>
                <w:szCs w:val="20"/>
                <w:lang w:val="en-CA"/>
              </w:rPr>
              <w:t xml:space="preserve"> and</w:t>
            </w:r>
            <w:r w:rsidRPr="00841F85">
              <w:rPr>
                <w:rStyle w:val="SCCLsocChar"/>
                <w:sz w:val="20"/>
                <w:szCs w:val="20"/>
                <w:lang w:val="en-CA"/>
              </w:rPr>
              <w:t xml:space="preserve"> </w:t>
            </w:r>
            <w:proofErr w:type="spellStart"/>
            <w:r w:rsidRPr="00841F85">
              <w:rPr>
                <w:rStyle w:val="SCCLsocChar"/>
                <w:sz w:val="20"/>
                <w:szCs w:val="20"/>
                <w:lang w:val="en-CA"/>
              </w:rPr>
              <w:t>Richbuilt</w:t>
            </w:r>
            <w:proofErr w:type="spellEnd"/>
            <w:r w:rsidRPr="00841F85">
              <w:rPr>
                <w:rStyle w:val="SCCLsocChar"/>
                <w:sz w:val="20"/>
                <w:szCs w:val="20"/>
                <w:lang w:val="en-CA"/>
              </w:rPr>
              <w:t xml:space="preserve"> Development Inc.</w:t>
            </w:r>
            <w:r w:rsidRPr="00841F85">
              <w:rPr>
                <w:sz w:val="20"/>
                <w:szCs w:val="20"/>
              </w:rPr>
              <w:t xml:space="preserve"> (Ont.) (Civil) (By Leave)</w:t>
            </w:r>
          </w:p>
          <w:p w:rsidR="00DF5E1C" w:rsidRPr="00841F85" w:rsidRDefault="00DF5E1C" w:rsidP="009E6124">
            <w:pPr>
              <w:jc w:val="both"/>
              <w:rPr>
                <w:sz w:val="20"/>
                <w:szCs w:val="20"/>
              </w:rPr>
            </w:pPr>
          </w:p>
        </w:tc>
      </w:tr>
      <w:tr w:rsidR="00DF5E1C" w:rsidRPr="00841F85" w:rsidTr="009E6124">
        <w:trPr>
          <w:cantSplit/>
        </w:trPr>
        <w:tc>
          <w:tcPr>
            <w:tcW w:w="1458" w:type="dxa"/>
          </w:tcPr>
          <w:p w:rsidR="00DF5E1C" w:rsidRPr="00841F85" w:rsidRDefault="00DF5E1C" w:rsidP="009E6124">
            <w:pPr>
              <w:rPr>
                <w:sz w:val="20"/>
                <w:szCs w:val="20"/>
              </w:rPr>
            </w:pPr>
            <w:r w:rsidRPr="00841F85">
              <w:rPr>
                <w:sz w:val="20"/>
                <w:szCs w:val="20"/>
              </w:rPr>
              <w:t>Coram :</w:t>
            </w:r>
          </w:p>
        </w:tc>
        <w:tc>
          <w:tcPr>
            <w:tcW w:w="8118" w:type="dxa"/>
          </w:tcPr>
          <w:p w:rsidR="00DF5E1C" w:rsidRPr="00841F85" w:rsidRDefault="00DF5E1C" w:rsidP="009E6124">
            <w:pPr>
              <w:rPr>
                <w:sz w:val="20"/>
                <w:szCs w:val="20"/>
              </w:rPr>
            </w:pPr>
            <w:proofErr w:type="spellStart"/>
            <w:r w:rsidRPr="00841F85">
              <w:rPr>
                <w:rStyle w:val="SCCCoramChar"/>
                <w:sz w:val="20"/>
                <w:szCs w:val="20"/>
                <w:lang w:val="en-CA"/>
              </w:rPr>
              <w:t>McLachlin</w:t>
            </w:r>
            <w:proofErr w:type="spellEnd"/>
            <w:r w:rsidRPr="00841F85">
              <w:rPr>
                <w:rStyle w:val="SCCCoramChar"/>
                <w:sz w:val="20"/>
                <w:szCs w:val="20"/>
                <w:lang w:val="en-CA"/>
              </w:rPr>
              <w:t xml:space="preserve"> C.J. and </w:t>
            </w:r>
            <w:proofErr w:type="spellStart"/>
            <w:r w:rsidRPr="00841F85">
              <w:rPr>
                <w:rStyle w:val="SCCCoramChar"/>
                <w:sz w:val="20"/>
                <w:szCs w:val="20"/>
                <w:lang w:val="en-CA"/>
              </w:rPr>
              <w:t>Abella</w:t>
            </w:r>
            <w:proofErr w:type="spellEnd"/>
            <w:r w:rsidRPr="00841F85">
              <w:rPr>
                <w:rStyle w:val="SCCCoramChar"/>
                <w:sz w:val="20"/>
                <w:szCs w:val="20"/>
                <w:lang w:val="en-CA"/>
              </w:rPr>
              <w:t xml:space="preserve"> and Cromwell JJ.</w:t>
            </w:r>
          </w:p>
          <w:p w:rsidR="00DF5E1C" w:rsidRPr="00841F85" w:rsidRDefault="00DF5E1C" w:rsidP="009E6124">
            <w:pPr>
              <w:rPr>
                <w:sz w:val="20"/>
                <w:szCs w:val="20"/>
                <w:u w:val="single"/>
              </w:rPr>
            </w:pPr>
          </w:p>
        </w:tc>
      </w:tr>
      <w:tr w:rsidR="00DF5E1C" w:rsidRPr="009714AD" w:rsidTr="009E6124">
        <w:trPr>
          <w:cantSplit/>
        </w:trPr>
        <w:tc>
          <w:tcPr>
            <w:tcW w:w="9576" w:type="dxa"/>
            <w:gridSpan w:val="2"/>
          </w:tcPr>
          <w:p w:rsidR="00DF5E1C" w:rsidRPr="00841F85" w:rsidRDefault="00DF5E1C" w:rsidP="009E6124">
            <w:pPr>
              <w:pStyle w:val="SCCShortJudgment"/>
              <w:rPr>
                <w:szCs w:val="20"/>
              </w:rPr>
            </w:pPr>
            <w:r w:rsidRPr="00841F85">
              <w:rPr>
                <w:szCs w:val="20"/>
              </w:rPr>
              <w:t>The application for leave to appeal from the judgment of the Court of Appeal for Ontario, Number C54141, 2012 ONCA 580, dated September 7, 2012, is dismissed without costs.</w:t>
            </w:r>
          </w:p>
          <w:p w:rsidR="00DF5E1C" w:rsidRPr="00841F85" w:rsidRDefault="00DF5E1C" w:rsidP="009E6124">
            <w:pPr>
              <w:pStyle w:val="SCCShortJudgment"/>
              <w:ind w:firstLine="0"/>
              <w:rPr>
                <w:szCs w:val="20"/>
              </w:rPr>
            </w:pPr>
          </w:p>
          <w:p w:rsidR="00DF5E1C" w:rsidRPr="00841F85" w:rsidRDefault="00DF5E1C" w:rsidP="009E6124">
            <w:pPr>
              <w:pStyle w:val="SCCShortJudgment"/>
              <w:rPr>
                <w:szCs w:val="20"/>
                <w:lang w:val="fr-CA"/>
              </w:rPr>
            </w:pPr>
            <w:r w:rsidRPr="00841F85">
              <w:rPr>
                <w:szCs w:val="20"/>
                <w:lang w:val="fr-CA"/>
              </w:rPr>
              <w:t>La demande d’autorisation d’appel de l’arrêt de la Cour d’appel de l’Ontario, numéro C54141, 2012 ONCA 580, daté du 7 septembre 2012, est rejetée sans dépens.</w:t>
            </w:r>
          </w:p>
        </w:tc>
      </w:tr>
    </w:tbl>
    <w:p w:rsidR="000C7850" w:rsidRPr="000C7850"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44F8B" w:rsidRPr="00495EC2" w:rsidTr="00EC5583">
        <w:tc>
          <w:tcPr>
            <w:tcW w:w="5000" w:type="pct"/>
            <w:gridSpan w:val="3"/>
          </w:tcPr>
          <w:p w:rsidR="00F44F8B" w:rsidRPr="00495EC2" w:rsidRDefault="00F44F8B" w:rsidP="00EC5583">
            <w:pPr>
              <w:jc w:val="both"/>
              <w:rPr>
                <w:rFonts w:eastAsia="Calibri"/>
                <w:sz w:val="20"/>
              </w:rPr>
            </w:pPr>
            <w:r w:rsidRPr="00495EC2">
              <w:rPr>
                <w:rFonts w:eastAsia="Calibri"/>
                <w:i/>
                <w:sz w:val="20"/>
              </w:rPr>
              <w:t>Charter</w:t>
            </w:r>
            <w:r w:rsidRPr="00495EC2">
              <w:rPr>
                <w:rFonts w:eastAsia="Calibri"/>
                <w:sz w:val="20"/>
              </w:rPr>
              <w:t xml:space="preserve"> – Civil procedure – Contempt of court – Double Jeopardy – Penalty – Abuse of process – Do the </w:t>
            </w:r>
            <w:r w:rsidRPr="00495EC2">
              <w:rPr>
                <w:rFonts w:eastAsia="Calibri"/>
                <w:i/>
                <w:sz w:val="20"/>
              </w:rPr>
              <w:t xml:space="preserve">Charter </w:t>
            </w:r>
            <w:r w:rsidRPr="00495EC2">
              <w:rPr>
                <w:rFonts w:eastAsia="Calibri"/>
                <w:sz w:val="20"/>
              </w:rPr>
              <w:t xml:space="preserve">and the common law related to double jeopardy preclude an individual being punished twice for disobedience of the same court order – If the </w:t>
            </w:r>
            <w:r w:rsidRPr="00495EC2">
              <w:rPr>
                <w:rFonts w:eastAsia="Calibri"/>
                <w:i/>
                <w:sz w:val="20"/>
              </w:rPr>
              <w:t>Charter</w:t>
            </w:r>
            <w:r w:rsidRPr="00495EC2">
              <w:rPr>
                <w:rFonts w:eastAsia="Calibri"/>
                <w:sz w:val="20"/>
              </w:rPr>
              <w:t xml:space="preserve"> applies to a civil contempt proceeding, is punishing an individual more than once for breach of the same court order prescribed by law and a reasonable limit in a free and democratic society – Does the respondent in civil contempt proceedings have an unfettered right to testify on his or her own behalf, the right to call </w:t>
            </w:r>
            <w:r w:rsidRPr="00495EC2">
              <w:rPr>
                <w:rFonts w:eastAsia="Calibri"/>
                <w:i/>
                <w:sz w:val="20"/>
              </w:rPr>
              <w:t>viva voce</w:t>
            </w:r>
            <w:r w:rsidRPr="00495EC2">
              <w:rPr>
                <w:rFonts w:eastAsia="Calibri"/>
                <w:sz w:val="20"/>
              </w:rPr>
              <w:t xml:space="preserve"> evidence and the right to make full submissions – Are the duties of a judge the same for an unrepresented respondent in a civil contempt motion and in a criminal proceeding – Does the joining of the liability and penalty phases of a contempt hearing violate the </w:t>
            </w:r>
            <w:r w:rsidRPr="00495EC2">
              <w:rPr>
                <w:rFonts w:eastAsia="Calibri"/>
                <w:i/>
                <w:sz w:val="20"/>
              </w:rPr>
              <w:t xml:space="preserve">Charter </w:t>
            </w:r>
            <w:r w:rsidRPr="00495EC2">
              <w:rPr>
                <w:rFonts w:eastAsia="Calibri"/>
                <w:sz w:val="20"/>
              </w:rPr>
              <w:t xml:space="preserve">– In finding civil contempt for failure to answer questions in an examination, must the hearing judge specify each and every question and answer which constitutes the contempt in order to satisfy the </w:t>
            </w:r>
            <w:r w:rsidRPr="00495EC2">
              <w:rPr>
                <w:rFonts w:eastAsia="Calibri"/>
                <w:i/>
                <w:sz w:val="20"/>
              </w:rPr>
              <w:t xml:space="preserve">Charter </w:t>
            </w:r>
            <w:r w:rsidRPr="00495EC2">
              <w:rPr>
                <w:rFonts w:eastAsia="Calibri"/>
                <w:sz w:val="20"/>
              </w:rPr>
              <w:t xml:space="preserve">and/ or the common law as enunciated in </w:t>
            </w:r>
            <w:proofErr w:type="spellStart"/>
            <w:r w:rsidRPr="00495EC2">
              <w:rPr>
                <w:rFonts w:eastAsia="Calibri"/>
                <w:i/>
                <w:sz w:val="20"/>
              </w:rPr>
              <w:t>Cotroni</w:t>
            </w:r>
            <w:proofErr w:type="spellEnd"/>
            <w:r w:rsidRPr="00495EC2">
              <w:rPr>
                <w:rFonts w:eastAsia="Calibri"/>
                <w:i/>
                <w:sz w:val="20"/>
              </w:rPr>
              <w:t xml:space="preserve"> v. Quebec Police Commission</w:t>
            </w:r>
            <w:r w:rsidRPr="00495EC2">
              <w:rPr>
                <w:rFonts w:eastAsia="Calibri"/>
                <w:sz w:val="20"/>
              </w:rPr>
              <w:t>,</w:t>
            </w:r>
            <w:r w:rsidRPr="00495EC2">
              <w:rPr>
                <w:rFonts w:eastAsia="Calibri"/>
                <w:i/>
                <w:sz w:val="20"/>
              </w:rPr>
              <w:t xml:space="preserve"> </w:t>
            </w:r>
            <w:r w:rsidRPr="00495EC2">
              <w:rPr>
                <w:rFonts w:eastAsia="Calibri"/>
                <w:sz w:val="20"/>
              </w:rPr>
              <w:t xml:space="preserve">[1978] 1 S.C.R. 1048 – </w:t>
            </w:r>
            <w:r w:rsidRPr="00495EC2">
              <w:rPr>
                <w:rFonts w:eastAsia="Calibri"/>
                <w:i/>
                <w:sz w:val="20"/>
              </w:rPr>
              <w:t xml:space="preserve">Canadian Charter of Rights and Freedoms </w:t>
            </w:r>
            <w:r w:rsidRPr="00495EC2">
              <w:rPr>
                <w:rFonts w:eastAsia="Calibri"/>
                <w:sz w:val="20"/>
              </w:rPr>
              <w:t>ss. 7, 11</w:t>
            </w:r>
            <w:r w:rsidRPr="00495EC2">
              <w:rPr>
                <w:rFonts w:eastAsia="Calibri"/>
                <w:i/>
                <w:sz w:val="20"/>
              </w:rPr>
              <w:t>(h)</w:t>
            </w:r>
            <w:r w:rsidRPr="00495EC2">
              <w:rPr>
                <w:rFonts w:eastAsia="Calibri"/>
                <w:sz w:val="20"/>
              </w:rPr>
              <w:t>.</w:t>
            </w:r>
            <w:r w:rsidRPr="00495EC2">
              <w:rPr>
                <w:rFonts w:eastAsia="Calibri"/>
                <w:i/>
                <w:sz w:val="20"/>
              </w:rPr>
              <w:t xml:space="preserve"> </w:t>
            </w:r>
          </w:p>
        </w:tc>
      </w:tr>
      <w:tr w:rsidR="00F44F8B" w:rsidRPr="00495EC2" w:rsidTr="00EC5583">
        <w:tc>
          <w:tcPr>
            <w:tcW w:w="5000" w:type="pct"/>
            <w:gridSpan w:val="3"/>
          </w:tcPr>
          <w:p w:rsidR="00F44F8B" w:rsidRPr="00495EC2" w:rsidRDefault="00F44F8B" w:rsidP="00EC5583">
            <w:pPr>
              <w:jc w:val="both"/>
              <w:rPr>
                <w:rFonts w:eastAsia="Calibri"/>
                <w:sz w:val="20"/>
              </w:rPr>
            </w:pPr>
          </w:p>
        </w:tc>
      </w:tr>
      <w:tr w:rsidR="00F44F8B" w:rsidRPr="00495EC2" w:rsidTr="00EC5583">
        <w:tc>
          <w:tcPr>
            <w:tcW w:w="5000" w:type="pct"/>
            <w:gridSpan w:val="3"/>
          </w:tcPr>
          <w:p w:rsidR="00F44F8B" w:rsidRPr="00495EC2" w:rsidRDefault="00F44F8B" w:rsidP="00EC5583">
            <w:pPr>
              <w:jc w:val="both"/>
              <w:rPr>
                <w:rFonts w:eastAsia="Calibri"/>
                <w:sz w:val="20"/>
              </w:rPr>
            </w:pPr>
            <w:r w:rsidRPr="00495EC2">
              <w:rPr>
                <w:rFonts w:eastAsia="Calibri"/>
                <w:sz w:val="20"/>
              </w:rPr>
              <w:t xml:space="preserve">The applicant Mr. Diamond failed to provide satisfactory answers to questions posed during and subsequent to an examination in aid of execution following a default judgment against him in favour of the respondents.  After further failures to abide by court orders to provide satisfactory oral or written answers to the majority of the questions, Mr. Diamond was held in contempt of court and sentenced to 21 days’ imprisonment and the payment of a fine of $20,000.  When his failure to provide answers continued, the respondents brought another contempt motion. Following an adjournment, Mr. Diamond brought a cross-motion at the contempt hearing for an order staying the motion as an abuse of process or, alternatively, for an adjournment in order to call </w:t>
            </w:r>
            <w:r w:rsidRPr="00495EC2">
              <w:rPr>
                <w:rFonts w:eastAsia="Calibri"/>
                <w:i/>
                <w:sz w:val="20"/>
              </w:rPr>
              <w:t>viva voce</w:t>
            </w:r>
            <w:r w:rsidRPr="00495EC2">
              <w:rPr>
                <w:rFonts w:eastAsia="Calibri"/>
                <w:sz w:val="20"/>
              </w:rPr>
              <w:t xml:space="preserve"> evidence.  The Superior Court of Justice dismissed Mr. Diamond’s cross-motions, held that he had failed to purge his contempt and remained in contempt of court, and sentenced him to a further 42 days in jail and payment of an additional fine of $40,000.  The Court of Appeal for Ontario dismissed his appeal.</w:t>
            </w:r>
          </w:p>
          <w:p w:rsidR="00F44F8B" w:rsidRPr="00495EC2" w:rsidRDefault="00F44F8B" w:rsidP="00EC5583">
            <w:pPr>
              <w:jc w:val="both"/>
              <w:rPr>
                <w:rFonts w:eastAsia="Calibri"/>
                <w:sz w:val="20"/>
              </w:rPr>
            </w:pPr>
          </w:p>
        </w:tc>
      </w:tr>
      <w:tr w:rsidR="00F44F8B" w:rsidRPr="00495EC2" w:rsidTr="00EC5583">
        <w:tc>
          <w:tcPr>
            <w:tcW w:w="2427" w:type="pct"/>
          </w:tcPr>
          <w:p w:rsidR="00F44F8B" w:rsidRPr="00495EC2" w:rsidRDefault="00F44F8B" w:rsidP="00EC5583">
            <w:pPr>
              <w:jc w:val="both"/>
              <w:rPr>
                <w:rFonts w:eastAsia="Calibri"/>
                <w:sz w:val="20"/>
              </w:rPr>
            </w:pPr>
            <w:r w:rsidRPr="00495EC2">
              <w:rPr>
                <w:rFonts w:eastAsia="Calibri"/>
                <w:sz w:val="20"/>
              </w:rPr>
              <w:t>July 25, 2011</w:t>
            </w:r>
          </w:p>
          <w:p w:rsidR="00F44F8B" w:rsidRPr="00495EC2" w:rsidRDefault="00F44F8B" w:rsidP="00EC5583">
            <w:pPr>
              <w:jc w:val="both"/>
              <w:rPr>
                <w:rFonts w:eastAsia="Calibri"/>
                <w:sz w:val="20"/>
              </w:rPr>
            </w:pPr>
            <w:r w:rsidRPr="00495EC2">
              <w:rPr>
                <w:rFonts w:eastAsia="Calibri"/>
                <w:sz w:val="20"/>
              </w:rPr>
              <w:t>Ontario Superior Court of Justice</w:t>
            </w:r>
          </w:p>
          <w:p w:rsidR="00F44F8B" w:rsidRPr="00495EC2" w:rsidRDefault="00F44F8B" w:rsidP="00EC5583">
            <w:pPr>
              <w:jc w:val="both"/>
              <w:rPr>
                <w:rFonts w:eastAsia="Calibri"/>
                <w:sz w:val="20"/>
              </w:rPr>
            </w:pPr>
            <w:r w:rsidRPr="00495EC2">
              <w:rPr>
                <w:rFonts w:eastAsia="Calibri"/>
                <w:sz w:val="20"/>
              </w:rPr>
              <w:t>(Allen J.)</w:t>
            </w:r>
          </w:p>
          <w:p w:rsidR="00F44F8B" w:rsidRPr="00495EC2" w:rsidRDefault="00F44F8B" w:rsidP="00EC5583">
            <w:pPr>
              <w:jc w:val="both"/>
              <w:rPr>
                <w:rFonts w:eastAsia="Calibri"/>
                <w:sz w:val="20"/>
              </w:rPr>
            </w:pPr>
            <w:r w:rsidRPr="00495EC2">
              <w:rPr>
                <w:rFonts w:eastAsia="Calibri"/>
                <w:sz w:val="20"/>
              </w:rPr>
              <w:t>2011 ONSC 4457</w:t>
            </w:r>
          </w:p>
        </w:tc>
        <w:tc>
          <w:tcPr>
            <w:tcW w:w="243" w:type="pct"/>
          </w:tcPr>
          <w:p w:rsidR="00F44F8B" w:rsidRPr="00495EC2" w:rsidRDefault="00F44F8B" w:rsidP="00EC5583">
            <w:pPr>
              <w:jc w:val="both"/>
              <w:rPr>
                <w:rFonts w:eastAsia="Calibri"/>
                <w:sz w:val="20"/>
              </w:rPr>
            </w:pPr>
          </w:p>
        </w:tc>
        <w:tc>
          <w:tcPr>
            <w:tcW w:w="2330" w:type="pct"/>
          </w:tcPr>
          <w:p w:rsidR="00F44F8B" w:rsidRPr="00495EC2" w:rsidRDefault="00F44F8B" w:rsidP="00EC5583">
            <w:pPr>
              <w:jc w:val="both"/>
              <w:rPr>
                <w:rFonts w:eastAsia="Calibri"/>
                <w:sz w:val="20"/>
              </w:rPr>
            </w:pPr>
            <w:r w:rsidRPr="00495EC2">
              <w:rPr>
                <w:rFonts w:eastAsia="Calibri"/>
                <w:sz w:val="20"/>
              </w:rPr>
              <w:t>Mr. Diamond held in contempt for failure to adhere to Order dated July 24, 2009; sentenced to 42 days in prison and pay a $40,000 fine plus interest; Mr. Diamond’s cross-motion dismissed</w:t>
            </w:r>
          </w:p>
          <w:p w:rsidR="00F44F8B" w:rsidRPr="00495EC2" w:rsidRDefault="00F44F8B" w:rsidP="00EC5583">
            <w:pPr>
              <w:jc w:val="both"/>
              <w:rPr>
                <w:rFonts w:eastAsia="Calibri"/>
                <w:sz w:val="20"/>
              </w:rPr>
            </w:pPr>
          </w:p>
        </w:tc>
      </w:tr>
      <w:tr w:rsidR="00F44F8B" w:rsidRPr="00495EC2" w:rsidTr="00EC5583">
        <w:tc>
          <w:tcPr>
            <w:tcW w:w="2427" w:type="pct"/>
          </w:tcPr>
          <w:p w:rsidR="00F44F8B" w:rsidRPr="00495EC2" w:rsidRDefault="00F44F8B" w:rsidP="00EC5583">
            <w:pPr>
              <w:jc w:val="both"/>
              <w:rPr>
                <w:rFonts w:eastAsia="Calibri"/>
                <w:sz w:val="20"/>
              </w:rPr>
            </w:pPr>
            <w:r w:rsidRPr="00495EC2">
              <w:rPr>
                <w:rFonts w:eastAsia="Calibri"/>
                <w:sz w:val="20"/>
              </w:rPr>
              <w:t>September 7, 2012</w:t>
            </w:r>
          </w:p>
          <w:p w:rsidR="00F44F8B" w:rsidRPr="00495EC2" w:rsidRDefault="00F44F8B" w:rsidP="00EC5583">
            <w:pPr>
              <w:jc w:val="both"/>
              <w:rPr>
                <w:rFonts w:eastAsia="Calibri"/>
                <w:sz w:val="20"/>
              </w:rPr>
            </w:pPr>
            <w:r w:rsidRPr="00495EC2">
              <w:rPr>
                <w:rFonts w:eastAsia="Calibri"/>
                <w:sz w:val="20"/>
              </w:rPr>
              <w:t>Court of Appeal for Ontario</w:t>
            </w:r>
          </w:p>
          <w:p w:rsidR="00F44F8B" w:rsidRPr="00495EC2" w:rsidRDefault="00F44F8B" w:rsidP="00EC5583">
            <w:pPr>
              <w:jc w:val="both"/>
              <w:rPr>
                <w:rFonts w:eastAsia="Calibri"/>
                <w:sz w:val="20"/>
              </w:rPr>
            </w:pPr>
            <w:r w:rsidRPr="00495EC2">
              <w:rPr>
                <w:rFonts w:eastAsia="Calibri"/>
                <w:sz w:val="20"/>
              </w:rPr>
              <w:t>(Lang, Epstein and Hoy JJ.A.)</w:t>
            </w:r>
          </w:p>
          <w:p w:rsidR="00F44F8B" w:rsidRPr="00495EC2" w:rsidRDefault="00F44F8B" w:rsidP="00EC5583">
            <w:pPr>
              <w:jc w:val="both"/>
              <w:rPr>
                <w:rFonts w:eastAsia="Calibri"/>
                <w:sz w:val="20"/>
              </w:rPr>
            </w:pPr>
            <w:r w:rsidRPr="00495EC2">
              <w:rPr>
                <w:rFonts w:eastAsia="Calibri"/>
                <w:sz w:val="20"/>
              </w:rPr>
              <w:t>2012 ONCA 580; C54141</w:t>
            </w:r>
          </w:p>
          <w:p w:rsidR="00F44F8B" w:rsidRPr="00495EC2" w:rsidRDefault="00F44F8B" w:rsidP="00EC5583">
            <w:pPr>
              <w:jc w:val="both"/>
              <w:rPr>
                <w:rFonts w:eastAsia="Calibri"/>
                <w:sz w:val="20"/>
              </w:rPr>
            </w:pPr>
          </w:p>
        </w:tc>
        <w:tc>
          <w:tcPr>
            <w:tcW w:w="243" w:type="pct"/>
          </w:tcPr>
          <w:p w:rsidR="00F44F8B" w:rsidRPr="00495EC2" w:rsidRDefault="00F44F8B" w:rsidP="00EC5583">
            <w:pPr>
              <w:jc w:val="both"/>
              <w:rPr>
                <w:rFonts w:eastAsia="Calibri"/>
                <w:sz w:val="20"/>
              </w:rPr>
            </w:pPr>
          </w:p>
        </w:tc>
        <w:tc>
          <w:tcPr>
            <w:tcW w:w="2330" w:type="pct"/>
          </w:tcPr>
          <w:p w:rsidR="00F44F8B" w:rsidRPr="00495EC2" w:rsidRDefault="00F44F8B" w:rsidP="00EC5583">
            <w:pPr>
              <w:jc w:val="both"/>
              <w:rPr>
                <w:rFonts w:eastAsia="Calibri"/>
                <w:sz w:val="20"/>
              </w:rPr>
            </w:pPr>
            <w:r w:rsidRPr="00495EC2">
              <w:rPr>
                <w:rFonts w:eastAsia="Calibri"/>
                <w:sz w:val="20"/>
              </w:rPr>
              <w:t>Appeal dismissed</w:t>
            </w:r>
          </w:p>
          <w:p w:rsidR="00F44F8B" w:rsidRPr="00495EC2" w:rsidRDefault="00F44F8B" w:rsidP="00EC5583">
            <w:pPr>
              <w:jc w:val="both"/>
              <w:rPr>
                <w:rFonts w:eastAsia="Calibri"/>
                <w:sz w:val="20"/>
              </w:rPr>
            </w:pPr>
          </w:p>
        </w:tc>
      </w:tr>
      <w:tr w:rsidR="00F44F8B" w:rsidRPr="00495EC2" w:rsidTr="00EC5583">
        <w:tc>
          <w:tcPr>
            <w:tcW w:w="2427" w:type="pct"/>
          </w:tcPr>
          <w:p w:rsidR="00F44F8B" w:rsidRPr="00495EC2" w:rsidRDefault="00F44F8B" w:rsidP="00EC5583">
            <w:pPr>
              <w:jc w:val="both"/>
              <w:rPr>
                <w:rFonts w:eastAsia="Calibri"/>
                <w:sz w:val="20"/>
              </w:rPr>
            </w:pPr>
            <w:r w:rsidRPr="00495EC2">
              <w:rPr>
                <w:rFonts w:eastAsia="Calibri"/>
                <w:sz w:val="20"/>
              </w:rPr>
              <w:t>November 6, 2012</w:t>
            </w:r>
          </w:p>
          <w:p w:rsidR="00F44F8B" w:rsidRPr="00495EC2" w:rsidRDefault="00F44F8B" w:rsidP="00EC5583">
            <w:pPr>
              <w:jc w:val="both"/>
              <w:rPr>
                <w:rFonts w:eastAsia="Calibri"/>
                <w:sz w:val="20"/>
              </w:rPr>
            </w:pPr>
            <w:r w:rsidRPr="00495EC2">
              <w:rPr>
                <w:rFonts w:eastAsia="Calibri"/>
                <w:sz w:val="20"/>
              </w:rPr>
              <w:t>Supreme Court of Canada</w:t>
            </w:r>
          </w:p>
        </w:tc>
        <w:tc>
          <w:tcPr>
            <w:tcW w:w="243" w:type="pct"/>
          </w:tcPr>
          <w:p w:rsidR="00F44F8B" w:rsidRPr="00495EC2" w:rsidRDefault="00F44F8B" w:rsidP="00EC5583">
            <w:pPr>
              <w:jc w:val="both"/>
              <w:rPr>
                <w:rFonts w:eastAsia="Calibri"/>
                <w:sz w:val="20"/>
              </w:rPr>
            </w:pPr>
          </w:p>
        </w:tc>
        <w:tc>
          <w:tcPr>
            <w:tcW w:w="2330" w:type="pct"/>
          </w:tcPr>
          <w:p w:rsidR="00F44F8B" w:rsidRPr="00495EC2" w:rsidRDefault="00F44F8B" w:rsidP="00EC5583">
            <w:pPr>
              <w:jc w:val="both"/>
              <w:rPr>
                <w:rFonts w:eastAsia="Calibri"/>
                <w:sz w:val="20"/>
              </w:rPr>
            </w:pPr>
            <w:r w:rsidRPr="00495EC2">
              <w:rPr>
                <w:rFonts w:eastAsia="Calibri"/>
                <w:sz w:val="20"/>
              </w:rPr>
              <w:t>Application for leave to appeal filed</w:t>
            </w:r>
          </w:p>
          <w:p w:rsidR="00F44F8B" w:rsidRPr="00495EC2" w:rsidRDefault="00F44F8B" w:rsidP="00EC5583">
            <w:pPr>
              <w:jc w:val="both"/>
              <w:rPr>
                <w:rFonts w:eastAsia="Calibri"/>
                <w:sz w:val="20"/>
              </w:rPr>
            </w:pP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60"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44F8B" w:rsidRPr="009714AD" w:rsidTr="00EC5583">
        <w:tc>
          <w:tcPr>
            <w:tcW w:w="5000" w:type="pct"/>
            <w:gridSpan w:val="3"/>
          </w:tcPr>
          <w:p w:rsidR="00F44F8B" w:rsidRPr="00495EC2" w:rsidRDefault="00F44F8B" w:rsidP="00EC5583">
            <w:pPr>
              <w:jc w:val="both"/>
              <w:rPr>
                <w:rFonts w:eastAsia="Calibri"/>
                <w:sz w:val="20"/>
                <w:lang w:val="fr-CA"/>
              </w:rPr>
            </w:pPr>
            <w:r w:rsidRPr="00495EC2">
              <w:rPr>
                <w:rFonts w:eastAsia="Calibri"/>
                <w:i/>
                <w:sz w:val="20"/>
                <w:lang w:val="fr-CA"/>
              </w:rPr>
              <w:t>Charte</w:t>
            </w:r>
            <w:r w:rsidRPr="00495EC2">
              <w:rPr>
                <w:rFonts w:eastAsia="Calibri"/>
                <w:sz w:val="20"/>
                <w:lang w:val="fr-CA"/>
              </w:rPr>
              <w:t xml:space="preserve"> – Procédure civile – Outrage au tribunal – Double péril – Pénalité – Abus de procédure – La </w:t>
            </w:r>
            <w:r w:rsidRPr="00495EC2">
              <w:rPr>
                <w:rFonts w:eastAsia="Calibri"/>
                <w:i/>
                <w:sz w:val="20"/>
                <w:lang w:val="fr-CA"/>
              </w:rPr>
              <w:t>Charte</w:t>
            </w:r>
            <w:r w:rsidRPr="00495EC2">
              <w:rPr>
                <w:rFonts w:eastAsia="Calibri"/>
                <w:sz w:val="20"/>
                <w:lang w:val="fr-CA"/>
              </w:rPr>
              <w:t xml:space="preserve"> et les règles de </w:t>
            </w:r>
            <w:proofErr w:type="spellStart"/>
            <w:r w:rsidRPr="00495EC2">
              <w:rPr>
                <w:rFonts w:eastAsia="Calibri"/>
                <w:sz w:val="20"/>
                <w:lang w:val="fr-CA"/>
              </w:rPr>
              <w:t>common</w:t>
            </w:r>
            <w:proofErr w:type="spellEnd"/>
            <w:r w:rsidRPr="00495EC2">
              <w:rPr>
                <w:rFonts w:eastAsia="Calibri"/>
                <w:sz w:val="20"/>
                <w:lang w:val="fr-CA"/>
              </w:rPr>
              <w:t xml:space="preserve"> </w:t>
            </w:r>
            <w:proofErr w:type="spellStart"/>
            <w:r w:rsidRPr="00495EC2">
              <w:rPr>
                <w:rFonts w:eastAsia="Calibri"/>
                <w:sz w:val="20"/>
                <w:lang w:val="fr-CA"/>
              </w:rPr>
              <w:t>law</w:t>
            </w:r>
            <w:proofErr w:type="spellEnd"/>
            <w:r w:rsidRPr="00495EC2">
              <w:rPr>
                <w:rFonts w:eastAsia="Calibri"/>
                <w:sz w:val="20"/>
                <w:lang w:val="fr-CA"/>
              </w:rPr>
              <w:t xml:space="preserve"> en matière de double péril </w:t>
            </w:r>
            <w:proofErr w:type="spellStart"/>
            <w:r w:rsidRPr="00495EC2">
              <w:rPr>
                <w:rFonts w:eastAsia="Calibri"/>
                <w:sz w:val="20"/>
                <w:lang w:val="fr-CA"/>
              </w:rPr>
              <w:t>empêchent</w:t>
            </w:r>
            <w:r w:rsidRPr="00495EC2">
              <w:rPr>
                <w:rFonts w:eastAsia="Calibri"/>
                <w:sz w:val="20"/>
                <w:lang w:val="fr-CA"/>
              </w:rPr>
              <w:noBreakHyphen/>
              <w:t>elles</w:t>
            </w:r>
            <w:proofErr w:type="spellEnd"/>
            <w:r w:rsidRPr="00495EC2">
              <w:rPr>
                <w:rFonts w:eastAsia="Calibri"/>
                <w:sz w:val="20"/>
                <w:lang w:val="fr-CA"/>
              </w:rPr>
              <w:t xml:space="preserve"> de punir une personne deux fois pour avoir désobéi à la même ordonnance du tribunal? – Si la </w:t>
            </w:r>
            <w:r w:rsidRPr="00495EC2">
              <w:rPr>
                <w:rFonts w:eastAsia="Calibri"/>
                <w:i/>
                <w:sz w:val="20"/>
                <w:lang w:val="fr-CA"/>
              </w:rPr>
              <w:t>Charte</w:t>
            </w:r>
            <w:r w:rsidRPr="00495EC2">
              <w:rPr>
                <w:rFonts w:eastAsia="Calibri"/>
                <w:sz w:val="20"/>
                <w:lang w:val="fr-CA"/>
              </w:rPr>
              <w:t xml:space="preserve"> s'applique à une poursuite pour outrage au tribunal au civil, le fait de punir une personne plus d'une fois pour avoir violé la même ordonnance du tribunal </w:t>
            </w:r>
            <w:proofErr w:type="spellStart"/>
            <w:r w:rsidRPr="00495EC2">
              <w:rPr>
                <w:rFonts w:eastAsia="Calibri"/>
                <w:sz w:val="20"/>
                <w:lang w:val="fr-CA"/>
              </w:rPr>
              <w:t>est</w:t>
            </w:r>
            <w:r w:rsidRPr="00495EC2">
              <w:rPr>
                <w:rFonts w:eastAsia="Calibri"/>
                <w:sz w:val="20"/>
                <w:lang w:val="fr-CA"/>
              </w:rPr>
              <w:noBreakHyphen/>
              <w:t>il</w:t>
            </w:r>
            <w:proofErr w:type="spellEnd"/>
            <w:r w:rsidRPr="00495EC2">
              <w:rPr>
                <w:rFonts w:eastAsia="Calibri"/>
                <w:sz w:val="20"/>
                <w:lang w:val="fr-CA"/>
              </w:rPr>
              <w:t xml:space="preserve"> prescrit par une règle de droit dans des limites qui soient raisonnables et dont la justification puisse se démontrer dans le cadre d'une société libre et démocratique? – L'intimé dans une instance pour outrage au tribunal au civil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il</w:t>
            </w:r>
            <w:proofErr w:type="spellEnd"/>
            <w:r w:rsidRPr="00495EC2">
              <w:rPr>
                <w:rFonts w:eastAsia="Calibri"/>
                <w:sz w:val="20"/>
                <w:lang w:val="fr-CA"/>
              </w:rPr>
              <w:t xml:space="preserve"> le droit inconditionnel de témoigner en sa propre défense, le droit de présenter une preuve orale et le droit de présenter des observations complètes? – Les obligations du juge </w:t>
            </w:r>
            <w:proofErr w:type="spellStart"/>
            <w:r w:rsidRPr="00495EC2">
              <w:rPr>
                <w:rFonts w:eastAsia="Calibri"/>
                <w:sz w:val="20"/>
                <w:lang w:val="fr-CA"/>
              </w:rPr>
              <w:t>sont</w:t>
            </w:r>
            <w:r w:rsidRPr="00495EC2">
              <w:rPr>
                <w:rFonts w:eastAsia="Calibri"/>
                <w:sz w:val="20"/>
                <w:lang w:val="fr-CA"/>
              </w:rPr>
              <w:noBreakHyphen/>
              <w:t>elles</w:t>
            </w:r>
            <w:proofErr w:type="spellEnd"/>
            <w:r w:rsidRPr="00495EC2">
              <w:rPr>
                <w:rFonts w:eastAsia="Calibri"/>
                <w:sz w:val="20"/>
                <w:lang w:val="fr-CA"/>
              </w:rPr>
              <w:t xml:space="preserve"> les mêmes à l'égard d'un intimé non représenté dans une requête en outrage au civil qu'en matière criminelle? – La réunion des phases de l’audience en outrage portant sur la responsabilité et la pénalité </w:t>
            </w:r>
            <w:proofErr w:type="spellStart"/>
            <w:r w:rsidRPr="00495EC2">
              <w:rPr>
                <w:rFonts w:eastAsia="Calibri"/>
                <w:sz w:val="20"/>
                <w:lang w:val="fr-CA"/>
              </w:rPr>
              <w:t>viole</w:t>
            </w:r>
            <w:r w:rsidRPr="00495EC2">
              <w:rPr>
                <w:rFonts w:eastAsia="Calibri"/>
                <w:sz w:val="20"/>
                <w:lang w:val="fr-CA"/>
              </w:rPr>
              <w:noBreakHyphen/>
              <w:t>t</w:t>
            </w:r>
            <w:r w:rsidRPr="00495EC2">
              <w:rPr>
                <w:rFonts w:eastAsia="Calibri"/>
                <w:sz w:val="20"/>
                <w:lang w:val="fr-CA"/>
              </w:rPr>
              <w:noBreakHyphen/>
              <w:t>elle</w:t>
            </w:r>
            <w:proofErr w:type="spellEnd"/>
            <w:r w:rsidRPr="00495EC2">
              <w:rPr>
                <w:rFonts w:eastAsia="Calibri"/>
                <w:sz w:val="20"/>
                <w:lang w:val="fr-CA"/>
              </w:rPr>
              <w:t xml:space="preserve"> la </w:t>
            </w:r>
            <w:r w:rsidRPr="00495EC2">
              <w:rPr>
                <w:rFonts w:eastAsia="Calibri"/>
                <w:i/>
                <w:sz w:val="20"/>
                <w:lang w:val="fr-CA"/>
              </w:rPr>
              <w:t>Charte</w:t>
            </w:r>
            <w:r w:rsidRPr="00495EC2">
              <w:rPr>
                <w:rFonts w:eastAsia="Calibri"/>
                <w:sz w:val="20"/>
                <w:lang w:val="fr-CA"/>
              </w:rPr>
              <w:t>?</w:t>
            </w:r>
            <w:r w:rsidRPr="00495EC2">
              <w:rPr>
                <w:rFonts w:eastAsia="Calibri"/>
                <w:i/>
                <w:sz w:val="20"/>
                <w:lang w:val="fr-CA"/>
              </w:rPr>
              <w:t xml:space="preserve"> </w:t>
            </w:r>
            <w:r w:rsidRPr="00495EC2">
              <w:rPr>
                <w:rFonts w:eastAsia="Calibri"/>
                <w:sz w:val="20"/>
                <w:lang w:val="fr-CA"/>
              </w:rPr>
              <w:t xml:space="preserve">– S'il conclut à un outrage civil pour omission d'avoir répondu à des question en interrogatoire, le juge qui préside l'audience </w:t>
            </w:r>
            <w:proofErr w:type="spellStart"/>
            <w:r w:rsidRPr="00495EC2">
              <w:rPr>
                <w:rFonts w:eastAsia="Calibri"/>
                <w:sz w:val="20"/>
                <w:lang w:val="fr-CA"/>
              </w:rPr>
              <w:t>doit</w:t>
            </w:r>
            <w:r w:rsidRPr="00495EC2">
              <w:rPr>
                <w:rFonts w:eastAsia="Calibri"/>
                <w:sz w:val="20"/>
                <w:lang w:val="fr-CA"/>
              </w:rPr>
              <w:noBreakHyphen/>
              <w:t>il</w:t>
            </w:r>
            <w:proofErr w:type="spellEnd"/>
            <w:r w:rsidRPr="00495EC2">
              <w:rPr>
                <w:rFonts w:eastAsia="Calibri"/>
                <w:sz w:val="20"/>
                <w:lang w:val="fr-CA"/>
              </w:rPr>
              <w:t xml:space="preserve"> préciser chacune des questions et des réponses qui constituent l'outrage pour répondre aux exigences de la </w:t>
            </w:r>
            <w:r w:rsidRPr="00495EC2">
              <w:rPr>
                <w:rFonts w:eastAsia="Calibri"/>
                <w:i/>
                <w:sz w:val="20"/>
                <w:lang w:val="fr-CA"/>
              </w:rPr>
              <w:t>Charte</w:t>
            </w:r>
            <w:r w:rsidRPr="00495EC2">
              <w:rPr>
                <w:rFonts w:eastAsia="Calibri"/>
                <w:sz w:val="20"/>
                <w:lang w:val="fr-CA"/>
              </w:rPr>
              <w:t xml:space="preserve"> ou des règles de </w:t>
            </w:r>
            <w:proofErr w:type="spellStart"/>
            <w:r w:rsidRPr="00495EC2">
              <w:rPr>
                <w:rFonts w:eastAsia="Calibri"/>
                <w:sz w:val="20"/>
                <w:lang w:val="fr-CA"/>
              </w:rPr>
              <w:t>common</w:t>
            </w:r>
            <w:proofErr w:type="spellEnd"/>
            <w:r w:rsidRPr="00495EC2">
              <w:rPr>
                <w:rFonts w:eastAsia="Calibri"/>
                <w:sz w:val="20"/>
                <w:lang w:val="fr-CA"/>
              </w:rPr>
              <w:t xml:space="preserve"> </w:t>
            </w:r>
            <w:proofErr w:type="spellStart"/>
            <w:r w:rsidRPr="00495EC2">
              <w:rPr>
                <w:rFonts w:eastAsia="Calibri"/>
                <w:sz w:val="20"/>
                <w:lang w:val="fr-CA"/>
              </w:rPr>
              <w:t>law</w:t>
            </w:r>
            <w:proofErr w:type="spellEnd"/>
            <w:r w:rsidRPr="00495EC2">
              <w:rPr>
                <w:rFonts w:eastAsia="Calibri"/>
                <w:sz w:val="20"/>
                <w:lang w:val="fr-CA"/>
              </w:rPr>
              <w:t xml:space="preserve"> énoncées dans l'arrêt </w:t>
            </w:r>
            <w:proofErr w:type="spellStart"/>
            <w:r w:rsidRPr="00495EC2">
              <w:rPr>
                <w:rFonts w:eastAsia="Calibri"/>
                <w:i/>
                <w:sz w:val="20"/>
                <w:lang w:val="fr-CA"/>
              </w:rPr>
              <w:t>Cotroni</w:t>
            </w:r>
            <w:proofErr w:type="spellEnd"/>
            <w:r w:rsidRPr="00495EC2">
              <w:rPr>
                <w:rFonts w:eastAsia="Calibri"/>
                <w:i/>
                <w:sz w:val="20"/>
                <w:lang w:val="fr-CA"/>
              </w:rPr>
              <w:t xml:space="preserve"> c. Commission de police du Québec</w:t>
            </w:r>
            <w:r w:rsidRPr="00495EC2">
              <w:rPr>
                <w:rFonts w:eastAsia="Calibri"/>
                <w:sz w:val="20"/>
                <w:lang w:val="fr-CA"/>
              </w:rPr>
              <w:t>,</w:t>
            </w:r>
            <w:r w:rsidRPr="00495EC2">
              <w:rPr>
                <w:rFonts w:eastAsia="Calibri"/>
                <w:i/>
                <w:sz w:val="20"/>
                <w:lang w:val="fr-CA"/>
              </w:rPr>
              <w:t xml:space="preserve"> </w:t>
            </w:r>
            <w:r w:rsidRPr="00495EC2">
              <w:rPr>
                <w:rFonts w:eastAsia="Calibri"/>
                <w:sz w:val="20"/>
                <w:lang w:val="fr-CA"/>
              </w:rPr>
              <w:t xml:space="preserve">[1978] 1 R.C.S. 1048? – </w:t>
            </w:r>
            <w:r w:rsidRPr="00495EC2">
              <w:rPr>
                <w:rFonts w:eastAsia="Calibri"/>
                <w:i/>
                <w:sz w:val="20"/>
                <w:lang w:val="fr-CA"/>
              </w:rPr>
              <w:t xml:space="preserve">Charte canadienne des droits et libertés </w:t>
            </w:r>
            <w:r w:rsidRPr="00495EC2">
              <w:rPr>
                <w:rFonts w:eastAsia="Calibri"/>
                <w:sz w:val="20"/>
                <w:lang w:val="fr-CA"/>
              </w:rPr>
              <w:t>art. 7, al. 11</w:t>
            </w:r>
            <w:r w:rsidRPr="00495EC2">
              <w:rPr>
                <w:rFonts w:eastAsia="Calibri"/>
                <w:i/>
                <w:sz w:val="20"/>
                <w:lang w:val="fr-CA"/>
              </w:rPr>
              <w:t>h)</w:t>
            </w:r>
            <w:r w:rsidRPr="00495EC2">
              <w:rPr>
                <w:rFonts w:eastAsia="Calibri"/>
                <w:sz w:val="20"/>
                <w:lang w:val="fr-CA"/>
              </w:rPr>
              <w:t>.</w:t>
            </w:r>
            <w:r w:rsidRPr="00495EC2">
              <w:rPr>
                <w:rFonts w:eastAsia="Calibri"/>
                <w:i/>
                <w:sz w:val="20"/>
                <w:lang w:val="fr-CA"/>
              </w:rPr>
              <w:t xml:space="preserve"> </w:t>
            </w:r>
          </w:p>
        </w:tc>
      </w:tr>
      <w:tr w:rsidR="00F44F8B" w:rsidRPr="009714AD" w:rsidTr="00EC5583">
        <w:tc>
          <w:tcPr>
            <w:tcW w:w="5000" w:type="pct"/>
            <w:gridSpan w:val="3"/>
          </w:tcPr>
          <w:p w:rsidR="00F44F8B" w:rsidRPr="00495EC2" w:rsidRDefault="00F44F8B" w:rsidP="00EC5583">
            <w:pPr>
              <w:jc w:val="both"/>
              <w:rPr>
                <w:rFonts w:eastAsia="Calibri"/>
                <w:sz w:val="20"/>
                <w:lang w:val="fr-CA"/>
              </w:rPr>
            </w:pPr>
          </w:p>
        </w:tc>
      </w:tr>
      <w:tr w:rsidR="00F44F8B" w:rsidRPr="00495EC2" w:rsidTr="00EC5583">
        <w:tc>
          <w:tcPr>
            <w:tcW w:w="5000" w:type="pct"/>
            <w:gridSpan w:val="3"/>
          </w:tcPr>
          <w:p w:rsidR="00F44F8B" w:rsidRPr="00495EC2" w:rsidRDefault="00F44F8B" w:rsidP="00EC5583">
            <w:pPr>
              <w:jc w:val="both"/>
              <w:rPr>
                <w:rFonts w:eastAsia="Calibri"/>
                <w:sz w:val="20"/>
                <w:lang w:val="fr-CA"/>
              </w:rPr>
            </w:pPr>
            <w:r w:rsidRPr="00495EC2">
              <w:rPr>
                <w:rFonts w:eastAsia="Calibri"/>
                <w:sz w:val="20"/>
                <w:lang w:val="fr-CA"/>
              </w:rPr>
              <w:t>Le demandeur, M. </w:t>
            </w:r>
            <w:proofErr w:type="spellStart"/>
            <w:r w:rsidRPr="00495EC2">
              <w:rPr>
                <w:rFonts w:eastAsia="Calibri"/>
                <w:sz w:val="20"/>
                <w:lang w:val="fr-CA"/>
              </w:rPr>
              <w:t>Diamond</w:t>
            </w:r>
            <w:proofErr w:type="spellEnd"/>
            <w:r w:rsidRPr="00495EC2">
              <w:rPr>
                <w:rFonts w:eastAsia="Calibri"/>
                <w:sz w:val="20"/>
                <w:lang w:val="fr-CA"/>
              </w:rPr>
              <w:t xml:space="preserve"> a omis de donner des réponses satisfaisantes à des questions posées pendant et après un interrogatoire préalable à la </w:t>
            </w:r>
            <w:proofErr w:type="spellStart"/>
            <w:r w:rsidRPr="00495EC2">
              <w:rPr>
                <w:rFonts w:eastAsia="Calibri"/>
                <w:sz w:val="20"/>
                <w:lang w:val="fr-CA"/>
              </w:rPr>
              <w:t>saisie</w:t>
            </w:r>
            <w:r w:rsidRPr="00495EC2">
              <w:rPr>
                <w:rFonts w:eastAsia="Calibri"/>
                <w:sz w:val="20"/>
                <w:lang w:val="fr-CA"/>
              </w:rPr>
              <w:noBreakHyphen/>
              <w:t>exécution</w:t>
            </w:r>
            <w:proofErr w:type="spellEnd"/>
            <w:r w:rsidRPr="00495EC2">
              <w:rPr>
                <w:rFonts w:eastAsia="Calibri"/>
                <w:sz w:val="20"/>
                <w:lang w:val="fr-CA"/>
              </w:rPr>
              <w:t xml:space="preserve"> à la suite d'un jugement par défaut rendu contre lui en faveur des intimés.  Après avoir omis de nouveau de respecter les ordonnances du tribunal de fournir oralement ou par écrit des réponses satisfaisantes à la plupart des questions, M. </w:t>
            </w:r>
            <w:proofErr w:type="spellStart"/>
            <w:r w:rsidRPr="00495EC2">
              <w:rPr>
                <w:rFonts w:eastAsia="Calibri"/>
                <w:sz w:val="20"/>
                <w:lang w:val="fr-CA"/>
              </w:rPr>
              <w:t>Diamond</w:t>
            </w:r>
            <w:proofErr w:type="spellEnd"/>
            <w:r w:rsidRPr="00495EC2">
              <w:rPr>
                <w:rFonts w:eastAsia="Calibri"/>
                <w:sz w:val="20"/>
                <w:lang w:val="fr-CA"/>
              </w:rPr>
              <w:t xml:space="preserve"> a été reconnu coupable d'outrage au tribunal et condamné à une peine d'emprisonnement de 21 jours et à une amende de 20 000 $.  Lorsqu’il a continué à ne pas répondre aux questions, les intimés ont présenté une autre motion en outrage.  À la suite d'un ajournement, M. </w:t>
            </w:r>
            <w:proofErr w:type="spellStart"/>
            <w:r w:rsidRPr="00495EC2">
              <w:rPr>
                <w:rFonts w:eastAsia="Calibri"/>
                <w:sz w:val="20"/>
                <w:lang w:val="fr-CA"/>
              </w:rPr>
              <w:t>Diamond</w:t>
            </w:r>
            <w:proofErr w:type="spellEnd"/>
            <w:r w:rsidRPr="00495EC2">
              <w:rPr>
                <w:rFonts w:eastAsia="Calibri"/>
                <w:sz w:val="20"/>
                <w:lang w:val="fr-CA"/>
              </w:rPr>
              <w:t xml:space="preserve"> a présenté une motion incidente à l'audience pour outrage, visant à obtenir une ordonnance en sursis de la motion pour abus de procédure ou, subsidiairement, un ajournement pour pouvoir présenter une preuve orale.  La Cour supérieure de justice a rejeté les motions incidentes de M. </w:t>
            </w:r>
            <w:proofErr w:type="spellStart"/>
            <w:r w:rsidRPr="00495EC2">
              <w:rPr>
                <w:rFonts w:eastAsia="Calibri"/>
                <w:sz w:val="20"/>
                <w:lang w:val="fr-CA"/>
              </w:rPr>
              <w:t>Diamond</w:t>
            </w:r>
            <w:proofErr w:type="spellEnd"/>
            <w:r w:rsidRPr="00495EC2">
              <w:rPr>
                <w:rFonts w:eastAsia="Calibri"/>
                <w:sz w:val="20"/>
                <w:lang w:val="fr-CA"/>
              </w:rPr>
              <w:t>, statué qu’il n'avait pas purgé les peines qui il lui avait été imposées pour son outrage et qu'il demeurait coupable d'outrage au tribunal et l'a condamné à une peine d'emprisonnement supplémentaire de 42 jours et à une amende supplémentaire de 40 000 $.  La Cour d'appel de l'Ontario a rejeté son appel.</w:t>
            </w:r>
          </w:p>
          <w:p w:rsidR="00F44F8B" w:rsidRPr="00495EC2" w:rsidRDefault="00F44F8B" w:rsidP="00EC5583">
            <w:pPr>
              <w:jc w:val="both"/>
              <w:rPr>
                <w:rFonts w:eastAsia="Calibri"/>
                <w:sz w:val="20"/>
                <w:lang w:val="fr-CA"/>
              </w:rPr>
            </w:pPr>
          </w:p>
        </w:tc>
      </w:tr>
      <w:tr w:rsidR="00F44F8B" w:rsidRPr="009714AD" w:rsidTr="00EC5583">
        <w:tc>
          <w:tcPr>
            <w:tcW w:w="2427" w:type="pct"/>
          </w:tcPr>
          <w:p w:rsidR="00F44F8B" w:rsidRPr="00495EC2" w:rsidRDefault="00F44F8B" w:rsidP="00EC5583">
            <w:pPr>
              <w:jc w:val="both"/>
              <w:rPr>
                <w:rFonts w:eastAsia="Calibri"/>
                <w:sz w:val="20"/>
                <w:lang w:val="fr-CA"/>
              </w:rPr>
            </w:pPr>
            <w:r w:rsidRPr="00495EC2">
              <w:rPr>
                <w:rFonts w:eastAsia="Calibri"/>
                <w:sz w:val="20"/>
                <w:lang w:val="fr-CA"/>
              </w:rPr>
              <w:t>25 juillet 2011</w:t>
            </w:r>
          </w:p>
          <w:p w:rsidR="00F44F8B" w:rsidRPr="00495EC2" w:rsidRDefault="00F44F8B" w:rsidP="00EC5583">
            <w:pPr>
              <w:jc w:val="both"/>
              <w:rPr>
                <w:rFonts w:eastAsia="Calibri"/>
                <w:sz w:val="20"/>
                <w:lang w:val="fr-CA"/>
              </w:rPr>
            </w:pPr>
            <w:r w:rsidRPr="00495EC2">
              <w:rPr>
                <w:rFonts w:eastAsia="Calibri"/>
                <w:sz w:val="20"/>
                <w:lang w:val="fr-CA"/>
              </w:rPr>
              <w:t xml:space="preserve">Cour supérieure de justice de l'Ontario </w:t>
            </w:r>
          </w:p>
          <w:p w:rsidR="00F44F8B" w:rsidRPr="00495EC2" w:rsidRDefault="00F44F8B" w:rsidP="00EC5583">
            <w:pPr>
              <w:jc w:val="both"/>
              <w:rPr>
                <w:rFonts w:eastAsia="Calibri"/>
                <w:sz w:val="20"/>
                <w:lang w:val="fr-CA"/>
              </w:rPr>
            </w:pPr>
            <w:r w:rsidRPr="00495EC2">
              <w:rPr>
                <w:rFonts w:eastAsia="Calibri"/>
                <w:sz w:val="20"/>
                <w:lang w:val="fr-CA"/>
              </w:rPr>
              <w:t>(Juge Allen)</w:t>
            </w:r>
          </w:p>
          <w:p w:rsidR="00F44F8B" w:rsidRPr="00495EC2" w:rsidRDefault="00F44F8B" w:rsidP="00EC5583">
            <w:pPr>
              <w:jc w:val="both"/>
              <w:rPr>
                <w:rFonts w:eastAsia="Calibri"/>
                <w:sz w:val="20"/>
                <w:lang w:val="fr-CA"/>
              </w:rPr>
            </w:pPr>
            <w:r w:rsidRPr="00495EC2">
              <w:rPr>
                <w:rFonts w:eastAsia="Calibri"/>
                <w:sz w:val="20"/>
                <w:lang w:val="fr-CA"/>
              </w:rPr>
              <w:t>2011 ONSC 4457</w:t>
            </w:r>
          </w:p>
        </w:tc>
        <w:tc>
          <w:tcPr>
            <w:tcW w:w="243" w:type="pct"/>
          </w:tcPr>
          <w:p w:rsidR="00F44F8B" w:rsidRPr="00495EC2" w:rsidRDefault="00F44F8B" w:rsidP="00EC5583">
            <w:pPr>
              <w:jc w:val="both"/>
              <w:rPr>
                <w:rFonts w:eastAsia="Calibri"/>
                <w:sz w:val="20"/>
                <w:lang w:val="fr-CA"/>
              </w:rPr>
            </w:pPr>
          </w:p>
        </w:tc>
        <w:tc>
          <w:tcPr>
            <w:tcW w:w="2330" w:type="pct"/>
          </w:tcPr>
          <w:p w:rsidR="00F44F8B" w:rsidRPr="00495EC2" w:rsidRDefault="00F44F8B" w:rsidP="00EC5583">
            <w:pPr>
              <w:jc w:val="both"/>
              <w:rPr>
                <w:rFonts w:eastAsia="Calibri"/>
                <w:sz w:val="20"/>
                <w:lang w:val="fr-CA"/>
              </w:rPr>
            </w:pPr>
            <w:r w:rsidRPr="00495EC2">
              <w:rPr>
                <w:rFonts w:eastAsia="Calibri"/>
                <w:sz w:val="20"/>
                <w:lang w:val="fr-CA"/>
              </w:rPr>
              <w:t xml:space="preserve">Monsieur </w:t>
            </w:r>
            <w:proofErr w:type="spellStart"/>
            <w:r w:rsidRPr="00495EC2">
              <w:rPr>
                <w:rFonts w:eastAsia="Calibri"/>
                <w:sz w:val="20"/>
                <w:lang w:val="fr-CA"/>
              </w:rPr>
              <w:t>Diamond</w:t>
            </w:r>
            <w:proofErr w:type="spellEnd"/>
            <w:r w:rsidRPr="00495EC2">
              <w:rPr>
                <w:rFonts w:eastAsia="Calibri"/>
                <w:sz w:val="20"/>
                <w:lang w:val="fr-CA"/>
              </w:rPr>
              <w:t xml:space="preserve"> reconnu coupable d'outrage pour ne pas avoir respecté une ordonnance datée du 24 juillet 2009; il est condamné à une peine d'emprisonnement de 42 jours et à une amende de 40 000 $, plus les intérêts; motion incidente de M. </w:t>
            </w:r>
            <w:proofErr w:type="spellStart"/>
            <w:r w:rsidRPr="00495EC2">
              <w:rPr>
                <w:rFonts w:eastAsia="Calibri"/>
                <w:sz w:val="20"/>
                <w:lang w:val="fr-CA"/>
              </w:rPr>
              <w:t>Diamond</w:t>
            </w:r>
            <w:proofErr w:type="spellEnd"/>
            <w:r w:rsidRPr="00495EC2">
              <w:rPr>
                <w:rFonts w:eastAsia="Calibri"/>
                <w:sz w:val="20"/>
                <w:lang w:val="fr-CA"/>
              </w:rPr>
              <w:t>, rejetée</w:t>
            </w:r>
          </w:p>
          <w:p w:rsidR="00F44F8B" w:rsidRPr="00495EC2" w:rsidRDefault="00F44F8B" w:rsidP="00EC5583">
            <w:pPr>
              <w:jc w:val="both"/>
              <w:rPr>
                <w:rFonts w:eastAsia="Calibri"/>
                <w:sz w:val="20"/>
                <w:lang w:val="fr-CA"/>
              </w:rPr>
            </w:pPr>
          </w:p>
        </w:tc>
      </w:tr>
      <w:tr w:rsidR="00F44F8B" w:rsidRPr="00495EC2" w:rsidTr="00EC5583">
        <w:tc>
          <w:tcPr>
            <w:tcW w:w="2427" w:type="pct"/>
          </w:tcPr>
          <w:p w:rsidR="00F44F8B" w:rsidRPr="00495EC2" w:rsidRDefault="00F44F8B" w:rsidP="00EC5583">
            <w:pPr>
              <w:jc w:val="both"/>
              <w:rPr>
                <w:rFonts w:eastAsia="Calibri"/>
                <w:sz w:val="20"/>
                <w:lang w:val="fr-CA"/>
              </w:rPr>
            </w:pPr>
            <w:r w:rsidRPr="00495EC2">
              <w:rPr>
                <w:rFonts w:eastAsia="Calibri"/>
                <w:sz w:val="20"/>
                <w:lang w:val="fr-CA"/>
              </w:rPr>
              <w:t>7 septembre 2012</w:t>
            </w:r>
          </w:p>
          <w:p w:rsidR="00F44F8B" w:rsidRPr="00495EC2" w:rsidRDefault="00F44F8B" w:rsidP="00EC5583">
            <w:pPr>
              <w:jc w:val="both"/>
              <w:rPr>
                <w:rFonts w:eastAsia="Calibri"/>
                <w:sz w:val="20"/>
                <w:lang w:val="fr-CA"/>
              </w:rPr>
            </w:pPr>
            <w:r w:rsidRPr="00495EC2">
              <w:rPr>
                <w:rFonts w:eastAsia="Calibri"/>
                <w:sz w:val="20"/>
                <w:lang w:val="fr-CA"/>
              </w:rPr>
              <w:t xml:space="preserve">Cour d'appel de l'Ontario </w:t>
            </w:r>
          </w:p>
          <w:p w:rsidR="00F44F8B" w:rsidRPr="00495EC2" w:rsidRDefault="00F44F8B" w:rsidP="00EC5583">
            <w:pPr>
              <w:jc w:val="both"/>
              <w:rPr>
                <w:rFonts w:eastAsia="Calibri"/>
                <w:sz w:val="20"/>
                <w:lang w:val="fr-CA"/>
              </w:rPr>
            </w:pPr>
            <w:r w:rsidRPr="00495EC2">
              <w:rPr>
                <w:rFonts w:eastAsia="Calibri"/>
                <w:sz w:val="20"/>
                <w:lang w:val="fr-CA"/>
              </w:rPr>
              <w:t xml:space="preserve">(Juges Lang, Epstein et </w:t>
            </w:r>
            <w:proofErr w:type="spellStart"/>
            <w:r w:rsidRPr="00495EC2">
              <w:rPr>
                <w:rFonts w:eastAsia="Calibri"/>
                <w:sz w:val="20"/>
                <w:lang w:val="fr-CA"/>
              </w:rPr>
              <w:t>Hoy</w:t>
            </w:r>
            <w:proofErr w:type="spellEnd"/>
            <w:r w:rsidRPr="00495EC2">
              <w:rPr>
                <w:rFonts w:eastAsia="Calibri"/>
                <w:sz w:val="20"/>
                <w:lang w:val="fr-CA"/>
              </w:rPr>
              <w:t>)</w:t>
            </w:r>
          </w:p>
          <w:p w:rsidR="00F44F8B" w:rsidRPr="00495EC2" w:rsidRDefault="00F44F8B" w:rsidP="00EC5583">
            <w:pPr>
              <w:jc w:val="both"/>
              <w:rPr>
                <w:rFonts w:eastAsia="Calibri"/>
                <w:sz w:val="20"/>
                <w:lang w:val="fr-CA"/>
              </w:rPr>
            </w:pPr>
            <w:r w:rsidRPr="00495EC2">
              <w:rPr>
                <w:rFonts w:eastAsia="Calibri"/>
                <w:sz w:val="20"/>
                <w:lang w:val="fr-CA"/>
              </w:rPr>
              <w:t>2012 ONCA 580; C54141</w:t>
            </w:r>
          </w:p>
          <w:p w:rsidR="00F44F8B" w:rsidRPr="00495EC2" w:rsidRDefault="00F44F8B" w:rsidP="00EC5583">
            <w:pPr>
              <w:jc w:val="both"/>
              <w:rPr>
                <w:rFonts w:eastAsia="Calibri"/>
                <w:sz w:val="20"/>
                <w:lang w:val="fr-CA"/>
              </w:rPr>
            </w:pPr>
          </w:p>
        </w:tc>
        <w:tc>
          <w:tcPr>
            <w:tcW w:w="243" w:type="pct"/>
          </w:tcPr>
          <w:p w:rsidR="00F44F8B" w:rsidRPr="00495EC2" w:rsidRDefault="00F44F8B" w:rsidP="00EC5583">
            <w:pPr>
              <w:jc w:val="both"/>
              <w:rPr>
                <w:rFonts w:eastAsia="Calibri"/>
                <w:sz w:val="20"/>
                <w:lang w:val="fr-CA"/>
              </w:rPr>
            </w:pPr>
          </w:p>
        </w:tc>
        <w:tc>
          <w:tcPr>
            <w:tcW w:w="2330" w:type="pct"/>
          </w:tcPr>
          <w:p w:rsidR="00F44F8B" w:rsidRPr="00495EC2" w:rsidRDefault="00F44F8B" w:rsidP="00EC5583">
            <w:pPr>
              <w:jc w:val="both"/>
              <w:rPr>
                <w:rFonts w:eastAsia="Calibri"/>
                <w:sz w:val="20"/>
                <w:lang w:val="fr-CA"/>
              </w:rPr>
            </w:pPr>
            <w:r w:rsidRPr="00495EC2">
              <w:rPr>
                <w:rFonts w:eastAsia="Calibri"/>
                <w:sz w:val="20"/>
                <w:lang w:val="fr-CA"/>
              </w:rPr>
              <w:t>Appel rejeté</w:t>
            </w:r>
          </w:p>
          <w:p w:rsidR="00F44F8B" w:rsidRPr="00495EC2" w:rsidRDefault="00F44F8B" w:rsidP="00EC5583">
            <w:pPr>
              <w:jc w:val="both"/>
              <w:rPr>
                <w:rFonts w:eastAsia="Calibri"/>
                <w:sz w:val="20"/>
                <w:lang w:val="fr-CA"/>
              </w:rPr>
            </w:pPr>
          </w:p>
        </w:tc>
      </w:tr>
      <w:tr w:rsidR="00F44F8B" w:rsidRPr="00495EC2" w:rsidTr="00EC5583">
        <w:tc>
          <w:tcPr>
            <w:tcW w:w="2427" w:type="pct"/>
          </w:tcPr>
          <w:p w:rsidR="00F44F8B" w:rsidRPr="00495EC2" w:rsidRDefault="00F44F8B" w:rsidP="00EC5583">
            <w:pPr>
              <w:jc w:val="both"/>
              <w:rPr>
                <w:rFonts w:eastAsia="Calibri"/>
                <w:sz w:val="20"/>
                <w:lang w:val="fr-CA"/>
              </w:rPr>
            </w:pPr>
            <w:r w:rsidRPr="00495EC2">
              <w:rPr>
                <w:rFonts w:eastAsia="Calibri"/>
                <w:sz w:val="20"/>
                <w:lang w:val="fr-CA"/>
              </w:rPr>
              <w:t>6 novembre 2012</w:t>
            </w:r>
          </w:p>
          <w:p w:rsidR="00F44F8B" w:rsidRPr="00495EC2" w:rsidRDefault="00F44F8B" w:rsidP="00EC5583">
            <w:pPr>
              <w:jc w:val="both"/>
              <w:rPr>
                <w:rFonts w:eastAsia="Calibri"/>
                <w:sz w:val="20"/>
                <w:lang w:val="fr-CA"/>
              </w:rPr>
            </w:pPr>
            <w:r w:rsidRPr="00495EC2">
              <w:rPr>
                <w:rFonts w:eastAsia="Calibri"/>
                <w:sz w:val="20"/>
                <w:lang w:val="fr-CA"/>
              </w:rPr>
              <w:t>Cour suprême du Canada</w:t>
            </w:r>
          </w:p>
        </w:tc>
        <w:tc>
          <w:tcPr>
            <w:tcW w:w="243" w:type="pct"/>
          </w:tcPr>
          <w:p w:rsidR="00F44F8B" w:rsidRPr="00495EC2" w:rsidRDefault="00F44F8B" w:rsidP="00EC5583">
            <w:pPr>
              <w:jc w:val="both"/>
              <w:rPr>
                <w:rFonts w:eastAsia="Calibri"/>
                <w:sz w:val="20"/>
                <w:lang w:val="fr-CA"/>
              </w:rPr>
            </w:pPr>
          </w:p>
        </w:tc>
        <w:tc>
          <w:tcPr>
            <w:tcW w:w="2330" w:type="pct"/>
          </w:tcPr>
          <w:p w:rsidR="00F44F8B" w:rsidRPr="00495EC2" w:rsidRDefault="00F44F8B" w:rsidP="00EC5583">
            <w:pPr>
              <w:jc w:val="both"/>
              <w:rPr>
                <w:rFonts w:eastAsia="Calibri"/>
                <w:sz w:val="20"/>
                <w:lang w:val="fr-CA"/>
              </w:rPr>
            </w:pPr>
            <w:r w:rsidRPr="00495EC2">
              <w:rPr>
                <w:rFonts w:eastAsia="Calibri"/>
                <w:sz w:val="20"/>
                <w:lang w:val="fr-CA"/>
              </w:rPr>
              <w:t>Demande d'autorisation d'appel, déposée</w:t>
            </w:r>
          </w:p>
          <w:p w:rsidR="00F44F8B" w:rsidRPr="00495EC2" w:rsidRDefault="00F44F8B" w:rsidP="00EC5583">
            <w:pPr>
              <w:jc w:val="both"/>
              <w:rPr>
                <w:rFonts w:eastAsia="Calibri"/>
                <w:sz w:val="20"/>
                <w:lang w:val="fr-CA"/>
              </w:rPr>
            </w:pP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61"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5E1C" w:rsidRPr="009714AD" w:rsidTr="009E6124">
        <w:trPr>
          <w:cantSplit/>
        </w:trPr>
        <w:tc>
          <w:tcPr>
            <w:tcW w:w="1458" w:type="dxa"/>
          </w:tcPr>
          <w:p w:rsidR="00DF5E1C" w:rsidRPr="00841F85" w:rsidRDefault="00DF5E1C" w:rsidP="009E6124">
            <w:pPr>
              <w:rPr>
                <w:sz w:val="20"/>
                <w:szCs w:val="20"/>
              </w:rPr>
            </w:pPr>
            <w:r w:rsidRPr="00841F85">
              <w:rPr>
                <w:rStyle w:val="SCCFileNumberChar"/>
                <w:sz w:val="20"/>
                <w:szCs w:val="20"/>
              </w:rPr>
              <w:t>35073</w:t>
            </w:r>
          </w:p>
          <w:p w:rsidR="00DF5E1C" w:rsidRPr="00841F85" w:rsidRDefault="00DF5E1C" w:rsidP="009E6124">
            <w:pPr>
              <w:rPr>
                <w:b/>
                <w:sz w:val="20"/>
                <w:szCs w:val="20"/>
                <w:lang w:val="fr-CA"/>
              </w:rPr>
            </w:pPr>
          </w:p>
        </w:tc>
        <w:tc>
          <w:tcPr>
            <w:tcW w:w="8118" w:type="dxa"/>
          </w:tcPr>
          <w:p w:rsidR="00DF5E1C" w:rsidRPr="00841F85" w:rsidRDefault="00DF5E1C" w:rsidP="009E6124">
            <w:pPr>
              <w:jc w:val="both"/>
              <w:rPr>
                <w:sz w:val="20"/>
                <w:szCs w:val="20"/>
                <w:lang w:val="fr-CA"/>
              </w:rPr>
            </w:pPr>
            <w:proofErr w:type="spellStart"/>
            <w:r w:rsidRPr="00841F85">
              <w:rPr>
                <w:rStyle w:val="SCCLsocChar"/>
                <w:sz w:val="20"/>
                <w:szCs w:val="20"/>
              </w:rPr>
              <w:t>Réjeane</w:t>
            </w:r>
            <w:proofErr w:type="spellEnd"/>
            <w:r w:rsidRPr="00841F85">
              <w:rPr>
                <w:rStyle w:val="SCCLsocChar"/>
                <w:sz w:val="20"/>
                <w:szCs w:val="20"/>
              </w:rPr>
              <w:t xml:space="preserve"> Bélanger, Serge </w:t>
            </w:r>
            <w:proofErr w:type="spellStart"/>
            <w:r w:rsidRPr="00841F85">
              <w:rPr>
                <w:rStyle w:val="SCCLsocChar"/>
                <w:sz w:val="20"/>
                <w:szCs w:val="20"/>
              </w:rPr>
              <w:t>Pinet</w:t>
            </w:r>
            <w:proofErr w:type="spellEnd"/>
            <w:r w:rsidRPr="00841F85">
              <w:rPr>
                <w:rStyle w:val="SCCLsocChar"/>
                <w:sz w:val="20"/>
                <w:szCs w:val="20"/>
              </w:rPr>
              <w:t xml:space="preserve"> et Robert </w:t>
            </w:r>
            <w:proofErr w:type="spellStart"/>
            <w:r w:rsidRPr="00841F85">
              <w:rPr>
                <w:rStyle w:val="SCCLsocChar"/>
                <w:sz w:val="20"/>
                <w:szCs w:val="20"/>
              </w:rPr>
              <w:t>Duchesneau</w:t>
            </w:r>
            <w:proofErr w:type="spellEnd"/>
            <w:r w:rsidRPr="00841F85">
              <w:rPr>
                <w:rStyle w:val="SCCLsocChar"/>
                <w:sz w:val="20"/>
                <w:szCs w:val="20"/>
              </w:rPr>
              <w:t xml:space="preserve"> c. Procureur général du Québec, Ministère du Développement durable de l'environnement et des parcs, Municipalité de La Bostonnais, Bétonnière La Tuque </w:t>
            </w:r>
            <w:proofErr w:type="spellStart"/>
            <w:r w:rsidRPr="00841F85">
              <w:rPr>
                <w:rStyle w:val="SCCLsocChar"/>
                <w:sz w:val="20"/>
                <w:szCs w:val="20"/>
              </w:rPr>
              <w:t>inc</w:t>
            </w:r>
            <w:proofErr w:type="spellEnd"/>
            <w:r w:rsidRPr="00841F85">
              <w:rPr>
                <w:rStyle w:val="SCCLsocChar"/>
                <w:sz w:val="20"/>
                <w:szCs w:val="20"/>
              </w:rPr>
              <w:t>., Nancy Giroux et Luc Constant</w:t>
            </w:r>
            <w:r w:rsidRPr="00841F85">
              <w:rPr>
                <w:sz w:val="20"/>
                <w:szCs w:val="20"/>
                <w:lang w:val="fr-CA"/>
              </w:rPr>
              <w:t xml:space="preserve"> (</w:t>
            </w:r>
            <w:proofErr w:type="spellStart"/>
            <w:r w:rsidRPr="00841F85">
              <w:rPr>
                <w:sz w:val="20"/>
                <w:szCs w:val="20"/>
                <w:lang w:val="fr-CA"/>
              </w:rPr>
              <w:t>Qc</w:t>
            </w:r>
            <w:proofErr w:type="spellEnd"/>
            <w:r w:rsidRPr="00841F85">
              <w:rPr>
                <w:sz w:val="20"/>
                <w:szCs w:val="20"/>
                <w:lang w:val="fr-CA"/>
              </w:rPr>
              <w:t>) (Civile) (Autorisation)</w:t>
            </w:r>
          </w:p>
          <w:p w:rsidR="00DF5E1C" w:rsidRPr="00841F85" w:rsidRDefault="00DF5E1C" w:rsidP="009E6124">
            <w:pPr>
              <w:jc w:val="both"/>
              <w:rPr>
                <w:sz w:val="20"/>
                <w:szCs w:val="20"/>
                <w:lang w:val="fr-CA"/>
              </w:rPr>
            </w:pPr>
          </w:p>
        </w:tc>
      </w:tr>
      <w:tr w:rsidR="00DF5E1C" w:rsidRPr="009714AD" w:rsidTr="009E6124">
        <w:trPr>
          <w:cantSplit/>
        </w:trPr>
        <w:tc>
          <w:tcPr>
            <w:tcW w:w="1458" w:type="dxa"/>
          </w:tcPr>
          <w:p w:rsidR="00DF5E1C" w:rsidRPr="00841F85" w:rsidRDefault="00DF5E1C" w:rsidP="009E6124">
            <w:pPr>
              <w:rPr>
                <w:sz w:val="20"/>
                <w:szCs w:val="20"/>
              </w:rPr>
            </w:pPr>
            <w:r w:rsidRPr="00841F85">
              <w:rPr>
                <w:sz w:val="20"/>
                <w:szCs w:val="20"/>
              </w:rPr>
              <w:t>Coram :</w:t>
            </w:r>
          </w:p>
        </w:tc>
        <w:tc>
          <w:tcPr>
            <w:tcW w:w="8118" w:type="dxa"/>
          </w:tcPr>
          <w:p w:rsidR="00DF5E1C" w:rsidRPr="00841F85" w:rsidRDefault="00DF5E1C" w:rsidP="009E6124">
            <w:pPr>
              <w:rPr>
                <w:sz w:val="20"/>
                <w:szCs w:val="20"/>
                <w:lang w:val="fr-CA"/>
              </w:rPr>
            </w:pPr>
            <w:r w:rsidRPr="00841F85">
              <w:rPr>
                <w:rStyle w:val="SCCCoramChar"/>
                <w:sz w:val="20"/>
                <w:szCs w:val="20"/>
              </w:rPr>
              <w:t xml:space="preserve">Les juges </w:t>
            </w:r>
            <w:proofErr w:type="spellStart"/>
            <w:r w:rsidRPr="00841F85">
              <w:rPr>
                <w:rStyle w:val="SCCCoramChar"/>
                <w:sz w:val="20"/>
                <w:szCs w:val="20"/>
              </w:rPr>
              <w:t>LeBel</w:t>
            </w:r>
            <w:proofErr w:type="spellEnd"/>
            <w:r w:rsidRPr="00841F85">
              <w:rPr>
                <w:rStyle w:val="SCCCoramChar"/>
                <w:sz w:val="20"/>
                <w:szCs w:val="20"/>
              </w:rPr>
              <w:t xml:space="preserve">, </w:t>
            </w:r>
            <w:proofErr w:type="spellStart"/>
            <w:r w:rsidRPr="00841F85">
              <w:rPr>
                <w:rStyle w:val="SCCCoramChar"/>
                <w:sz w:val="20"/>
                <w:szCs w:val="20"/>
              </w:rPr>
              <w:t>Karakatsanis</w:t>
            </w:r>
            <w:proofErr w:type="spellEnd"/>
            <w:r w:rsidRPr="00841F85">
              <w:rPr>
                <w:rStyle w:val="SCCCoramChar"/>
                <w:sz w:val="20"/>
                <w:szCs w:val="20"/>
              </w:rPr>
              <w:t xml:space="preserve"> et Wagner</w:t>
            </w:r>
          </w:p>
          <w:p w:rsidR="00DF5E1C" w:rsidRPr="00841F85" w:rsidRDefault="00DF5E1C" w:rsidP="009E6124">
            <w:pPr>
              <w:rPr>
                <w:sz w:val="20"/>
                <w:szCs w:val="20"/>
                <w:u w:val="single"/>
                <w:lang w:val="fr-CA"/>
              </w:rPr>
            </w:pPr>
          </w:p>
        </w:tc>
      </w:tr>
      <w:tr w:rsidR="00DF5E1C" w:rsidRPr="00841F85" w:rsidTr="009E6124">
        <w:trPr>
          <w:cantSplit/>
        </w:trPr>
        <w:tc>
          <w:tcPr>
            <w:tcW w:w="9576" w:type="dxa"/>
            <w:gridSpan w:val="2"/>
          </w:tcPr>
          <w:p w:rsidR="00DF5E1C" w:rsidRPr="00841F85" w:rsidRDefault="00DF5E1C" w:rsidP="009E6124">
            <w:pPr>
              <w:pStyle w:val="SCCShortJudgment"/>
              <w:rPr>
                <w:szCs w:val="20"/>
                <w:lang w:val="fr-CA"/>
              </w:rPr>
            </w:pPr>
            <w:r w:rsidRPr="00841F85">
              <w:rPr>
                <w:szCs w:val="20"/>
                <w:lang w:val="fr-CA"/>
              </w:rPr>
              <w:t>La demande d’autorisation d’appel de l’arrêt de la Cour d’appel du Québec (Québec), numéros 200-09-007310-110 et 200-09-007314-112, 2012 QCCA 1669, daté du 17 septembre 2012, est rejetée avec dépens.</w:t>
            </w:r>
          </w:p>
          <w:p w:rsidR="00DF5E1C" w:rsidRPr="00841F85" w:rsidRDefault="00DF5E1C" w:rsidP="009E6124">
            <w:pPr>
              <w:pStyle w:val="SCCShortJudgment"/>
              <w:ind w:firstLine="0"/>
              <w:rPr>
                <w:szCs w:val="20"/>
                <w:lang w:val="fr-CA"/>
              </w:rPr>
            </w:pPr>
          </w:p>
          <w:p w:rsidR="00DF5E1C" w:rsidRPr="00841F85" w:rsidRDefault="00DF5E1C" w:rsidP="009E6124">
            <w:pPr>
              <w:pStyle w:val="SCCShortJudgment"/>
              <w:rPr>
                <w:szCs w:val="20"/>
              </w:rPr>
            </w:pPr>
            <w:r w:rsidRPr="00841F85">
              <w:rPr>
                <w:szCs w:val="20"/>
              </w:rPr>
              <w:t>The application for leave to appeal from the judgment of the Court of Appeal of Quebec (Québec), Numbers 200-09-007310-110 and 200-09-007314-112, 2012 QCCA 1669, dated September 17, 2012, is dismissed with costs.</w:t>
            </w:r>
          </w:p>
        </w:tc>
      </w:tr>
    </w:tbl>
    <w:p w:rsidR="000C7850" w:rsidRPr="00DF5E1C" w:rsidRDefault="000C7850" w:rsidP="000C7850">
      <w:pPr>
        <w:rPr>
          <w:sz w:val="20"/>
          <w:szCs w:val="20"/>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94A95" w:rsidRPr="00495EC2" w:rsidTr="00EC5583">
        <w:tc>
          <w:tcPr>
            <w:tcW w:w="5000" w:type="pct"/>
            <w:gridSpan w:val="3"/>
          </w:tcPr>
          <w:p w:rsidR="00794A95" w:rsidRPr="003F180F" w:rsidRDefault="00794A95" w:rsidP="00EC5583">
            <w:pPr>
              <w:jc w:val="both"/>
              <w:rPr>
                <w:sz w:val="20"/>
              </w:rPr>
            </w:pPr>
            <w:r w:rsidRPr="003F180F">
              <w:rPr>
                <w:sz w:val="20"/>
              </w:rPr>
              <w:t>Municipal law – Zoning – Permitted uses – Legislation – Interpretation – Conflicting legislation – Government department authorizing operation of quarry on strength of municipal certificate of compliance with zoning and of mining lease granted by Minister – Land in zone being used for residential purposes, and challenge resulting – Mining leases exempted by law from requirement of certificate of compliance with zoning – Whether use of extraction can be implicitly permitted in zone including residential use even though it prohibited in residential zone – Whether legislative exemption from zoning must be construed as being consistent with regulatory obligation to comply with zoning in certain cases – Whether Court of Appeal erred in interpreting relevant provisions narrowly rather than adopting interpretation that consistent with fundamental rights – Charter of human rights and freedoms, R.S.Q., c. C</w:t>
            </w:r>
            <w:r w:rsidRPr="003F180F">
              <w:rPr>
                <w:sz w:val="20"/>
              </w:rPr>
              <w:noBreakHyphen/>
              <w:t>12, s. 46.1 – Regulation respecting the application of the Environment Quality Act, R.R.Q., c. Q</w:t>
            </w:r>
            <w:r w:rsidRPr="003F180F">
              <w:rPr>
                <w:sz w:val="20"/>
              </w:rPr>
              <w:noBreakHyphen/>
              <w:t>2, r. 3, s. 8 – Regulation respecting pits and quarries, R.R.Q., c. Q</w:t>
            </w:r>
            <w:r w:rsidRPr="003F180F">
              <w:rPr>
                <w:sz w:val="20"/>
              </w:rPr>
              <w:noBreakHyphen/>
              <w:t>2, r. 7, s. 10 – An Act respecting land use planning and development, R.S.Q., c. A</w:t>
            </w:r>
            <w:r w:rsidRPr="003F180F">
              <w:rPr>
                <w:sz w:val="20"/>
              </w:rPr>
              <w:noBreakHyphen/>
              <w:t>19.1, s. 246.</w:t>
            </w:r>
          </w:p>
        </w:tc>
      </w:tr>
      <w:tr w:rsidR="00794A95" w:rsidRPr="00495EC2" w:rsidTr="00EC5583">
        <w:tc>
          <w:tcPr>
            <w:tcW w:w="5000" w:type="pct"/>
            <w:gridSpan w:val="3"/>
          </w:tcPr>
          <w:p w:rsidR="00794A95" w:rsidRPr="003F180F" w:rsidRDefault="00794A95" w:rsidP="00EC5583">
            <w:pPr>
              <w:jc w:val="both"/>
              <w:rPr>
                <w:sz w:val="20"/>
              </w:rPr>
            </w:pPr>
          </w:p>
        </w:tc>
      </w:tr>
      <w:tr w:rsidR="00794A95" w:rsidRPr="00495EC2" w:rsidTr="00EC5583">
        <w:tc>
          <w:tcPr>
            <w:tcW w:w="5000" w:type="pct"/>
            <w:gridSpan w:val="3"/>
          </w:tcPr>
          <w:p w:rsidR="00794A95" w:rsidRPr="00C16FDC" w:rsidRDefault="00794A95" w:rsidP="00EC5583">
            <w:pPr>
              <w:jc w:val="both"/>
              <w:rPr>
                <w:sz w:val="20"/>
              </w:rPr>
            </w:pPr>
            <w:r w:rsidRPr="00C16FDC">
              <w:rPr>
                <w:sz w:val="20"/>
              </w:rPr>
              <w:t xml:space="preserve">The owners of a lot in La </w:t>
            </w:r>
            <w:proofErr w:type="spellStart"/>
            <w:r w:rsidRPr="00C16FDC">
              <w:rPr>
                <w:sz w:val="20"/>
              </w:rPr>
              <w:t>Bostonnais</w:t>
            </w:r>
            <w:proofErr w:type="spellEnd"/>
            <w:r w:rsidRPr="00C16FDC">
              <w:rPr>
                <w:sz w:val="20"/>
              </w:rPr>
              <w:t xml:space="preserve"> sought permission to extract minerals from the ground; </w:t>
            </w:r>
            <w:proofErr w:type="spellStart"/>
            <w:r w:rsidRPr="00C16FDC">
              <w:rPr>
                <w:sz w:val="20"/>
              </w:rPr>
              <w:t>Bétonnière</w:t>
            </w:r>
            <w:proofErr w:type="spellEnd"/>
            <w:r w:rsidRPr="00C16FDC">
              <w:rPr>
                <w:sz w:val="20"/>
              </w:rPr>
              <w:t xml:space="preserve"> La Tuque applied to the appropriate Minister for authorization.  Some neighbours opposed this.  In the zone in question, designated AF6 and described as an [translation] “</w:t>
            </w:r>
            <w:proofErr w:type="spellStart"/>
            <w:r w:rsidRPr="00C16FDC">
              <w:rPr>
                <w:sz w:val="20"/>
              </w:rPr>
              <w:t>agroforestry</w:t>
            </w:r>
            <w:proofErr w:type="spellEnd"/>
            <w:r w:rsidRPr="00C16FDC">
              <w:rPr>
                <w:sz w:val="20"/>
              </w:rPr>
              <w:t xml:space="preserve">” zone, a number of uses were permitted: one-family residential, two-family residential, mobile home residential, seasonal residential, rural commercial, and agricultural, as well as the transformation of natural resources.  According to the zoning regulation’s use grid, pits and quarries were instead permitted in P, or public, zones.  Nevertheless, the municipality provided the </w:t>
            </w:r>
            <w:proofErr w:type="spellStart"/>
            <w:r w:rsidRPr="00C16FDC">
              <w:rPr>
                <w:sz w:val="20"/>
              </w:rPr>
              <w:t>Ministère</w:t>
            </w:r>
            <w:proofErr w:type="spellEnd"/>
            <w:r w:rsidRPr="00C16FDC">
              <w:rPr>
                <w:sz w:val="20"/>
              </w:rPr>
              <w:t xml:space="preserve"> de </w:t>
            </w:r>
            <w:proofErr w:type="spellStart"/>
            <w:r w:rsidRPr="00C16FDC">
              <w:rPr>
                <w:sz w:val="20"/>
              </w:rPr>
              <w:t>l’Environnement</w:t>
            </w:r>
            <w:proofErr w:type="spellEnd"/>
            <w:r w:rsidRPr="00C16FDC">
              <w:rPr>
                <w:sz w:val="20"/>
              </w:rPr>
              <w:t xml:space="preserve"> with a certificate of compliance.  In May 2008, the </w:t>
            </w:r>
            <w:proofErr w:type="spellStart"/>
            <w:r w:rsidRPr="00C16FDC">
              <w:rPr>
                <w:sz w:val="20"/>
              </w:rPr>
              <w:t>Ministère</w:t>
            </w:r>
            <w:proofErr w:type="spellEnd"/>
            <w:r w:rsidRPr="00C16FDC">
              <w:rPr>
                <w:sz w:val="20"/>
              </w:rPr>
              <w:t xml:space="preserve"> authorized the operation of a 6,500-square-metre quarry.  Crushing was to be carried out for 20 days, after which the cement company would be able to supply its needs for several years.  In 2009, the authorization was amended on the strength of a mining lease, as the underground minerals relevant to this case still belonged to the state.</w:t>
            </w:r>
          </w:p>
          <w:p w:rsidR="00794A95" w:rsidRPr="00C16FDC" w:rsidRDefault="00794A95" w:rsidP="00EC5583">
            <w:pPr>
              <w:jc w:val="both"/>
              <w:rPr>
                <w:sz w:val="20"/>
              </w:rPr>
            </w:pPr>
          </w:p>
        </w:tc>
      </w:tr>
      <w:tr w:rsidR="00794A95" w:rsidRPr="00495EC2" w:rsidTr="00EC5583">
        <w:tc>
          <w:tcPr>
            <w:tcW w:w="2427" w:type="pct"/>
          </w:tcPr>
          <w:p w:rsidR="00794A95" w:rsidRPr="00C16FDC" w:rsidRDefault="00794A95" w:rsidP="00EC5583">
            <w:pPr>
              <w:jc w:val="both"/>
              <w:rPr>
                <w:sz w:val="20"/>
              </w:rPr>
            </w:pPr>
            <w:r w:rsidRPr="00C16FDC">
              <w:rPr>
                <w:sz w:val="20"/>
              </w:rPr>
              <w:t>January 12, 2011</w:t>
            </w:r>
          </w:p>
          <w:p w:rsidR="00794A95" w:rsidRPr="00C16FDC" w:rsidRDefault="00794A95" w:rsidP="00EC5583">
            <w:pPr>
              <w:jc w:val="both"/>
              <w:rPr>
                <w:sz w:val="20"/>
              </w:rPr>
            </w:pPr>
            <w:r w:rsidRPr="00C16FDC">
              <w:rPr>
                <w:sz w:val="20"/>
              </w:rPr>
              <w:t>Quebec Superior Court</w:t>
            </w:r>
          </w:p>
          <w:p w:rsidR="00794A95" w:rsidRPr="00C16FDC" w:rsidRDefault="00794A95" w:rsidP="00EC5583">
            <w:pPr>
              <w:jc w:val="both"/>
              <w:rPr>
                <w:sz w:val="20"/>
              </w:rPr>
            </w:pPr>
            <w:r w:rsidRPr="00C16FDC">
              <w:rPr>
                <w:sz w:val="20"/>
              </w:rPr>
              <w:t>(</w:t>
            </w:r>
            <w:proofErr w:type="spellStart"/>
            <w:r w:rsidRPr="00C16FDC">
              <w:rPr>
                <w:sz w:val="20"/>
              </w:rPr>
              <w:t>Ouellet</w:t>
            </w:r>
            <w:proofErr w:type="spellEnd"/>
            <w:r w:rsidRPr="00C16FDC">
              <w:rPr>
                <w:sz w:val="20"/>
              </w:rPr>
              <w:t xml:space="preserve"> J.)</w:t>
            </w:r>
          </w:p>
          <w:p w:rsidR="00794A95" w:rsidRPr="00495EC2" w:rsidRDefault="00794A95" w:rsidP="00EC5583">
            <w:pPr>
              <w:jc w:val="both"/>
              <w:rPr>
                <w:sz w:val="20"/>
                <w:lang w:val="fr-CA"/>
              </w:rPr>
            </w:pPr>
            <w:r w:rsidRPr="00495EC2">
              <w:rPr>
                <w:sz w:val="20"/>
                <w:lang w:val="fr-CA"/>
              </w:rPr>
              <w:t>2011 QCCS 102</w:t>
            </w:r>
          </w:p>
          <w:p w:rsidR="00794A95" w:rsidRPr="00495EC2" w:rsidRDefault="00794A95" w:rsidP="00EC5583">
            <w:pPr>
              <w:jc w:val="both"/>
              <w:rPr>
                <w:sz w:val="20"/>
                <w:lang w:val="fr-CA"/>
              </w:rPr>
            </w:pPr>
          </w:p>
        </w:tc>
        <w:tc>
          <w:tcPr>
            <w:tcW w:w="243" w:type="pct"/>
          </w:tcPr>
          <w:p w:rsidR="00794A95" w:rsidRPr="00495EC2" w:rsidRDefault="00794A95" w:rsidP="00EC5583">
            <w:pPr>
              <w:jc w:val="both"/>
              <w:rPr>
                <w:sz w:val="20"/>
                <w:lang w:val="fr-CA"/>
              </w:rPr>
            </w:pPr>
          </w:p>
        </w:tc>
        <w:tc>
          <w:tcPr>
            <w:tcW w:w="2330" w:type="pct"/>
          </w:tcPr>
          <w:p w:rsidR="00794A95" w:rsidRPr="00C16FDC" w:rsidRDefault="00794A95" w:rsidP="00EC5583">
            <w:pPr>
              <w:jc w:val="both"/>
              <w:rPr>
                <w:sz w:val="20"/>
              </w:rPr>
            </w:pPr>
            <w:r w:rsidRPr="00C16FDC">
              <w:rPr>
                <w:sz w:val="20"/>
              </w:rPr>
              <w:t>Applicants’ action in nullity allowed; Minister’s authorization annulled; respondent company ordered not to operate quarry</w:t>
            </w:r>
          </w:p>
          <w:p w:rsidR="00794A95" w:rsidRPr="00C16FDC" w:rsidRDefault="00794A95" w:rsidP="00EC5583">
            <w:pPr>
              <w:jc w:val="both"/>
              <w:rPr>
                <w:sz w:val="20"/>
              </w:rPr>
            </w:pPr>
          </w:p>
        </w:tc>
      </w:tr>
      <w:tr w:rsidR="00794A95" w:rsidRPr="00495EC2" w:rsidTr="00EC5583">
        <w:tc>
          <w:tcPr>
            <w:tcW w:w="2427" w:type="pct"/>
          </w:tcPr>
          <w:p w:rsidR="00794A95" w:rsidRPr="00C16FDC" w:rsidRDefault="00794A95" w:rsidP="00EC5583">
            <w:pPr>
              <w:jc w:val="both"/>
              <w:rPr>
                <w:sz w:val="20"/>
              </w:rPr>
            </w:pPr>
            <w:r w:rsidRPr="00C16FDC">
              <w:rPr>
                <w:sz w:val="20"/>
              </w:rPr>
              <w:t>September 17, 2012</w:t>
            </w:r>
          </w:p>
          <w:p w:rsidR="00794A95" w:rsidRPr="00C16FDC" w:rsidRDefault="00794A95" w:rsidP="00EC5583">
            <w:pPr>
              <w:jc w:val="both"/>
              <w:rPr>
                <w:sz w:val="20"/>
              </w:rPr>
            </w:pPr>
            <w:r w:rsidRPr="00C16FDC">
              <w:rPr>
                <w:sz w:val="20"/>
              </w:rPr>
              <w:t>Quebec Court of Appeal (Québec)</w:t>
            </w:r>
          </w:p>
          <w:p w:rsidR="00794A95" w:rsidRPr="00C16FDC" w:rsidRDefault="00794A95" w:rsidP="00EC5583">
            <w:pPr>
              <w:jc w:val="both"/>
              <w:rPr>
                <w:sz w:val="20"/>
              </w:rPr>
            </w:pPr>
            <w:r w:rsidRPr="00C16FDC">
              <w:rPr>
                <w:sz w:val="20"/>
              </w:rPr>
              <w:t xml:space="preserve">(Thibault, </w:t>
            </w:r>
            <w:proofErr w:type="spellStart"/>
            <w:r w:rsidRPr="00C16FDC">
              <w:rPr>
                <w:sz w:val="20"/>
              </w:rPr>
              <w:t>Vézina</w:t>
            </w:r>
            <w:proofErr w:type="spellEnd"/>
            <w:r w:rsidRPr="00C16FDC">
              <w:rPr>
                <w:sz w:val="20"/>
              </w:rPr>
              <w:t xml:space="preserve"> and Fournier JJ.A.)</w:t>
            </w:r>
          </w:p>
          <w:p w:rsidR="00794A95" w:rsidRPr="00495EC2" w:rsidRDefault="00794A95" w:rsidP="00A80FCF">
            <w:pPr>
              <w:jc w:val="both"/>
              <w:rPr>
                <w:sz w:val="20"/>
                <w:lang w:val="fr-CA"/>
              </w:rPr>
            </w:pPr>
            <w:r w:rsidRPr="00495EC2">
              <w:rPr>
                <w:sz w:val="20"/>
                <w:lang w:val="fr-CA"/>
              </w:rPr>
              <w:t xml:space="preserve">2012 QCCA 1669 </w:t>
            </w:r>
          </w:p>
        </w:tc>
        <w:tc>
          <w:tcPr>
            <w:tcW w:w="243" w:type="pct"/>
          </w:tcPr>
          <w:p w:rsidR="00794A95" w:rsidRPr="00495EC2" w:rsidRDefault="00794A95" w:rsidP="00EC5583">
            <w:pPr>
              <w:jc w:val="both"/>
              <w:rPr>
                <w:sz w:val="20"/>
                <w:lang w:val="fr-CA"/>
              </w:rPr>
            </w:pPr>
          </w:p>
        </w:tc>
        <w:tc>
          <w:tcPr>
            <w:tcW w:w="2330" w:type="pct"/>
          </w:tcPr>
          <w:p w:rsidR="00794A95" w:rsidRPr="00C16FDC" w:rsidRDefault="00794A95" w:rsidP="00EC5583">
            <w:pPr>
              <w:jc w:val="both"/>
              <w:rPr>
                <w:sz w:val="20"/>
              </w:rPr>
            </w:pPr>
            <w:r w:rsidRPr="00C16FDC">
              <w:rPr>
                <w:sz w:val="20"/>
              </w:rPr>
              <w:t>Appeal allowed; authorization upheld; order set aside</w:t>
            </w:r>
          </w:p>
        </w:tc>
      </w:tr>
    </w:tbl>
    <w:p w:rsidR="00A80FCF" w:rsidRDefault="00A80FCF"/>
    <w:p w:rsidR="00A80FCF" w:rsidRDefault="00A80FCF">
      <w:r>
        <w:br w:type="page"/>
      </w:r>
    </w:p>
    <w:tbl>
      <w:tblPr>
        <w:tblW w:w="4952" w:type="pct"/>
        <w:tblLayout w:type="fixed"/>
        <w:tblCellMar>
          <w:left w:w="0" w:type="dxa"/>
          <w:bottom w:w="99" w:type="dxa"/>
          <w:right w:w="0" w:type="dxa"/>
        </w:tblCellMar>
        <w:tblLook w:val="04A0"/>
      </w:tblPr>
      <w:tblGrid>
        <w:gridCol w:w="4624"/>
        <w:gridCol w:w="463"/>
        <w:gridCol w:w="4440"/>
      </w:tblGrid>
      <w:tr w:rsidR="00794A95" w:rsidRPr="00495EC2" w:rsidTr="00A80FCF">
        <w:trPr>
          <w:cantSplit/>
        </w:trPr>
        <w:tc>
          <w:tcPr>
            <w:tcW w:w="2427" w:type="pct"/>
          </w:tcPr>
          <w:p w:rsidR="00794A95" w:rsidRPr="00C16FDC" w:rsidRDefault="00794A95" w:rsidP="00EC5583">
            <w:pPr>
              <w:jc w:val="both"/>
              <w:rPr>
                <w:sz w:val="20"/>
              </w:rPr>
            </w:pPr>
            <w:r w:rsidRPr="00C16FDC">
              <w:rPr>
                <w:sz w:val="20"/>
              </w:rPr>
              <w:t>November 15, 2012</w:t>
            </w:r>
          </w:p>
          <w:p w:rsidR="00794A95" w:rsidRPr="00C16FDC" w:rsidRDefault="00794A95" w:rsidP="00EC5583">
            <w:pPr>
              <w:jc w:val="both"/>
              <w:rPr>
                <w:sz w:val="20"/>
              </w:rPr>
            </w:pPr>
            <w:r w:rsidRPr="00C16FDC">
              <w:rPr>
                <w:sz w:val="20"/>
              </w:rPr>
              <w:t>Supreme Court of Canada</w:t>
            </w:r>
          </w:p>
        </w:tc>
        <w:tc>
          <w:tcPr>
            <w:tcW w:w="243" w:type="pct"/>
          </w:tcPr>
          <w:p w:rsidR="00794A95" w:rsidRPr="00C16FDC" w:rsidRDefault="00794A95" w:rsidP="00EC5583">
            <w:pPr>
              <w:jc w:val="both"/>
              <w:rPr>
                <w:sz w:val="20"/>
              </w:rPr>
            </w:pPr>
          </w:p>
        </w:tc>
        <w:tc>
          <w:tcPr>
            <w:tcW w:w="2330" w:type="pct"/>
          </w:tcPr>
          <w:p w:rsidR="00794A95" w:rsidRPr="00C16FDC" w:rsidRDefault="00794A95" w:rsidP="00EC5583">
            <w:pPr>
              <w:jc w:val="both"/>
              <w:rPr>
                <w:sz w:val="20"/>
              </w:rPr>
            </w:pPr>
            <w:r w:rsidRPr="00C16FDC">
              <w:rPr>
                <w:sz w:val="20"/>
              </w:rPr>
              <w:t>Application for leave to appeal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62"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94A95" w:rsidRPr="00495EC2" w:rsidTr="00EC5583">
        <w:tc>
          <w:tcPr>
            <w:tcW w:w="5000" w:type="pct"/>
            <w:gridSpan w:val="3"/>
          </w:tcPr>
          <w:p w:rsidR="00794A95" w:rsidRPr="00495EC2" w:rsidRDefault="00794A95" w:rsidP="00EC5583">
            <w:pPr>
              <w:jc w:val="both"/>
              <w:rPr>
                <w:sz w:val="20"/>
                <w:lang w:val="fr-CA"/>
              </w:rPr>
            </w:pPr>
            <w:r w:rsidRPr="00495EC2">
              <w:rPr>
                <w:sz w:val="20"/>
                <w:lang w:val="fr-CA"/>
              </w:rPr>
              <w:t xml:space="preserve">Droit municipal – Zonage – Usages permis – Législation – Interprétation – Conflit de lois – Autorisation d’exploiter une sablière donnée par un ministère sur la foi d’un certificat municipal de conformité au zonage puis sur celle d’un bail minier ministériel – Usage résidentiel dans la zone visée et contestation conséquente – Exemption législative de certificat de conformité au zonage pour les baux miniers – L’usage d’extraction </w:t>
            </w:r>
            <w:proofErr w:type="spellStart"/>
            <w:r w:rsidRPr="00495EC2">
              <w:rPr>
                <w:sz w:val="20"/>
                <w:lang w:val="fr-CA"/>
              </w:rPr>
              <w:t>peut</w:t>
            </w:r>
            <w:r w:rsidRPr="00495EC2">
              <w:rPr>
                <w:sz w:val="20"/>
                <w:lang w:val="fr-CA"/>
              </w:rPr>
              <w:noBreakHyphen/>
              <w:t>il</w:t>
            </w:r>
            <w:proofErr w:type="spellEnd"/>
            <w:r w:rsidRPr="00495EC2">
              <w:rPr>
                <w:sz w:val="20"/>
                <w:lang w:val="fr-CA"/>
              </w:rPr>
              <w:t xml:space="preserve"> être implicitement permis dans une zone comprenant l’usage résidentiel même s’il est interdit dans une zone résidentielle? – Une exception législative au zonage </w:t>
            </w:r>
            <w:proofErr w:type="spellStart"/>
            <w:r w:rsidRPr="00495EC2">
              <w:rPr>
                <w:sz w:val="20"/>
                <w:lang w:val="fr-CA"/>
              </w:rPr>
              <w:t>doit</w:t>
            </w:r>
            <w:r w:rsidRPr="00495EC2">
              <w:rPr>
                <w:sz w:val="20"/>
                <w:lang w:val="fr-CA"/>
              </w:rPr>
              <w:noBreakHyphen/>
              <w:t>elle</w:t>
            </w:r>
            <w:proofErr w:type="spellEnd"/>
            <w:r w:rsidRPr="00495EC2">
              <w:rPr>
                <w:sz w:val="20"/>
                <w:lang w:val="fr-CA"/>
              </w:rPr>
              <w:t xml:space="preserve"> être interprétée comme compatible avec l’obligation réglementaire de s’y conformer dans certains cas? – La Cour d’appel </w:t>
            </w:r>
            <w:proofErr w:type="spellStart"/>
            <w:r w:rsidRPr="00495EC2">
              <w:rPr>
                <w:sz w:val="20"/>
                <w:lang w:val="fr-CA"/>
              </w:rPr>
              <w:t>a</w:t>
            </w:r>
            <w:r w:rsidRPr="00495EC2">
              <w:rPr>
                <w:sz w:val="20"/>
                <w:lang w:val="fr-CA"/>
              </w:rPr>
              <w:noBreakHyphen/>
              <w:t>t</w:t>
            </w:r>
            <w:r w:rsidRPr="00495EC2">
              <w:rPr>
                <w:sz w:val="20"/>
                <w:lang w:val="fr-CA"/>
              </w:rPr>
              <w:noBreakHyphen/>
              <w:t>elle</w:t>
            </w:r>
            <w:proofErr w:type="spellEnd"/>
            <w:r w:rsidRPr="00495EC2">
              <w:rPr>
                <w:sz w:val="20"/>
                <w:lang w:val="fr-CA"/>
              </w:rPr>
              <w:t xml:space="preserve"> erré en retenant une interprétation restrictive de ces dispositions plutôt qu’une interprétation compatible avec les droits fondamentaux? – Charte des droits des libertés de la personne, L.R.Q. ch. C</w:t>
            </w:r>
            <w:r w:rsidRPr="00495EC2">
              <w:rPr>
                <w:sz w:val="20"/>
                <w:lang w:val="fr-CA"/>
              </w:rPr>
              <w:noBreakHyphen/>
              <w:t>12, art. 46.1 – Règlement relatif à l'application de la Loi sur la qualité de l'environnement, R.R.Q. ch. Q</w:t>
            </w:r>
            <w:r w:rsidRPr="00495EC2">
              <w:rPr>
                <w:sz w:val="20"/>
                <w:lang w:val="fr-CA"/>
              </w:rPr>
              <w:noBreakHyphen/>
              <w:t xml:space="preserve"> 2, r. 3, art. 8 </w:t>
            </w:r>
            <w:r w:rsidRPr="00495EC2">
              <w:rPr>
                <w:sz w:val="20"/>
                <w:lang w:val="fr-CA"/>
              </w:rPr>
              <w:noBreakHyphen/>
              <w:t xml:space="preserve"> Règlement sur les carrières et sablières, R.R.Q. ch. Q</w:t>
            </w:r>
            <w:r w:rsidRPr="00495EC2">
              <w:rPr>
                <w:sz w:val="20"/>
                <w:lang w:val="fr-CA"/>
              </w:rPr>
              <w:noBreakHyphen/>
              <w:t xml:space="preserve">2, r. 7, art. 10 </w:t>
            </w:r>
            <w:r w:rsidRPr="00495EC2">
              <w:rPr>
                <w:sz w:val="20"/>
                <w:lang w:val="fr-CA"/>
              </w:rPr>
              <w:noBreakHyphen/>
              <w:t xml:space="preserve"> Loi sur l’aménagement et l’urbanisme, L.R.Q. ch. A</w:t>
            </w:r>
            <w:r w:rsidRPr="00495EC2">
              <w:rPr>
                <w:sz w:val="20"/>
                <w:lang w:val="fr-CA"/>
              </w:rPr>
              <w:noBreakHyphen/>
              <w:t>19.1, art. 246.</w:t>
            </w:r>
          </w:p>
        </w:tc>
      </w:tr>
      <w:tr w:rsidR="00794A95" w:rsidRPr="00495EC2" w:rsidTr="00EC5583">
        <w:tc>
          <w:tcPr>
            <w:tcW w:w="5000" w:type="pct"/>
            <w:gridSpan w:val="3"/>
          </w:tcPr>
          <w:p w:rsidR="00794A95" w:rsidRPr="00495EC2" w:rsidRDefault="00794A95" w:rsidP="00EC5583">
            <w:pPr>
              <w:jc w:val="both"/>
              <w:rPr>
                <w:sz w:val="20"/>
                <w:lang w:val="fr-CA"/>
              </w:rPr>
            </w:pPr>
          </w:p>
        </w:tc>
      </w:tr>
      <w:tr w:rsidR="00794A95" w:rsidRPr="009714AD" w:rsidTr="00EC5583">
        <w:tc>
          <w:tcPr>
            <w:tcW w:w="5000" w:type="pct"/>
            <w:gridSpan w:val="3"/>
          </w:tcPr>
          <w:p w:rsidR="00794A95" w:rsidRPr="00495EC2" w:rsidRDefault="00794A95" w:rsidP="00EC5583">
            <w:pPr>
              <w:jc w:val="both"/>
              <w:rPr>
                <w:sz w:val="20"/>
                <w:lang w:val="fr-CA"/>
              </w:rPr>
            </w:pPr>
            <w:r w:rsidRPr="00495EC2">
              <w:rPr>
                <w:sz w:val="20"/>
                <w:lang w:val="fr-CA"/>
              </w:rPr>
              <w:t>Les propriétaires d’un lot de La Bostonnais demandent un permis pour extraire des minéraux du sol; Bétonnière La Tuque demande l’autorisation ministérielle.  Des voisins s’y opposent.  Dans cette zone AF6, dite « </w:t>
            </w:r>
            <w:proofErr w:type="spellStart"/>
            <w:r w:rsidRPr="00495EC2">
              <w:rPr>
                <w:sz w:val="20"/>
                <w:lang w:val="fr-CA"/>
              </w:rPr>
              <w:t>agroforestière</w:t>
            </w:r>
            <w:proofErr w:type="spellEnd"/>
            <w:r w:rsidRPr="00495EC2">
              <w:rPr>
                <w:sz w:val="20"/>
                <w:lang w:val="fr-CA"/>
              </w:rPr>
              <w:t xml:space="preserve"> », plusieurs usages sont autorisés : résidentiel familial, résidentiel </w:t>
            </w:r>
            <w:proofErr w:type="spellStart"/>
            <w:r w:rsidRPr="00495EC2">
              <w:rPr>
                <w:sz w:val="20"/>
                <w:lang w:val="fr-CA"/>
              </w:rPr>
              <w:t>bifamilial</w:t>
            </w:r>
            <w:proofErr w:type="spellEnd"/>
            <w:r w:rsidRPr="00495EC2">
              <w:rPr>
                <w:sz w:val="20"/>
                <w:lang w:val="fr-CA"/>
              </w:rPr>
              <w:t xml:space="preserve">, résidentiel mobile, résidentiel saisonnier, commercial rural et agricole, et les activités de transformation des ressources naturelles.  Les carrières et sablières, selon la grille d’usages du règlement de zonage, appartiennent plutôt aux zones P, dites publiques.  La municipalité fournit cependant un certificat de conformité au ministère de l’Environnement.  En mai 2008, </w:t>
            </w:r>
            <w:proofErr w:type="spellStart"/>
            <w:r w:rsidRPr="00495EC2">
              <w:rPr>
                <w:sz w:val="20"/>
                <w:lang w:val="fr-CA"/>
              </w:rPr>
              <w:t>celui</w:t>
            </w:r>
            <w:r w:rsidRPr="00495EC2">
              <w:rPr>
                <w:sz w:val="20"/>
                <w:lang w:val="fr-CA"/>
              </w:rPr>
              <w:noBreakHyphen/>
              <w:t>ci</w:t>
            </w:r>
            <w:proofErr w:type="spellEnd"/>
            <w:r w:rsidRPr="00495EC2">
              <w:rPr>
                <w:sz w:val="20"/>
                <w:lang w:val="fr-CA"/>
              </w:rPr>
              <w:t xml:space="preserve"> autorise l'exploitation d'une sablière de 6500 mètres carrés.  L'activité de concassage doit durer 20 jours, après quoi la bétonnière pourra s'y approvisionner pendant plusieurs années.  En 2009, l’autorisation est modifiée pour se fonder sur un bail minier car les minéraux du </w:t>
            </w:r>
            <w:proofErr w:type="spellStart"/>
            <w:r w:rsidRPr="00495EC2">
              <w:rPr>
                <w:sz w:val="20"/>
                <w:lang w:val="fr-CA"/>
              </w:rPr>
              <w:t>sous</w:t>
            </w:r>
            <w:r w:rsidRPr="00495EC2">
              <w:rPr>
                <w:sz w:val="20"/>
                <w:lang w:val="fr-CA"/>
              </w:rPr>
              <w:noBreakHyphen/>
              <w:t>sol</w:t>
            </w:r>
            <w:proofErr w:type="spellEnd"/>
            <w:r w:rsidRPr="00495EC2">
              <w:rPr>
                <w:sz w:val="20"/>
                <w:lang w:val="fr-CA"/>
              </w:rPr>
              <w:t xml:space="preserve"> appartiennent toujours à l’État en l’espèce.</w:t>
            </w:r>
          </w:p>
          <w:p w:rsidR="00794A95" w:rsidRPr="00495EC2" w:rsidRDefault="00794A95" w:rsidP="00EC5583">
            <w:pPr>
              <w:jc w:val="both"/>
              <w:rPr>
                <w:sz w:val="20"/>
                <w:lang w:val="fr-CA"/>
              </w:rPr>
            </w:pPr>
          </w:p>
        </w:tc>
      </w:tr>
      <w:tr w:rsidR="00794A95" w:rsidRPr="009714AD" w:rsidTr="00EC5583">
        <w:tc>
          <w:tcPr>
            <w:tcW w:w="2427" w:type="pct"/>
          </w:tcPr>
          <w:p w:rsidR="00794A95" w:rsidRPr="00495EC2" w:rsidRDefault="00794A95" w:rsidP="00EC5583">
            <w:pPr>
              <w:jc w:val="both"/>
              <w:rPr>
                <w:sz w:val="20"/>
                <w:lang w:val="fr-CA"/>
              </w:rPr>
            </w:pPr>
            <w:r w:rsidRPr="00495EC2">
              <w:rPr>
                <w:sz w:val="20"/>
                <w:lang w:val="fr-CA"/>
              </w:rPr>
              <w:t>Le 12 janvier 2011</w:t>
            </w:r>
          </w:p>
          <w:p w:rsidR="00794A95" w:rsidRPr="00495EC2" w:rsidRDefault="00794A95" w:rsidP="00EC5583">
            <w:pPr>
              <w:jc w:val="both"/>
              <w:rPr>
                <w:sz w:val="20"/>
                <w:lang w:val="fr-CA"/>
              </w:rPr>
            </w:pPr>
            <w:r w:rsidRPr="00495EC2">
              <w:rPr>
                <w:sz w:val="20"/>
                <w:lang w:val="fr-CA"/>
              </w:rPr>
              <w:t>Cour supérieure du Québec</w:t>
            </w:r>
          </w:p>
          <w:p w:rsidR="00794A95" w:rsidRPr="00495EC2" w:rsidRDefault="00794A95" w:rsidP="00EC5583">
            <w:pPr>
              <w:jc w:val="both"/>
              <w:rPr>
                <w:sz w:val="20"/>
                <w:lang w:val="fr-CA"/>
              </w:rPr>
            </w:pPr>
            <w:r w:rsidRPr="00495EC2">
              <w:rPr>
                <w:sz w:val="20"/>
                <w:lang w:val="fr-CA"/>
              </w:rPr>
              <w:t>La juge Ouellet</w:t>
            </w:r>
          </w:p>
          <w:p w:rsidR="00794A95" w:rsidRPr="00495EC2" w:rsidRDefault="00794A95" w:rsidP="00EC5583">
            <w:pPr>
              <w:jc w:val="both"/>
              <w:rPr>
                <w:sz w:val="20"/>
                <w:lang w:val="fr-CA"/>
              </w:rPr>
            </w:pPr>
            <w:r w:rsidRPr="00495EC2">
              <w:rPr>
                <w:sz w:val="20"/>
                <w:lang w:val="fr-CA"/>
              </w:rPr>
              <w:t>2011 QCCS 102</w:t>
            </w:r>
          </w:p>
          <w:p w:rsidR="00794A95" w:rsidRPr="00495EC2" w:rsidRDefault="00794A95" w:rsidP="00EC5583">
            <w:pPr>
              <w:jc w:val="both"/>
              <w:rPr>
                <w:sz w:val="20"/>
                <w:lang w:val="fr-CA"/>
              </w:rPr>
            </w:pPr>
          </w:p>
        </w:tc>
        <w:tc>
          <w:tcPr>
            <w:tcW w:w="243" w:type="pct"/>
          </w:tcPr>
          <w:p w:rsidR="00794A95" w:rsidRPr="00495EC2" w:rsidRDefault="00794A95" w:rsidP="00EC5583">
            <w:pPr>
              <w:jc w:val="both"/>
              <w:rPr>
                <w:sz w:val="20"/>
                <w:lang w:val="fr-CA"/>
              </w:rPr>
            </w:pPr>
          </w:p>
        </w:tc>
        <w:tc>
          <w:tcPr>
            <w:tcW w:w="2330" w:type="pct"/>
          </w:tcPr>
          <w:p w:rsidR="00794A95" w:rsidRPr="00495EC2" w:rsidRDefault="00794A95" w:rsidP="00EC5583">
            <w:pPr>
              <w:jc w:val="both"/>
              <w:rPr>
                <w:sz w:val="20"/>
                <w:lang w:val="fr-CA"/>
              </w:rPr>
            </w:pPr>
            <w:r w:rsidRPr="00495EC2">
              <w:rPr>
                <w:sz w:val="20"/>
                <w:lang w:val="fr-CA"/>
              </w:rPr>
              <w:t>Action des demandeurs en nullité accueillie; annulation de l'autorisation ministérielle; ordonnance prononcée contre l’entreprise intimée à l’effet de ne pas entreprendre l’exploitation de la sablière.</w:t>
            </w:r>
          </w:p>
          <w:p w:rsidR="00794A95" w:rsidRPr="00495EC2" w:rsidRDefault="00794A95" w:rsidP="00EC5583">
            <w:pPr>
              <w:jc w:val="both"/>
              <w:rPr>
                <w:sz w:val="20"/>
                <w:lang w:val="fr-CA"/>
              </w:rPr>
            </w:pPr>
          </w:p>
        </w:tc>
      </w:tr>
      <w:tr w:rsidR="00794A95" w:rsidRPr="009714AD" w:rsidTr="00EC5583">
        <w:tc>
          <w:tcPr>
            <w:tcW w:w="2427" w:type="pct"/>
          </w:tcPr>
          <w:p w:rsidR="00794A95" w:rsidRPr="00495EC2" w:rsidRDefault="00794A95" w:rsidP="00EC5583">
            <w:pPr>
              <w:jc w:val="both"/>
              <w:rPr>
                <w:sz w:val="20"/>
                <w:lang w:val="fr-CA"/>
              </w:rPr>
            </w:pPr>
            <w:r w:rsidRPr="00495EC2">
              <w:rPr>
                <w:sz w:val="20"/>
                <w:lang w:val="fr-CA"/>
              </w:rPr>
              <w:t>Le 17 septembre 2012</w:t>
            </w:r>
          </w:p>
          <w:p w:rsidR="00794A95" w:rsidRPr="00495EC2" w:rsidRDefault="00794A95" w:rsidP="00EC5583">
            <w:pPr>
              <w:jc w:val="both"/>
              <w:rPr>
                <w:sz w:val="20"/>
                <w:lang w:val="fr-CA"/>
              </w:rPr>
            </w:pPr>
            <w:r w:rsidRPr="00495EC2">
              <w:rPr>
                <w:sz w:val="20"/>
                <w:lang w:val="fr-CA"/>
              </w:rPr>
              <w:t>Cour d’appel du Québec (Québec)</w:t>
            </w:r>
          </w:p>
          <w:p w:rsidR="00794A95" w:rsidRPr="00495EC2" w:rsidRDefault="00794A95" w:rsidP="00EC5583">
            <w:pPr>
              <w:jc w:val="both"/>
              <w:rPr>
                <w:sz w:val="20"/>
                <w:lang w:val="fr-CA"/>
              </w:rPr>
            </w:pPr>
            <w:r w:rsidRPr="00495EC2">
              <w:rPr>
                <w:sz w:val="20"/>
                <w:lang w:val="fr-CA"/>
              </w:rPr>
              <w:t xml:space="preserve">(Les juges Thibault, </w:t>
            </w:r>
            <w:proofErr w:type="spellStart"/>
            <w:r w:rsidRPr="00495EC2">
              <w:rPr>
                <w:sz w:val="20"/>
                <w:lang w:val="fr-CA"/>
              </w:rPr>
              <w:t>Vézina</w:t>
            </w:r>
            <w:proofErr w:type="spellEnd"/>
            <w:r w:rsidRPr="00495EC2">
              <w:rPr>
                <w:sz w:val="20"/>
                <w:lang w:val="fr-CA"/>
              </w:rPr>
              <w:t xml:space="preserve"> et Fournier)</w:t>
            </w:r>
          </w:p>
          <w:p w:rsidR="00794A95" w:rsidRPr="00495EC2" w:rsidRDefault="00794A95" w:rsidP="00EC5583">
            <w:pPr>
              <w:jc w:val="both"/>
              <w:rPr>
                <w:sz w:val="20"/>
                <w:lang w:val="fr-CA"/>
              </w:rPr>
            </w:pPr>
            <w:r w:rsidRPr="00495EC2">
              <w:rPr>
                <w:sz w:val="20"/>
                <w:lang w:val="fr-CA"/>
              </w:rPr>
              <w:t xml:space="preserve">2012 QCCA 1669 </w:t>
            </w:r>
          </w:p>
          <w:p w:rsidR="00794A95" w:rsidRPr="00495EC2" w:rsidRDefault="00794A95" w:rsidP="00EC5583">
            <w:pPr>
              <w:jc w:val="both"/>
              <w:rPr>
                <w:sz w:val="20"/>
                <w:lang w:val="fr-CA"/>
              </w:rPr>
            </w:pPr>
          </w:p>
        </w:tc>
        <w:tc>
          <w:tcPr>
            <w:tcW w:w="243" w:type="pct"/>
          </w:tcPr>
          <w:p w:rsidR="00794A95" w:rsidRPr="00495EC2" w:rsidRDefault="00794A95" w:rsidP="00EC5583">
            <w:pPr>
              <w:jc w:val="both"/>
              <w:rPr>
                <w:sz w:val="20"/>
                <w:lang w:val="fr-CA"/>
              </w:rPr>
            </w:pPr>
          </w:p>
        </w:tc>
        <w:tc>
          <w:tcPr>
            <w:tcW w:w="2330" w:type="pct"/>
          </w:tcPr>
          <w:p w:rsidR="00794A95" w:rsidRPr="00495EC2" w:rsidRDefault="00794A95" w:rsidP="00EC5583">
            <w:pPr>
              <w:jc w:val="both"/>
              <w:rPr>
                <w:sz w:val="20"/>
                <w:lang w:val="fr-CA"/>
              </w:rPr>
            </w:pPr>
            <w:r w:rsidRPr="00495EC2">
              <w:rPr>
                <w:sz w:val="20"/>
                <w:lang w:val="fr-CA"/>
              </w:rPr>
              <w:t>Appel accueilli; autorisation confirmée; ordonnance annulée.</w:t>
            </w:r>
          </w:p>
        </w:tc>
      </w:tr>
      <w:tr w:rsidR="00794A95" w:rsidRPr="00495EC2" w:rsidTr="00EC5583">
        <w:tc>
          <w:tcPr>
            <w:tcW w:w="2427" w:type="pct"/>
          </w:tcPr>
          <w:p w:rsidR="00794A95" w:rsidRPr="00495EC2" w:rsidRDefault="00794A95" w:rsidP="00EC5583">
            <w:pPr>
              <w:jc w:val="both"/>
              <w:rPr>
                <w:sz w:val="20"/>
                <w:lang w:val="fr-CA"/>
              </w:rPr>
            </w:pPr>
            <w:r w:rsidRPr="00495EC2">
              <w:rPr>
                <w:sz w:val="20"/>
                <w:lang w:val="fr-CA"/>
              </w:rPr>
              <w:t>Le 15 novembre 2012</w:t>
            </w:r>
          </w:p>
          <w:p w:rsidR="00794A95" w:rsidRPr="00495EC2" w:rsidRDefault="00794A95" w:rsidP="00EC5583">
            <w:pPr>
              <w:jc w:val="both"/>
              <w:rPr>
                <w:sz w:val="20"/>
                <w:lang w:val="fr-CA"/>
              </w:rPr>
            </w:pPr>
            <w:r w:rsidRPr="00495EC2">
              <w:rPr>
                <w:sz w:val="20"/>
                <w:lang w:val="fr-CA"/>
              </w:rPr>
              <w:t>Cour suprême du Canada</w:t>
            </w:r>
          </w:p>
        </w:tc>
        <w:tc>
          <w:tcPr>
            <w:tcW w:w="243" w:type="pct"/>
          </w:tcPr>
          <w:p w:rsidR="00794A95" w:rsidRPr="00495EC2" w:rsidRDefault="00794A95" w:rsidP="00EC5583">
            <w:pPr>
              <w:jc w:val="both"/>
              <w:rPr>
                <w:sz w:val="20"/>
                <w:lang w:val="fr-CA"/>
              </w:rPr>
            </w:pPr>
          </w:p>
        </w:tc>
        <w:tc>
          <w:tcPr>
            <w:tcW w:w="2330" w:type="pct"/>
          </w:tcPr>
          <w:p w:rsidR="00794A95" w:rsidRPr="00495EC2" w:rsidRDefault="00794A95" w:rsidP="00EC5583">
            <w:pPr>
              <w:jc w:val="both"/>
              <w:rPr>
                <w:sz w:val="20"/>
                <w:lang w:val="fr-CA"/>
              </w:rPr>
            </w:pPr>
            <w:r w:rsidRPr="00495EC2">
              <w:rPr>
                <w:sz w:val="20"/>
                <w:lang w:val="fr-CA"/>
              </w:rPr>
              <w:t>Demande d'autorisation d'appel déposée.</w:t>
            </w: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63" style="width:2in;height:1pt" o:hrpct="0" o:hralign="center" o:hrstd="t" o:hrnoshade="t" o:hr="t" fillcolor="black [3213]" stroked="f"/>
        </w:pict>
      </w:r>
    </w:p>
    <w:p w:rsidR="000C7850" w:rsidRDefault="000C7850" w:rsidP="000C7850">
      <w:pPr>
        <w:rPr>
          <w:sz w:val="20"/>
          <w:szCs w:val="20"/>
        </w:rPr>
      </w:pPr>
    </w:p>
    <w:p w:rsidR="00A80FCF" w:rsidRDefault="00A80FCF">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5E1C" w:rsidRPr="00841F85" w:rsidTr="009E6124">
        <w:trPr>
          <w:cantSplit/>
        </w:trPr>
        <w:tc>
          <w:tcPr>
            <w:tcW w:w="1458" w:type="dxa"/>
          </w:tcPr>
          <w:p w:rsidR="00DF5E1C" w:rsidRPr="00841F85" w:rsidRDefault="00DF5E1C" w:rsidP="009E6124">
            <w:pPr>
              <w:rPr>
                <w:sz w:val="20"/>
                <w:szCs w:val="20"/>
              </w:rPr>
            </w:pPr>
            <w:r w:rsidRPr="00841F85">
              <w:rPr>
                <w:rStyle w:val="SCCFileNumberChar"/>
                <w:sz w:val="20"/>
                <w:szCs w:val="20"/>
              </w:rPr>
              <w:t>35077</w:t>
            </w:r>
          </w:p>
          <w:p w:rsidR="00DF5E1C" w:rsidRPr="00841F85" w:rsidRDefault="00DF5E1C" w:rsidP="009E6124">
            <w:pPr>
              <w:rPr>
                <w:b/>
                <w:sz w:val="20"/>
                <w:szCs w:val="20"/>
                <w:lang w:val="fr-CA"/>
              </w:rPr>
            </w:pPr>
          </w:p>
        </w:tc>
        <w:tc>
          <w:tcPr>
            <w:tcW w:w="8118" w:type="dxa"/>
          </w:tcPr>
          <w:p w:rsidR="00DF5E1C" w:rsidRPr="00841F85" w:rsidRDefault="00DF5E1C" w:rsidP="009E6124">
            <w:pPr>
              <w:rPr>
                <w:sz w:val="20"/>
                <w:szCs w:val="20"/>
              </w:rPr>
            </w:pPr>
            <w:r w:rsidRPr="00841F85">
              <w:rPr>
                <w:rStyle w:val="SCCLsocChar"/>
                <w:sz w:val="20"/>
                <w:szCs w:val="20"/>
                <w:lang w:val="en-CA"/>
              </w:rPr>
              <w:t xml:space="preserve">Leonard Freedom </w:t>
            </w:r>
            <w:proofErr w:type="spellStart"/>
            <w:r w:rsidRPr="00841F85">
              <w:rPr>
                <w:rStyle w:val="SCCLsocChar"/>
                <w:sz w:val="20"/>
                <w:szCs w:val="20"/>
                <w:lang w:val="en-CA"/>
              </w:rPr>
              <w:t>Ballantyne</w:t>
            </w:r>
            <w:proofErr w:type="spellEnd"/>
            <w:r w:rsidRPr="00841F85">
              <w:rPr>
                <w:rStyle w:val="SCCLsocChar"/>
                <w:sz w:val="20"/>
                <w:szCs w:val="20"/>
                <w:lang w:val="en-CA"/>
              </w:rPr>
              <w:t xml:space="preserve"> v. Her Majesty the Queen</w:t>
            </w:r>
            <w:r w:rsidRPr="00841F85">
              <w:rPr>
                <w:sz w:val="20"/>
                <w:szCs w:val="20"/>
              </w:rPr>
              <w:t xml:space="preserve"> (B.C.) (Criminal) (By Leave)</w:t>
            </w:r>
          </w:p>
          <w:p w:rsidR="00DF5E1C" w:rsidRPr="00841F85" w:rsidRDefault="00DF5E1C" w:rsidP="009E6124">
            <w:pPr>
              <w:rPr>
                <w:sz w:val="20"/>
                <w:szCs w:val="20"/>
              </w:rPr>
            </w:pPr>
          </w:p>
        </w:tc>
      </w:tr>
      <w:tr w:rsidR="00DF5E1C" w:rsidRPr="00841F85" w:rsidTr="009E6124">
        <w:trPr>
          <w:cantSplit/>
        </w:trPr>
        <w:tc>
          <w:tcPr>
            <w:tcW w:w="1458" w:type="dxa"/>
          </w:tcPr>
          <w:p w:rsidR="00DF5E1C" w:rsidRPr="00841F85" w:rsidRDefault="00DF5E1C" w:rsidP="009E6124">
            <w:pPr>
              <w:rPr>
                <w:sz w:val="20"/>
                <w:szCs w:val="20"/>
              </w:rPr>
            </w:pPr>
            <w:r w:rsidRPr="00841F85">
              <w:rPr>
                <w:sz w:val="20"/>
                <w:szCs w:val="20"/>
              </w:rPr>
              <w:t>Coram :</w:t>
            </w:r>
          </w:p>
        </w:tc>
        <w:tc>
          <w:tcPr>
            <w:tcW w:w="8118" w:type="dxa"/>
          </w:tcPr>
          <w:p w:rsidR="00DF5E1C" w:rsidRPr="00841F85" w:rsidRDefault="00DF5E1C" w:rsidP="009E6124">
            <w:pPr>
              <w:rPr>
                <w:sz w:val="20"/>
                <w:szCs w:val="20"/>
              </w:rPr>
            </w:pPr>
            <w:proofErr w:type="spellStart"/>
            <w:r w:rsidRPr="00841F85">
              <w:rPr>
                <w:rStyle w:val="SCCCoramChar"/>
                <w:sz w:val="20"/>
                <w:szCs w:val="20"/>
                <w:lang w:val="en-CA"/>
              </w:rPr>
              <w:t>McLachlin</w:t>
            </w:r>
            <w:proofErr w:type="spellEnd"/>
            <w:r w:rsidRPr="00841F85">
              <w:rPr>
                <w:rStyle w:val="SCCCoramChar"/>
                <w:sz w:val="20"/>
                <w:szCs w:val="20"/>
                <w:lang w:val="en-CA"/>
              </w:rPr>
              <w:t xml:space="preserve"> C.J. and </w:t>
            </w:r>
            <w:proofErr w:type="spellStart"/>
            <w:r w:rsidRPr="00841F85">
              <w:rPr>
                <w:rStyle w:val="SCCCoramChar"/>
                <w:sz w:val="20"/>
                <w:szCs w:val="20"/>
                <w:lang w:val="en-CA"/>
              </w:rPr>
              <w:t>Abella</w:t>
            </w:r>
            <w:proofErr w:type="spellEnd"/>
            <w:r w:rsidRPr="00841F85">
              <w:rPr>
                <w:rStyle w:val="SCCCoramChar"/>
                <w:sz w:val="20"/>
                <w:szCs w:val="20"/>
                <w:lang w:val="en-CA"/>
              </w:rPr>
              <w:t xml:space="preserve"> and Cromwell JJ.</w:t>
            </w:r>
          </w:p>
          <w:p w:rsidR="00DF5E1C" w:rsidRPr="00841F85" w:rsidRDefault="00DF5E1C" w:rsidP="009E6124">
            <w:pPr>
              <w:rPr>
                <w:sz w:val="20"/>
                <w:szCs w:val="20"/>
                <w:u w:val="single"/>
              </w:rPr>
            </w:pPr>
          </w:p>
        </w:tc>
      </w:tr>
      <w:tr w:rsidR="00DF5E1C" w:rsidRPr="009714AD" w:rsidTr="009E6124">
        <w:trPr>
          <w:cantSplit/>
        </w:trPr>
        <w:tc>
          <w:tcPr>
            <w:tcW w:w="9576" w:type="dxa"/>
            <w:gridSpan w:val="2"/>
          </w:tcPr>
          <w:p w:rsidR="00DF5E1C" w:rsidRPr="00841F85" w:rsidRDefault="00DF5E1C" w:rsidP="009E6124">
            <w:pPr>
              <w:pStyle w:val="SCCShortJudgment"/>
              <w:rPr>
                <w:szCs w:val="20"/>
              </w:rPr>
            </w:pPr>
            <w:r w:rsidRPr="00841F85">
              <w:rPr>
                <w:szCs w:val="20"/>
              </w:rPr>
              <w:t>The application for leave to appeal from the judgment of the Court of Appeal for British Columbia (Vancouver), Number CA037876, 2012 BCCA 372, dated September 20, 2012, is dismissed without costs.</w:t>
            </w:r>
          </w:p>
          <w:p w:rsidR="00DF5E1C" w:rsidRPr="00841F85" w:rsidRDefault="00DF5E1C" w:rsidP="009E6124">
            <w:pPr>
              <w:pStyle w:val="SCCShortJudgment"/>
              <w:ind w:firstLine="0"/>
              <w:rPr>
                <w:szCs w:val="20"/>
              </w:rPr>
            </w:pPr>
          </w:p>
          <w:p w:rsidR="00DF5E1C" w:rsidRPr="00841F85" w:rsidRDefault="00DF5E1C" w:rsidP="009E6124">
            <w:pPr>
              <w:pStyle w:val="SCCShortJudgment"/>
              <w:rPr>
                <w:szCs w:val="20"/>
                <w:lang w:val="fr-CA"/>
              </w:rPr>
            </w:pPr>
            <w:r w:rsidRPr="00841F85">
              <w:rPr>
                <w:szCs w:val="20"/>
                <w:lang w:val="fr-CA"/>
              </w:rPr>
              <w:t>La demande d’autorisation d’appel de l’arrêt de la Cour d’appel de la Colombie-Britannique (Vancouver), numéro CA037876, 2012 BCCA 372, daté du 20 septembre 2012, est rejetée sans dépens.</w:t>
            </w:r>
          </w:p>
        </w:tc>
      </w:tr>
    </w:tbl>
    <w:p w:rsidR="000C7850" w:rsidRPr="00DF5E1C"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794A95" w:rsidRPr="00495EC2" w:rsidTr="00EC5583">
        <w:tc>
          <w:tcPr>
            <w:tcW w:w="5000" w:type="pct"/>
            <w:gridSpan w:val="3"/>
          </w:tcPr>
          <w:p w:rsidR="00794A95" w:rsidRPr="00495EC2" w:rsidRDefault="00794A95" w:rsidP="00EC5583">
            <w:pPr>
              <w:jc w:val="both"/>
              <w:rPr>
                <w:rFonts w:eastAsia="Calibri"/>
                <w:sz w:val="20"/>
              </w:rPr>
            </w:pPr>
            <w:r w:rsidRPr="00495EC2">
              <w:rPr>
                <w:rFonts w:eastAsia="Calibri"/>
                <w:sz w:val="20"/>
              </w:rPr>
              <w:t xml:space="preserve">Criminal law – Evidence – Charge to jury – Appeal – Criteria for admissibility of fresh evidence – How s. 683(1)(d) of the </w:t>
            </w:r>
            <w:r w:rsidRPr="00495EC2">
              <w:rPr>
                <w:rFonts w:eastAsia="Calibri"/>
                <w:i/>
                <w:sz w:val="20"/>
              </w:rPr>
              <w:t>Criminal Code</w:t>
            </w:r>
            <w:r w:rsidRPr="00495EC2">
              <w:rPr>
                <w:rFonts w:eastAsia="Calibri"/>
                <w:sz w:val="20"/>
              </w:rPr>
              <w:t xml:space="preserve"> and the </w:t>
            </w:r>
            <w:r w:rsidRPr="00495EC2">
              <w:rPr>
                <w:rFonts w:eastAsia="Calibri"/>
                <w:i/>
                <w:sz w:val="20"/>
              </w:rPr>
              <w:t>Palmer</w:t>
            </w:r>
            <w:r w:rsidRPr="00495EC2">
              <w:rPr>
                <w:rFonts w:eastAsia="Calibri"/>
                <w:sz w:val="20"/>
              </w:rPr>
              <w:t xml:space="preserve"> test for admitting fresh evidence apply to fresh evidence tendered on the issue of identity, when the issue was alive between an accused and his lawyer at trial, and the accused claims to have misunderstood the advice he received from trial counsel – Whether a jury should have been instructed on the defence of self and others available under s. 37 of the </w:t>
            </w:r>
            <w:r w:rsidRPr="00495EC2">
              <w:rPr>
                <w:rFonts w:eastAsia="Calibri"/>
                <w:i/>
                <w:sz w:val="20"/>
              </w:rPr>
              <w:t>Criminal Code</w:t>
            </w:r>
            <w:r w:rsidRPr="00495EC2">
              <w:rPr>
                <w:rFonts w:eastAsia="Calibri"/>
                <w:sz w:val="20"/>
              </w:rPr>
              <w:t xml:space="preserve"> – Whether trial judge instructed jury properly and acted judicially in responding to jury’s questions about s. 34(2) of the </w:t>
            </w:r>
            <w:r w:rsidRPr="00495EC2">
              <w:rPr>
                <w:rFonts w:eastAsia="Calibri"/>
                <w:i/>
                <w:sz w:val="20"/>
              </w:rPr>
              <w:t>Criminal Code</w:t>
            </w:r>
            <w:r w:rsidRPr="00495EC2">
              <w:rPr>
                <w:rFonts w:eastAsia="Calibri"/>
                <w:sz w:val="20"/>
              </w:rPr>
              <w:t>.</w:t>
            </w:r>
          </w:p>
        </w:tc>
      </w:tr>
      <w:tr w:rsidR="00794A95" w:rsidRPr="00495EC2" w:rsidTr="00EC5583">
        <w:tc>
          <w:tcPr>
            <w:tcW w:w="5000" w:type="pct"/>
            <w:gridSpan w:val="3"/>
          </w:tcPr>
          <w:p w:rsidR="00794A95" w:rsidRPr="00495EC2" w:rsidRDefault="00794A95" w:rsidP="00EC5583">
            <w:pPr>
              <w:jc w:val="both"/>
              <w:rPr>
                <w:rFonts w:eastAsia="Calibri"/>
                <w:sz w:val="20"/>
              </w:rPr>
            </w:pPr>
          </w:p>
        </w:tc>
      </w:tr>
      <w:tr w:rsidR="00794A95" w:rsidRPr="00495EC2" w:rsidTr="00EC5583">
        <w:tc>
          <w:tcPr>
            <w:tcW w:w="5000" w:type="pct"/>
            <w:gridSpan w:val="3"/>
          </w:tcPr>
          <w:p w:rsidR="00794A95" w:rsidRPr="00495EC2" w:rsidRDefault="00794A95" w:rsidP="00EC5583">
            <w:pPr>
              <w:jc w:val="both"/>
              <w:rPr>
                <w:rFonts w:eastAsia="Calibri"/>
                <w:sz w:val="20"/>
              </w:rPr>
            </w:pPr>
            <w:r w:rsidRPr="00495EC2">
              <w:rPr>
                <w:rFonts w:eastAsia="Calibri"/>
                <w:sz w:val="20"/>
              </w:rPr>
              <w:t>The applicant was convicted by a jury for the second degree murder of Neil McNamara. McNamara was fatally shot by a shotgun blast when he and other men broke down the door to an apartment occupied by the applicant and three others.  Neither the applicant nor the other occupants of the apartment testified at trial.  Self</w:t>
            </w:r>
            <w:r w:rsidRPr="00495EC2">
              <w:rPr>
                <w:rFonts w:eastAsia="Calibri"/>
                <w:sz w:val="20"/>
              </w:rPr>
              <w:noBreakHyphen/>
              <w:t>defence was the central issue before the jury. During deliberations, the jury had asked the trial judge a number of questions with respect to self</w:t>
            </w:r>
            <w:r w:rsidRPr="00495EC2">
              <w:rPr>
                <w:rFonts w:eastAsia="Calibri"/>
                <w:sz w:val="20"/>
              </w:rPr>
              <w:noBreakHyphen/>
              <w:t>defence.  After the applicant was convicted, one of the other occupants volunteered to be re</w:t>
            </w:r>
            <w:r w:rsidRPr="00495EC2">
              <w:rPr>
                <w:rFonts w:eastAsia="Calibri"/>
                <w:sz w:val="20"/>
              </w:rPr>
              <w:noBreakHyphen/>
              <w:t>examined.  On appeal, the applicant argued ineffective assistance from trial counsel.  He sought to introduce his own affidavit and the transcript of the re</w:t>
            </w:r>
            <w:r w:rsidRPr="00495EC2">
              <w:rPr>
                <w:rFonts w:eastAsia="Calibri"/>
                <w:sz w:val="20"/>
              </w:rPr>
              <w:noBreakHyphen/>
              <w:t>examination as fresh evidence exonerating him.  Trial counsel swore an affidavit denying the allegations against her.  On appeal, the applicant argued that the trial judge erred in his original jury charge on self</w:t>
            </w:r>
            <w:r w:rsidRPr="00495EC2">
              <w:rPr>
                <w:rFonts w:eastAsia="Calibri"/>
                <w:sz w:val="20"/>
              </w:rPr>
              <w:noBreakHyphen/>
              <w:t xml:space="preserve">defence and when answering the jury’s questions. </w:t>
            </w:r>
          </w:p>
          <w:p w:rsidR="00794A95" w:rsidRPr="00495EC2" w:rsidRDefault="00794A95" w:rsidP="00EC5583">
            <w:pPr>
              <w:jc w:val="both"/>
              <w:rPr>
                <w:rFonts w:eastAsia="Calibri"/>
                <w:sz w:val="20"/>
              </w:rPr>
            </w:pPr>
          </w:p>
        </w:tc>
      </w:tr>
      <w:tr w:rsidR="00794A95" w:rsidRPr="00495EC2" w:rsidTr="00EC5583">
        <w:tblPrEx>
          <w:tblCellMar>
            <w:bottom w:w="0" w:type="dxa"/>
          </w:tblCellMar>
        </w:tblPrEx>
        <w:tc>
          <w:tcPr>
            <w:tcW w:w="2390" w:type="pct"/>
          </w:tcPr>
          <w:p w:rsidR="00794A95" w:rsidRPr="00495EC2" w:rsidRDefault="00794A95" w:rsidP="00EC5583">
            <w:pPr>
              <w:jc w:val="both"/>
              <w:rPr>
                <w:rFonts w:eastAsia="Calibri"/>
                <w:sz w:val="20"/>
              </w:rPr>
            </w:pPr>
            <w:r w:rsidRPr="00495EC2">
              <w:rPr>
                <w:rFonts w:eastAsia="Calibri"/>
                <w:sz w:val="20"/>
              </w:rPr>
              <w:t>February 12, 2009</w:t>
            </w:r>
          </w:p>
          <w:p w:rsidR="00794A95" w:rsidRPr="00495EC2" w:rsidRDefault="00794A95" w:rsidP="00EC5583">
            <w:pPr>
              <w:jc w:val="both"/>
              <w:rPr>
                <w:rFonts w:eastAsia="Calibri"/>
                <w:sz w:val="20"/>
              </w:rPr>
            </w:pPr>
            <w:r w:rsidRPr="00495EC2">
              <w:rPr>
                <w:rFonts w:eastAsia="Calibri"/>
                <w:sz w:val="20"/>
              </w:rPr>
              <w:t>Supreme Court of British Columbia</w:t>
            </w:r>
          </w:p>
          <w:p w:rsidR="00794A95" w:rsidRPr="00495EC2" w:rsidRDefault="00794A95" w:rsidP="00EC5583">
            <w:pPr>
              <w:jc w:val="both"/>
              <w:rPr>
                <w:rFonts w:eastAsia="Calibri"/>
                <w:sz w:val="20"/>
              </w:rPr>
            </w:pPr>
            <w:r w:rsidRPr="00495EC2">
              <w:rPr>
                <w:rFonts w:eastAsia="Calibri"/>
                <w:sz w:val="20"/>
              </w:rPr>
              <w:t>(</w:t>
            </w:r>
            <w:proofErr w:type="spellStart"/>
            <w:r w:rsidRPr="00495EC2">
              <w:rPr>
                <w:rFonts w:eastAsia="Calibri"/>
                <w:sz w:val="20"/>
              </w:rPr>
              <w:t>Chamberlist</w:t>
            </w:r>
            <w:proofErr w:type="spellEnd"/>
            <w:r w:rsidRPr="00495EC2">
              <w:rPr>
                <w:rFonts w:eastAsia="Calibri"/>
                <w:sz w:val="20"/>
              </w:rPr>
              <w:t xml:space="preserve"> J.)</w:t>
            </w:r>
          </w:p>
          <w:p w:rsidR="00794A95" w:rsidRPr="00495EC2" w:rsidRDefault="00794A95" w:rsidP="00EC5583">
            <w:pPr>
              <w:jc w:val="both"/>
              <w:rPr>
                <w:rFonts w:eastAsia="Calibri"/>
                <w:sz w:val="20"/>
              </w:rPr>
            </w:pPr>
          </w:p>
        </w:tc>
        <w:tc>
          <w:tcPr>
            <w:tcW w:w="270" w:type="pct"/>
          </w:tcPr>
          <w:p w:rsidR="00794A95" w:rsidRPr="00495EC2" w:rsidRDefault="00794A95" w:rsidP="00EC5583">
            <w:pPr>
              <w:jc w:val="both"/>
              <w:rPr>
                <w:rFonts w:eastAsia="Calibri"/>
                <w:sz w:val="20"/>
              </w:rPr>
            </w:pPr>
          </w:p>
        </w:tc>
        <w:tc>
          <w:tcPr>
            <w:tcW w:w="2340" w:type="pct"/>
          </w:tcPr>
          <w:p w:rsidR="00794A95" w:rsidRPr="00495EC2" w:rsidRDefault="00794A95" w:rsidP="00EC5583">
            <w:pPr>
              <w:jc w:val="both"/>
              <w:rPr>
                <w:rFonts w:eastAsia="Calibri"/>
                <w:sz w:val="20"/>
              </w:rPr>
            </w:pPr>
            <w:r w:rsidRPr="00495EC2">
              <w:rPr>
                <w:rFonts w:eastAsia="Calibri"/>
                <w:sz w:val="20"/>
              </w:rPr>
              <w:t>Conviction by jury for second degree murder</w:t>
            </w:r>
          </w:p>
          <w:p w:rsidR="00794A95" w:rsidRPr="00495EC2" w:rsidRDefault="00794A95" w:rsidP="00EC5583">
            <w:pPr>
              <w:jc w:val="both"/>
              <w:rPr>
                <w:rFonts w:eastAsia="Calibri"/>
                <w:sz w:val="20"/>
              </w:rPr>
            </w:pPr>
          </w:p>
        </w:tc>
      </w:tr>
      <w:tr w:rsidR="00794A95" w:rsidRPr="00495EC2" w:rsidTr="00EC5583">
        <w:tblPrEx>
          <w:tblCellMar>
            <w:bottom w:w="0" w:type="dxa"/>
          </w:tblCellMar>
        </w:tblPrEx>
        <w:tc>
          <w:tcPr>
            <w:tcW w:w="2390" w:type="pct"/>
          </w:tcPr>
          <w:p w:rsidR="00794A95" w:rsidRPr="00495EC2" w:rsidRDefault="00794A95" w:rsidP="00EC5583">
            <w:pPr>
              <w:jc w:val="both"/>
              <w:rPr>
                <w:rFonts w:eastAsia="Calibri"/>
                <w:sz w:val="20"/>
              </w:rPr>
            </w:pPr>
            <w:r w:rsidRPr="00495EC2">
              <w:rPr>
                <w:rFonts w:eastAsia="Calibri"/>
                <w:sz w:val="20"/>
              </w:rPr>
              <w:t>September 20, 2012</w:t>
            </w:r>
          </w:p>
          <w:p w:rsidR="00794A95" w:rsidRPr="00495EC2" w:rsidRDefault="00794A95" w:rsidP="00EC5583">
            <w:pPr>
              <w:jc w:val="both"/>
              <w:rPr>
                <w:rFonts w:eastAsia="Calibri"/>
                <w:sz w:val="20"/>
              </w:rPr>
            </w:pPr>
            <w:r w:rsidRPr="00495EC2">
              <w:rPr>
                <w:rFonts w:eastAsia="Calibri"/>
                <w:sz w:val="20"/>
              </w:rPr>
              <w:t>Court of Appeal for British Columbia (Vancouver)</w:t>
            </w:r>
          </w:p>
          <w:p w:rsidR="00794A95" w:rsidRPr="00495EC2" w:rsidRDefault="00794A95" w:rsidP="00EC5583">
            <w:pPr>
              <w:jc w:val="both"/>
              <w:rPr>
                <w:rFonts w:eastAsia="Calibri"/>
                <w:sz w:val="20"/>
              </w:rPr>
            </w:pPr>
            <w:r w:rsidRPr="00495EC2">
              <w:rPr>
                <w:rFonts w:eastAsia="Calibri"/>
                <w:sz w:val="20"/>
              </w:rPr>
              <w:t>(Finch, Saunders, Frankel JJ.A.)</w:t>
            </w:r>
          </w:p>
          <w:p w:rsidR="00794A95" w:rsidRPr="00495EC2" w:rsidRDefault="00794A95" w:rsidP="00EC5583">
            <w:pPr>
              <w:jc w:val="both"/>
              <w:rPr>
                <w:rFonts w:eastAsia="Calibri"/>
                <w:sz w:val="20"/>
              </w:rPr>
            </w:pPr>
            <w:r w:rsidRPr="00495EC2">
              <w:rPr>
                <w:rFonts w:eastAsia="Calibri"/>
                <w:sz w:val="20"/>
              </w:rPr>
              <w:t>2012 BCCA 372; CA037876</w:t>
            </w:r>
          </w:p>
          <w:p w:rsidR="00794A95" w:rsidRPr="00495EC2" w:rsidRDefault="00794A95" w:rsidP="00EC5583">
            <w:pPr>
              <w:jc w:val="both"/>
              <w:rPr>
                <w:rFonts w:eastAsia="Calibri"/>
                <w:sz w:val="20"/>
              </w:rPr>
            </w:pPr>
          </w:p>
        </w:tc>
        <w:tc>
          <w:tcPr>
            <w:tcW w:w="270" w:type="pct"/>
          </w:tcPr>
          <w:p w:rsidR="00794A95" w:rsidRPr="00495EC2" w:rsidRDefault="00794A95" w:rsidP="00EC5583">
            <w:pPr>
              <w:jc w:val="both"/>
              <w:rPr>
                <w:rFonts w:eastAsia="Calibri"/>
                <w:sz w:val="20"/>
              </w:rPr>
            </w:pPr>
          </w:p>
        </w:tc>
        <w:tc>
          <w:tcPr>
            <w:tcW w:w="2340" w:type="pct"/>
          </w:tcPr>
          <w:p w:rsidR="00794A95" w:rsidRPr="00495EC2" w:rsidRDefault="00794A95" w:rsidP="00EC5583">
            <w:pPr>
              <w:jc w:val="both"/>
              <w:rPr>
                <w:rFonts w:eastAsia="Calibri"/>
                <w:sz w:val="20"/>
              </w:rPr>
            </w:pPr>
            <w:r w:rsidRPr="00495EC2">
              <w:rPr>
                <w:rFonts w:eastAsia="Calibri"/>
                <w:sz w:val="20"/>
              </w:rPr>
              <w:t>Appeal dismissed</w:t>
            </w:r>
          </w:p>
          <w:p w:rsidR="00794A95" w:rsidRPr="00495EC2" w:rsidRDefault="00794A95" w:rsidP="00EC5583">
            <w:pPr>
              <w:jc w:val="both"/>
              <w:rPr>
                <w:rFonts w:eastAsia="Calibri"/>
                <w:sz w:val="20"/>
              </w:rPr>
            </w:pPr>
          </w:p>
        </w:tc>
      </w:tr>
      <w:tr w:rsidR="00794A95" w:rsidRPr="00495EC2" w:rsidTr="00EC5583">
        <w:tblPrEx>
          <w:tblCellMar>
            <w:bottom w:w="0" w:type="dxa"/>
          </w:tblCellMar>
        </w:tblPrEx>
        <w:tc>
          <w:tcPr>
            <w:tcW w:w="2390" w:type="pct"/>
          </w:tcPr>
          <w:p w:rsidR="00794A95" w:rsidRPr="00495EC2" w:rsidRDefault="00794A95" w:rsidP="00EC5583">
            <w:pPr>
              <w:jc w:val="both"/>
              <w:rPr>
                <w:rFonts w:eastAsia="Calibri"/>
                <w:sz w:val="20"/>
              </w:rPr>
            </w:pPr>
            <w:r w:rsidRPr="00495EC2">
              <w:rPr>
                <w:rFonts w:eastAsia="Calibri"/>
                <w:sz w:val="20"/>
              </w:rPr>
              <w:t>November 16, 2012</w:t>
            </w:r>
          </w:p>
          <w:p w:rsidR="00794A95" w:rsidRPr="00495EC2" w:rsidRDefault="00794A95" w:rsidP="00EC5583">
            <w:pPr>
              <w:jc w:val="both"/>
              <w:rPr>
                <w:rFonts w:eastAsia="Calibri"/>
                <w:sz w:val="20"/>
              </w:rPr>
            </w:pPr>
            <w:r w:rsidRPr="00495EC2">
              <w:rPr>
                <w:rFonts w:eastAsia="Calibri"/>
                <w:sz w:val="20"/>
              </w:rPr>
              <w:t>Supreme Court of Canada</w:t>
            </w:r>
          </w:p>
        </w:tc>
        <w:tc>
          <w:tcPr>
            <w:tcW w:w="270" w:type="pct"/>
          </w:tcPr>
          <w:p w:rsidR="00794A95" w:rsidRPr="00495EC2" w:rsidRDefault="00794A95" w:rsidP="00EC5583">
            <w:pPr>
              <w:jc w:val="both"/>
              <w:rPr>
                <w:rFonts w:eastAsia="Calibri"/>
                <w:sz w:val="20"/>
              </w:rPr>
            </w:pPr>
          </w:p>
        </w:tc>
        <w:tc>
          <w:tcPr>
            <w:tcW w:w="2340" w:type="pct"/>
          </w:tcPr>
          <w:p w:rsidR="00794A95" w:rsidRPr="00495EC2" w:rsidRDefault="00794A95" w:rsidP="00EC5583">
            <w:pPr>
              <w:jc w:val="both"/>
              <w:rPr>
                <w:rFonts w:eastAsia="Calibri"/>
                <w:sz w:val="20"/>
              </w:rPr>
            </w:pPr>
            <w:r w:rsidRPr="00495EC2">
              <w:rPr>
                <w:rFonts w:eastAsia="Calibri"/>
                <w:sz w:val="20"/>
              </w:rPr>
              <w:t>Application for leave to appeal filed</w:t>
            </w:r>
          </w:p>
          <w:p w:rsidR="00794A95" w:rsidRPr="00495EC2" w:rsidRDefault="00794A95" w:rsidP="00EC5583">
            <w:pPr>
              <w:jc w:val="both"/>
              <w:rPr>
                <w:rFonts w:eastAsia="Calibri"/>
                <w:sz w:val="20"/>
              </w:rPr>
            </w:pP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64"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794A95" w:rsidRPr="009714AD" w:rsidTr="00EC5583">
        <w:tc>
          <w:tcPr>
            <w:tcW w:w="5000" w:type="pct"/>
            <w:gridSpan w:val="3"/>
          </w:tcPr>
          <w:p w:rsidR="00794A95" w:rsidRPr="00495EC2" w:rsidRDefault="00794A95" w:rsidP="00EC5583">
            <w:pPr>
              <w:jc w:val="both"/>
              <w:rPr>
                <w:rFonts w:eastAsia="Calibri"/>
                <w:sz w:val="20"/>
                <w:lang w:val="fr-CA"/>
              </w:rPr>
            </w:pPr>
            <w:r w:rsidRPr="00495EC2">
              <w:rPr>
                <w:rFonts w:eastAsia="Calibri"/>
                <w:sz w:val="20"/>
                <w:lang w:val="fr-CA"/>
              </w:rPr>
              <w:t>Droit criminel – Preuve – Exposé au jury – Appel – Critères d'admissibilité de nouveaux éléments preuve – Comment l'al. 683(1)</w:t>
            </w:r>
            <w:r w:rsidRPr="00495EC2">
              <w:rPr>
                <w:rFonts w:eastAsia="Calibri"/>
                <w:i/>
                <w:sz w:val="20"/>
                <w:lang w:val="fr-CA"/>
              </w:rPr>
              <w:t>d)</w:t>
            </w:r>
            <w:r w:rsidRPr="00495EC2">
              <w:rPr>
                <w:rFonts w:eastAsia="Calibri"/>
                <w:sz w:val="20"/>
                <w:lang w:val="fr-CA"/>
              </w:rPr>
              <w:t xml:space="preserve"> du</w:t>
            </w:r>
            <w:r w:rsidRPr="00495EC2">
              <w:rPr>
                <w:rFonts w:eastAsia="Calibri"/>
                <w:i/>
                <w:sz w:val="20"/>
                <w:lang w:val="fr-CA"/>
              </w:rPr>
              <w:t xml:space="preserve"> Code criminel</w:t>
            </w:r>
            <w:r w:rsidRPr="00495EC2">
              <w:rPr>
                <w:rFonts w:eastAsia="Calibri"/>
                <w:sz w:val="20"/>
                <w:lang w:val="fr-CA"/>
              </w:rPr>
              <w:t xml:space="preserve"> et le critère de l'arrêt </w:t>
            </w:r>
            <w:r w:rsidRPr="00495EC2">
              <w:rPr>
                <w:rFonts w:eastAsia="Calibri"/>
                <w:i/>
                <w:sz w:val="20"/>
                <w:lang w:val="fr-CA"/>
              </w:rPr>
              <w:t>Palmer</w:t>
            </w:r>
            <w:r w:rsidRPr="00495EC2">
              <w:rPr>
                <w:rFonts w:eastAsia="Calibri"/>
                <w:sz w:val="20"/>
                <w:lang w:val="fr-CA"/>
              </w:rPr>
              <w:t xml:space="preserve"> relativement à l'admission de nouveaux éléments de preuve s'</w:t>
            </w:r>
            <w:proofErr w:type="spellStart"/>
            <w:r w:rsidRPr="00495EC2">
              <w:rPr>
                <w:rFonts w:eastAsia="Calibri"/>
                <w:sz w:val="20"/>
                <w:lang w:val="fr-CA"/>
              </w:rPr>
              <w:t>appliquent</w:t>
            </w:r>
            <w:r w:rsidRPr="00495EC2">
              <w:rPr>
                <w:rFonts w:eastAsia="Calibri"/>
                <w:sz w:val="20"/>
                <w:lang w:val="fr-CA"/>
              </w:rPr>
              <w:noBreakHyphen/>
              <w:t>ils</w:t>
            </w:r>
            <w:proofErr w:type="spellEnd"/>
            <w:r w:rsidRPr="00495EC2">
              <w:rPr>
                <w:rFonts w:eastAsia="Calibri"/>
                <w:sz w:val="20"/>
                <w:lang w:val="fr-CA"/>
              </w:rPr>
              <w:t xml:space="preserve"> aux nouveaux éléments de preuve présentés sur la question de l'identité, lorsque la question pouvait encore être soulevée entre un accusé et son avocate au procès et que l'accusé prétend avoir mal compris le conseil qu'il avait reçu de l'avocate au procès? – Le jury </w:t>
            </w:r>
            <w:proofErr w:type="spellStart"/>
            <w:r w:rsidRPr="00495EC2">
              <w:rPr>
                <w:rFonts w:eastAsia="Calibri"/>
                <w:sz w:val="20"/>
                <w:lang w:val="fr-CA"/>
              </w:rPr>
              <w:t>aurait</w:t>
            </w:r>
            <w:r w:rsidRPr="00495EC2">
              <w:rPr>
                <w:rFonts w:eastAsia="Calibri"/>
                <w:sz w:val="20"/>
                <w:lang w:val="fr-CA"/>
              </w:rPr>
              <w:noBreakHyphen/>
              <w:t>il</w:t>
            </w:r>
            <w:proofErr w:type="spellEnd"/>
            <w:r w:rsidRPr="00495EC2">
              <w:rPr>
                <w:rFonts w:eastAsia="Calibri"/>
                <w:sz w:val="20"/>
                <w:lang w:val="fr-CA"/>
              </w:rPr>
              <w:t xml:space="preserve"> dû recevoir des directives sur la légitime défense et la défense d'autrui prévues à l'art. 37 du</w:t>
            </w:r>
            <w:r w:rsidRPr="00495EC2">
              <w:rPr>
                <w:rFonts w:eastAsia="Calibri"/>
                <w:i/>
                <w:sz w:val="20"/>
                <w:lang w:val="fr-CA"/>
              </w:rPr>
              <w:t xml:space="preserve"> Code criminel</w:t>
            </w:r>
            <w:r w:rsidRPr="00495EC2">
              <w:rPr>
                <w:rFonts w:eastAsia="Calibri"/>
                <w:sz w:val="20"/>
                <w:lang w:val="fr-CA"/>
              </w:rPr>
              <w:t>?</w:t>
            </w:r>
            <w:r w:rsidRPr="00495EC2">
              <w:rPr>
                <w:rFonts w:eastAsia="Calibri"/>
                <w:i/>
                <w:sz w:val="20"/>
                <w:lang w:val="fr-CA"/>
              </w:rPr>
              <w:t xml:space="preserve"> </w:t>
            </w:r>
            <w:r w:rsidRPr="00495EC2">
              <w:rPr>
                <w:rFonts w:eastAsia="Calibri"/>
                <w:sz w:val="20"/>
                <w:lang w:val="fr-CA"/>
              </w:rPr>
              <w:t xml:space="preserve">– Le juge du procès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il</w:t>
            </w:r>
            <w:proofErr w:type="spellEnd"/>
            <w:r w:rsidRPr="00495EC2">
              <w:rPr>
                <w:rFonts w:eastAsia="Calibri"/>
                <w:sz w:val="20"/>
                <w:lang w:val="fr-CA"/>
              </w:rPr>
              <w:t xml:space="preserve"> donné les directives appropriées au jury et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il</w:t>
            </w:r>
            <w:proofErr w:type="spellEnd"/>
            <w:r w:rsidRPr="00495EC2">
              <w:rPr>
                <w:rFonts w:eastAsia="Calibri"/>
                <w:sz w:val="20"/>
                <w:lang w:val="fr-CA"/>
              </w:rPr>
              <w:t xml:space="preserve"> agi d’une manière judiciaire en répondant aux questions du jury au sujet du par. 34(2) du</w:t>
            </w:r>
            <w:r w:rsidRPr="00495EC2">
              <w:rPr>
                <w:rFonts w:eastAsia="Calibri"/>
                <w:i/>
                <w:sz w:val="20"/>
                <w:lang w:val="fr-CA"/>
              </w:rPr>
              <w:t xml:space="preserve"> Code criminel</w:t>
            </w:r>
            <w:r w:rsidRPr="00495EC2">
              <w:rPr>
                <w:rFonts w:eastAsia="Calibri"/>
                <w:sz w:val="20"/>
                <w:lang w:val="fr-CA"/>
              </w:rPr>
              <w:t>?</w:t>
            </w:r>
          </w:p>
        </w:tc>
      </w:tr>
      <w:tr w:rsidR="00794A95" w:rsidRPr="009714AD" w:rsidTr="00EC5583">
        <w:tc>
          <w:tcPr>
            <w:tcW w:w="5000" w:type="pct"/>
            <w:gridSpan w:val="3"/>
          </w:tcPr>
          <w:p w:rsidR="00794A95" w:rsidRPr="00495EC2" w:rsidRDefault="00794A95" w:rsidP="00EC5583">
            <w:pPr>
              <w:jc w:val="both"/>
              <w:rPr>
                <w:rFonts w:eastAsia="Calibri"/>
                <w:sz w:val="20"/>
                <w:lang w:val="fr-CA"/>
              </w:rPr>
            </w:pPr>
          </w:p>
        </w:tc>
      </w:tr>
      <w:tr w:rsidR="00794A95" w:rsidRPr="009714AD" w:rsidTr="00EC5583">
        <w:tc>
          <w:tcPr>
            <w:tcW w:w="5000" w:type="pct"/>
            <w:gridSpan w:val="3"/>
          </w:tcPr>
          <w:p w:rsidR="00794A95" w:rsidRPr="00495EC2" w:rsidRDefault="00794A95" w:rsidP="00EC5583">
            <w:pPr>
              <w:jc w:val="both"/>
              <w:rPr>
                <w:rFonts w:eastAsia="Calibri"/>
                <w:sz w:val="20"/>
                <w:lang w:val="fr-CA"/>
              </w:rPr>
            </w:pPr>
            <w:r w:rsidRPr="00495EC2">
              <w:rPr>
                <w:rFonts w:eastAsia="Calibri"/>
                <w:sz w:val="20"/>
                <w:lang w:val="fr-CA"/>
              </w:rPr>
              <w:t xml:space="preserve">Le demandeur a été déclaré coupable par un jury du meurtre au deuxième degré de Neil </w:t>
            </w:r>
            <w:proofErr w:type="spellStart"/>
            <w:r w:rsidRPr="00495EC2">
              <w:rPr>
                <w:rFonts w:eastAsia="Calibri"/>
                <w:sz w:val="20"/>
                <w:lang w:val="fr-CA"/>
              </w:rPr>
              <w:t>McNamara</w:t>
            </w:r>
            <w:proofErr w:type="spellEnd"/>
            <w:r w:rsidRPr="00495EC2">
              <w:rPr>
                <w:rFonts w:eastAsia="Calibri"/>
                <w:sz w:val="20"/>
                <w:lang w:val="fr-CA"/>
              </w:rPr>
              <w:t xml:space="preserve">.  Monsieur </w:t>
            </w:r>
            <w:proofErr w:type="spellStart"/>
            <w:r w:rsidRPr="00495EC2">
              <w:rPr>
                <w:rFonts w:eastAsia="Calibri"/>
                <w:sz w:val="20"/>
                <w:lang w:val="fr-CA"/>
              </w:rPr>
              <w:t>McNamara</w:t>
            </w:r>
            <w:proofErr w:type="spellEnd"/>
            <w:r w:rsidRPr="00495EC2">
              <w:rPr>
                <w:rFonts w:eastAsia="Calibri"/>
                <w:sz w:val="20"/>
                <w:lang w:val="fr-CA"/>
              </w:rPr>
              <w:t xml:space="preserve"> a été mortellement atteint d’un coup de fusil de chasse lorsque lui et d'autres hommes ont défoncé la porte d'un appartement occupé par le demandeur et trois autres personnes.  Ni le demandeur ni les autres occupants de l'appartement n’ont témoigné au procès.  La légitime défense était la principale question présentée au jury.  Pendant les délibérations, le jury avait posé un certain nombre de questions au juge du procès relativement à la légitime défense.  Après que le demandeur a été déclaré coupable, l'un des occupants s’est offert pour être réinterrogé.  En appel, le demandeur a plaidé l'aide inefficace de l'avocate qui l’avait représenté au procès.  Il a cherché à introduire son propre affidavit et la transcription du </w:t>
            </w:r>
            <w:proofErr w:type="spellStart"/>
            <w:r w:rsidRPr="00495EC2">
              <w:rPr>
                <w:rFonts w:eastAsia="Calibri"/>
                <w:sz w:val="20"/>
                <w:lang w:val="fr-CA"/>
              </w:rPr>
              <w:t>réinterrogatoire</w:t>
            </w:r>
            <w:proofErr w:type="spellEnd"/>
            <w:r w:rsidRPr="00495EC2">
              <w:rPr>
                <w:rFonts w:eastAsia="Calibri"/>
                <w:sz w:val="20"/>
                <w:lang w:val="fr-CA"/>
              </w:rPr>
              <w:t xml:space="preserve"> comme nouveaux éléments de preuve </w:t>
            </w:r>
            <w:proofErr w:type="spellStart"/>
            <w:r w:rsidRPr="00495EC2">
              <w:rPr>
                <w:rFonts w:eastAsia="Calibri"/>
                <w:sz w:val="20"/>
                <w:lang w:val="fr-CA"/>
              </w:rPr>
              <w:t>disculpatoire</w:t>
            </w:r>
            <w:proofErr w:type="spellEnd"/>
            <w:r w:rsidRPr="00495EC2">
              <w:rPr>
                <w:rFonts w:eastAsia="Calibri"/>
                <w:sz w:val="20"/>
                <w:lang w:val="fr-CA"/>
              </w:rPr>
              <w:t xml:space="preserve">.  L'avocate du procès a signé un affidavit niant les allégations portées contre elle.  En appel, le demandeur a plaidé que le juge du procès s'était trompé dans son exposé initial au jury sur la légitime défense et en répondant aux questions du jury. </w:t>
            </w:r>
          </w:p>
          <w:p w:rsidR="00794A95" w:rsidRPr="00495EC2" w:rsidRDefault="00794A95" w:rsidP="00EC5583">
            <w:pPr>
              <w:jc w:val="both"/>
              <w:rPr>
                <w:rFonts w:eastAsia="Calibri"/>
                <w:sz w:val="20"/>
                <w:lang w:val="fr-CA"/>
              </w:rPr>
            </w:pPr>
          </w:p>
        </w:tc>
      </w:tr>
      <w:tr w:rsidR="00794A95" w:rsidRPr="009714AD" w:rsidTr="00EC5583">
        <w:tblPrEx>
          <w:tblCellMar>
            <w:bottom w:w="0" w:type="dxa"/>
          </w:tblCellMar>
        </w:tblPrEx>
        <w:tc>
          <w:tcPr>
            <w:tcW w:w="2390" w:type="pct"/>
          </w:tcPr>
          <w:p w:rsidR="00794A95" w:rsidRPr="00495EC2" w:rsidRDefault="00794A95" w:rsidP="00EC5583">
            <w:pPr>
              <w:jc w:val="both"/>
              <w:rPr>
                <w:rFonts w:eastAsia="Calibri"/>
                <w:sz w:val="20"/>
                <w:lang w:val="fr-CA"/>
              </w:rPr>
            </w:pPr>
            <w:r w:rsidRPr="00495EC2">
              <w:rPr>
                <w:rFonts w:eastAsia="Calibri"/>
                <w:sz w:val="20"/>
                <w:lang w:val="fr-CA"/>
              </w:rPr>
              <w:t>12 février 2009</w:t>
            </w:r>
          </w:p>
          <w:p w:rsidR="00794A95" w:rsidRPr="00495EC2" w:rsidRDefault="00794A95" w:rsidP="00EC5583">
            <w:pPr>
              <w:jc w:val="both"/>
              <w:rPr>
                <w:rFonts w:eastAsia="Calibri"/>
                <w:sz w:val="20"/>
                <w:lang w:val="fr-CA"/>
              </w:rPr>
            </w:pPr>
            <w:r w:rsidRPr="00495EC2">
              <w:rPr>
                <w:rFonts w:eastAsia="Calibri"/>
                <w:sz w:val="20"/>
                <w:lang w:val="fr-CA"/>
              </w:rPr>
              <w:t xml:space="preserve">Cour suprême de la </w:t>
            </w:r>
            <w:proofErr w:type="spellStart"/>
            <w:r w:rsidRPr="00495EC2">
              <w:rPr>
                <w:rFonts w:eastAsia="Calibri"/>
                <w:sz w:val="20"/>
                <w:lang w:val="fr-CA"/>
              </w:rPr>
              <w:t>Colombie</w:t>
            </w:r>
            <w:r w:rsidRPr="00495EC2">
              <w:rPr>
                <w:rFonts w:eastAsia="Calibri"/>
                <w:sz w:val="20"/>
                <w:lang w:val="fr-CA"/>
              </w:rPr>
              <w:noBreakHyphen/>
              <w:t>Britannique</w:t>
            </w:r>
            <w:proofErr w:type="spellEnd"/>
            <w:r w:rsidRPr="00495EC2">
              <w:rPr>
                <w:rFonts w:eastAsia="Calibri"/>
                <w:sz w:val="20"/>
                <w:lang w:val="fr-CA"/>
              </w:rPr>
              <w:t xml:space="preserve"> </w:t>
            </w:r>
          </w:p>
          <w:p w:rsidR="00794A95" w:rsidRPr="00495EC2" w:rsidRDefault="00794A95" w:rsidP="00EC5583">
            <w:pPr>
              <w:jc w:val="both"/>
              <w:rPr>
                <w:rFonts w:eastAsia="Calibri"/>
                <w:sz w:val="20"/>
                <w:lang w:val="fr-CA"/>
              </w:rPr>
            </w:pPr>
            <w:r w:rsidRPr="00495EC2">
              <w:rPr>
                <w:rFonts w:eastAsia="Calibri"/>
                <w:sz w:val="20"/>
                <w:lang w:val="fr-CA"/>
              </w:rPr>
              <w:t xml:space="preserve">(Juge </w:t>
            </w:r>
            <w:proofErr w:type="spellStart"/>
            <w:r w:rsidRPr="00495EC2">
              <w:rPr>
                <w:rFonts w:eastAsia="Calibri"/>
                <w:sz w:val="20"/>
                <w:lang w:val="fr-CA"/>
              </w:rPr>
              <w:t>Chamberlist</w:t>
            </w:r>
            <w:proofErr w:type="spellEnd"/>
            <w:r w:rsidRPr="00495EC2">
              <w:rPr>
                <w:rFonts w:eastAsia="Calibri"/>
                <w:sz w:val="20"/>
                <w:lang w:val="fr-CA"/>
              </w:rPr>
              <w:t>)</w:t>
            </w:r>
          </w:p>
          <w:p w:rsidR="00794A95" w:rsidRPr="00495EC2" w:rsidRDefault="00794A95" w:rsidP="00EC5583">
            <w:pPr>
              <w:jc w:val="both"/>
              <w:rPr>
                <w:rFonts w:eastAsia="Calibri"/>
                <w:sz w:val="20"/>
                <w:lang w:val="fr-CA"/>
              </w:rPr>
            </w:pPr>
          </w:p>
        </w:tc>
        <w:tc>
          <w:tcPr>
            <w:tcW w:w="270" w:type="pct"/>
          </w:tcPr>
          <w:p w:rsidR="00794A95" w:rsidRPr="00495EC2" w:rsidRDefault="00794A95" w:rsidP="00EC5583">
            <w:pPr>
              <w:jc w:val="both"/>
              <w:rPr>
                <w:rFonts w:eastAsia="Calibri"/>
                <w:sz w:val="20"/>
                <w:lang w:val="fr-CA"/>
              </w:rPr>
            </w:pPr>
          </w:p>
        </w:tc>
        <w:tc>
          <w:tcPr>
            <w:tcW w:w="2340" w:type="pct"/>
          </w:tcPr>
          <w:p w:rsidR="00794A95" w:rsidRPr="00495EC2" w:rsidRDefault="00794A95" w:rsidP="00EC5583">
            <w:pPr>
              <w:jc w:val="both"/>
              <w:rPr>
                <w:rFonts w:eastAsia="Calibri"/>
                <w:sz w:val="20"/>
                <w:lang w:val="fr-CA"/>
              </w:rPr>
            </w:pPr>
            <w:r w:rsidRPr="00495EC2">
              <w:rPr>
                <w:rFonts w:eastAsia="Calibri"/>
                <w:sz w:val="20"/>
                <w:lang w:val="fr-CA"/>
              </w:rPr>
              <w:t>Déclaration de culpabilité par un jury de meurtre au deuxième degré</w:t>
            </w:r>
          </w:p>
          <w:p w:rsidR="00794A95" w:rsidRPr="00495EC2" w:rsidRDefault="00794A95" w:rsidP="00EC5583">
            <w:pPr>
              <w:jc w:val="both"/>
              <w:rPr>
                <w:rFonts w:eastAsia="Calibri"/>
                <w:sz w:val="20"/>
                <w:lang w:val="fr-CA"/>
              </w:rPr>
            </w:pPr>
          </w:p>
        </w:tc>
      </w:tr>
      <w:tr w:rsidR="00794A95" w:rsidRPr="00495EC2" w:rsidTr="00EC5583">
        <w:tblPrEx>
          <w:tblCellMar>
            <w:bottom w:w="0" w:type="dxa"/>
          </w:tblCellMar>
        </w:tblPrEx>
        <w:tc>
          <w:tcPr>
            <w:tcW w:w="2390" w:type="pct"/>
          </w:tcPr>
          <w:p w:rsidR="00794A95" w:rsidRPr="00495EC2" w:rsidRDefault="00794A95" w:rsidP="00EC5583">
            <w:pPr>
              <w:jc w:val="both"/>
              <w:rPr>
                <w:rFonts w:eastAsia="Calibri"/>
                <w:sz w:val="20"/>
                <w:lang w:val="fr-CA"/>
              </w:rPr>
            </w:pPr>
            <w:r w:rsidRPr="00495EC2">
              <w:rPr>
                <w:rFonts w:eastAsia="Calibri"/>
                <w:sz w:val="20"/>
                <w:lang w:val="fr-CA"/>
              </w:rPr>
              <w:t>20 septembre 2012</w:t>
            </w:r>
          </w:p>
          <w:p w:rsidR="00794A95" w:rsidRPr="00495EC2" w:rsidRDefault="00794A95" w:rsidP="00EC5583">
            <w:pPr>
              <w:jc w:val="both"/>
              <w:rPr>
                <w:rFonts w:eastAsia="Calibri"/>
                <w:sz w:val="20"/>
                <w:lang w:val="fr-CA"/>
              </w:rPr>
            </w:pPr>
            <w:r w:rsidRPr="00495EC2">
              <w:rPr>
                <w:rFonts w:eastAsia="Calibri"/>
                <w:sz w:val="20"/>
                <w:lang w:val="fr-CA"/>
              </w:rPr>
              <w:t>Cour d'appel de la Colombie Britannique (Vancouver)</w:t>
            </w:r>
          </w:p>
          <w:p w:rsidR="00794A95" w:rsidRPr="00495EC2" w:rsidRDefault="00794A95" w:rsidP="00EC5583">
            <w:pPr>
              <w:jc w:val="both"/>
              <w:rPr>
                <w:rFonts w:eastAsia="Calibri"/>
                <w:sz w:val="20"/>
                <w:lang w:val="fr-CA"/>
              </w:rPr>
            </w:pPr>
            <w:r w:rsidRPr="00495EC2">
              <w:rPr>
                <w:rFonts w:eastAsia="Calibri"/>
                <w:sz w:val="20"/>
                <w:lang w:val="fr-CA"/>
              </w:rPr>
              <w:t xml:space="preserve">(Juge en chef </w:t>
            </w:r>
            <w:proofErr w:type="spellStart"/>
            <w:r w:rsidRPr="00495EC2">
              <w:rPr>
                <w:rFonts w:eastAsia="Calibri"/>
                <w:sz w:val="20"/>
                <w:lang w:val="fr-CA"/>
              </w:rPr>
              <w:t>Finch</w:t>
            </w:r>
            <w:proofErr w:type="spellEnd"/>
            <w:r w:rsidRPr="00495EC2">
              <w:rPr>
                <w:rFonts w:eastAsia="Calibri"/>
                <w:sz w:val="20"/>
                <w:lang w:val="fr-CA"/>
              </w:rPr>
              <w:t xml:space="preserve">, juges </w:t>
            </w:r>
            <w:proofErr w:type="spellStart"/>
            <w:r w:rsidRPr="00495EC2">
              <w:rPr>
                <w:rFonts w:eastAsia="Calibri"/>
                <w:sz w:val="20"/>
                <w:lang w:val="fr-CA"/>
              </w:rPr>
              <w:t>Saunders</w:t>
            </w:r>
            <w:proofErr w:type="spellEnd"/>
            <w:r w:rsidRPr="00495EC2">
              <w:rPr>
                <w:rFonts w:eastAsia="Calibri"/>
                <w:sz w:val="20"/>
                <w:lang w:val="fr-CA"/>
              </w:rPr>
              <w:t xml:space="preserve"> et </w:t>
            </w:r>
            <w:proofErr w:type="spellStart"/>
            <w:r w:rsidRPr="00495EC2">
              <w:rPr>
                <w:rFonts w:eastAsia="Calibri"/>
                <w:sz w:val="20"/>
                <w:lang w:val="fr-CA"/>
              </w:rPr>
              <w:t>Frankel</w:t>
            </w:r>
            <w:proofErr w:type="spellEnd"/>
            <w:r w:rsidRPr="00495EC2">
              <w:rPr>
                <w:rFonts w:eastAsia="Calibri"/>
                <w:sz w:val="20"/>
                <w:lang w:val="fr-CA"/>
              </w:rPr>
              <w:t>)</w:t>
            </w:r>
          </w:p>
          <w:p w:rsidR="00794A95" w:rsidRPr="00495EC2" w:rsidRDefault="00794A95" w:rsidP="00EC5583">
            <w:pPr>
              <w:jc w:val="both"/>
              <w:rPr>
                <w:rFonts w:eastAsia="Calibri"/>
                <w:sz w:val="20"/>
                <w:lang w:val="fr-CA"/>
              </w:rPr>
            </w:pPr>
            <w:r w:rsidRPr="00495EC2">
              <w:rPr>
                <w:rFonts w:eastAsia="Calibri"/>
                <w:sz w:val="20"/>
                <w:lang w:val="fr-CA"/>
              </w:rPr>
              <w:t>2012 BCCA 372; CA037876</w:t>
            </w:r>
          </w:p>
          <w:p w:rsidR="00794A95" w:rsidRPr="00495EC2" w:rsidRDefault="00794A95" w:rsidP="00EC5583">
            <w:pPr>
              <w:jc w:val="both"/>
              <w:rPr>
                <w:rFonts w:eastAsia="Calibri"/>
                <w:sz w:val="20"/>
                <w:lang w:val="fr-CA"/>
              </w:rPr>
            </w:pPr>
          </w:p>
        </w:tc>
        <w:tc>
          <w:tcPr>
            <w:tcW w:w="270" w:type="pct"/>
          </w:tcPr>
          <w:p w:rsidR="00794A95" w:rsidRPr="00495EC2" w:rsidRDefault="00794A95" w:rsidP="00EC5583">
            <w:pPr>
              <w:jc w:val="both"/>
              <w:rPr>
                <w:rFonts w:eastAsia="Calibri"/>
                <w:sz w:val="20"/>
                <w:lang w:val="fr-CA"/>
              </w:rPr>
            </w:pPr>
          </w:p>
        </w:tc>
        <w:tc>
          <w:tcPr>
            <w:tcW w:w="2340" w:type="pct"/>
          </w:tcPr>
          <w:p w:rsidR="00794A95" w:rsidRPr="00495EC2" w:rsidRDefault="00794A95" w:rsidP="00EC5583">
            <w:pPr>
              <w:jc w:val="both"/>
              <w:rPr>
                <w:rFonts w:eastAsia="Calibri"/>
                <w:sz w:val="20"/>
                <w:lang w:val="fr-CA"/>
              </w:rPr>
            </w:pPr>
            <w:r w:rsidRPr="00495EC2">
              <w:rPr>
                <w:rFonts w:eastAsia="Calibri"/>
                <w:sz w:val="20"/>
                <w:lang w:val="fr-CA"/>
              </w:rPr>
              <w:t>Appel rejeté</w:t>
            </w:r>
          </w:p>
          <w:p w:rsidR="00794A95" w:rsidRPr="00495EC2" w:rsidRDefault="00794A95" w:rsidP="00EC5583">
            <w:pPr>
              <w:jc w:val="both"/>
              <w:rPr>
                <w:rFonts w:eastAsia="Calibri"/>
                <w:sz w:val="20"/>
                <w:lang w:val="fr-CA"/>
              </w:rPr>
            </w:pPr>
          </w:p>
        </w:tc>
      </w:tr>
      <w:tr w:rsidR="00794A95" w:rsidRPr="00495EC2" w:rsidTr="00EC5583">
        <w:tblPrEx>
          <w:tblCellMar>
            <w:bottom w:w="0" w:type="dxa"/>
          </w:tblCellMar>
        </w:tblPrEx>
        <w:tc>
          <w:tcPr>
            <w:tcW w:w="2390" w:type="pct"/>
          </w:tcPr>
          <w:p w:rsidR="00794A95" w:rsidRPr="00495EC2" w:rsidRDefault="00794A95" w:rsidP="00EC5583">
            <w:pPr>
              <w:jc w:val="both"/>
              <w:rPr>
                <w:rFonts w:eastAsia="Calibri"/>
                <w:sz w:val="20"/>
                <w:lang w:val="fr-CA"/>
              </w:rPr>
            </w:pPr>
            <w:r w:rsidRPr="00495EC2">
              <w:rPr>
                <w:rFonts w:eastAsia="Calibri"/>
                <w:sz w:val="20"/>
                <w:lang w:val="fr-CA"/>
              </w:rPr>
              <w:t>16 novembre 2012</w:t>
            </w:r>
          </w:p>
          <w:p w:rsidR="00794A95" w:rsidRPr="00495EC2" w:rsidRDefault="00794A95" w:rsidP="00EC5583">
            <w:pPr>
              <w:jc w:val="both"/>
              <w:rPr>
                <w:rFonts w:eastAsia="Calibri"/>
                <w:sz w:val="20"/>
                <w:lang w:val="fr-CA"/>
              </w:rPr>
            </w:pPr>
            <w:r w:rsidRPr="00495EC2">
              <w:rPr>
                <w:rFonts w:eastAsia="Calibri"/>
                <w:sz w:val="20"/>
                <w:lang w:val="fr-CA"/>
              </w:rPr>
              <w:t>Cour suprême du Canada</w:t>
            </w:r>
          </w:p>
        </w:tc>
        <w:tc>
          <w:tcPr>
            <w:tcW w:w="270" w:type="pct"/>
          </w:tcPr>
          <w:p w:rsidR="00794A95" w:rsidRPr="00495EC2" w:rsidRDefault="00794A95" w:rsidP="00EC5583">
            <w:pPr>
              <w:jc w:val="both"/>
              <w:rPr>
                <w:rFonts w:eastAsia="Calibri"/>
                <w:sz w:val="20"/>
                <w:lang w:val="fr-CA"/>
              </w:rPr>
            </w:pPr>
          </w:p>
        </w:tc>
        <w:tc>
          <w:tcPr>
            <w:tcW w:w="2340" w:type="pct"/>
          </w:tcPr>
          <w:p w:rsidR="00794A95" w:rsidRPr="00495EC2" w:rsidRDefault="00794A95" w:rsidP="00EC5583">
            <w:pPr>
              <w:jc w:val="both"/>
              <w:rPr>
                <w:rFonts w:eastAsia="Calibri"/>
                <w:sz w:val="20"/>
                <w:lang w:val="fr-CA"/>
              </w:rPr>
            </w:pPr>
            <w:r w:rsidRPr="00495EC2">
              <w:rPr>
                <w:rFonts w:eastAsia="Calibri"/>
                <w:sz w:val="20"/>
                <w:lang w:val="fr-CA"/>
              </w:rPr>
              <w:t>Demande d'autorisation d'appel, déposée</w:t>
            </w:r>
          </w:p>
          <w:p w:rsidR="00794A95" w:rsidRPr="00495EC2" w:rsidRDefault="00794A95" w:rsidP="00EC5583">
            <w:pPr>
              <w:jc w:val="both"/>
              <w:rPr>
                <w:rFonts w:eastAsia="Calibri"/>
                <w:sz w:val="20"/>
                <w:lang w:val="fr-CA"/>
              </w:rPr>
            </w:pP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65"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5E1C" w:rsidRPr="00841F85" w:rsidTr="009E6124">
        <w:trPr>
          <w:cantSplit/>
        </w:trPr>
        <w:tc>
          <w:tcPr>
            <w:tcW w:w="1458" w:type="dxa"/>
          </w:tcPr>
          <w:p w:rsidR="00DF5E1C" w:rsidRPr="00841F85" w:rsidRDefault="00DF5E1C" w:rsidP="009E6124">
            <w:pPr>
              <w:rPr>
                <w:sz w:val="20"/>
                <w:szCs w:val="20"/>
              </w:rPr>
            </w:pPr>
            <w:r w:rsidRPr="00841F85">
              <w:rPr>
                <w:rStyle w:val="SCCFileNumberChar"/>
                <w:sz w:val="20"/>
                <w:szCs w:val="20"/>
              </w:rPr>
              <w:t>35093</w:t>
            </w:r>
          </w:p>
          <w:p w:rsidR="00DF5E1C" w:rsidRPr="00841F85" w:rsidRDefault="00DF5E1C" w:rsidP="009E6124">
            <w:pPr>
              <w:rPr>
                <w:b/>
                <w:sz w:val="20"/>
                <w:szCs w:val="20"/>
                <w:lang w:val="fr-CA"/>
              </w:rPr>
            </w:pPr>
          </w:p>
        </w:tc>
        <w:tc>
          <w:tcPr>
            <w:tcW w:w="8118" w:type="dxa"/>
          </w:tcPr>
          <w:p w:rsidR="00DF5E1C" w:rsidRPr="00841F85" w:rsidRDefault="00DF5E1C" w:rsidP="009E6124">
            <w:pPr>
              <w:rPr>
                <w:sz w:val="20"/>
                <w:szCs w:val="20"/>
              </w:rPr>
            </w:pPr>
            <w:proofErr w:type="spellStart"/>
            <w:r w:rsidRPr="00841F85">
              <w:rPr>
                <w:rStyle w:val="SCCLsocChar"/>
                <w:sz w:val="20"/>
                <w:szCs w:val="20"/>
                <w:lang w:val="en-CA"/>
              </w:rPr>
              <w:t>Dax</w:t>
            </w:r>
            <w:proofErr w:type="spellEnd"/>
            <w:r w:rsidRPr="00841F85">
              <w:rPr>
                <w:rStyle w:val="SCCLsocChar"/>
                <w:sz w:val="20"/>
                <w:szCs w:val="20"/>
                <w:lang w:val="en-CA"/>
              </w:rPr>
              <w:t xml:space="preserve"> Richard Mack v. Her Majesty the Queen</w:t>
            </w:r>
            <w:r w:rsidRPr="00841F85">
              <w:rPr>
                <w:sz w:val="20"/>
                <w:szCs w:val="20"/>
              </w:rPr>
              <w:t xml:space="preserve"> (Alta.) (Criminal) (By Leave)</w:t>
            </w:r>
          </w:p>
          <w:p w:rsidR="00DF5E1C" w:rsidRPr="00841F85" w:rsidRDefault="00DF5E1C" w:rsidP="009E6124">
            <w:pPr>
              <w:rPr>
                <w:sz w:val="20"/>
                <w:szCs w:val="20"/>
              </w:rPr>
            </w:pPr>
          </w:p>
        </w:tc>
      </w:tr>
      <w:tr w:rsidR="00DF5E1C" w:rsidRPr="00841F85" w:rsidTr="009E6124">
        <w:trPr>
          <w:cantSplit/>
        </w:trPr>
        <w:tc>
          <w:tcPr>
            <w:tcW w:w="1458" w:type="dxa"/>
          </w:tcPr>
          <w:p w:rsidR="00DF5E1C" w:rsidRPr="00841F85" w:rsidRDefault="00DF5E1C" w:rsidP="009E6124">
            <w:pPr>
              <w:rPr>
                <w:sz w:val="20"/>
                <w:szCs w:val="20"/>
              </w:rPr>
            </w:pPr>
            <w:r w:rsidRPr="00841F85">
              <w:rPr>
                <w:sz w:val="20"/>
                <w:szCs w:val="20"/>
              </w:rPr>
              <w:t>Coram :</w:t>
            </w:r>
          </w:p>
        </w:tc>
        <w:tc>
          <w:tcPr>
            <w:tcW w:w="8118" w:type="dxa"/>
          </w:tcPr>
          <w:p w:rsidR="00DF5E1C" w:rsidRPr="00841F85" w:rsidRDefault="00DF5E1C" w:rsidP="009E6124">
            <w:pPr>
              <w:rPr>
                <w:sz w:val="20"/>
                <w:szCs w:val="20"/>
              </w:rPr>
            </w:pPr>
            <w:proofErr w:type="spellStart"/>
            <w:r w:rsidRPr="00841F85">
              <w:rPr>
                <w:rStyle w:val="SCCCoramChar"/>
                <w:sz w:val="20"/>
                <w:szCs w:val="20"/>
                <w:lang w:val="en-CA"/>
              </w:rPr>
              <w:t>LeBel</w:t>
            </w:r>
            <w:proofErr w:type="spellEnd"/>
            <w:r w:rsidRPr="00841F85">
              <w:rPr>
                <w:rStyle w:val="SCCCoramChar"/>
                <w:sz w:val="20"/>
                <w:szCs w:val="20"/>
                <w:lang w:val="en-CA"/>
              </w:rPr>
              <w:t xml:space="preserve">, </w:t>
            </w:r>
            <w:proofErr w:type="spellStart"/>
            <w:r w:rsidRPr="00841F85">
              <w:rPr>
                <w:rStyle w:val="SCCCoramChar"/>
                <w:sz w:val="20"/>
                <w:szCs w:val="20"/>
                <w:lang w:val="en-CA"/>
              </w:rPr>
              <w:t>Karakatsanis</w:t>
            </w:r>
            <w:proofErr w:type="spellEnd"/>
            <w:r w:rsidRPr="00841F85">
              <w:rPr>
                <w:rStyle w:val="SCCCoramChar"/>
                <w:sz w:val="20"/>
                <w:szCs w:val="20"/>
                <w:lang w:val="en-CA"/>
              </w:rPr>
              <w:t xml:space="preserve"> and Wagner JJ.</w:t>
            </w:r>
          </w:p>
          <w:p w:rsidR="00DF5E1C" w:rsidRPr="00841F85" w:rsidRDefault="00DF5E1C" w:rsidP="009E6124">
            <w:pPr>
              <w:rPr>
                <w:sz w:val="20"/>
                <w:szCs w:val="20"/>
                <w:u w:val="single"/>
              </w:rPr>
            </w:pPr>
          </w:p>
        </w:tc>
      </w:tr>
      <w:tr w:rsidR="00DF5E1C" w:rsidRPr="009714AD" w:rsidTr="009E6124">
        <w:trPr>
          <w:cantSplit/>
        </w:trPr>
        <w:tc>
          <w:tcPr>
            <w:tcW w:w="9576" w:type="dxa"/>
            <w:gridSpan w:val="2"/>
          </w:tcPr>
          <w:p w:rsidR="00DF5E1C" w:rsidRPr="00841F85" w:rsidRDefault="00DF5E1C" w:rsidP="009E6124">
            <w:pPr>
              <w:pStyle w:val="SCCShortJudgment"/>
              <w:rPr>
                <w:szCs w:val="20"/>
              </w:rPr>
            </w:pPr>
            <w:r w:rsidRPr="00841F85">
              <w:rPr>
                <w:szCs w:val="20"/>
              </w:rPr>
              <w:t xml:space="preserve">The motion for an extension of time to serve and file the application for leave to appeal is granted. The application for leave to appeal from the judgment of the Court of Appeal of Alberta (Edmonton), Number 0803-0054-A, </w:t>
            </w:r>
            <w:proofErr w:type="gramStart"/>
            <w:r w:rsidRPr="00841F85">
              <w:rPr>
                <w:szCs w:val="20"/>
              </w:rPr>
              <w:t>2012</w:t>
            </w:r>
            <w:proofErr w:type="gramEnd"/>
            <w:r w:rsidRPr="00841F85">
              <w:rPr>
                <w:szCs w:val="20"/>
              </w:rPr>
              <w:t xml:space="preserve"> ABCA 42, dated February 27, 2012, is granted without costs.</w:t>
            </w:r>
          </w:p>
          <w:p w:rsidR="00DF5E1C" w:rsidRPr="00841F85" w:rsidRDefault="00DF5E1C" w:rsidP="009E6124">
            <w:pPr>
              <w:pStyle w:val="SCCShortJudgment"/>
              <w:ind w:firstLine="0"/>
              <w:rPr>
                <w:szCs w:val="20"/>
              </w:rPr>
            </w:pPr>
          </w:p>
          <w:p w:rsidR="00DF5E1C" w:rsidRPr="00841F85" w:rsidRDefault="00DF5E1C" w:rsidP="009E6124">
            <w:pPr>
              <w:pStyle w:val="SCCShortJudgment"/>
              <w:rPr>
                <w:szCs w:val="20"/>
                <w:lang w:val="fr-CA"/>
              </w:rPr>
            </w:pPr>
            <w:r w:rsidRPr="00841F85">
              <w:rPr>
                <w:szCs w:val="20"/>
                <w:lang w:val="fr-CA"/>
              </w:rPr>
              <w:t>La requête en prorogation du délai de signification et de dépôt de la demande d’autorisation d’appel est accueillie. La demande d’autorisation d’appel de l’arrêt de la Cour d’appel de l’Alberta (Edmonton), numéro 0803-0054-A, 2012 ABCA 42, daté du 27 février 2012, est accueillie sans dépens.</w:t>
            </w:r>
          </w:p>
        </w:tc>
      </w:tr>
    </w:tbl>
    <w:p w:rsidR="000C7850" w:rsidRPr="000C7850"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94A95" w:rsidRPr="00495EC2" w:rsidTr="00EC5583">
        <w:tc>
          <w:tcPr>
            <w:tcW w:w="5000" w:type="pct"/>
            <w:gridSpan w:val="3"/>
          </w:tcPr>
          <w:p w:rsidR="00794A95" w:rsidRPr="00495EC2" w:rsidRDefault="00794A95" w:rsidP="00EC5583">
            <w:pPr>
              <w:jc w:val="both"/>
              <w:rPr>
                <w:rFonts w:eastAsia="Calibri"/>
                <w:smallCaps/>
                <w:sz w:val="20"/>
              </w:rPr>
            </w:pPr>
            <w:r w:rsidRPr="00495EC2">
              <w:rPr>
                <w:rFonts w:eastAsia="Calibri"/>
                <w:smallCaps/>
                <w:sz w:val="20"/>
              </w:rPr>
              <w:t xml:space="preserve">(Sealing </w:t>
            </w:r>
            <w:r>
              <w:rPr>
                <w:rFonts w:eastAsia="Calibri"/>
                <w:smallCaps/>
                <w:sz w:val="20"/>
              </w:rPr>
              <w:t>O</w:t>
            </w:r>
            <w:r w:rsidRPr="00495EC2">
              <w:rPr>
                <w:rFonts w:eastAsia="Calibri"/>
                <w:smallCaps/>
                <w:sz w:val="20"/>
              </w:rPr>
              <w:t>rder)</w:t>
            </w:r>
          </w:p>
          <w:p w:rsidR="00794A95" w:rsidRPr="00495EC2" w:rsidRDefault="00794A95" w:rsidP="00EC5583">
            <w:pPr>
              <w:jc w:val="both"/>
              <w:rPr>
                <w:rFonts w:eastAsia="Calibri"/>
                <w:sz w:val="20"/>
              </w:rPr>
            </w:pPr>
          </w:p>
          <w:p w:rsidR="00794A95" w:rsidRPr="00495EC2" w:rsidRDefault="00794A95" w:rsidP="00EC5583">
            <w:pPr>
              <w:jc w:val="both"/>
              <w:rPr>
                <w:rFonts w:eastAsia="Calibri"/>
                <w:sz w:val="20"/>
              </w:rPr>
            </w:pPr>
            <w:r w:rsidRPr="00495EC2">
              <w:rPr>
                <w:rFonts w:eastAsia="Calibri"/>
                <w:i/>
                <w:sz w:val="20"/>
              </w:rPr>
              <w:t xml:space="preserve">Canadian Charter of Rights and Freedoms </w:t>
            </w:r>
            <w:r w:rsidRPr="00495EC2">
              <w:rPr>
                <w:rFonts w:eastAsia="Calibri"/>
                <w:sz w:val="20"/>
              </w:rPr>
              <w:t xml:space="preserve">– Criminal law – Evidence – Whether applicant’s statements made to undercover officers should be excluded under s. 24(2) of the </w:t>
            </w:r>
            <w:r w:rsidRPr="00495EC2">
              <w:rPr>
                <w:rFonts w:eastAsia="Calibri"/>
                <w:i/>
                <w:sz w:val="20"/>
              </w:rPr>
              <w:t>Charter</w:t>
            </w:r>
            <w:r w:rsidRPr="00495EC2">
              <w:rPr>
                <w:rFonts w:eastAsia="Calibri"/>
                <w:sz w:val="20"/>
              </w:rPr>
              <w:t xml:space="preserve"> – Adequacy of charge to the jury on the danger of relying on the statements of the applicant to undercover officers – Adequacy of instructions to the jury regarding the alternate suspect witness.</w:t>
            </w:r>
          </w:p>
        </w:tc>
      </w:tr>
      <w:tr w:rsidR="00794A95" w:rsidRPr="00495EC2" w:rsidTr="00EC5583">
        <w:tc>
          <w:tcPr>
            <w:tcW w:w="5000" w:type="pct"/>
            <w:gridSpan w:val="3"/>
          </w:tcPr>
          <w:p w:rsidR="00794A95" w:rsidRPr="00495EC2" w:rsidRDefault="00794A95" w:rsidP="00EC5583">
            <w:pPr>
              <w:jc w:val="both"/>
              <w:rPr>
                <w:rFonts w:eastAsia="Calibri"/>
                <w:sz w:val="20"/>
              </w:rPr>
            </w:pPr>
          </w:p>
        </w:tc>
      </w:tr>
      <w:tr w:rsidR="00794A95" w:rsidRPr="00495EC2" w:rsidTr="00EC5583">
        <w:tc>
          <w:tcPr>
            <w:tcW w:w="5000" w:type="pct"/>
            <w:gridSpan w:val="3"/>
          </w:tcPr>
          <w:p w:rsidR="00794A95" w:rsidRPr="00495EC2" w:rsidRDefault="00794A95" w:rsidP="00EC5583">
            <w:pPr>
              <w:jc w:val="both"/>
              <w:rPr>
                <w:rFonts w:eastAsia="Calibri"/>
                <w:sz w:val="20"/>
              </w:rPr>
            </w:pPr>
            <w:proofErr w:type="spellStart"/>
            <w:r w:rsidRPr="00495EC2">
              <w:rPr>
                <w:rFonts w:eastAsia="Calibri"/>
                <w:sz w:val="20"/>
              </w:rPr>
              <w:t>Dax</w:t>
            </w:r>
            <w:proofErr w:type="spellEnd"/>
            <w:r w:rsidRPr="00495EC2">
              <w:rPr>
                <w:rFonts w:eastAsia="Calibri"/>
                <w:sz w:val="20"/>
              </w:rPr>
              <w:t xml:space="preserve"> Richard Mack, Robert </w:t>
            </w:r>
            <w:proofErr w:type="spellStart"/>
            <w:r w:rsidRPr="00495EC2">
              <w:rPr>
                <w:rFonts w:eastAsia="Calibri"/>
                <w:sz w:val="20"/>
              </w:rPr>
              <w:t>Levoir</w:t>
            </w:r>
            <w:proofErr w:type="spellEnd"/>
            <w:r w:rsidRPr="00495EC2">
              <w:rPr>
                <w:rFonts w:eastAsia="Calibri"/>
                <w:sz w:val="20"/>
              </w:rPr>
              <w:t xml:space="preserve"> and Michael </w:t>
            </w:r>
            <w:proofErr w:type="spellStart"/>
            <w:r w:rsidRPr="00495EC2">
              <w:rPr>
                <w:rFonts w:eastAsia="Calibri"/>
                <w:sz w:val="20"/>
              </w:rPr>
              <w:t>Argueta</w:t>
            </w:r>
            <w:proofErr w:type="spellEnd"/>
            <w:r w:rsidRPr="00495EC2">
              <w:rPr>
                <w:rFonts w:eastAsia="Calibri"/>
                <w:sz w:val="20"/>
              </w:rPr>
              <w:t xml:space="preserve"> went hunting on land owned by Mack’s father on November 6, 2002.  Only Mack and </w:t>
            </w:r>
            <w:proofErr w:type="spellStart"/>
            <w:r w:rsidRPr="00495EC2">
              <w:rPr>
                <w:rFonts w:eastAsia="Calibri"/>
                <w:sz w:val="20"/>
              </w:rPr>
              <w:t>Argueta</w:t>
            </w:r>
            <w:proofErr w:type="spellEnd"/>
            <w:r w:rsidRPr="00495EC2">
              <w:rPr>
                <w:rFonts w:eastAsia="Calibri"/>
                <w:sz w:val="20"/>
              </w:rPr>
              <w:t xml:space="preserve"> returned. </w:t>
            </w:r>
            <w:proofErr w:type="spellStart"/>
            <w:r w:rsidRPr="00495EC2">
              <w:rPr>
                <w:rFonts w:eastAsia="Calibri"/>
                <w:sz w:val="20"/>
              </w:rPr>
              <w:t>Levoir</w:t>
            </w:r>
            <w:proofErr w:type="spellEnd"/>
            <w:r w:rsidRPr="00495EC2">
              <w:rPr>
                <w:rFonts w:eastAsia="Calibri"/>
                <w:sz w:val="20"/>
              </w:rPr>
              <w:t xml:space="preserve"> had been shot and killed. Soon after </w:t>
            </w:r>
            <w:proofErr w:type="spellStart"/>
            <w:r w:rsidRPr="00495EC2">
              <w:rPr>
                <w:rFonts w:eastAsia="Calibri"/>
                <w:sz w:val="20"/>
              </w:rPr>
              <w:t>Levoir</w:t>
            </w:r>
            <w:proofErr w:type="spellEnd"/>
            <w:r w:rsidRPr="00495EC2">
              <w:rPr>
                <w:rFonts w:eastAsia="Calibri"/>
                <w:sz w:val="20"/>
              </w:rPr>
              <w:t xml:space="preserve"> had been reported missing, Jay Love went to police saying that </w:t>
            </w:r>
            <w:proofErr w:type="spellStart"/>
            <w:r w:rsidRPr="00495EC2">
              <w:rPr>
                <w:rFonts w:eastAsia="Calibri"/>
                <w:sz w:val="20"/>
              </w:rPr>
              <w:t>Dax</w:t>
            </w:r>
            <w:proofErr w:type="spellEnd"/>
            <w:r w:rsidRPr="00495EC2">
              <w:rPr>
                <w:rFonts w:eastAsia="Calibri"/>
                <w:sz w:val="20"/>
              </w:rPr>
              <w:t xml:space="preserve"> Mack had confessed to killing </w:t>
            </w:r>
            <w:proofErr w:type="spellStart"/>
            <w:r w:rsidRPr="00495EC2">
              <w:rPr>
                <w:rFonts w:eastAsia="Calibri"/>
                <w:sz w:val="20"/>
              </w:rPr>
              <w:t>Levoir</w:t>
            </w:r>
            <w:proofErr w:type="spellEnd"/>
            <w:r w:rsidRPr="00495EC2">
              <w:rPr>
                <w:rFonts w:eastAsia="Calibri"/>
                <w:sz w:val="20"/>
              </w:rPr>
              <w:t xml:space="preserve">.  An undercover investigation ensued with undercover operators, posing as members of a criminal organization, approaching Mack to recruit him into the fictitious organization.  Although the recordings of the utterances made by Mack to the operators were not admitted into evidence, as the authorizations for the wiretaps had been obtained in a manner that violated Mack’s </w:t>
            </w:r>
            <w:r w:rsidRPr="00495EC2">
              <w:rPr>
                <w:rFonts w:eastAsia="Calibri"/>
                <w:i/>
                <w:sz w:val="20"/>
              </w:rPr>
              <w:t>Charter</w:t>
            </w:r>
            <w:r w:rsidRPr="00495EC2">
              <w:rPr>
                <w:rFonts w:eastAsia="Calibri"/>
                <w:sz w:val="20"/>
              </w:rPr>
              <w:t xml:space="preserve"> rights, the prosecution was permitted to adduce </w:t>
            </w:r>
            <w:r w:rsidRPr="00495EC2">
              <w:rPr>
                <w:rFonts w:eastAsia="Calibri"/>
                <w:i/>
                <w:sz w:val="20"/>
              </w:rPr>
              <w:t xml:space="preserve">viva voce </w:t>
            </w:r>
            <w:r w:rsidRPr="00495EC2">
              <w:rPr>
                <w:rFonts w:eastAsia="Calibri"/>
                <w:sz w:val="20"/>
              </w:rPr>
              <w:t xml:space="preserve">evidence from the undercover operators.  At trial, Mack and </w:t>
            </w:r>
            <w:proofErr w:type="spellStart"/>
            <w:r w:rsidRPr="00495EC2">
              <w:rPr>
                <w:rFonts w:eastAsia="Calibri"/>
                <w:sz w:val="20"/>
              </w:rPr>
              <w:t>Argueta</w:t>
            </w:r>
            <w:proofErr w:type="spellEnd"/>
            <w:r w:rsidRPr="00495EC2">
              <w:rPr>
                <w:rFonts w:eastAsia="Calibri"/>
                <w:sz w:val="20"/>
              </w:rPr>
              <w:t xml:space="preserve"> blamed the other for the murder.  The trial judge’s charge to the jury addressed how to assess the evidence of the undercover officers and the testimony of </w:t>
            </w:r>
            <w:proofErr w:type="spellStart"/>
            <w:r w:rsidRPr="00495EC2">
              <w:rPr>
                <w:rFonts w:eastAsia="Calibri"/>
                <w:sz w:val="20"/>
              </w:rPr>
              <w:t>Argueta</w:t>
            </w:r>
            <w:proofErr w:type="spellEnd"/>
            <w:r w:rsidRPr="00495EC2">
              <w:rPr>
                <w:rFonts w:eastAsia="Calibri"/>
                <w:sz w:val="20"/>
              </w:rPr>
              <w:t>.  Mack was convicted of first degree murder.  His appeal to the Court of Appeal of Alberta was dismissed.</w:t>
            </w:r>
          </w:p>
          <w:p w:rsidR="00794A95" w:rsidRPr="00495EC2" w:rsidRDefault="00794A95" w:rsidP="00EC5583">
            <w:pPr>
              <w:jc w:val="both"/>
              <w:rPr>
                <w:rFonts w:eastAsia="Calibri"/>
                <w:sz w:val="20"/>
              </w:rPr>
            </w:pPr>
          </w:p>
        </w:tc>
      </w:tr>
      <w:tr w:rsidR="00794A95" w:rsidRPr="00495EC2" w:rsidTr="00EC5583">
        <w:tc>
          <w:tcPr>
            <w:tcW w:w="2427" w:type="pct"/>
          </w:tcPr>
          <w:p w:rsidR="00794A95" w:rsidRPr="00495EC2" w:rsidRDefault="00794A95" w:rsidP="00EC5583">
            <w:pPr>
              <w:jc w:val="both"/>
              <w:rPr>
                <w:rFonts w:eastAsia="Calibri"/>
                <w:sz w:val="20"/>
              </w:rPr>
            </w:pPr>
            <w:r w:rsidRPr="00495EC2">
              <w:rPr>
                <w:rFonts w:eastAsia="Calibri"/>
                <w:sz w:val="20"/>
              </w:rPr>
              <w:t>March 16, 2007</w:t>
            </w:r>
          </w:p>
          <w:p w:rsidR="00794A95" w:rsidRPr="00495EC2" w:rsidRDefault="00794A95" w:rsidP="00EC5583">
            <w:pPr>
              <w:jc w:val="both"/>
              <w:rPr>
                <w:rFonts w:eastAsia="Calibri"/>
                <w:sz w:val="20"/>
              </w:rPr>
            </w:pPr>
            <w:r w:rsidRPr="00495EC2">
              <w:rPr>
                <w:rFonts w:eastAsia="Calibri"/>
                <w:sz w:val="20"/>
              </w:rPr>
              <w:t>Court of Queen’s Bench of Alberta</w:t>
            </w:r>
          </w:p>
          <w:p w:rsidR="00794A95" w:rsidRPr="00495EC2" w:rsidRDefault="00794A95" w:rsidP="00EC5583">
            <w:pPr>
              <w:jc w:val="both"/>
              <w:rPr>
                <w:rFonts w:eastAsia="Calibri"/>
                <w:sz w:val="20"/>
              </w:rPr>
            </w:pPr>
            <w:r w:rsidRPr="00495EC2">
              <w:rPr>
                <w:rFonts w:eastAsia="Calibri"/>
                <w:sz w:val="20"/>
              </w:rPr>
              <w:t>(Hillier J.)</w:t>
            </w:r>
          </w:p>
          <w:p w:rsidR="00794A95" w:rsidRPr="00495EC2" w:rsidRDefault="00794A95" w:rsidP="00EC5583">
            <w:pPr>
              <w:jc w:val="both"/>
              <w:rPr>
                <w:rFonts w:eastAsia="Calibri"/>
                <w:sz w:val="20"/>
              </w:rPr>
            </w:pPr>
          </w:p>
        </w:tc>
        <w:tc>
          <w:tcPr>
            <w:tcW w:w="243" w:type="pct"/>
          </w:tcPr>
          <w:p w:rsidR="00794A95" w:rsidRPr="00495EC2" w:rsidRDefault="00794A95" w:rsidP="00EC5583">
            <w:pPr>
              <w:jc w:val="both"/>
              <w:rPr>
                <w:rFonts w:eastAsia="Calibri"/>
                <w:sz w:val="20"/>
              </w:rPr>
            </w:pPr>
          </w:p>
        </w:tc>
        <w:tc>
          <w:tcPr>
            <w:tcW w:w="2330" w:type="pct"/>
          </w:tcPr>
          <w:p w:rsidR="00794A95" w:rsidRPr="00495EC2" w:rsidRDefault="00794A95" w:rsidP="00EC5583">
            <w:pPr>
              <w:jc w:val="both"/>
              <w:rPr>
                <w:rFonts w:eastAsia="Calibri"/>
                <w:sz w:val="20"/>
              </w:rPr>
            </w:pPr>
            <w:r w:rsidRPr="00495EC2">
              <w:rPr>
                <w:rFonts w:eastAsia="Calibri"/>
                <w:sz w:val="20"/>
              </w:rPr>
              <w:t>Conviction:  first degree murder</w:t>
            </w:r>
          </w:p>
          <w:p w:rsidR="00794A95" w:rsidRPr="00495EC2" w:rsidRDefault="00794A95" w:rsidP="00EC5583">
            <w:pPr>
              <w:jc w:val="both"/>
              <w:rPr>
                <w:rFonts w:eastAsia="Calibri"/>
                <w:sz w:val="20"/>
              </w:rPr>
            </w:pPr>
          </w:p>
        </w:tc>
      </w:tr>
      <w:tr w:rsidR="00794A95" w:rsidRPr="00495EC2" w:rsidTr="00EC5583">
        <w:tc>
          <w:tcPr>
            <w:tcW w:w="2427" w:type="pct"/>
          </w:tcPr>
          <w:p w:rsidR="00794A95" w:rsidRPr="00495EC2" w:rsidRDefault="00794A95" w:rsidP="00EC5583">
            <w:pPr>
              <w:jc w:val="both"/>
              <w:rPr>
                <w:rFonts w:eastAsia="Calibri"/>
                <w:sz w:val="20"/>
              </w:rPr>
            </w:pPr>
            <w:r w:rsidRPr="00495EC2">
              <w:rPr>
                <w:rFonts w:eastAsia="Calibri"/>
                <w:sz w:val="20"/>
              </w:rPr>
              <w:t>February 27, 2012</w:t>
            </w:r>
          </w:p>
          <w:p w:rsidR="00794A95" w:rsidRPr="00495EC2" w:rsidRDefault="00794A95" w:rsidP="00EC5583">
            <w:pPr>
              <w:jc w:val="both"/>
              <w:rPr>
                <w:rFonts w:eastAsia="Calibri"/>
                <w:sz w:val="20"/>
              </w:rPr>
            </w:pPr>
            <w:r w:rsidRPr="00495EC2">
              <w:rPr>
                <w:rFonts w:eastAsia="Calibri"/>
                <w:sz w:val="20"/>
              </w:rPr>
              <w:t>Court of Appeal of Alberta (Edmonton)</w:t>
            </w:r>
          </w:p>
          <w:p w:rsidR="00794A95" w:rsidRPr="00495EC2" w:rsidRDefault="00794A95" w:rsidP="00EC5583">
            <w:pPr>
              <w:jc w:val="both"/>
              <w:rPr>
                <w:rFonts w:eastAsia="Calibri"/>
                <w:sz w:val="20"/>
                <w:lang w:val="fr-CA"/>
              </w:rPr>
            </w:pPr>
            <w:r w:rsidRPr="00495EC2">
              <w:rPr>
                <w:rFonts w:eastAsia="Calibri"/>
                <w:sz w:val="20"/>
                <w:lang w:val="fr-CA"/>
              </w:rPr>
              <w:t>(Côté, McFadyen, and O'Brien JJ.A.)</w:t>
            </w:r>
          </w:p>
          <w:p w:rsidR="00794A95" w:rsidRPr="00495EC2" w:rsidRDefault="00794A95" w:rsidP="00EC5583">
            <w:pPr>
              <w:jc w:val="both"/>
              <w:rPr>
                <w:rFonts w:eastAsia="Calibri"/>
                <w:sz w:val="20"/>
              </w:rPr>
            </w:pPr>
            <w:r w:rsidRPr="00495EC2">
              <w:rPr>
                <w:rFonts w:eastAsia="Calibri"/>
                <w:sz w:val="20"/>
              </w:rPr>
              <w:t>2012 ABCA 42</w:t>
            </w:r>
          </w:p>
          <w:p w:rsidR="00794A95" w:rsidRPr="00495EC2" w:rsidRDefault="00794A95" w:rsidP="00EC5583">
            <w:pPr>
              <w:jc w:val="both"/>
              <w:rPr>
                <w:rFonts w:eastAsia="Calibri"/>
                <w:sz w:val="20"/>
              </w:rPr>
            </w:pPr>
          </w:p>
        </w:tc>
        <w:tc>
          <w:tcPr>
            <w:tcW w:w="243" w:type="pct"/>
          </w:tcPr>
          <w:p w:rsidR="00794A95" w:rsidRPr="00495EC2" w:rsidRDefault="00794A95" w:rsidP="00EC5583">
            <w:pPr>
              <w:jc w:val="both"/>
              <w:rPr>
                <w:rFonts w:eastAsia="Calibri"/>
                <w:sz w:val="20"/>
              </w:rPr>
            </w:pPr>
          </w:p>
        </w:tc>
        <w:tc>
          <w:tcPr>
            <w:tcW w:w="2330" w:type="pct"/>
          </w:tcPr>
          <w:p w:rsidR="00794A95" w:rsidRPr="00495EC2" w:rsidRDefault="00794A95" w:rsidP="00EC5583">
            <w:pPr>
              <w:jc w:val="both"/>
              <w:rPr>
                <w:rFonts w:eastAsia="Calibri"/>
                <w:sz w:val="20"/>
              </w:rPr>
            </w:pPr>
            <w:r w:rsidRPr="00495EC2">
              <w:rPr>
                <w:rFonts w:eastAsia="Calibri"/>
                <w:sz w:val="20"/>
              </w:rPr>
              <w:t>Appeal dismissed</w:t>
            </w:r>
          </w:p>
          <w:p w:rsidR="00794A95" w:rsidRPr="00495EC2" w:rsidRDefault="00794A95" w:rsidP="00EC5583">
            <w:pPr>
              <w:jc w:val="both"/>
              <w:rPr>
                <w:rFonts w:eastAsia="Calibri"/>
                <w:sz w:val="20"/>
              </w:rPr>
            </w:pPr>
          </w:p>
        </w:tc>
      </w:tr>
      <w:tr w:rsidR="00794A95" w:rsidRPr="00495EC2" w:rsidTr="00EC5583">
        <w:tc>
          <w:tcPr>
            <w:tcW w:w="2427" w:type="pct"/>
          </w:tcPr>
          <w:p w:rsidR="00794A95" w:rsidRPr="00495EC2" w:rsidRDefault="00794A95" w:rsidP="00EC5583">
            <w:pPr>
              <w:jc w:val="both"/>
              <w:rPr>
                <w:rFonts w:eastAsia="Calibri"/>
                <w:sz w:val="20"/>
              </w:rPr>
            </w:pPr>
            <w:r w:rsidRPr="00495EC2">
              <w:rPr>
                <w:rFonts w:eastAsia="Calibri"/>
                <w:sz w:val="20"/>
              </w:rPr>
              <w:t>November 23, 2012</w:t>
            </w:r>
          </w:p>
          <w:p w:rsidR="00794A95" w:rsidRPr="00495EC2" w:rsidRDefault="00794A95" w:rsidP="00EC5583">
            <w:pPr>
              <w:jc w:val="both"/>
              <w:rPr>
                <w:rFonts w:eastAsia="Calibri"/>
                <w:sz w:val="20"/>
              </w:rPr>
            </w:pPr>
            <w:r w:rsidRPr="00495EC2">
              <w:rPr>
                <w:rFonts w:eastAsia="Calibri"/>
                <w:sz w:val="20"/>
              </w:rPr>
              <w:t>Supreme Court of Canada</w:t>
            </w:r>
          </w:p>
        </w:tc>
        <w:tc>
          <w:tcPr>
            <w:tcW w:w="243" w:type="pct"/>
          </w:tcPr>
          <w:p w:rsidR="00794A95" w:rsidRPr="00495EC2" w:rsidRDefault="00794A95" w:rsidP="00EC5583">
            <w:pPr>
              <w:jc w:val="both"/>
              <w:rPr>
                <w:rFonts w:eastAsia="Calibri"/>
                <w:sz w:val="20"/>
              </w:rPr>
            </w:pPr>
          </w:p>
        </w:tc>
        <w:tc>
          <w:tcPr>
            <w:tcW w:w="2330" w:type="pct"/>
          </w:tcPr>
          <w:p w:rsidR="00794A95" w:rsidRPr="00495EC2" w:rsidRDefault="00794A95" w:rsidP="00EC5583">
            <w:pPr>
              <w:jc w:val="both"/>
              <w:rPr>
                <w:rFonts w:eastAsia="Calibri"/>
                <w:sz w:val="20"/>
              </w:rPr>
            </w:pPr>
            <w:r w:rsidRPr="00495EC2">
              <w:rPr>
                <w:rFonts w:eastAsia="Calibri"/>
                <w:sz w:val="20"/>
              </w:rPr>
              <w:t>Application for leave to appeal and motion to extend time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66"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94A95" w:rsidRPr="009714AD" w:rsidTr="00EC5583">
        <w:tc>
          <w:tcPr>
            <w:tcW w:w="5000" w:type="pct"/>
            <w:gridSpan w:val="3"/>
          </w:tcPr>
          <w:p w:rsidR="00794A95" w:rsidRPr="00495EC2" w:rsidRDefault="00794A95" w:rsidP="00EC5583">
            <w:pPr>
              <w:jc w:val="both"/>
              <w:rPr>
                <w:rFonts w:eastAsia="Calibri"/>
                <w:smallCaps/>
                <w:sz w:val="20"/>
                <w:lang w:val="fr-CA"/>
              </w:rPr>
            </w:pPr>
            <w:r w:rsidRPr="00495EC2">
              <w:rPr>
                <w:rFonts w:eastAsia="Calibri"/>
                <w:smallCaps/>
                <w:sz w:val="20"/>
                <w:lang w:val="fr-CA"/>
              </w:rPr>
              <w:t>(Ordonnance de mise sous scellés)</w:t>
            </w:r>
          </w:p>
          <w:p w:rsidR="00794A95" w:rsidRPr="00495EC2" w:rsidRDefault="00794A95" w:rsidP="00EC5583">
            <w:pPr>
              <w:jc w:val="both"/>
              <w:rPr>
                <w:rFonts w:eastAsia="Calibri"/>
                <w:sz w:val="20"/>
                <w:lang w:val="fr-CA"/>
              </w:rPr>
            </w:pPr>
          </w:p>
          <w:p w:rsidR="00794A95" w:rsidRPr="00495EC2" w:rsidRDefault="00794A95" w:rsidP="00EC5583">
            <w:pPr>
              <w:jc w:val="both"/>
              <w:rPr>
                <w:rFonts w:eastAsia="Calibri"/>
                <w:sz w:val="20"/>
                <w:lang w:val="fr-CA"/>
              </w:rPr>
            </w:pPr>
            <w:r w:rsidRPr="00495EC2">
              <w:rPr>
                <w:rFonts w:eastAsia="Calibri"/>
                <w:i/>
                <w:sz w:val="20"/>
                <w:lang w:val="fr-CA"/>
              </w:rPr>
              <w:t xml:space="preserve">Charte canadienne des droits et libertés </w:t>
            </w:r>
            <w:r w:rsidRPr="00495EC2">
              <w:rPr>
                <w:rFonts w:eastAsia="Calibri"/>
                <w:sz w:val="20"/>
                <w:lang w:val="fr-CA"/>
              </w:rPr>
              <w:t xml:space="preserve">– Droit criminel – Preuve – Les déclarations que le demandeur a faites aux agents d'infiltration </w:t>
            </w:r>
            <w:proofErr w:type="spellStart"/>
            <w:r w:rsidRPr="00495EC2">
              <w:rPr>
                <w:rFonts w:eastAsia="Calibri"/>
                <w:sz w:val="20"/>
                <w:lang w:val="fr-CA"/>
              </w:rPr>
              <w:t>devraient</w:t>
            </w:r>
            <w:r w:rsidRPr="00495EC2">
              <w:rPr>
                <w:rFonts w:eastAsia="Calibri"/>
                <w:sz w:val="20"/>
                <w:lang w:val="fr-CA"/>
              </w:rPr>
              <w:noBreakHyphen/>
              <w:t>elles</w:t>
            </w:r>
            <w:proofErr w:type="spellEnd"/>
            <w:r w:rsidRPr="00495EC2">
              <w:rPr>
                <w:rFonts w:eastAsia="Calibri"/>
                <w:sz w:val="20"/>
                <w:lang w:val="fr-CA"/>
              </w:rPr>
              <w:t xml:space="preserve"> être exclues en application du par. 24(2) de la </w:t>
            </w:r>
            <w:r w:rsidRPr="00495EC2">
              <w:rPr>
                <w:rFonts w:eastAsia="Calibri"/>
                <w:i/>
                <w:sz w:val="20"/>
                <w:lang w:val="fr-CA"/>
              </w:rPr>
              <w:t>Charte</w:t>
            </w:r>
            <w:r w:rsidRPr="00495EC2">
              <w:rPr>
                <w:rFonts w:eastAsia="Calibri"/>
                <w:sz w:val="20"/>
                <w:lang w:val="fr-CA"/>
              </w:rPr>
              <w:t>? – Justesse de l’exposé au jury sur le danger de s'appuyer sur les déclarations du demandeur aux agents d'infiltration – Justesse des directives au jury sur le témoin également soupçonné.</w:t>
            </w:r>
          </w:p>
        </w:tc>
      </w:tr>
      <w:tr w:rsidR="00794A95" w:rsidRPr="009714AD" w:rsidTr="00EC5583">
        <w:tc>
          <w:tcPr>
            <w:tcW w:w="5000" w:type="pct"/>
            <w:gridSpan w:val="3"/>
          </w:tcPr>
          <w:p w:rsidR="00794A95" w:rsidRPr="00495EC2" w:rsidRDefault="00794A95" w:rsidP="00EC5583">
            <w:pPr>
              <w:jc w:val="both"/>
              <w:rPr>
                <w:rFonts w:eastAsia="Calibri"/>
                <w:sz w:val="20"/>
                <w:lang w:val="fr-CA"/>
              </w:rPr>
            </w:pPr>
          </w:p>
        </w:tc>
      </w:tr>
      <w:tr w:rsidR="00794A95" w:rsidRPr="009714AD" w:rsidTr="00EC5583">
        <w:tc>
          <w:tcPr>
            <w:tcW w:w="5000" w:type="pct"/>
            <w:gridSpan w:val="3"/>
          </w:tcPr>
          <w:p w:rsidR="00794A95" w:rsidRPr="00495EC2" w:rsidRDefault="00794A95" w:rsidP="00EC5583">
            <w:pPr>
              <w:jc w:val="both"/>
              <w:rPr>
                <w:rFonts w:eastAsia="Calibri"/>
                <w:sz w:val="20"/>
                <w:lang w:val="fr-CA"/>
              </w:rPr>
            </w:pPr>
            <w:r w:rsidRPr="00495EC2">
              <w:rPr>
                <w:rFonts w:eastAsia="Calibri"/>
                <w:sz w:val="20"/>
                <w:lang w:val="fr-CA"/>
              </w:rPr>
              <w:t xml:space="preserve">Le 6 novembre 2002, Dax Richard Mack, Robert </w:t>
            </w:r>
            <w:proofErr w:type="spellStart"/>
            <w:r w:rsidRPr="00495EC2">
              <w:rPr>
                <w:rFonts w:eastAsia="Calibri"/>
                <w:sz w:val="20"/>
                <w:lang w:val="fr-CA"/>
              </w:rPr>
              <w:t>Levoir</w:t>
            </w:r>
            <w:proofErr w:type="spellEnd"/>
            <w:r w:rsidRPr="00495EC2">
              <w:rPr>
                <w:rFonts w:eastAsia="Calibri"/>
                <w:sz w:val="20"/>
                <w:lang w:val="fr-CA"/>
              </w:rPr>
              <w:t xml:space="preserve"> et Michael </w:t>
            </w:r>
            <w:proofErr w:type="spellStart"/>
            <w:r w:rsidRPr="00495EC2">
              <w:rPr>
                <w:rFonts w:eastAsia="Calibri"/>
                <w:sz w:val="20"/>
                <w:lang w:val="fr-CA"/>
              </w:rPr>
              <w:t>Argueta</w:t>
            </w:r>
            <w:proofErr w:type="spellEnd"/>
            <w:r w:rsidRPr="00495EC2">
              <w:rPr>
                <w:rFonts w:eastAsia="Calibri"/>
                <w:sz w:val="20"/>
                <w:lang w:val="fr-CA"/>
              </w:rPr>
              <w:t xml:space="preserve"> sont partis à la chasse sur une terre qui appartenait au père de M. Mack.  Seuls MM. Mack et </w:t>
            </w:r>
            <w:proofErr w:type="spellStart"/>
            <w:r w:rsidRPr="00495EC2">
              <w:rPr>
                <w:rFonts w:eastAsia="Calibri"/>
                <w:sz w:val="20"/>
                <w:lang w:val="fr-CA"/>
              </w:rPr>
              <w:t>Argueta</w:t>
            </w:r>
            <w:proofErr w:type="spellEnd"/>
            <w:r w:rsidRPr="00495EC2">
              <w:rPr>
                <w:rFonts w:eastAsia="Calibri"/>
                <w:sz w:val="20"/>
                <w:lang w:val="fr-CA"/>
              </w:rPr>
              <w:t xml:space="preserve"> sont revenus.  Monsieur </w:t>
            </w:r>
            <w:proofErr w:type="spellStart"/>
            <w:r w:rsidRPr="00495EC2">
              <w:rPr>
                <w:rFonts w:eastAsia="Calibri"/>
                <w:sz w:val="20"/>
                <w:lang w:val="fr-CA"/>
              </w:rPr>
              <w:t>Levoir</w:t>
            </w:r>
            <w:proofErr w:type="spellEnd"/>
            <w:r w:rsidRPr="00495EC2">
              <w:rPr>
                <w:rFonts w:eastAsia="Calibri"/>
                <w:sz w:val="20"/>
                <w:lang w:val="fr-CA"/>
              </w:rPr>
              <w:t xml:space="preserve"> avait été tué par balle.  Peu de temps après que M. </w:t>
            </w:r>
            <w:proofErr w:type="spellStart"/>
            <w:r w:rsidRPr="00495EC2">
              <w:rPr>
                <w:rFonts w:eastAsia="Calibri"/>
                <w:sz w:val="20"/>
                <w:lang w:val="fr-CA"/>
              </w:rPr>
              <w:t>Levoir</w:t>
            </w:r>
            <w:proofErr w:type="spellEnd"/>
            <w:r w:rsidRPr="00495EC2">
              <w:rPr>
                <w:rFonts w:eastAsia="Calibri"/>
                <w:sz w:val="20"/>
                <w:lang w:val="fr-CA"/>
              </w:rPr>
              <w:t xml:space="preserve"> eut été porté disparu, Jay Love a dit aux policiers que Dax Mack avait avoué avoir tué M. </w:t>
            </w:r>
            <w:proofErr w:type="spellStart"/>
            <w:r w:rsidRPr="00495EC2">
              <w:rPr>
                <w:rFonts w:eastAsia="Calibri"/>
                <w:sz w:val="20"/>
                <w:lang w:val="fr-CA"/>
              </w:rPr>
              <w:t>Levoir</w:t>
            </w:r>
            <w:proofErr w:type="spellEnd"/>
            <w:r w:rsidRPr="00495EC2">
              <w:rPr>
                <w:rFonts w:eastAsia="Calibri"/>
                <w:sz w:val="20"/>
                <w:lang w:val="fr-CA"/>
              </w:rPr>
              <w:t xml:space="preserve">.  Une opération d'infiltration s'en est ensuivie dans le cadre de laquelle des agents d'infiltration, se faisant passer pour des membres d'une organisation criminelle, ont approché M. Mack pour le recruter dans l’organisation fictive.  Bien que les enregistrements des déclarations faites par M. Mack aux agents n'aient pas été admis en preuve, puisque les autorisations de mise sous écoute électronique avaient été obtenues d'une manière qui violait les droits de M. Mack garantis par la </w:t>
            </w:r>
            <w:r w:rsidRPr="00495EC2">
              <w:rPr>
                <w:rFonts w:eastAsia="Calibri"/>
                <w:i/>
                <w:sz w:val="20"/>
                <w:lang w:val="fr-CA"/>
              </w:rPr>
              <w:t>Charte</w:t>
            </w:r>
            <w:r w:rsidRPr="00495EC2">
              <w:rPr>
                <w:rFonts w:eastAsia="Calibri"/>
                <w:sz w:val="20"/>
                <w:lang w:val="fr-CA"/>
              </w:rPr>
              <w:t xml:space="preserve">, le ministère public a été autorisé à présenter le témoignage de vive voix des agents d'infiltration.  Au procès, MM. Mack et </w:t>
            </w:r>
            <w:proofErr w:type="spellStart"/>
            <w:r w:rsidRPr="00495EC2">
              <w:rPr>
                <w:rFonts w:eastAsia="Calibri"/>
                <w:sz w:val="20"/>
                <w:lang w:val="fr-CA"/>
              </w:rPr>
              <w:t>Argueta</w:t>
            </w:r>
            <w:proofErr w:type="spellEnd"/>
            <w:r w:rsidRPr="00495EC2">
              <w:rPr>
                <w:rFonts w:eastAsia="Calibri"/>
                <w:sz w:val="20"/>
                <w:lang w:val="fr-CA"/>
              </w:rPr>
              <w:t xml:space="preserve"> se sont blâmés mutuellement pour le meurtre.  Dans son exposé au jury, le juge du procès a abordé la manière d’apprécier la preuve des agents d'infiltration et le témoignage de M. </w:t>
            </w:r>
            <w:proofErr w:type="spellStart"/>
            <w:r w:rsidRPr="00495EC2">
              <w:rPr>
                <w:rFonts w:eastAsia="Calibri"/>
                <w:sz w:val="20"/>
                <w:lang w:val="fr-CA"/>
              </w:rPr>
              <w:t>Argueta</w:t>
            </w:r>
            <w:proofErr w:type="spellEnd"/>
            <w:r w:rsidRPr="00495EC2">
              <w:rPr>
                <w:rFonts w:eastAsia="Calibri"/>
                <w:sz w:val="20"/>
                <w:lang w:val="fr-CA"/>
              </w:rPr>
              <w:t>.  Monsieur Mack a été déclaré coupable de meurtre au premier degré.  Son appel à la Cour d'appel de l'Alberta a été rejeté.</w:t>
            </w:r>
          </w:p>
          <w:p w:rsidR="00794A95" w:rsidRPr="00495EC2" w:rsidRDefault="00794A95" w:rsidP="00EC5583">
            <w:pPr>
              <w:jc w:val="both"/>
              <w:rPr>
                <w:rFonts w:eastAsia="Calibri"/>
                <w:sz w:val="20"/>
                <w:lang w:val="fr-CA"/>
              </w:rPr>
            </w:pPr>
          </w:p>
        </w:tc>
      </w:tr>
      <w:tr w:rsidR="00794A95" w:rsidRPr="009714AD" w:rsidTr="00EC5583">
        <w:tc>
          <w:tcPr>
            <w:tcW w:w="2427" w:type="pct"/>
          </w:tcPr>
          <w:p w:rsidR="00794A95" w:rsidRPr="00495EC2" w:rsidRDefault="00794A95" w:rsidP="00EC5583">
            <w:pPr>
              <w:jc w:val="both"/>
              <w:rPr>
                <w:rFonts w:eastAsia="Calibri"/>
                <w:sz w:val="20"/>
                <w:lang w:val="fr-CA"/>
              </w:rPr>
            </w:pPr>
            <w:r w:rsidRPr="00495EC2">
              <w:rPr>
                <w:rFonts w:eastAsia="Calibri"/>
                <w:sz w:val="20"/>
                <w:lang w:val="fr-CA"/>
              </w:rPr>
              <w:t>16 mars 2007</w:t>
            </w:r>
          </w:p>
          <w:p w:rsidR="00794A95" w:rsidRPr="00495EC2" w:rsidRDefault="00794A95" w:rsidP="00EC5583">
            <w:pPr>
              <w:jc w:val="both"/>
              <w:rPr>
                <w:rFonts w:eastAsia="Calibri"/>
                <w:sz w:val="20"/>
                <w:lang w:val="fr-CA"/>
              </w:rPr>
            </w:pPr>
            <w:r w:rsidRPr="00495EC2">
              <w:rPr>
                <w:rFonts w:eastAsia="Calibri"/>
                <w:sz w:val="20"/>
                <w:lang w:val="fr-CA"/>
              </w:rPr>
              <w:t xml:space="preserve">Cour du Banc de la Reine de l'Alberta </w:t>
            </w:r>
          </w:p>
          <w:p w:rsidR="00794A95" w:rsidRPr="00495EC2" w:rsidRDefault="00794A95" w:rsidP="00EC5583">
            <w:pPr>
              <w:jc w:val="both"/>
              <w:rPr>
                <w:rFonts w:eastAsia="Calibri"/>
                <w:sz w:val="20"/>
                <w:lang w:val="fr-CA"/>
              </w:rPr>
            </w:pPr>
            <w:r w:rsidRPr="00495EC2">
              <w:rPr>
                <w:rFonts w:eastAsia="Calibri"/>
                <w:sz w:val="20"/>
                <w:lang w:val="fr-CA"/>
              </w:rPr>
              <w:t xml:space="preserve">(Juge </w:t>
            </w:r>
            <w:proofErr w:type="spellStart"/>
            <w:r w:rsidRPr="00495EC2">
              <w:rPr>
                <w:rFonts w:eastAsia="Calibri"/>
                <w:sz w:val="20"/>
                <w:lang w:val="fr-CA"/>
              </w:rPr>
              <w:t>Hillier</w:t>
            </w:r>
            <w:proofErr w:type="spellEnd"/>
            <w:r w:rsidRPr="00495EC2">
              <w:rPr>
                <w:rFonts w:eastAsia="Calibri"/>
                <w:sz w:val="20"/>
                <w:lang w:val="fr-CA"/>
              </w:rPr>
              <w:t>)</w:t>
            </w:r>
          </w:p>
          <w:p w:rsidR="00794A95" w:rsidRPr="00495EC2" w:rsidRDefault="00794A95" w:rsidP="00EC5583">
            <w:pPr>
              <w:jc w:val="both"/>
              <w:rPr>
                <w:rFonts w:eastAsia="Calibri"/>
                <w:sz w:val="20"/>
                <w:lang w:val="fr-CA"/>
              </w:rPr>
            </w:pPr>
          </w:p>
        </w:tc>
        <w:tc>
          <w:tcPr>
            <w:tcW w:w="243" w:type="pct"/>
          </w:tcPr>
          <w:p w:rsidR="00794A95" w:rsidRPr="00495EC2" w:rsidRDefault="00794A95" w:rsidP="00EC5583">
            <w:pPr>
              <w:jc w:val="both"/>
              <w:rPr>
                <w:rFonts w:eastAsia="Calibri"/>
                <w:sz w:val="20"/>
                <w:lang w:val="fr-CA"/>
              </w:rPr>
            </w:pPr>
          </w:p>
        </w:tc>
        <w:tc>
          <w:tcPr>
            <w:tcW w:w="2330" w:type="pct"/>
          </w:tcPr>
          <w:p w:rsidR="00794A95" w:rsidRPr="00495EC2" w:rsidRDefault="00794A95" w:rsidP="00EC5583">
            <w:pPr>
              <w:jc w:val="both"/>
              <w:rPr>
                <w:rFonts w:eastAsia="Calibri"/>
                <w:sz w:val="20"/>
                <w:lang w:val="fr-CA"/>
              </w:rPr>
            </w:pPr>
            <w:r w:rsidRPr="00495EC2">
              <w:rPr>
                <w:rFonts w:eastAsia="Calibri"/>
                <w:sz w:val="20"/>
                <w:lang w:val="fr-CA"/>
              </w:rPr>
              <w:t>Déclaration de culpabilité : meurtre au premier degré</w:t>
            </w:r>
          </w:p>
          <w:p w:rsidR="00794A95" w:rsidRPr="00495EC2" w:rsidRDefault="00794A95" w:rsidP="00EC5583">
            <w:pPr>
              <w:jc w:val="both"/>
              <w:rPr>
                <w:rFonts w:eastAsia="Calibri"/>
                <w:sz w:val="20"/>
                <w:lang w:val="fr-CA"/>
              </w:rPr>
            </w:pPr>
          </w:p>
        </w:tc>
      </w:tr>
      <w:tr w:rsidR="00794A95" w:rsidRPr="00495EC2" w:rsidTr="00EC5583">
        <w:tc>
          <w:tcPr>
            <w:tcW w:w="2427" w:type="pct"/>
          </w:tcPr>
          <w:p w:rsidR="00794A95" w:rsidRPr="00495EC2" w:rsidRDefault="00794A95" w:rsidP="00EC5583">
            <w:pPr>
              <w:jc w:val="both"/>
              <w:rPr>
                <w:rFonts w:eastAsia="Calibri"/>
                <w:sz w:val="20"/>
                <w:lang w:val="fr-CA"/>
              </w:rPr>
            </w:pPr>
            <w:r w:rsidRPr="00495EC2">
              <w:rPr>
                <w:rFonts w:eastAsia="Calibri"/>
                <w:sz w:val="20"/>
                <w:lang w:val="fr-CA"/>
              </w:rPr>
              <w:t>27 février 2012</w:t>
            </w:r>
          </w:p>
          <w:p w:rsidR="00794A95" w:rsidRPr="00495EC2" w:rsidRDefault="00794A95" w:rsidP="00EC5583">
            <w:pPr>
              <w:jc w:val="both"/>
              <w:rPr>
                <w:rFonts w:eastAsia="Calibri"/>
                <w:sz w:val="20"/>
                <w:lang w:val="fr-CA"/>
              </w:rPr>
            </w:pPr>
            <w:r w:rsidRPr="00495EC2">
              <w:rPr>
                <w:rFonts w:eastAsia="Calibri"/>
                <w:sz w:val="20"/>
                <w:lang w:val="fr-CA"/>
              </w:rPr>
              <w:t>Cour d'appel de l'Alberta (Edmonton)</w:t>
            </w:r>
          </w:p>
          <w:p w:rsidR="00794A95" w:rsidRPr="00495EC2" w:rsidRDefault="00794A95" w:rsidP="00EC5583">
            <w:pPr>
              <w:jc w:val="both"/>
              <w:rPr>
                <w:rFonts w:eastAsia="Calibri"/>
                <w:sz w:val="20"/>
                <w:lang w:val="fr-CA"/>
              </w:rPr>
            </w:pPr>
            <w:r w:rsidRPr="00495EC2">
              <w:rPr>
                <w:rFonts w:eastAsia="Calibri"/>
                <w:sz w:val="20"/>
                <w:lang w:val="fr-CA"/>
              </w:rPr>
              <w:t>(Juges Côté, McFadyen et O'Brien)</w:t>
            </w:r>
          </w:p>
          <w:p w:rsidR="00794A95" w:rsidRPr="00495EC2" w:rsidRDefault="00794A95" w:rsidP="00EC5583">
            <w:pPr>
              <w:jc w:val="both"/>
              <w:rPr>
                <w:rFonts w:eastAsia="Calibri"/>
                <w:sz w:val="20"/>
                <w:lang w:val="fr-CA"/>
              </w:rPr>
            </w:pPr>
            <w:r w:rsidRPr="00495EC2">
              <w:rPr>
                <w:rFonts w:eastAsia="Calibri"/>
                <w:sz w:val="20"/>
                <w:lang w:val="fr-CA"/>
              </w:rPr>
              <w:t>2012 ABCA 42</w:t>
            </w:r>
          </w:p>
          <w:p w:rsidR="00794A95" w:rsidRPr="00495EC2" w:rsidRDefault="00794A95" w:rsidP="00EC5583">
            <w:pPr>
              <w:jc w:val="both"/>
              <w:rPr>
                <w:rFonts w:eastAsia="Calibri"/>
                <w:sz w:val="20"/>
                <w:lang w:val="fr-CA"/>
              </w:rPr>
            </w:pPr>
          </w:p>
        </w:tc>
        <w:tc>
          <w:tcPr>
            <w:tcW w:w="243" w:type="pct"/>
          </w:tcPr>
          <w:p w:rsidR="00794A95" w:rsidRPr="00495EC2" w:rsidRDefault="00794A95" w:rsidP="00EC5583">
            <w:pPr>
              <w:jc w:val="both"/>
              <w:rPr>
                <w:rFonts w:eastAsia="Calibri"/>
                <w:sz w:val="20"/>
                <w:lang w:val="fr-CA"/>
              </w:rPr>
            </w:pPr>
          </w:p>
        </w:tc>
        <w:tc>
          <w:tcPr>
            <w:tcW w:w="2330" w:type="pct"/>
          </w:tcPr>
          <w:p w:rsidR="00794A95" w:rsidRPr="00495EC2" w:rsidRDefault="00794A95" w:rsidP="00EC5583">
            <w:pPr>
              <w:jc w:val="both"/>
              <w:rPr>
                <w:rFonts w:eastAsia="Calibri"/>
                <w:sz w:val="20"/>
                <w:lang w:val="fr-CA"/>
              </w:rPr>
            </w:pPr>
            <w:r w:rsidRPr="00495EC2">
              <w:rPr>
                <w:rFonts w:eastAsia="Calibri"/>
                <w:sz w:val="20"/>
                <w:lang w:val="fr-CA"/>
              </w:rPr>
              <w:t>Appel rejeté</w:t>
            </w:r>
          </w:p>
          <w:p w:rsidR="00794A95" w:rsidRPr="00495EC2" w:rsidRDefault="00794A95" w:rsidP="00EC5583">
            <w:pPr>
              <w:jc w:val="both"/>
              <w:rPr>
                <w:rFonts w:eastAsia="Calibri"/>
                <w:sz w:val="20"/>
                <w:lang w:val="fr-CA"/>
              </w:rPr>
            </w:pPr>
          </w:p>
        </w:tc>
      </w:tr>
      <w:tr w:rsidR="00794A95" w:rsidRPr="009714AD" w:rsidTr="00EC5583">
        <w:tc>
          <w:tcPr>
            <w:tcW w:w="2427" w:type="pct"/>
          </w:tcPr>
          <w:p w:rsidR="00794A95" w:rsidRPr="00495EC2" w:rsidRDefault="00794A95" w:rsidP="00EC5583">
            <w:pPr>
              <w:jc w:val="both"/>
              <w:rPr>
                <w:rFonts w:eastAsia="Calibri"/>
                <w:sz w:val="20"/>
                <w:lang w:val="fr-CA"/>
              </w:rPr>
            </w:pPr>
            <w:r w:rsidRPr="00495EC2">
              <w:rPr>
                <w:rFonts w:eastAsia="Calibri"/>
                <w:sz w:val="20"/>
                <w:lang w:val="fr-CA"/>
              </w:rPr>
              <w:t>23 novembre 2012</w:t>
            </w:r>
          </w:p>
          <w:p w:rsidR="00794A95" w:rsidRPr="00495EC2" w:rsidRDefault="00794A95" w:rsidP="00EC5583">
            <w:pPr>
              <w:jc w:val="both"/>
              <w:rPr>
                <w:rFonts w:eastAsia="Calibri"/>
                <w:sz w:val="20"/>
                <w:lang w:val="fr-CA"/>
              </w:rPr>
            </w:pPr>
            <w:r w:rsidRPr="00495EC2">
              <w:rPr>
                <w:rFonts w:eastAsia="Calibri"/>
                <w:sz w:val="20"/>
                <w:lang w:val="fr-CA"/>
              </w:rPr>
              <w:t>Cour suprême du Canada</w:t>
            </w:r>
          </w:p>
        </w:tc>
        <w:tc>
          <w:tcPr>
            <w:tcW w:w="243" w:type="pct"/>
          </w:tcPr>
          <w:p w:rsidR="00794A95" w:rsidRPr="00495EC2" w:rsidRDefault="00794A95" w:rsidP="00EC5583">
            <w:pPr>
              <w:jc w:val="both"/>
              <w:rPr>
                <w:rFonts w:eastAsia="Calibri"/>
                <w:sz w:val="20"/>
                <w:lang w:val="fr-CA"/>
              </w:rPr>
            </w:pPr>
          </w:p>
        </w:tc>
        <w:tc>
          <w:tcPr>
            <w:tcW w:w="2330" w:type="pct"/>
          </w:tcPr>
          <w:p w:rsidR="00794A95" w:rsidRPr="00495EC2" w:rsidRDefault="00794A95" w:rsidP="00EC5583">
            <w:pPr>
              <w:jc w:val="both"/>
              <w:rPr>
                <w:rFonts w:eastAsia="Calibri"/>
                <w:sz w:val="20"/>
                <w:lang w:val="fr-CA"/>
              </w:rPr>
            </w:pPr>
            <w:r w:rsidRPr="00495EC2">
              <w:rPr>
                <w:rFonts w:eastAsia="Calibri"/>
                <w:sz w:val="20"/>
                <w:lang w:val="fr-CA"/>
              </w:rPr>
              <w:t>Demande d'autorisation d'appel et requête en prorogation de délai, déposées</w:t>
            </w:r>
          </w:p>
        </w:tc>
      </w:tr>
    </w:tbl>
    <w:p w:rsidR="000C7850" w:rsidRPr="00794A95" w:rsidRDefault="000C7850" w:rsidP="000C7850">
      <w:pPr>
        <w:rPr>
          <w:sz w:val="20"/>
          <w:szCs w:val="20"/>
          <w:lang w:val="fr-CA"/>
        </w:rPr>
      </w:pPr>
    </w:p>
    <w:p w:rsidR="000C7850" w:rsidRDefault="00BE6ED8" w:rsidP="000C7850">
      <w:pPr>
        <w:rPr>
          <w:sz w:val="20"/>
          <w:szCs w:val="20"/>
        </w:rPr>
      </w:pPr>
      <w:r w:rsidRPr="00BE6ED8">
        <w:rPr>
          <w:sz w:val="20"/>
          <w:szCs w:val="20"/>
          <w:lang w:val="fr-CA"/>
        </w:rPr>
        <w:pict>
          <v:rect id="_x0000_i1067"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A0B3A" w:rsidRPr="00CE3693" w:rsidTr="004A0323">
        <w:trPr>
          <w:cantSplit/>
        </w:trPr>
        <w:tc>
          <w:tcPr>
            <w:tcW w:w="1458" w:type="dxa"/>
          </w:tcPr>
          <w:p w:rsidR="006A0B3A" w:rsidRPr="00CE3693" w:rsidRDefault="006A0B3A" w:rsidP="004A0323">
            <w:pPr>
              <w:rPr>
                <w:sz w:val="20"/>
                <w:szCs w:val="20"/>
              </w:rPr>
            </w:pPr>
            <w:r w:rsidRPr="00CE3693">
              <w:rPr>
                <w:rStyle w:val="SCCFileNumberChar"/>
                <w:sz w:val="20"/>
                <w:szCs w:val="20"/>
              </w:rPr>
              <w:t>35115</w:t>
            </w:r>
          </w:p>
          <w:p w:rsidR="006A0B3A" w:rsidRPr="00CE3693" w:rsidRDefault="006A0B3A" w:rsidP="004A0323">
            <w:pPr>
              <w:rPr>
                <w:b/>
                <w:sz w:val="20"/>
                <w:szCs w:val="20"/>
                <w:lang w:val="fr-CA"/>
              </w:rPr>
            </w:pPr>
          </w:p>
        </w:tc>
        <w:tc>
          <w:tcPr>
            <w:tcW w:w="8118" w:type="dxa"/>
          </w:tcPr>
          <w:p w:rsidR="006A0B3A" w:rsidRPr="00CE3693" w:rsidRDefault="006A0B3A" w:rsidP="004A0323">
            <w:pPr>
              <w:rPr>
                <w:sz w:val="20"/>
                <w:szCs w:val="20"/>
              </w:rPr>
            </w:pPr>
            <w:r w:rsidRPr="00CE3693">
              <w:rPr>
                <w:rStyle w:val="SCCLsocChar"/>
                <w:sz w:val="20"/>
                <w:szCs w:val="20"/>
                <w:lang w:val="en-CA"/>
              </w:rPr>
              <w:t xml:space="preserve">Her Majesty the Queen v. Level Aaron </w:t>
            </w:r>
            <w:proofErr w:type="spellStart"/>
            <w:r w:rsidRPr="00CE3693">
              <w:rPr>
                <w:rStyle w:val="SCCLsocChar"/>
                <w:sz w:val="20"/>
                <w:szCs w:val="20"/>
                <w:lang w:val="en-CA"/>
              </w:rPr>
              <w:t>Carvery</w:t>
            </w:r>
            <w:proofErr w:type="spellEnd"/>
            <w:r w:rsidRPr="00CE3693">
              <w:rPr>
                <w:sz w:val="20"/>
                <w:szCs w:val="20"/>
              </w:rPr>
              <w:t xml:space="preserve"> (N.S.) (Criminal) (By Leave)</w:t>
            </w:r>
          </w:p>
          <w:p w:rsidR="006A0B3A" w:rsidRPr="00CE3693" w:rsidRDefault="006A0B3A" w:rsidP="004A0323">
            <w:pPr>
              <w:rPr>
                <w:sz w:val="20"/>
                <w:szCs w:val="20"/>
              </w:rPr>
            </w:pPr>
          </w:p>
        </w:tc>
      </w:tr>
      <w:tr w:rsidR="006A0B3A" w:rsidRPr="00CE3693" w:rsidTr="004A0323">
        <w:trPr>
          <w:cantSplit/>
        </w:trPr>
        <w:tc>
          <w:tcPr>
            <w:tcW w:w="1458" w:type="dxa"/>
          </w:tcPr>
          <w:p w:rsidR="006A0B3A" w:rsidRPr="00CE3693" w:rsidRDefault="006A0B3A" w:rsidP="004A0323">
            <w:pPr>
              <w:rPr>
                <w:sz w:val="20"/>
                <w:szCs w:val="20"/>
              </w:rPr>
            </w:pPr>
            <w:r w:rsidRPr="00CE3693">
              <w:rPr>
                <w:sz w:val="20"/>
                <w:szCs w:val="20"/>
              </w:rPr>
              <w:t>Coram :</w:t>
            </w:r>
          </w:p>
        </w:tc>
        <w:tc>
          <w:tcPr>
            <w:tcW w:w="8118" w:type="dxa"/>
          </w:tcPr>
          <w:p w:rsidR="006A0B3A" w:rsidRPr="00CE3693" w:rsidRDefault="006A0B3A" w:rsidP="004A0323">
            <w:pPr>
              <w:rPr>
                <w:sz w:val="20"/>
                <w:szCs w:val="20"/>
              </w:rPr>
            </w:pPr>
            <w:r w:rsidRPr="00CE3693">
              <w:rPr>
                <w:rStyle w:val="SCCCoramChar"/>
                <w:sz w:val="20"/>
                <w:szCs w:val="20"/>
                <w:lang w:val="en-CA"/>
              </w:rPr>
              <w:t xml:space="preserve">Fish, Rothstein and </w:t>
            </w:r>
            <w:proofErr w:type="spellStart"/>
            <w:r w:rsidRPr="00CE3693">
              <w:rPr>
                <w:rStyle w:val="SCCCoramChar"/>
                <w:sz w:val="20"/>
                <w:szCs w:val="20"/>
                <w:lang w:val="en-CA"/>
              </w:rPr>
              <w:t>Moldaver</w:t>
            </w:r>
            <w:proofErr w:type="spellEnd"/>
            <w:r w:rsidRPr="00CE3693">
              <w:rPr>
                <w:rStyle w:val="SCCCoramChar"/>
                <w:sz w:val="20"/>
                <w:szCs w:val="20"/>
                <w:lang w:val="en-CA"/>
              </w:rPr>
              <w:t> JJ.</w:t>
            </w:r>
          </w:p>
          <w:p w:rsidR="006A0B3A" w:rsidRPr="00CE3693" w:rsidRDefault="006A0B3A" w:rsidP="004A0323">
            <w:pPr>
              <w:rPr>
                <w:sz w:val="20"/>
                <w:szCs w:val="20"/>
                <w:u w:val="single"/>
              </w:rPr>
            </w:pPr>
          </w:p>
        </w:tc>
      </w:tr>
      <w:tr w:rsidR="006A0B3A" w:rsidRPr="009714AD" w:rsidTr="004A0323">
        <w:trPr>
          <w:cantSplit/>
        </w:trPr>
        <w:tc>
          <w:tcPr>
            <w:tcW w:w="9576" w:type="dxa"/>
            <w:gridSpan w:val="2"/>
          </w:tcPr>
          <w:p w:rsidR="006A0B3A" w:rsidRPr="00CE3693" w:rsidRDefault="006A0B3A" w:rsidP="004A0323">
            <w:pPr>
              <w:pStyle w:val="SCCShortJudgment"/>
              <w:rPr>
                <w:szCs w:val="20"/>
              </w:rPr>
            </w:pPr>
            <w:r w:rsidRPr="00CE3693">
              <w:rPr>
                <w:szCs w:val="20"/>
              </w:rPr>
              <w:t>The application for leave to appeal from the judgment of the Nova Scotia Court of Appeal, Number CAC 343119, 2012 NSCA 107, dated October 3, 2012, is granted without costs.</w:t>
            </w:r>
          </w:p>
          <w:p w:rsidR="006A0B3A" w:rsidRPr="00CE3693" w:rsidRDefault="006A0B3A" w:rsidP="004A0323">
            <w:pPr>
              <w:pStyle w:val="SCCShortJudgment"/>
              <w:ind w:firstLine="0"/>
              <w:rPr>
                <w:szCs w:val="20"/>
              </w:rPr>
            </w:pPr>
          </w:p>
          <w:p w:rsidR="006A0B3A" w:rsidRPr="00CE3693" w:rsidRDefault="006A0B3A" w:rsidP="004A0323">
            <w:pPr>
              <w:pStyle w:val="SCCShortJudgment"/>
              <w:rPr>
                <w:szCs w:val="20"/>
                <w:lang w:val="fr-CA"/>
              </w:rPr>
            </w:pPr>
            <w:r w:rsidRPr="00CE3693">
              <w:rPr>
                <w:szCs w:val="20"/>
                <w:lang w:val="fr-CA"/>
              </w:rPr>
              <w:t>La demande d’autorisation d’appel de l’arrêt de la Cour d’appel de la Nouvelle-Écosse, numéro CAC 343119, 2012 NSCA 107, daté du 3 octobre 2012, est accueillie sans dépens.</w:t>
            </w:r>
          </w:p>
        </w:tc>
      </w:tr>
    </w:tbl>
    <w:p w:rsidR="000C7850" w:rsidRPr="006A0B3A"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B5E40" w:rsidRPr="00495EC2" w:rsidTr="00EC5583">
        <w:tc>
          <w:tcPr>
            <w:tcW w:w="5000" w:type="pct"/>
            <w:gridSpan w:val="3"/>
          </w:tcPr>
          <w:p w:rsidR="00EB5E40" w:rsidRPr="00495EC2" w:rsidRDefault="00EB5E40" w:rsidP="00EC5583">
            <w:pPr>
              <w:jc w:val="both"/>
              <w:rPr>
                <w:rFonts w:eastAsia="Calibri"/>
                <w:sz w:val="20"/>
              </w:rPr>
            </w:pPr>
            <w:r w:rsidRPr="00495EC2">
              <w:rPr>
                <w:rFonts w:eastAsia="Calibri"/>
                <w:sz w:val="20"/>
              </w:rPr>
              <w:t>Criminal law – Sentencing –</w:t>
            </w:r>
            <w:r w:rsidRPr="00495EC2">
              <w:rPr>
                <w:rFonts w:eastAsia="Calibri"/>
                <w:i/>
                <w:sz w:val="20"/>
              </w:rPr>
              <w:t xml:space="preserve"> </w:t>
            </w:r>
            <w:r w:rsidRPr="00495EC2">
              <w:rPr>
                <w:rFonts w:eastAsia="Calibri"/>
                <w:sz w:val="20"/>
              </w:rPr>
              <w:t xml:space="preserve">Credit for pre-sentence custody - Whether the correct interpretation of s. 719(3.1) of the </w:t>
            </w:r>
            <w:r w:rsidRPr="00495EC2">
              <w:rPr>
                <w:rFonts w:eastAsia="Calibri"/>
                <w:i/>
                <w:sz w:val="20"/>
              </w:rPr>
              <w:t>Criminal Code</w:t>
            </w:r>
            <w:r w:rsidRPr="00495EC2">
              <w:rPr>
                <w:rFonts w:eastAsia="Calibri"/>
                <w:sz w:val="20"/>
              </w:rPr>
              <w:t xml:space="preserve"> is a matter of sufficient public importance that this Court should grant leave to appeal – Whether there are issues of public importance raised.</w:t>
            </w:r>
          </w:p>
        </w:tc>
      </w:tr>
      <w:tr w:rsidR="00EB5E40" w:rsidRPr="00495EC2" w:rsidTr="00EC5583">
        <w:tc>
          <w:tcPr>
            <w:tcW w:w="5000" w:type="pct"/>
            <w:gridSpan w:val="3"/>
          </w:tcPr>
          <w:p w:rsidR="00EB5E40" w:rsidRPr="00495EC2" w:rsidRDefault="00EB5E40" w:rsidP="00EC5583">
            <w:pPr>
              <w:jc w:val="both"/>
              <w:rPr>
                <w:rFonts w:eastAsia="Calibri"/>
                <w:sz w:val="20"/>
              </w:rPr>
            </w:pPr>
          </w:p>
        </w:tc>
      </w:tr>
      <w:tr w:rsidR="00EB5E40" w:rsidRPr="00495EC2" w:rsidTr="00EC5583">
        <w:tc>
          <w:tcPr>
            <w:tcW w:w="5000" w:type="pct"/>
            <w:gridSpan w:val="3"/>
          </w:tcPr>
          <w:p w:rsidR="00EB5E40" w:rsidRPr="00495EC2" w:rsidRDefault="00EB5E40" w:rsidP="00EC5583">
            <w:pPr>
              <w:jc w:val="both"/>
              <w:rPr>
                <w:rFonts w:eastAsia="Calibri"/>
                <w:sz w:val="20"/>
              </w:rPr>
            </w:pPr>
            <w:r w:rsidRPr="00495EC2">
              <w:rPr>
                <w:rFonts w:eastAsia="Calibri"/>
                <w:sz w:val="20"/>
              </w:rPr>
              <w:t>The respondent pled guilty to the charge of possession of cocaine for the purpose of trafficking and breach of his recognizance.  The respondent spent nine and a half months in custody before being sentenced.  The trial judge concluded that the respondent should be credited at a ratio of 1.5 days for every day in pre-sentence custody.  The Court of Appeal held that the trial judge committed no reversible error in granting the respondent a credit of 1:5 to 1 for time spent in custody prior to being sentenced.</w:t>
            </w:r>
          </w:p>
          <w:p w:rsidR="00EB5E40" w:rsidRPr="00495EC2" w:rsidRDefault="00EB5E40" w:rsidP="00EC5583">
            <w:pPr>
              <w:jc w:val="both"/>
              <w:rPr>
                <w:rFonts w:eastAsia="Calibri"/>
                <w:sz w:val="20"/>
              </w:rPr>
            </w:pPr>
          </w:p>
        </w:tc>
      </w:tr>
      <w:tr w:rsidR="00EB5E40" w:rsidRPr="00495EC2" w:rsidTr="00EC5583">
        <w:tc>
          <w:tcPr>
            <w:tcW w:w="2427" w:type="pct"/>
          </w:tcPr>
          <w:p w:rsidR="00EB5E40" w:rsidRPr="00495EC2" w:rsidRDefault="00EB5E40" w:rsidP="00EC5583">
            <w:pPr>
              <w:jc w:val="both"/>
              <w:rPr>
                <w:rFonts w:eastAsia="Calibri"/>
                <w:sz w:val="20"/>
              </w:rPr>
            </w:pPr>
            <w:r w:rsidRPr="00495EC2">
              <w:rPr>
                <w:rFonts w:eastAsia="Calibri"/>
                <w:sz w:val="20"/>
              </w:rPr>
              <w:t>June 22, 2011</w:t>
            </w:r>
          </w:p>
          <w:p w:rsidR="00EB5E40" w:rsidRPr="00495EC2" w:rsidRDefault="00EB5E40" w:rsidP="00EC5583">
            <w:pPr>
              <w:jc w:val="both"/>
              <w:rPr>
                <w:rFonts w:eastAsia="Calibri"/>
                <w:sz w:val="20"/>
              </w:rPr>
            </w:pPr>
            <w:r w:rsidRPr="00495EC2">
              <w:rPr>
                <w:rFonts w:eastAsia="Calibri"/>
                <w:sz w:val="20"/>
              </w:rPr>
              <w:t>Provincial Court of Nova Scotia</w:t>
            </w:r>
          </w:p>
          <w:p w:rsidR="00EB5E40" w:rsidRPr="00495EC2" w:rsidRDefault="00EB5E40" w:rsidP="00EC5583">
            <w:pPr>
              <w:jc w:val="both"/>
              <w:rPr>
                <w:rFonts w:eastAsia="Calibri"/>
                <w:sz w:val="20"/>
              </w:rPr>
            </w:pPr>
            <w:r w:rsidRPr="00495EC2">
              <w:rPr>
                <w:rFonts w:eastAsia="Calibri"/>
                <w:sz w:val="20"/>
              </w:rPr>
              <w:t>(Prov. Ct. Judge Derrick)</w:t>
            </w:r>
          </w:p>
          <w:p w:rsidR="00EB5E40" w:rsidRPr="00495EC2" w:rsidRDefault="00EB5E40" w:rsidP="00EC5583">
            <w:pPr>
              <w:jc w:val="both"/>
              <w:rPr>
                <w:rFonts w:eastAsia="Calibri"/>
                <w:sz w:val="20"/>
              </w:rPr>
            </w:pPr>
            <w:r w:rsidRPr="00495EC2">
              <w:rPr>
                <w:rFonts w:eastAsia="Calibri"/>
                <w:sz w:val="20"/>
              </w:rPr>
              <w:t>2011 NSPC 35</w:t>
            </w:r>
          </w:p>
          <w:p w:rsidR="00EB5E40" w:rsidRPr="00495EC2" w:rsidRDefault="00EB5E40" w:rsidP="00EC5583">
            <w:pPr>
              <w:jc w:val="both"/>
              <w:rPr>
                <w:rFonts w:eastAsia="Calibri"/>
                <w:sz w:val="20"/>
              </w:rPr>
            </w:pPr>
          </w:p>
        </w:tc>
        <w:tc>
          <w:tcPr>
            <w:tcW w:w="243" w:type="pct"/>
          </w:tcPr>
          <w:p w:rsidR="00EB5E40" w:rsidRPr="00495EC2" w:rsidRDefault="00EB5E40" w:rsidP="00EC5583">
            <w:pPr>
              <w:jc w:val="both"/>
              <w:rPr>
                <w:rFonts w:eastAsia="Calibri"/>
                <w:sz w:val="20"/>
              </w:rPr>
            </w:pPr>
          </w:p>
        </w:tc>
        <w:tc>
          <w:tcPr>
            <w:tcW w:w="2330" w:type="pct"/>
          </w:tcPr>
          <w:p w:rsidR="00EB5E40" w:rsidRPr="00495EC2" w:rsidRDefault="00EB5E40" w:rsidP="00EC5583">
            <w:pPr>
              <w:jc w:val="both"/>
              <w:rPr>
                <w:rFonts w:eastAsia="Calibri"/>
                <w:sz w:val="20"/>
              </w:rPr>
            </w:pPr>
            <w:r w:rsidRPr="00495EC2">
              <w:rPr>
                <w:rFonts w:eastAsia="Calibri"/>
                <w:sz w:val="20"/>
              </w:rPr>
              <w:t>Sentence imposed: 30 months; credit of 1.5 to 1 for time spent in custody prior to sentencing</w:t>
            </w:r>
          </w:p>
          <w:p w:rsidR="00EB5E40" w:rsidRPr="00495EC2" w:rsidRDefault="00EB5E40" w:rsidP="00EC5583">
            <w:pPr>
              <w:jc w:val="both"/>
              <w:rPr>
                <w:rFonts w:eastAsia="Calibri"/>
                <w:sz w:val="20"/>
              </w:rPr>
            </w:pPr>
          </w:p>
        </w:tc>
      </w:tr>
      <w:tr w:rsidR="00EB5E40" w:rsidRPr="00495EC2" w:rsidTr="00EC5583">
        <w:tc>
          <w:tcPr>
            <w:tcW w:w="2427" w:type="pct"/>
          </w:tcPr>
          <w:p w:rsidR="00EB5E40" w:rsidRPr="00495EC2" w:rsidRDefault="00EB5E40" w:rsidP="00EC5583">
            <w:pPr>
              <w:jc w:val="both"/>
              <w:rPr>
                <w:rFonts w:eastAsia="Calibri"/>
                <w:sz w:val="20"/>
              </w:rPr>
            </w:pPr>
            <w:r w:rsidRPr="00495EC2">
              <w:rPr>
                <w:rFonts w:eastAsia="Calibri"/>
                <w:sz w:val="20"/>
              </w:rPr>
              <w:t>October 3, 2012</w:t>
            </w:r>
          </w:p>
          <w:p w:rsidR="00EB5E40" w:rsidRPr="00495EC2" w:rsidRDefault="00EB5E40" w:rsidP="00EC5583">
            <w:pPr>
              <w:jc w:val="both"/>
              <w:rPr>
                <w:rFonts w:eastAsia="Calibri"/>
                <w:sz w:val="20"/>
              </w:rPr>
            </w:pPr>
            <w:r w:rsidRPr="00495EC2">
              <w:rPr>
                <w:rFonts w:eastAsia="Calibri"/>
                <w:sz w:val="20"/>
              </w:rPr>
              <w:t>Nova Scotia Court of Appeal</w:t>
            </w:r>
          </w:p>
          <w:p w:rsidR="00EB5E40" w:rsidRPr="00495EC2" w:rsidRDefault="00EB5E40" w:rsidP="00EC5583">
            <w:pPr>
              <w:jc w:val="both"/>
              <w:rPr>
                <w:rFonts w:eastAsia="Calibri"/>
                <w:sz w:val="20"/>
              </w:rPr>
            </w:pPr>
            <w:r w:rsidRPr="00495EC2">
              <w:rPr>
                <w:rFonts w:eastAsia="Calibri"/>
                <w:sz w:val="20"/>
              </w:rPr>
              <w:t xml:space="preserve">(MacDonald C.J.N.S. and </w:t>
            </w:r>
            <w:proofErr w:type="spellStart"/>
            <w:r w:rsidRPr="00495EC2">
              <w:rPr>
                <w:rFonts w:eastAsia="Calibri"/>
                <w:sz w:val="20"/>
              </w:rPr>
              <w:t>Beveridge</w:t>
            </w:r>
            <w:proofErr w:type="spellEnd"/>
            <w:r w:rsidRPr="00495EC2">
              <w:rPr>
                <w:rFonts w:eastAsia="Calibri"/>
                <w:sz w:val="20"/>
              </w:rPr>
              <w:t xml:space="preserve"> and </w:t>
            </w:r>
          </w:p>
          <w:p w:rsidR="00EB5E40" w:rsidRPr="00495EC2" w:rsidRDefault="00EB5E40" w:rsidP="00EC5583">
            <w:pPr>
              <w:jc w:val="both"/>
              <w:rPr>
                <w:rFonts w:eastAsia="Calibri"/>
                <w:sz w:val="20"/>
              </w:rPr>
            </w:pPr>
            <w:r w:rsidRPr="00495EC2">
              <w:rPr>
                <w:rFonts w:eastAsia="Calibri"/>
                <w:sz w:val="20"/>
              </w:rPr>
              <w:t xml:space="preserve">Hamilton JJ.A.) </w:t>
            </w:r>
          </w:p>
          <w:p w:rsidR="00EB5E40" w:rsidRPr="00495EC2" w:rsidRDefault="00EB5E40" w:rsidP="00EC5583">
            <w:pPr>
              <w:jc w:val="both"/>
              <w:rPr>
                <w:rFonts w:eastAsia="Calibri"/>
                <w:sz w:val="20"/>
              </w:rPr>
            </w:pPr>
            <w:r w:rsidRPr="00495EC2">
              <w:rPr>
                <w:rFonts w:eastAsia="Calibri"/>
                <w:sz w:val="20"/>
              </w:rPr>
              <w:t>2012 NSCA 107</w:t>
            </w:r>
          </w:p>
          <w:p w:rsidR="00EB5E40" w:rsidRPr="00495EC2" w:rsidRDefault="00EB5E40" w:rsidP="00EC5583">
            <w:pPr>
              <w:jc w:val="both"/>
              <w:rPr>
                <w:rFonts w:eastAsia="Calibri"/>
                <w:sz w:val="20"/>
              </w:rPr>
            </w:pPr>
          </w:p>
        </w:tc>
        <w:tc>
          <w:tcPr>
            <w:tcW w:w="243" w:type="pct"/>
          </w:tcPr>
          <w:p w:rsidR="00EB5E40" w:rsidRPr="00495EC2" w:rsidRDefault="00EB5E40" w:rsidP="00EC5583">
            <w:pPr>
              <w:jc w:val="both"/>
              <w:rPr>
                <w:rFonts w:eastAsia="Calibri"/>
                <w:sz w:val="20"/>
              </w:rPr>
            </w:pPr>
          </w:p>
        </w:tc>
        <w:tc>
          <w:tcPr>
            <w:tcW w:w="2330" w:type="pct"/>
          </w:tcPr>
          <w:p w:rsidR="00EB5E40" w:rsidRPr="00495EC2" w:rsidRDefault="00EB5E40" w:rsidP="00EC5583">
            <w:pPr>
              <w:jc w:val="both"/>
              <w:rPr>
                <w:rFonts w:eastAsia="Calibri"/>
                <w:sz w:val="20"/>
              </w:rPr>
            </w:pPr>
            <w:r w:rsidRPr="00495EC2">
              <w:rPr>
                <w:rFonts w:eastAsia="Calibri"/>
                <w:sz w:val="20"/>
              </w:rPr>
              <w:t>Appeal dismissed regarding credit of 1.5 to 1 for time spent in custody prior to sentencing; appeal granted regarding publication ban</w:t>
            </w:r>
          </w:p>
          <w:p w:rsidR="00EB5E40" w:rsidRPr="00495EC2" w:rsidRDefault="00EB5E40" w:rsidP="00EC5583">
            <w:pPr>
              <w:jc w:val="both"/>
              <w:rPr>
                <w:rFonts w:eastAsia="Calibri"/>
                <w:sz w:val="20"/>
              </w:rPr>
            </w:pPr>
          </w:p>
        </w:tc>
      </w:tr>
      <w:tr w:rsidR="00EB5E40" w:rsidRPr="00495EC2" w:rsidTr="00EC5583">
        <w:tc>
          <w:tcPr>
            <w:tcW w:w="2427" w:type="pct"/>
          </w:tcPr>
          <w:p w:rsidR="00EB5E40" w:rsidRPr="00495EC2" w:rsidRDefault="00EB5E40" w:rsidP="00EC5583">
            <w:pPr>
              <w:jc w:val="both"/>
              <w:rPr>
                <w:rFonts w:eastAsia="Calibri"/>
                <w:sz w:val="20"/>
              </w:rPr>
            </w:pPr>
            <w:r w:rsidRPr="00495EC2">
              <w:rPr>
                <w:rFonts w:eastAsia="Calibri"/>
                <w:sz w:val="20"/>
              </w:rPr>
              <w:t>December 3, 2012</w:t>
            </w:r>
          </w:p>
          <w:p w:rsidR="00EB5E40" w:rsidRPr="00495EC2" w:rsidRDefault="00EB5E40" w:rsidP="00EC5583">
            <w:pPr>
              <w:jc w:val="both"/>
              <w:rPr>
                <w:rFonts w:eastAsia="Calibri"/>
                <w:sz w:val="20"/>
              </w:rPr>
            </w:pPr>
            <w:r w:rsidRPr="00495EC2">
              <w:rPr>
                <w:rFonts w:eastAsia="Calibri"/>
                <w:sz w:val="20"/>
              </w:rPr>
              <w:t>Supreme Court of Canada</w:t>
            </w:r>
          </w:p>
        </w:tc>
        <w:tc>
          <w:tcPr>
            <w:tcW w:w="243" w:type="pct"/>
          </w:tcPr>
          <w:p w:rsidR="00EB5E40" w:rsidRPr="00495EC2" w:rsidRDefault="00EB5E40" w:rsidP="00EC5583">
            <w:pPr>
              <w:jc w:val="both"/>
              <w:rPr>
                <w:rFonts w:eastAsia="Calibri"/>
                <w:sz w:val="20"/>
              </w:rPr>
            </w:pPr>
          </w:p>
        </w:tc>
        <w:tc>
          <w:tcPr>
            <w:tcW w:w="2330" w:type="pct"/>
          </w:tcPr>
          <w:p w:rsidR="00EB5E40" w:rsidRPr="00495EC2" w:rsidRDefault="00EB5E40" w:rsidP="00EC5583">
            <w:pPr>
              <w:jc w:val="both"/>
              <w:rPr>
                <w:rFonts w:eastAsia="Calibri"/>
                <w:sz w:val="20"/>
              </w:rPr>
            </w:pPr>
            <w:r w:rsidRPr="00495EC2">
              <w:rPr>
                <w:rFonts w:eastAsia="Calibri"/>
                <w:sz w:val="20"/>
              </w:rPr>
              <w:t>Application for leave to appeal filed</w:t>
            </w:r>
          </w:p>
          <w:p w:rsidR="00EB5E40" w:rsidRPr="00495EC2" w:rsidRDefault="00EB5E40" w:rsidP="00EC5583">
            <w:pPr>
              <w:jc w:val="both"/>
              <w:rPr>
                <w:rFonts w:eastAsia="Calibri"/>
                <w:sz w:val="20"/>
              </w:rPr>
            </w:pP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68" style="width:2in;height:1pt" o:hrpct="0" o:hralign="center" o:hrstd="t" o:hrnoshade="t" o:hr="t" fillcolor="black [3213]" stroked="f"/>
        </w:pict>
      </w:r>
    </w:p>
    <w:p w:rsidR="000C7850" w:rsidRDefault="000C7850" w:rsidP="000C7850">
      <w:pPr>
        <w:rPr>
          <w:sz w:val="20"/>
          <w:szCs w:val="20"/>
        </w:rPr>
      </w:pPr>
    </w:p>
    <w:p w:rsidR="00A80FCF" w:rsidRDefault="00A80FCF">
      <w:pPr>
        <w:rPr>
          <w:sz w:val="20"/>
          <w:szCs w:val="20"/>
          <w:u w:val="single"/>
          <w:lang w:val="fr-CA"/>
        </w:rPr>
      </w:pPr>
      <w:r>
        <w:rPr>
          <w:sz w:val="20"/>
          <w:szCs w:val="20"/>
          <w:u w:val="single"/>
          <w:lang w:val="fr-CA"/>
        </w:rPr>
        <w:br w:type="page"/>
      </w: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B5E40" w:rsidRPr="009714AD" w:rsidTr="00EC5583">
        <w:tc>
          <w:tcPr>
            <w:tcW w:w="5000" w:type="pct"/>
            <w:gridSpan w:val="3"/>
          </w:tcPr>
          <w:p w:rsidR="00EB5E40" w:rsidRPr="00495EC2" w:rsidRDefault="00EB5E40" w:rsidP="00EC5583">
            <w:pPr>
              <w:jc w:val="both"/>
              <w:rPr>
                <w:rFonts w:eastAsia="Calibri"/>
                <w:sz w:val="20"/>
                <w:lang w:val="fr-CA"/>
              </w:rPr>
            </w:pPr>
            <w:r w:rsidRPr="00495EC2">
              <w:rPr>
                <w:rFonts w:eastAsia="Calibri"/>
                <w:sz w:val="20"/>
                <w:lang w:val="fr-CA"/>
              </w:rPr>
              <w:t xml:space="preserve">Droit criminel – Détermination de la peine – Réduction pour tenir compte de la détention </w:t>
            </w:r>
            <w:proofErr w:type="spellStart"/>
            <w:r w:rsidRPr="00495EC2">
              <w:rPr>
                <w:rFonts w:eastAsia="Calibri"/>
                <w:sz w:val="20"/>
                <w:lang w:val="fr-CA"/>
              </w:rPr>
              <w:t>présentencielle</w:t>
            </w:r>
            <w:proofErr w:type="spellEnd"/>
            <w:r w:rsidRPr="00495EC2">
              <w:rPr>
                <w:rFonts w:eastAsia="Calibri"/>
                <w:sz w:val="20"/>
                <w:lang w:val="fr-CA"/>
              </w:rPr>
              <w:t xml:space="preserve"> – La bonne interprétation du par. 719(3.1) du</w:t>
            </w:r>
            <w:r w:rsidRPr="00495EC2">
              <w:rPr>
                <w:rFonts w:eastAsia="Calibri"/>
                <w:i/>
                <w:sz w:val="20"/>
                <w:lang w:val="fr-CA"/>
              </w:rPr>
              <w:t xml:space="preserve"> Code criminel</w:t>
            </w:r>
            <w:r w:rsidRPr="00495EC2">
              <w:rPr>
                <w:rFonts w:eastAsia="Calibri"/>
                <w:sz w:val="20"/>
                <w:lang w:val="fr-CA"/>
              </w:rPr>
              <w:t xml:space="preserve"> </w:t>
            </w:r>
            <w:proofErr w:type="spellStart"/>
            <w:r w:rsidRPr="00495EC2">
              <w:rPr>
                <w:rFonts w:eastAsia="Calibri"/>
                <w:sz w:val="20"/>
                <w:lang w:val="fr-CA"/>
              </w:rPr>
              <w:t>revêt</w:t>
            </w:r>
            <w:r w:rsidRPr="00495EC2">
              <w:rPr>
                <w:rFonts w:eastAsia="Calibri"/>
                <w:sz w:val="20"/>
                <w:lang w:val="fr-CA"/>
              </w:rPr>
              <w:noBreakHyphen/>
              <w:t>elle</w:t>
            </w:r>
            <w:proofErr w:type="spellEnd"/>
            <w:r w:rsidRPr="00495EC2">
              <w:rPr>
                <w:rFonts w:eastAsia="Calibri"/>
                <w:sz w:val="20"/>
                <w:lang w:val="fr-CA"/>
              </w:rPr>
              <w:t xml:space="preserve"> suffisamment d’importante pour le public qu'il y a lieu pour cette Cour d'accorder l'autorisation d'appel? – L'affaire </w:t>
            </w:r>
            <w:proofErr w:type="spellStart"/>
            <w:r w:rsidRPr="00495EC2">
              <w:rPr>
                <w:rFonts w:eastAsia="Calibri"/>
                <w:sz w:val="20"/>
                <w:lang w:val="fr-CA"/>
              </w:rPr>
              <w:t>soulève</w:t>
            </w:r>
            <w:r w:rsidRPr="00495EC2">
              <w:rPr>
                <w:rFonts w:eastAsia="Calibri"/>
                <w:sz w:val="20"/>
                <w:lang w:val="fr-CA"/>
              </w:rPr>
              <w:noBreakHyphen/>
              <w:t>t</w:t>
            </w:r>
            <w:r w:rsidRPr="00495EC2">
              <w:rPr>
                <w:rFonts w:eastAsia="Calibri"/>
                <w:sz w:val="20"/>
                <w:lang w:val="fr-CA"/>
              </w:rPr>
              <w:noBreakHyphen/>
              <w:t>elle</w:t>
            </w:r>
            <w:proofErr w:type="spellEnd"/>
            <w:r w:rsidRPr="00495EC2">
              <w:rPr>
                <w:rFonts w:eastAsia="Calibri"/>
                <w:sz w:val="20"/>
                <w:lang w:val="fr-CA"/>
              </w:rPr>
              <w:t xml:space="preserve"> des questions d'importance pour le public?</w:t>
            </w:r>
          </w:p>
        </w:tc>
      </w:tr>
      <w:tr w:rsidR="00EB5E40" w:rsidRPr="009714AD" w:rsidTr="00EC5583">
        <w:tc>
          <w:tcPr>
            <w:tcW w:w="5000" w:type="pct"/>
            <w:gridSpan w:val="3"/>
          </w:tcPr>
          <w:p w:rsidR="00EB5E40" w:rsidRPr="00495EC2" w:rsidRDefault="00EB5E40" w:rsidP="00EC5583">
            <w:pPr>
              <w:jc w:val="both"/>
              <w:rPr>
                <w:rFonts w:eastAsia="Calibri"/>
                <w:sz w:val="20"/>
                <w:lang w:val="fr-CA"/>
              </w:rPr>
            </w:pPr>
          </w:p>
        </w:tc>
      </w:tr>
      <w:tr w:rsidR="00EB5E40" w:rsidRPr="009714AD" w:rsidTr="00EC5583">
        <w:tc>
          <w:tcPr>
            <w:tcW w:w="5000" w:type="pct"/>
            <w:gridSpan w:val="3"/>
          </w:tcPr>
          <w:p w:rsidR="00EB5E40" w:rsidRPr="00495EC2" w:rsidRDefault="00EB5E40" w:rsidP="00EC5583">
            <w:pPr>
              <w:jc w:val="both"/>
              <w:rPr>
                <w:rFonts w:eastAsia="Calibri"/>
                <w:sz w:val="20"/>
                <w:lang w:val="fr-CA"/>
              </w:rPr>
            </w:pPr>
            <w:r w:rsidRPr="00495EC2">
              <w:rPr>
                <w:rFonts w:eastAsia="Calibri"/>
                <w:sz w:val="20"/>
                <w:lang w:val="fr-CA"/>
              </w:rPr>
              <w:t xml:space="preserve">L'intimé a plaidé coupable à des accusations de possession de cocaïne aux fins d'en faire le trafic et d'inobservation d'un engagement. L'intimé a passé neuf mois et demi sous garde avant la sentence.  La juge du procès a conclu que la durée de sa peine devait être réduite à raison de 1,5 jour pour chaque jour de détention </w:t>
            </w:r>
            <w:proofErr w:type="spellStart"/>
            <w:r w:rsidRPr="00495EC2">
              <w:rPr>
                <w:rFonts w:eastAsia="Calibri"/>
                <w:sz w:val="20"/>
                <w:lang w:val="fr-CA"/>
              </w:rPr>
              <w:t>présentencielle</w:t>
            </w:r>
            <w:proofErr w:type="spellEnd"/>
            <w:r w:rsidRPr="00495EC2">
              <w:rPr>
                <w:rFonts w:eastAsia="Calibri"/>
                <w:sz w:val="20"/>
                <w:lang w:val="fr-CA"/>
              </w:rPr>
              <w:t>.  La Cour d'appel a statué que la juge du procès n'avait commis aucune erreur justifiant l'infirmation de sa décision de réduire la peine à raison de 1,5 jour pour chaque jour passé sous garde avant la sentence.</w:t>
            </w:r>
          </w:p>
          <w:p w:rsidR="00EB5E40" w:rsidRPr="00495EC2" w:rsidRDefault="00EB5E40" w:rsidP="00EC5583">
            <w:pPr>
              <w:jc w:val="both"/>
              <w:rPr>
                <w:rFonts w:eastAsia="Calibri"/>
                <w:sz w:val="20"/>
                <w:lang w:val="fr-CA"/>
              </w:rPr>
            </w:pPr>
          </w:p>
        </w:tc>
      </w:tr>
      <w:tr w:rsidR="00EB5E40" w:rsidRPr="009714AD" w:rsidTr="00EC5583">
        <w:tc>
          <w:tcPr>
            <w:tcW w:w="2427" w:type="pct"/>
          </w:tcPr>
          <w:p w:rsidR="00EB5E40" w:rsidRPr="00495EC2" w:rsidRDefault="00EB5E40" w:rsidP="00EC5583">
            <w:pPr>
              <w:jc w:val="both"/>
              <w:rPr>
                <w:rFonts w:eastAsia="Calibri"/>
                <w:sz w:val="20"/>
                <w:lang w:val="fr-CA"/>
              </w:rPr>
            </w:pPr>
            <w:r w:rsidRPr="00495EC2">
              <w:rPr>
                <w:rFonts w:eastAsia="Calibri"/>
                <w:sz w:val="20"/>
                <w:lang w:val="fr-CA"/>
              </w:rPr>
              <w:t>22 juin 2011</w:t>
            </w:r>
          </w:p>
          <w:p w:rsidR="00EB5E40" w:rsidRPr="00495EC2" w:rsidRDefault="00EB5E40" w:rsidP="00EC5583">
            <w:pPr>
              <w:jc w:val="both"/>
              <w:rPr>
                <w:rFonts w:eastAsia="Calibri"/>
                <w:sz w:val="20"/>
                <w:lang w:val="fr-CA"/>
              </w:rPr>
            </w:pPr>
            <w:r w:rsidRPr="00495EC2">
              <w:rPr>
                <w:rFonts w:eastAsia="Calibri"/>
                <w:sz w:val="20"/>
                <w:lang w:val="fr-CA"/>
              </w:rPr>
              <w:t xml:space="preserve">Cour provinciale de la </w:t>
            </w:r>
            <w:proofErr w:type="spellStart"/>
            <w:r w:rsidRPr="00495EC2">
              <w:rPr>
                <w:rFonts w:eastAsia="Calibri"/>
                <w:sz w:val="20"/>
                <w:lang w:val="fr-CA"/>
              </w:rPr>
              <w:t>Nouvelle</w:t>
            </w:r>
            <w:r w:rsidRPr="00495EC2">
              <w:rPr>
                <w:rFonts w:eastAsia="Calibri"/>
                <w:sz w:val="20"/>
                <w:lang w:val="fr-CA"/>
              </w:rPr>
              <w:noBreakHyphen/>
              <w:t>Écosse</w:t>
            </w:r>
            <w:proofErr w:type="spellEnd"/>
            <w:r w:rsidRPr="00495EC2">
              <w:rPr>
                <w:rFonts w:eastAsia="Calibri"/>
                <w:sz w:val="20"/>
                <w:lang w:val="fr-CA"/>
              </w:rPr>
              <w:t xml:space="preserve"> </w:t>
            </w:r>
          </w:p>
          <w:p w:rsidR="00EB5E40" w:rsidRPr="00495EC2" w:rsidRDefault="00EB5E40" w:rsidP="00EC5583">
            <w:pPr>
              <w:jc w:val="both"/>
              <w:rPr>
                <w:rFonts w:eastAsia="Calibri"/>
                <w:sz w:val="20"/>
                <w:lang w:val="fr-CA"/>
              </w:rPr>
            </w:pPr>
            <w:r w:rsidRPr="00495EC2">
              <w:rPr>
                <w:rFonts w:eastAsia="Calibri"/>
                <w:sz w:val="20"/>
                <w:lang w:val="fr-CA"/>
              </w:rPr>
              <w:t>(Juge Derrick)</w:t>
            </w:r>
          </w:p>
          <w:p w:rsidR="00EB5E40" w:rsidRPr="00495EC2" w:rsidRDefault="00EB5E40" w:rsidP="00EC5583">
            <w:pPr>
              <w:jc w:val="both"/>
              <w:rPr>
                <w:rFonts w:eastAsia="Calibri"/>
                <w:sz w:val="20"/>
                <w:lang w:val="fr-CA"/>
              </w:rPr>
            </w:pPr>
            <w:r w:rsidRPr="00495EC2">
              <w:rPr>
                <w:rFonts w:eastAsia="Calibri"/>
                <w:sz w:val="20"/>
                <w:lang w:val="fr-CA"/>
              </w:rPr>
              <w:t>2011 NSPC 35</w:t>
            </w:r>
          </w:p>
          <w:p w:rsidR="00EB5E40" w:rsidRPr="00495EC2" w:rsidRDefault="00EB5E40" w:rsidP="00EC5583">
            <w:pPr>
              <w:jc w:val="both"/>
              <w:rPr>
                <w:rFonts w:eastAsia="Calibri"/>
                <w:sz w:val="20"/>
                <w:lang w:val="fr-CA"/>
              </w:rPr>
            </w:pPr>
          </w:p>
        </w:tc>
        <w:tc>
          <w:tcPr>
            <w:tcW w:w="243" w:type="pct"/>
          </w:tcPr>
          <w:p w:rsidR="00EB5E40" w:rsidRPr="00495EC2" w:rsidRDefault="00EB5E40" w:rsidP="00EC5583">
            <w:pPr>
              <w:jc w:val="both"/>
              <w:rPr>
                <w:rFonts w:eastAsia="Calibri"/>
                <w:sz w:val="20"/>
                <w:lang w:val="fr-CA"/>
              </w:rPr>
            </w:pPr>
          </w:p>
        </w:tc>
        <w:tc>
          <w:tcPr>
            <w:tcW w:w="2330" w:type="pct"/>
          </w:tcPr>
          <w:p w:rsidR="00EB5E40" w:rsidRPr="00495EC2" w:rsidRDefault="00EB5E40" w:rsidP="00EC5583">
            <w:pPr>
              <w:jc w:val="both"/>
              <w:rPr>
                <w:rFonts w:eastAsia="Calibri"/>
                <w:sz w:val="20"/>
                <w:lang w:val="fr-CA"/>
              </w:rPr>
            </w:pPr>
            <w:r w:rsidRPr="00495EC2">
              <w:rPr>
                <w:rFonts w:eastAsia="Calibri"/>
                <w:sz w:val="20"/>
                <w:lang w:val="fr-CA"/>
              </w:rPr>
              <w:t>Peine imposée : 30 mois; peine réduite à raison de 1,5 jour par jour passé sous garde avant la sentence</w:t>
            </w:r>
          </w:p>
          <w:p w:rsidR="00EB5E40" w:rsidRPr="00495EC2" w:rsidRDefault="00EB5E40" w:rsidP="00EC5583">
            <w:pPr>
              <w:jc w:val="both"/>
              <w:rPr>
                <w:rFonts w:eastAsia="Calibri"/>
                <w:sz w:val="20"/>
                <w:lang w:val="fr-CA"/>
              </w:rPr>
            </w:pPr>
          </w:p>
        </w:tc>
      </w:tr>
      <w:tr w:rsidR="00EB5E40" w:rsidRPr="009714AD" w:rsidTr="00EC5583">
        <w:tc>
          <w:tcPr>
            <w:tcW w:w="2427" w:type="pct"/>
          </w:tcPr>
          <w:p w:rsidR="00EB5E40" w:rsidRPr="00495EC2" w:rsidRDefault="00EB5E40" w:rsidP="00EC5583">
            <w:pPr>
              <w:jc w:val="both"/>
              <w:rPr>
                <w:rFonts w:eastAsia="Calibri"/>
                <w:sz w:val="20"/>
                <w:lang w:val="fr-CA"/>
              </w:rPr>
            </w:pPr>
            <w:r w:rsidRPr="00495EC2">
              <w:rPr>
                <w:rFonts w:eastAsia="Calibri"/>
                <w:sz w:val="20"/>
                <w:lang w:val="fr-CA"/>
              </w:rPr>
              <w:t>3 octobre 2012</w:t>
            </w:r>
          </w:p>
          <w:p w:rsidR="00EB5E40" w:rsidRPr="00495EC2" w:rsidRDefault="00EB5E40" w:rsidP="00EC5583">
            <w:pPr>
              <w:jc w:val="both"/>
              <w:rPr>
                <w:rFonts w:eastAsia="Calibri"/>
                <w:sz w:val="20"/>
                <w:lang w:val="fr-CA"/>
              </w:rPr>
            </w:pPr>
            <w:r w:rsidRPr="00495EC2">
              <w:rPr>
                <w:rFonts w:eastAsia="Calibri"/>
                <w:sz w:val="20"/>
                <w:lang w:val="fr-CA"/>
              </w:rPr>
              <w:t xml:space="preserve">Cour d'appel de la </w:t>
            </w:r>
            <w:proofErr w:type="spellStart"/>
            <w:r w:rsidRPr="00495EC2">
              <w:rPr>
                <w:rFonts w:eastAsia="Calibri"/>
                <w:sz w:val="20"/>
                <w:lang w:val="fr-CA"/>
              </w:rPr>
              <w:t>Nouvelle</w:t>
            </w:r>
            <w:r w:rsidRPr="00495EC2">
              <w:rPr>
                <w:rFonts w:eastAsia="Calibri"/>
                <w:sz w:val="20"/>
                <w:lang w:val="fr-CA"/>
              </w:rPr>
              <w:noBreakHyphen/>
              <w:t>Écosse</w:t>
            </w:r>
            <w:proofErr w:type="spellEnd"/>
            <w:r w:rsidRPr="00495EC2">
              <w:rPr>
                <w:rFonts w:eastAsia="Calibri"/>
                <w:sz w:val="20"/>
                <w:lang w:val="fr-CA"/>
              </w:rPr>
              <w:t xml:space="preserve"> </w:t>
            </w:r>
          </w:p>
          <w:p w:rsidR="00EB5E40" w:rsidRPr="00495EC2" w:rsidRDefault="00EB5E40" w:rsidP="00EC5583">
            <w:pPr>
              <w:jc w:val="both"/>
              <w:rPr>
                <w:rFonts w:eastAsia="Calibri"/>
                <w:sz w:val="20"/>
                <w:lang w:val="fr-CA"/>
              </w:rPr>
            </w:pPr>
            <w:r w:rsidRPr="00495EC2">
              <w:rPr>
                <w:rFonts w:eastAsia="Calibri"/>
                <w:sz w:val="20"/>
                <w:lang w:val="fr-CA"/>
              </w:rPr>
              <w:t xml:space="preserve">(Juge en chef </w:t>
            </w:r>
            <w:proofErr w:type="spellStart"/>
            <w:r w:rsidRPr="00495EC2">
              <w:rPr>
                <w:rFonts w:eastAsia="Calibri"/>
                <w:sz w:val="20"/>
                <w:lang w:val="fr-CA"/>
              </w:rPr>
              <w:t>MacDonald</w:t>
            </w:r>
            <w:proofErr w:type="spellEnd"/>
            <w:r w:rsidRPr="00495EC2">
              <w:rPr>
                <w:rFonts w:eastAsia="Calibri"/>
                <w:sz w:val="20"/>
                <w:lang w:val="fr-CA"/>
              </w:rPr>
              <w:t xml:space="preserve">, juges Beveridge et </w:t>
            </w:r>
          </w:p>
          <w:p w:rsidR="00EB5E40" w:rsidRPr="00495EC2" w:rsidRDefault="00EB5E40" w:rsidP="00EC5583">
            <w:pPr>
              <w:jc w:val="both"/>
              <w:rPr>
                <w:rFonts w:eastAsia="Calibri"/>
                <w:sz w:val="20"/>
                <w:lang w:val="fr-CA"/>
              </w:rPr>
            </w:pPr>
            <w:r w:rsidRPr="00495EC2">
              <w:rPr>
                <w:rFonts w:eastAsia="Calibri"/>
                <w:sz w:val="20"/>
                <w:lang w:val="fr-CA"/>
              </w:rPr>
              <w:t xml:space="preserve">Hamilton) </w:t>
            </w:r>
          </w:p>
          <w:p w:rsidR="00EB5E40" w:rsidRPr="00495EC2" w:rsidRDefault="00EB5E40" w:rsidP="00EC5583">
            <w:pPr>
              <w:jc w:val="both"/>
              <w:rPr>
                <w:rFonts w:eastAsia="Calibri"/>
                <w:sz w:val="20"/>
                <w:lang w:val="fr-CA"/>
              </w:rPr>
            </w:pPr>
            <w:r w:rsidRPr="00495EC2">
              <w:rPr>
                <w:rFonts w:eastAsia="Calibri"/>
                <w:sz w:val="20"/>
                <w:lang w:val="fr-CA"/>
              </w:rPr>
              <w:t>2012 NSCA 107</w:t>
            </w:r>
          </w:p>
          <w:p w:rsidR="00EB5E40" w:rsidRPr="00495EC2" w:rsidRDefault="00EB5E40" w:rsidP="00EC5583">
            <w:pPr>
              <w:jc w:val="both"/>
              <w:rPr>
                <w:rFonts w:eastAsia="Calibri"/>
                <w:sz w:val="20"/>
                <w:lang w:val="fr-CA"/>
              </w:rPr>
            </w:pPr>
          </w:p>
        </w:tc>
        <w:tc>
          <w:tcPr>
            <w:tcW w:w="243" w:type="pct"/>
          </w:tcPr>
          <w:p w:rsidR="00EB5E40" w:rsidRPr="00495EC2" w:rsidRDefault="00EB5E40" w:rsidP="00EC5583">
            <w:pPr>
              <w:jc w:val="both"/>
              <w:rPr>
                <w:rFonts w:eastAsia="Calibri"/>
                <w:sz w:val="20"/>
                <w:lang w:val="fr-CA"/>
              </w:rPr>
            </w:pPr>
          </w:p>
        </w:tc>
        <w:tc>
          <w:tcPr>
            <w:tcW w:w="2330" w:type="pct"/>
          </w:tcPr>
          <w:p w:rsidR="00EB5E40" w:rsidRPr="00495EC2" w:rsidRDefault="00EB5E40" w:rsidP="00EC5583">
            <w:pPr>
              <w:jc w:val="both"/>
              <w:rPr>
                <w:rFonts w:eastAsia="Calibri"/>
                <w:sz w:val="20"/>
                <w:lang w:val="fr-CA"/>
              </w:rPr>
            </w:pPr>
            <w:r w:rsidRPr="00495EC2">
              <w:rPr>
                <w:rFonts w:eastAsia="Calibri"/>
                <w:sz w:val="20"/>
                <w:lang w:val="fr-CA"/>
              </w:rPr>
              <w:t xml:space="preserve">Appel de la réduction de la peine à raison de 1,5 jour par jour passé sous garde avant la sentence, rejeté; appel de l'ordonnance de </w:t>
            </w:r>
            <w:proofErr w:type="spellStart"/>
            <w:r w:rsidRPr="00495EC2">
              <w:rPr>
                <w:rFonts w:eastAsia="Calibri"/>
                <w:sz w:val="20"/>
                <w:lang w:val="fr-CA"/>
              </w:rPr>
              <w:t>non</w:t>
            </w:r>
            <w:r w:rsidRPr="00495EC2">
              <w:rPr>
                <w:rFonts w:eastAsia="Calibri"/>
                <w:sz w:val="20"/>
                <w:lang w:val="fr-CA"/>
              </w:rPr>
              <w:noBreakHyphen/>
              <w:t>publication</w:t>
            </w:r>
            <w:proofErr w:type="spellEnd"/>
            <w:r w:rsidRPr="00495EC2">
              <w:rPr>
                <w:rFonts w:eastAsia="Calibri"/>
                <w:sz w:val="20"/>
                <w:lang w:val="fr-CA"/>
              </w:rPr>
              <w:t>, accueilli</w:t>
            </w:r>
          </w:p>
          <w:p w:rsidR="00EB5E40" w:rsidRPr="00495EC2" w:rsidRDefault="00EB5E40" w:rsidP="00EC5583">
            <w:pPr>
              <w:jc w:val="both"/>
              <w:rPr>
                <w:rFonts w:eastAsia="Calibri"/>
                <w:sz w:val="20"/>
                <w:lang w:val="fr-CA"/>
              </w:rPr>
            </w:pPr>
          </w:p>
        </w:tc>
      </w:tr>
      <w:tr w:rsidR="00EB5E40" w:rsidRPr="00495EC2" w:rsidTr="00EC5583">
        <w:tc>
          <w:tcPr>
            <w:tcW w:w="2427" w:type="pct"/>
          </w:tcPr>
          <w:p w:rsidR="00EB5E40" w:rsidRPr="00495EC2" w:rsidRDefault="00EB5E40" w:rsidP="00EC5583">
            <w:pPr>
              <w:jc w:val="both"/>
              <w:rPr>
                <w:rFonts w:eastAsia="Calibri"/>
                <w:sz w:val="20"/>
                <w:lang w:val="fr-CA"/>
              </w:rPr>
            </w:pPr>
            <w:r w:rsidRPr="00495EC2">
              <w:rPr>
                <w:rFonts w:eastAsia="Calibri"/>
                <w:sz w:val="20"/>
                <w:lang w:val="fr-CA"/>
              </w:rPr>
              <w:t>3 décembre 2012</w:t>
            </w:r>
          </w:p>
          <w:p w:rsidR="00EB5E40" w:rsidRPr="00495EC2" w:rsidRDefault="00EB5E40" w:rsidP="00EC5583">
            <w:pPr>
              <w:jc w:val="both"/>
              <w:rPr>
                <w:rFonts w:eastAsia="Calibri"/>
                <w:sz w:val="20"/>
                <w:lang w:val="fr-CA"/>
              </w:rPr>
            </w:pPr>
            <w:r w:rsidRPr="00495EC2">
              <w:rPr>
                <w:rFonts w:eastAsia="Calibri"/>
                <w:sz w:val="20"/>
                <w:lang w:val="fr-CA"/>
              </w:rPr>
              <w:t>Cour suprême du Canada</w:t>
            </w:r>
          </w:p>
        </w:tc>
        <w:tc>
          <w:tcPr>
            <w:tcW w:w="243" w:type="pct"/>
          </w:tcPr>
          <w:p w:rsidR="00EB5E40" w:rsidRPr="00495EC2" w:rsidRDefault="00EB5E40" w:rsidP="00EC5583">
            <w:pPr>
              <w:jc w:val="both"/>
              <w:rPr>
                <w:rFonts w:eastAsia="Calibri"/>
                <w:sz w:val="20"/>
                <w:lang w:val="fr-CA"/>
              </w:rPr>
            </w:pPr>
          </w:p>
        </w:tc>
        <w:tc>
          <w:tcPr>
            <w:tcW w:w="2330" w:type="pct"/>
          </w:tcPr>
          <w:p w:rsidR="00EB5E40" w:rsidRPr="00495EC2" w:rsidRDefault="00EB5E40" w:rsidP="00EC5583">
            <w:pPr>
              <w:jc w:val="both"/>
              <w:rPr>
                <w:rFonts w:eastAsia="Calibri"/>
                <w:sz w:val="20"/>
                <w:lang w:val="fr-CA"/>
              </w:rPr>
            </w:pPr>
            <w:r w:rsidRPr="00495EC2">
              <w:rPr>
                <w:rFonts w:eastAsia="Calibri"/>
                <w:sz w:val="20"/>
                <w:lang w:val="fr-CA"/>
              </w:rPr>
              <w:t>Demande d'autorisation d'appel, déposée</w:t>
            </w:r>
          </w:p>
          <w:p w:rsidR="00EB5E40" w:rsidRPr="00495EC2" w:rsidRDefault="00EB5E40" w:rsidP="00EC5583">
            <w:pPr>
              <w:jc w:val="both"/>
              <w:rPr>
                <w:rFonts w:eastAsia="Calibri"/>
                <w:sz w:val="20"/>
                <w:lang w:val="fr-CA"/>
              </w:rPr>
            </w:pP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69"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5E1C" w:rsidRPr="00841F85" w:rsidTr="009E6124">
        <w:trPr>
          <w:cantSplit/>
        </w:trPr>
        <w:tc>
          <w:tcPr>
            <w:tcW w:w="1458" w:type="dxa"/>
          </w:tcPr>
          <w:p w:rsidR="00DF5E1C" w:rsidRPr="00841F85" w:rsidRDefault="00DF5E1C" w:rsidP="009E6124">
            <w:pPr>
              <w:rPr>
                <w:sz w:val="20"/>
                <w:szCs w:val="20"/>
              </w:rPr>
            </w:pPr>
            <w:r w:rsidRPr="00841F85">
              <w:rPr>
                <w:rStyle w:val="SCCFileNumberChar"/>
                <w:sz w:val="20"/>
                <w:szCs w:val="20"/>
              </w:rPr>
              <w:t>35125</w:t>
            </w:r>
          </w:p>
          <w:p w:rsidR="00DF5E1C" w:rsidRPr="00841F85" w:rsidRDefault="00DF5E1C" w:rsidP="009E6124">
            <w:pPr>
              <w:rPr>
                <w:b/>
                <w:sz w:val="20"/>
                <w:szCs w:val="20"/>
                <w:lang w:val="fr-CA"/>
              </w:rPr>
            </w:pPr>
          </w:p>
        </w:tc>
        <w:tc>
          <w:tcPr>
            <w:tcW w:w="8118" w:type="dxa"/>
          </w:tcPr>
          <w:p w:rsidR="00DF5E1C" w:rsidRPr="00841F85" w:rsidRDefault="00DF5E1C" w:rsidP="009E6124">
            <w:pPr>
              <w:jc w:val="both"/>
              <w:rPr>
                <w:sz w:val="20"/>
                <w:szCs w:val="20"/>
              </w:rPr>
            </w:pPr>
            <w:r w:rsidRPr="00841F85">
              <w:rPr>
                <w:rStyle w:val="SCCLsocChar"/>
                <w:sz w:val="20"/>
                <w:szCs w:val="20"/>
                <w:lang w:val="en-CA"/>
              </w:rPr>
              <w:t>William Edward Henderson v. Her Majesty the Queen in Right of the Province of Manitoba</w:t>
            </w:r>
            <w:r w:rsidRPr="00841F85">
              <w:rPr>
                <w:sz w:val="20"/>
                <w:szCs w:val="20"/>
              </w:rPr>
              <w:t xml:space="preserve"> (Man.) (Criminal) (By Leave)</w:t>
            </w:r>
          </w:p>
          <w:p w:rsidR="00DF5E1C" w:rsidRPr="00841F85" w:rsidRDefault="00DF5E1C" w:rsidP="009E6124">
            <w:pPr>
              <w:jc w:val="both"/>
              <w:rPr>
                <w:sz w:val="20"/>
                <w:szCs w:val="20"/>
              </w:rPr>
            </w:pPr>
          </w:p>
        </w:tc>
      </w:tr>
      <w:tr w:rsidR="00DF5E1C" w:rsidRPr="00841F85" w:rsidTr="009E6124">
        <w:trPr>
          <w:cantSplit/>
        </w:trPr>
        <w:tc>
          <w:tcPr>
            <w:tcW w:w="1458" w:type="dxa"/>
          </w:tcPr>
          <w:p w:rsidR="00DF5E1C" w:rsidRPr="00841F85" w:rsidRDefault="00DF5E1C" w:rsidP="009E6124">
            <w:pPr>
              <w:rPr>
                <w:sz w:val="20"/>
                <w:szCs w:val="20"/>
              </w:rPr>
            </w:pPr>
            <w:r w:rsidRPr="00841F85">
              <w:rPr>
                <w:sz w:val="20"/>
                <w:szCs w:val="20"/>
              </w:rPr>
              <w:t>Coram :</w:t>
            </w:r>
          </w:p>
        </w:tc>
        <w:tc>
          <w:tcPr>
            <w:tcW w:w="8118" w:type="dxa"/>
          </w:tcPr>
          <w:p w:rsidR="00DF5E1C" w:rsidRPr="00841F85" w:rsidRDefault="00DF5E1C" w:rsidP="009E6124">
            <w:pPr>
              <w:rPr>
                <w:sz w:val="20"/>
                <w:szCs w:val="20"/>
              </w:rPr>
            </w:pPr>
            <w:proofErr w:type="spellStart"/>
            <w:r w:rsidRPr="00841F85">
              <w:rPr>
                <w:rStyle w:val="SCCCoramChar"/>
                <w:sz w:val="20"/>
                <w:szCs w:val="20"/>
                <w:lang w:val="en-CA"/>
              </w:rPr>
              <w:t>McLachlin</w:t>
            </w:r>
            <w:proofErr w:type="spellEnd"/>
            <w:r w:rsidRPr="00841F85">
              <w:rPr>
                <w:rStyle w:val="SCCCoramChar"/>
                <w:sz w:val="20"/>
                <w:szCs w:val="20"/>
                <w:lang w:val="en-CA"/>
              </w:rPr>
              <w:t xml:space="preserve"> C.J. and </w:t>
            </w:r>
            <w:proofErr w:type="spellStart"/>
            <w:r w:rsidRPr="00841F85">
              <w:rPr>
                <w:rStyle w:val="SCCCoramChar"/>
                <w:sz w:val="20"/>
                <w:szCs w:val="20"/>
                <w:lang w:val="en-CA"/>
              </w:rPr>
              <w:t>Abella</w:t>
            </w:r>
            <w:proofErr w:type="spellEnd"/>
            <w:r w:rsidRPr="00841F85">
              <w:rPr>
                <w:rStyle w:val="SCCCoramChar"/>
                <w:sz w:val="20"/>
                <w:szCs w:val="20"/>
                <w:lang w:val="en-CA"/>
              </w:rPr>
              <w:t xml:space="preserve"> and Cromwell JJ.</w:t>
            </w:r>
          </w:p>
          <w:p w:rsidR="00DF5E1C" w:rsidRPr="00841F85" w:rsidRDefault="00DF5E1C" w:rsidP="009E6124">
            <w:pPr>
              <w:rPr>
                <w:sz w:val="20"/>
                <w:szCs w:val="20"/>
                <w:u w:val="single"/>
              </w:rPr>
            </w:pPr>
          </w:p>
        </w:tc>
      </w:tr>
      <w:tr w:rsidR="00DF5E1C" w:rsidRPr="009714AD" w:rsidTr="009E6124">
        <w:trPr>
          <w:cantSplit/>
        </w:trPr>
        <w:tc>
          <w:tcPr>
            <w:tcW w:w="9576" w:type="dxa"/>
            <w:gridSpan w:val="2"/>
          </w:tcPr>
          <w:p w:rsidR="00DF5E1C" w:rsidRPr="00841F85" w:rsidRDefault="00DF5E1C" w:rsidP="009E6124">
            <w:pPr>
              <w:pStyle w:val="SCCShortJudgment"/>
              <w:rPr>
                <w:szCs w:val="20"/>
              </w:rPr>
            </w:pPr>
            <w:r w:rsidRPr="00841F85">
              <w:rPr>
                <w:szCs w:val="20"/>
              </w:rPr>
              <w:t>The motion to adduce new evidence is dismissed and the application for leave to appeal from the judgment of the Court of Appeal of Manitoba, Number AR 09-30-07269, 2012 MBCA 93, dated October 10, 2012, is dismissed without costs.</w:t>
            </w:r>
          </w:p>
          <w:p w:rsidR="00DF5E1C" w:rsidRPr="00841F85" w:rsidRDefault="00DF5E1C" w:rsidP="009E6124">
            <w:pPr>
              <w:pStyle w:val="SCCShortJudgment"/>
              <w:ind w:firstLine="0"/>
              <w:rPr>
                <w:szCs w:val="20"/>
              </w:rPr>
            </w:pPr>
          </w:p>
          <w:p w:rsidR="00DF5E1C" w:rsidRPr="00841F85" w:rsidRDefault="00DF5E1C" w:rsidP="009E6124">
            <w:pPr>
              <w:pStyle w:val="SCCShortJudgment"/>
              <w:rPr>
                <w:szCs w:val="20"/>
                <w:lang w:val="fr-CA"/>
              </w:rPr>
            </w:pPr>
            <w:r w:rsidRPr="00841F85">
              <w:rPr>
                <w:szCs w:val="20"/>
                <w:lang w:val="fr-CA"/>
              </w:rPr>
              <w:t>La requête pour demander de nouveaux éléments de preuve est rejetée et la demande d’autorisation d’appel de l’arrêt de la Cour d’appel du Manitoba, numéro AR 09-30-07269, 2012 MBCA 93, daté du 10 octobre 2012, est rejetée sans dépens.</w:t>
            </w:r>
          </w:p>
        </w:tc>
      </w:tr>
    </w:tbl>
    <w:p w:rsidR="000C7850" w:rsidRPr="000C7850"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B5E40" w:rsidRPr="00495EC2" w:rsidTr="00EC5583">
        <w:tc>
          <w:tcPr>
            <w:tcW w:w="5000" w:type="pct"/>
            <w:gridSpan w:val="3"/>
          </w:tcPr>
          <w:p w:rsidR="00EB5E40" w:rsidRPr="00495EC2" w:rsidRDefault="00EB5E40" w:rsidP="00EC5583">
            <w:pPr>
              <w:jc w:val="both"/>
              <w:rPr>
                <w:rFonts w:eastAsia="Calibri"/>
                <w:sz w:val="20"/>
              </w:rPr>
            </w:pPr>
            <w:r w:rsidRPr="00495EC2">
              <w:rPr>
                <w:rFonts w:eastAsia="Calibri"/>
                <w:sz w:val="20"/>
              </w:rPr>
              <w:t>Criminal law — Appeal — Fresh evidence — Trial — Charge to the jury — Eyewitness evidence — Expert evidence — Conflict of interest — Crown counsel previously represented accused as defence counsel — In determining the admissibility of fresh evidence (a sworn, videotaped out-of-court statement), whether there a distinction between threshold credibility and threshold reliability in meeting the test of ‘reasonably capable of belief’ — Whether cross examination by Crown is necessary to determine admissibility — Whether the test for determining admissibility depends on whether the Crown or the defence is attempting to admit fresh evidence — Whether the trial judge has a duty to give a jury specific instructions as to the frailties of eyewitness identification in case the jury disregards the evidence of an eyewitness identification expert — Whether, when, and pursuant to what guiding principles courts must declare a mistrial where Crown counsel has previously represented the accused as defence counsel — When trial judges should appoint independent Crown counsel to prosecute the case or to argue conflict of interest motions.</w:t>
            </w:r>
          </w:p>
        </w:tc>
      </w:tr>
      <w:tr w:rsidR="00EB5E40" w:rsidRPr="00495EC2" w:rsidTr="00EC5583">
        <w:tc>
          <w:tcPr>
            <w:tcW w:w="5000" w:type="pct"/>
            <w:gridSpan w:val="3"/>
          </w:tcPr>
          <w:p w:rsidR="00EB5E40" w:rsidRPr="00495EC2" w:rsidRDefault="00EB5E40" w:rsidP="00EC5583">
            <w:pPr>
              <w:jc w:val="both"/>
              <w:rPr>
                <w:rFonts w:eastAsia="Calibri"/>
                <w:sz w:val="20"/>
              </w:rPr>
            </w:pPr>
          </w:p>
        </w:tc>
      </w:tr>
      <w:tr w:rsidR="00EB5E40" w:rsidRPr="00495EC2" w:rsidTr="00EC5583">
        <w:tc>
          <w:tcPr>
            <w:tcW w:w="5000" w:type="pct"/>
            <w:gridSpan w:val="3"/>
          </w:tcPr>
          <w:p w:rsidR="00EB5E40" w:rsidRPr="00495EC2" w:rsidRDefault="00EB5E40" w:rsidP="00EC5583">
            <w:pPr>
              <w:jc w:val="both"/>
              <w:rPr>
                <w:rFonts w:eastAsia="Calibri"/>
                <w:sz w:val="20"/>
              </w:rPr>
            </w:pPr>
            <w:r w:rsidRPr="00495EC2">
              <w:rPr>
                <w:rFonts w:eastAsia="Calibri"/>
                <w:sz w:val="20"/>
              </w:rPr>
              <w:t xml:space="preserve">On August 18, 2002, Mr. Henderson and </w:t>
            </w:r>
            <w:proofErr w:type="spellStart"/>
            <w:r w:rsidRPr="00495EC2">
              <w:rPr>
                <w:rFonts w:eastAsia="Calibri"/>
                <w:sz w:val="20"/>
              </w:rPr>
              <w:t>Frehley</w:t>
            </w:r>
            <w:proofErr w:type="spellEnd"/>
            <w:r w:rsidRPr="00495EC2">
              <w:rPr>
                <w:rFonts w:eastAsia="Calibri"/>
                <w:sz w:val="20"/>
              </w:rPr>
              <w:t xml:space="preserve"> Glen McKay were involved in a brief dispute at a nightclub. Later that evening, Mr. McKay, his girlfriend, and a friend had been in the front yard of a house for about an hour when another man entered the yard. </w:t>
            </w:r>
            <w:proofErr w:type="spellStart"/>
            <w:r w:rsidRPr="00495EC2">
              <w:rPr>
                <w:rFonts w:eastAsia="Calibri"/>
                <w:sz w:val="20"/>
              </w:rPr>
              <w:t>Some time</w:t>
            </w:r>
            <w:proofErr w:type="spellEnd"/>
            <w:r w:rsidRPr="00495EC2">
              <w:rPr>
                <w:rFonts w:eastAsia="Calibri"/>
                <w:sz w:val="20"/>
              </w:rPr>
              <w:t xml:space="preserve"> later, the man pulled out a gun and, after the gun misfired twice, the shot hit Mr. McKay in the head.  He then stood over Mr. McKay and fired a point blank shot into his head, killing him.  The shooter ran off through the backyard of the house. Mr. Henderson was identified as the shooter by three witnesses, two of whom knew Mr. Henderson casually; Mr. McKay’s DNA was found on the gun and his DNA and blood were found on Mr. Henderson’s shoes.  Mr. Henderson said he had been at the nightclub but denied being involved in the murder.  He had kicked Mr. McKay in the face when Mr. McKay was lying on the ground after a fight with others as retribution for the incident earlier in the evening.</w:t>
            </w:r>
          </w:p>
          <w:p w:rsidR="00EB5E40" w:rsidRPr="00495EC2" w:rsidRDefault="00EB5E40" w:rsidP="00EC5583">
            <w:pPr>
              <w:jc w:val="both"/>
              <w:rPr>
                <w:rFonts w:eastAsia="Calibri"/>
                <w:sz w:val="20"/>
              </w:rPr>
            </w:pPr>
          </w:p>
          <w:p w:rsidR="00EB5E40" w:rsidRPr="00495EC2" w:rsidRDefault="00EB5E40" w:rsidP="00EC5583">
            <w:pPr>
              <w:jc w:val="both"/>
              <w:rPr>
                <w:rFonts w:eastAsia="Calibri"/>
                <w:sz w:val="20"/>
              </w:rPr>
            </w:pPr>
            <w:r w:rsidRPr="00495EC2">
              <w:rPr>
                <w:rFonts w:eastAsia="Calibri"/>
                <w:sz w:val="20"/>
              </w:rPr>
              <w:t xml:space="preserve">At trial, Mr. Henderson adduced expert evidence with respect to the frailties of eyewitness evidence.  Near the end of trial, it was discovered that one of the two Crowns working on the case had represented Mr. Henderson while in private practice.  The Crown removed her from the case and assigned new Crown counsel to conduct the </w:t>
            </w:r>
            <w:proofErr w:type="spellStart"/>
            <w:r w:rsidRPr="00495EC2">
              <w:rPr>
                <w:rFonts w:eastAsia="Calibri"/>
                <w:i/>
                <w:sz w:val="20"/>
              </w:rPr>
              <w:t>voir</w:t>
            </w:r>
            <w:proofErr w:type="spellEnd"/>
            <w:r w:rsidRPr="00495EC2">
              <w:rPr>
                <w:rFonts w:eastAsia="Calibri"/>
                <w:i/>
                <w:sz w:val="20"/>
              </w:rPr>
              <w:t xml:space="preserve"> dire</w:t>
            </w:r>
            <w:r w:rsidRPr="00495EC2">
              <w:rPr>
                <w:rFonts w:eastAsia="Calibri"/>
                <w:sz w:val="20"/>
              </w:rPr>
              <w:t xml:space="preserve">.  After the trial, a </w:t>
            </w:r>
            <w:proofErr w:type="spellStart"/>
            <w:r w:rsidRPr="00495EC2">
              <w:rPr>
                <w:rFonts w:eastAsia="Calibri"/>
                <w:sz w:val="20"/>
              </w:rPr>
              <w:t>declarant</w:t>
            </w:r>
            <w:proofErr w:type="spellEnd"/>
            <w:r w:rsidRPr="00495EC2">
              <w:rPr>
                <w:rFonts w:eastAsia="Calibri"/>
                <w:sz w:val="20"/>
              </w:rPr>
              <w:t xml:space="preserve"> made a sworn, video-taped statement saying that Mr. Henderson could not have been the shooter.  He failed to appear for cross-examination, as ordered.</w:t>
            </w:r>
          </w:p>
          <w:p w:rsidR="00EB5E40" w:rsidRPr="00495EC2" w:rsidRDefault="00EB5E40" w:rsidP="00EC5583">
            <w:pPr>
              <w:jc w:val="both"/>
              <w:rPr>
                <w:rFonts w:eastAsia="Calibri"/>
                <w:sz w:val="20"/>
              </w:rPr>
            </w:pPr>
          </w:p>
          <w:p w:rsidR="00EB5E40" w:rsidRPr="00495EC2" w:rsidRDefault="00EB5E40" w:rsidP="00EC5583">
            <w:pPr>
              <w:jc w:val="both"/>
              <w:rPr>
                <w:rFonts w:eastAsia="Calibri"/>
                <w:sz w:val="20"/>
              </w:rPr>
            </w:pPr>
            <w:r w:rsidRPr="00495EC2">
              <w:rPr>
                <w:rFonts w:eastAsia="Calibri"/>
                <w:sz w:val="20"/>
              </w:rPr>
              <w:t xml:space="preserve">On a </w:t>
            </w:r>
            <w:proofErr w:type="spellStart"/>
            <w:r w:rsidRPr="00495EC2">
              <w:rPr>
                <w:rFonts w:eastAsia="Calibri"/>
                <w:i/>
                <w:sz w:val="20"/>
              </w:rPr>
              <w:t>voir</w:t>
            </w:r>
            <w:proofErr w:type="spellEnd"/>
            <w:r w:rsidRPr="00495EC2">
              <w:rPr>
                <w:rFonts w:eastAsia="Calibri"/>
                <w:i/>
                <w:sz w:val="20"/>
              </w:rPr>
              <w:t xml:space="preserve"> dire</w:t>
            </w:r>
            <w:r w:rsidRPr="00495EC2">
              <w:rPr>
                <w:rFonts w:eastAsia="Calibri"/>
                <w:sz w:val="20"/>
              </w:rPr>
              <w:t xml:space="preserve"> concerning conflict of interest, the trial judge declined to remove the second Crown attorney, to order a mistrial, or to order that the case be assigned to outside counsel. He charged the jury on, </w:t>
            </w:r>
            <w:r w:rsidRPr="00495EC2">
              <w:rPr>
                <w:rFonts w:eastAsia="Calibri"/>
                <w:i/>
                <w:sz w:val="20"/>
              </w:rPr>
              <w:t xml:space="preserve">inter </w:t>
            </w:r>
            <w:proofErr w:type="gramStart"/>
            <w:r w:rsidRPr="00495EC2">
              <w:rPr>
                <w:rFonts w:eastAsia="Calibri"/>
                <w:i/>
                <w:sz w:val="20"/>
              </w:rPr>
              <w:t>alia</w:t>
            </w:r>
            <w:r w:rsidRPr="00495EC2">
              <w:rPr>
                <w:rFonts w:eastAsia="Calibri"/>
                <w:sz w:val="20"/>
              </w:rPr>
              <w:t>,</w:t>
            </w:r>
            <w:proofErr w:type="gramEnd"/>
            <w:r w:rsidRPr="00495EC2">
              <w:rPr>
                <w:rFonts w:eastAsia="Calibri"/>
                <w:sz w:val="20"/>
              </w:rPr>
              <w:t xml:space="preserve"> the treatment of eyewitness evidence in a charge commented upon by the applicant’s counsel and amended as a result of those comments.  The jury convicted the applicant of first degree murder.  The Court of Appeal denied a motion to adduce the </w:t>
            </w:r>
            <w:proofErr w:type="spellStart"/>
            <w:r w:rsidRPr="00495EC2">
              <w:rPr>
                <w:rFonts w:eastAsia="Calibri"/>
                <w:sz w:val="20"/>
              </w:rPr>
              <w:t>declarant’s</w:t>
            </w:r>
            <w:proofErr w:type="spellEnd"/>
            <w:r w:rsidRPr="00495EC2">
              <w:rPr>
                <w:rFonts w:eastAsia="Calibri"/>
                <w:sz w:val="20"/>
              </w:rPr>
              <w:t xml:space="preserve"> statement as new evidence and dismissed the appeal.</w:t>
            </w:r>
          </w:p>
          <w:p w:rsidR="00EB5E40" w:rsidRPr="00495EC2" w:rsidRDefault="00EB5E40" w:rsidP="00EC5583">
            <w:pPr>
              <w:jc w:val="both"/>
              <w:rPr>
                <w:rFonts w:eastAsia="Calibri"/>
                <w:sz w:val="20"/>
              </w:rPr>
            </w:pPr>
          </w:p>
        </w:tc>
      </w:tr>
      <w:tr w:rsidR="00EB5E40" w:rsidRPr="00495EC2" w:rsidTr="00EC5583">
        <w:tc>
          <w:tcPr>
            <w:tcW w:w="2427" w:type="pct"/>
          </w:tcPr>
          <w:p w:rsidR="00EB5E40" w:rsidRPr="00495EC2" w:rsidRDefault="00EB5E40" w:rsidP="00EC5583">
            <w:pPr>
              <w:jc w:val="both"/>
              <w:rPr>
                <w:rFonts w:eastAsia="Calibri"/>
                <w:sz w:val="20"/>
              </w:rPr>
            </w:pPr>
            <w:r w:rsidRPr="00495EC2">
              <w:rPr>
                <w:rFonts w:eastAsia="Calibri"/>
                <w:sz w:val="20"/>
              </w:rPr>
              <w:t>April 22, 2009</w:t>
            </w:r>
          </w:p>
          <w:p w:rsidR="00EB5E40" w:rsidRPr="00495EC2" w:rsidRDefault="00EB5E40" w:rsidP="00EC5583">
            <w:pPr>
              <w:jc w:val="both"/>
              <w:rPr>
                <w:rFonts w:eastAsia="Calibri"/>
                <w:sz w:val="20"/>
              </w:rPr>
            </w:pPr>
            <w:r w:rsidRPr="00495EC2">
              <w:rPr>
                <w:rFonts w:eastAsia="Calibri"/>
                <w:sz w:val="20"/>
              </w:rPr>
              <w:t>Court of Queen’s Bench of Manitoba</w:t>
            </w:r>
          </w:p>
          <w:p w:rsidR="00EB5E40" w:rsidRPr="00495EC2" w:rsidRDefault="00EB5E40" w:rsidP="00EC5583">
            <w:pPr>
              <w:jc w:val="both"/>
              <w:rPr>
                <w:rFonts w:eastAsia="Calibri"/>
                <w:sz w:val="20"/>
              </w:rPr>
            </w:pPr>
            <w:r w:rsidRPr="00495EC2">
              <w:rPr>
                <w:rFonts w:eastAsia="Calibri"/>
                <w:sz w:val="20"/>
              </w:rPr>
              <w:t>(Sinclair J.)</w:t>
            </w:r>
          </w:p>
          <w:p w:rsidR="00EB5E40" w:rsidRPr="00495EC2" w:rsidRDefault="00EB5E40" w:rsidP="00EC5583">
            <w:pPr>
              <w:jc w:val="both"/>
              <w:rPr>
                <w:rFonts w:eastAsia="Calibri"/>
                <w:sz w:val="20"/>
              </w:rPr>
            </w:pPr>
            <w:r w:rsidRPr="00495EC2">
              <w:rPr>
                <w:rFonts w:eastAsia="Calibri"/>
                <w:sz w:val="20"/>
              </w:rPr>
              <w:t>2009 MBQB 101</w:t>
            </w:r>
          </w:p>
          <w:p w:rsidR="00EB5E40" w:rsidRPr="00495EC2" w:rsidRDefault="00EB5E40" w:rsidP="00EC5583">
            <w:pPr>
              <w:jc w:val="both"/>
              <w:rPr>
                <w:rFonts w:eastAsia="Calibri"/>
                <w:sz w:val="20"/>
              </w:rPr>
            </w:pPr>
          </w:p>
        </w:tc>
        <w:tc>
          <w:tcPr>
            <w:tcW w:w="243" w:type="pct"/>
          </w:tcPr>
          <w:p w:rsidR="00EB5E40" w:rsidRPr="00495EC2" w:rsidRDefault="00EB5E40" w:rsidP="00EC5583">
            <w:pPr>
              <w:jc w:val="both"/>
              <w:rPr>
                <w:rFonts w:eastAsia="Calibri"/>
                <w:sz w:val="20"/>
              </w:rPr>
            </w:pPr>
          </w:p>
        </w:tc>
        <w:tc>
          <w:tcPr>
            <w:tcW w:w="2330" w:type="pct"/>
          </w:tcPr>
          <w:p w:rsidR="00EB5E40" w:rsidRPr="00495EC2" w:rsidRDefault="00EB5E40" w:rsidP="00EC5583">
            <w:pPr>
              <w:jc w:val="both"/>
              <w:rPr>
                <w:rFonts w:eastAsia="Calibri"/>
                <w:sz w:val="20"/>
              </w:rPr>
            </w:pPr>
            <w:r w:rsidRPr="00495EC2">
              <w:rPr>
                <w:rFonts w:eastAsia="Calibri"/>
                <w:sz w:val="20"/>
              </w:rPr>
              <w:t>Conviction by jury on one count of first degree murder; mandatory sentence of 25 years imprisonment ordered</w:t>
            </w:r>
          </w:p>
          <w:p w:rsidR="00EB5E40" w:rsidRPr="00495EC2" w:rsidRDefault="00EB5E40" w:rsidP="00EC5583">
            <w:pPr>
              <w:jc w:val="both"/>
              <w:rPr>
                <w:rFonts w:eastAsia="Calibri"/>
                <w:sz w:val="20"/>
              </w:rPr>
            </w:pPr>
          </w:p>
        </w:tc>
      </w:tr>
      <w:tr w:rsidR="00EB5E40" w:rsidRPr="00495EC2" w:rsidTr="00EC5583">
        <w:tc>
          <w:tcPr>
            <w:tcW w:w="2427" w:type="pct"/>
          </w:tcPr>
          <w:p w:rsidR="00EB5E40" w:rsidRPr="00495EC2" w:rsidRDefault="00EB5E40" w:rsidP="00EC5583">
            <w:pPr>
              <w:jc w:val="both"/>
              <w:rPr>
                <w:rFonts w:eastAsia="Calibri"/>
                <w:sz w:val="20"/>
              </w:rPr>
            </w:pPr>
            <w:r w:rsidRPr="00495EC2">
              <w:rPr>
                <w:rFonts w:eastAsia="Calibri"/>
                <w:sz w:val="20"/>
              </w:rPr>
              <w:t>October 10, 2012</w:t>
            </w:r>
          </w:p>
          <w:p w:rsidR="00EB5E40" w:rsidRPr="00495EC2" w:rsidRDefault="00EB5E40" w:rsidP="00EC5583">
            <w:pPr>
              <w:jc w:val="both"/>
              <w:rPr>
                <w:rFonts w:eastAsia="Calibri"/>
                <w:sz w:val="20"/>
              </w:rPr>
            </w:pPr>
            <w:r w:rsidRPr="00495EC2">
              <w:rPr>
                <w:rFonts w:eastAsia="Calibri"/>
                <w:sz w:val="20"/>
              </w:rPr>
              <w:t>Court of Appeal of Manitoba</w:t>
            </w:r>
          </w:p>
          <w:p w:rsidR="00EB5E40" w:rsidRPr="00495EC2" w:rsidRDefault="00EB5E40" w:rsidP="00EC5583">
            <w:pPr>
              <w:jc w:val="both"/>
              <w:rPr>
                <w:rFonts w:eastAsia="Calibri"/>
                <w:sz w:val="20"/>
              </w:rPr>
            </w:pPr>
            <w:r w:rsidRPr="00495EC2">
              <w:rPr>
                <w:rFonts w:eastAsia="Calibri"/>
                <w:sz w:val="20"/>
              </w:rPr>
              <w:t>(</w:t>
            </w:r>
            <w:proofErr w:type="spellStart"/>
            <w:r w:rsidRPr="00495EC2">
              <w:rPr>
                <w:rFonts w:eastAsia="Calibri"/>
                <w:sz w:val="20"/>
              </w:rPr>
              <w:t>Monnin</w:t>
            </w:r>
            <w:proofErr w:type="spellEnd"/>
            <w:r w:rsidRPr="00495EC2">
              <w:rPr>
                <w:rFonts w:eastAsia="Calibri"/>
                <w:sz w:val="20"/>
              </w:rPr>
              <w:t xml:space="preserve">, Hamilton, </w:t>
            </w:r>
            <w:proofErr w:type="spellStart"/>
            <w:r w:rsidRPr="00495EC2">
              <w:rPr>
                <w:rFonts w:eastAsia="Calibri"/>
                <w:sz w:val="20"/>
              </w:rPr>
              <w:t>Chartier</w:t>
            </w:r>
            <w:proofErr w:type="spellEnd"/>
            <w:r w:rsidRPr="00495EC2">
              <w:rPr>
                <w:rFonts w:eastAsia="Calibri"/>
                <w:sz w:val="20"/>
              </w:rPr>
              <w:t xml:space="preserve"> JJ.A.)</w:t>
            </w:r>
          </w:p>
          <w:p w:rsidR="00EB5E40" w:rsidRPr="00495EC2" w:rsidRDefault="00EB5E40" w:rsidP="00EC5583">
            <w:pPr>
              <w:jc w:val="both"/>
              <w:rPr>
                <w:rFonts w:eastAsia="Calibri"/>
                <w:sz w:val="20"/>
              </w:rPr>
            </w:pPr>
            <w:r w:rsidRPr="00495EC2">
              <w:rPr>
                <w:rFonts w:eastAsia="Calibri"/>
                <w:sz w:val="20"/>
              </w:rPr>
              <w:t>2012 MBCA 93</w:t>
            </w:r>
          </w:p>
          <w:p w:rsidR="00EB5E40" w:rsidRPr="00495EC2" w:rsidRDefault="00EB5E40" w:rsidP="00EC5583">
            <w:pPr>
              <w:jc w:val="both"/>
              <w:rPr>
                <w:rFonts w:eastAsia="Calibri"/>
                <w:sz w:val="20"/>
              </w:rPr>
            </w:pPr>
          </w:p>
        </w:tc>
        <w:tc>
          <w:tcPr>
            <w:tcW w:w="243" w:type="pct"/>
          </w:tcPr>
          <w:p w:rsidR="00EB5E40" w:rsidRPr="00495EC2" w:rsidRDefault="00EB5E40" w:rsidP="00EC5583">
            <w:pPr>
              <w:jc w:val="both"/>
              <w:rPr>
                <w:rFonts w:eastAsia="Calibri"/>
                <w:sz w:val="20"/>
              </w:rPr>
            </w:pPr>
          </w:p>
        </w:tc>
        <w:tc>
          <w:tcPr>
            <w:tcW w:w="2330" w:type="pct"/>
          </w:tcPr>
          <w:p w:rsidR="00EB5E40" w:rsidRPr="00495EC2" w:rsidRDefault="00EB5E40" w:rsidP="00EC5583">
            <w:pPr>
              <w:jc w:val="both"/>
              <w:rPr>
                <w:rFonts w:eastAsia="Calibri"/>
                <w:sz w:val="20"/>
              </w:rPr>
            </w:pPr>
            <w:r w:rsidRPr="00495EC2">
              <w:rPr>
                <w:rFonts w:eastAsia="Calibri"/>
                <w:sz w:val="20"/>
              </w:rPr>
              <w:t>Application to adduce fresh evidence denied; conviction appeal dismissed</w:t>
            </w:r>
          </w:p>
          <w:p w:rsidR="00EB5E40" w:rsidRPr="00495EC2" w:rsidRDefault="00EB5E40" w:rsidP="00EC5583">
            <w:pPr>
              <w:jc w:val="both"/>
              <w:rPr>
                <w:rFonts w:eastAsia="Calibri"/>
                <w:sz w:val="20"/>
              </w:rPr>
            </w:pPr>
          </w:p>
        </w:tc>
      </w:tr>
      <w:tr w:rsidR="00EB5E40" w:rsidRPr="00495EC2" w:rsidTr="00EC5583">
        <w:tc>
          <w:tcPr>
            <w:tcW w:w="2427" w:type="pct"/>
          </w:tcPr>
          <w:p w:rsidR="00EB5E40" w:rsidRPr="00495EC2" w:rsidRDefault="00EB5E40" w:rsidP="00EC5583">
            <w:pPr>
              <w:jc w:val="both"/>
              <w:rPr>
                <w:rFonts w:eastAsia="Calibri"/>
                <w:sz w:val="20"/>
              </w:rPr>
            </w:pPr>
            <w:r w:rsidRPr="00495EC2">
              <w:rPr>
                <w:rFonts w:eastAsia="Calibri"/>
                <w:sz w:val="20"/>
              </w:rPr>
              <w:t>December 10, 2012</w:t>
            </w:r>
          </w:p>
          <w:p w:rsidR="00EB5E40" w:rsidRPr="00495EC2" w:rsidRDefault="00EB5E40" w:rsidP="00EC5583">
            <w:pPr>
              <w:jc w:val="both"/>
              <w:rPr>
                <w:rFonts w:eastAsia="Calibri"/>
                <w:sz w:val="20"/>
              </w:rPr>
            </w:pPr>
            <w:r w:rsidRPr="00495EC2">
              <w:rPr>
                <w:rFonts w:eastAsia="Calibri"/>
                <w:sz w:val="20"/>
              </w:rPr>
              <w:t>Supreme Court of Canada</w:t>
            </w:r>
          </w:p>
        </w:tc>
        <w:tc>
          <w:tcPr>
            <w:tcW w:w="243" w:type="pct"/>
          </w:tcPr>
          <w:p w:rsidR="00EB5E40" w:rsidRPr="00495EC2" w:rsidRDefault="00EB5E40" w:rsidP="00EC5583">
            <w:pPr>
              <w:jc w:val="both"/>
              <w:rPr>
                <w:rFonts w:eastAsia="Calibri"/>
                <w:sz w:val="20"/>
              </w:rPr>
            </w:pPr>
          </w:p>
        </w:tc>
        <w:tc>
          <w:tcPr>
            <w:tcW w:w="2330" w:type="pct"/>
          </w:tcPr>
          <w:p w:rsidR="00EB5E40" w:rsidRPr="00495EC2" w:rsidRDefault="00EB5E40" w:rsidP="00EC5583">
            <w:pPr>
              <w:jc w:val="both"/>
              <w:rPr>
                <w:rFonts w:eastAsia="Calibri"/>
                <w:sz w:val="20"/>
              </w:rPr>
            </w:pPr>
            <w:r w:rsidRPr="00495EC2">
              <w:rPr>
                <w:rFonts w:eastAsia="Calibri"/>
                <w:sz w:val="20"/>
              </w:rPr>
              <w:t>Application for leave to appeal and motion to adduce new evidence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70"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B5E40" w:rsidRPr="009714AD" w:rsidTr="00EC5583">
        <w:tc>
          <w:tcPr>
            <w:tcW w:w="5000" w:type="pct"/>
            <w:gridSpan w:val="3"/>
          </w:tcPr>
          <w:p w:rsidR="00EB5E40" w:rsidRPr="00495EC2" w:rsidRDefault="00EB5E40" w:rsidP="00EC5583">
            <w:pPr>
              <w:jc w:val="both"/>
              <w:rPr>
                <w:rFonts w:eastAsia="Calibri"/>
                <w:sz w:val="20"/>
                <w:lang w:val="fr-CA"/>
              </w:rPr>
            </w:pPr>
            <w:r w:rsidRPr="00495EC2">
              <w:rPr>
                <w:rFonts w:eastAsia="Calibri"/>
                <w:sz w:val="20"/>
                <w:lang w:val="fr-CA"/>
              </w:rPr>
              <w:t>Droit criminel — Appel — Nouvel élément de preuve — Procès — Exposé au jury — Déposition d’un témoin oculaire — Preuve d'expert — Conflits d'intérêt — L'avocat de la Couronne a déjà représenté l'accusé comme avocat de la défense — Pour déterminer l'admissibilité d'un nouvel élément de preuve (une déclaration extrajudiciaire faite sous serment enregistrée sur bande vidéo), y a-t-il une distinction entre le seuil de crédibilité et le seuil de fiabilité pour satisfaire au critère selon lequel « on puisse raisonnablement y ajouter foi »? — Un contre-interrogatoire par la Couronne est-il nécessaire pour déterminer l'admissibilité? — Le critère d'admissibilité dépend-il du fait que c'est la Couronne ou la défense qui tente d'admettre le nouvel élément de preuve? — Le juge du procès a-t-il l'obligation de donner au jury des directives particulières pour ce qui est des faiblesses de l'identification par témoin oculaire si le jury fait abstraction de la preuve d'un expert en identification par témoin oculaire? — Dans quelles situations, s’il en est, et selon quels principes directeurs, le cas échéant les tribunaux doivent-ils annuler le procès lorsque l'avocat de la Couronne a déjà représenté l'accusé comme avocat de la défense? — Dans quelles situations le juge du procès doit-il nommer un avocat de la Couronne indépendant pour poursuivre la cause ou plaider les requêtes en conflit d'intérêts?</w:t>
            </w:r>
          </w:p>
        </w:tc>
      </w:tr>
      <w:tr w:rsidR="00EB5E40" w:rsidRPr="009714AD" w:rsidTr="00EC5583">
        <w:tc>
          <w:tcPr>
            <w:tcW w:w="5000" w:type="pct"/>
            <w:gridSpan w:val="3"/>
          </w:tcPr>
          <w:p w:rsidR="00EB5E40" w:rsidRPr="00495EC2" w:rsidRDefault="00EB5E40" w:rsidP="00EC5583">
            <w:pPr>
              <w:jc w:val="both"/>
              <w:rPr>
                <w:rFonts w:eastAsia="Calibri"/>
                <w:sz w:val="20"/>
                <w:lang w:val="fr-CA"/>
              </w:rPr>
            </w:pPr>
          </w:p>
        </w:tc>
      </w:tr>
      <w:tr w:rsidR="00EB5E40" w:rsidRPr="009714AD" w:rsidTr="00EC5583">
        <w:tc>
          <w:tcPr>
            <w:tcW w:w="5000" w:type="pct"/>
            <w:gridSpan w:val="3"/>
          </w:tcPr>
          <w:p w:rsidR="00EB5E40" w:rsidRPr="00495EC2" w:rsidRDefault="00EB5E40" w:rsidP="00EC5583">
            <w:pPr>
              <w:jc w:val="both"/>
              <w:rPr>
                <w:rFonts w:eastAsia="Calibri"/>
                <w:sz w:val="20"/>
                <w:lang w:val="fr-CA"/>
              </w:rPr>
            </w:pPr>
            <w:r w:rsidRPr="00495EC2">
              <w:rPr>
                <w:rFonts w:eastAsia="Calibri"/>
                <w:sz w:val="20"/>
                <w:lang w:val="fr-CA"/>
              </w:rPr>
              <w:t xml:space="preserve">Le 18 août 2002, M. Henderson et </w:t>
            </w:r>
            <w:proofErr w:type="spellStart"/>
            <w:r w:rsidRPr="00495EC2">
              <w:rPr>
                <w:rFonts w:eastAsia="Calibri"/>
                <w:sz w:val="20"/>
                <w:lang w:val="fr-CA"/>
              </w:rPr>
              <w:t>Frehley</w:t>
            </w:r>
            <w:proofErr w:type="spellEnd"/>
            <w:r w:rsidRPr="00495EC2">
              <w:rPr>
                <w:rFonts w:eastAsia="Calibri"/>
                <w:sz w:val="20"/>
                <w:lang w:val="fr-CA"/>
              </w:rPr>
              <w:t xml:space="preserve"> Glen McKay ont été impliqués dans une brève altercation dans une boîte de nuit.  Plus tard ce soir-là, alors que M. McKay, sa petite amie et un ami se trouvaient dans la cour d'entrée d'une maison depuis environ une heure, un autre homme est entré dans la cour.  Un peu plus tard, l'homme a sorti une arme à feu et, après avoir raté son coup à deux occasions, il a atteint M. McKay à la tête. Il s'est ensuite tenu debout au-dessus de M. McKay et lui a tiré un coup de feu à la tête à bout portant.  Le tireur s'est enfui en passant par la cour arrière de la maison. Monsieur Henderson a été identifié comme le tireur par trois témoins, dont deux qui le connaissaient un peu; de l’ADN de M. McKay a été retrouvé sur l’arme à feu et des traces de son ADN et de son sang ont été trouvées sur les souliers de M. Henderson. Monsieur Henderson a affirmé qu'il s'était trouvé dans la boîte de nuit, mais il a nié avoir participé au meurtre.  Il a dit que, en représailles de l'incident survenu plus tôt dans la soirée, il avait asséné un coup de pied au visage à M. McKay lorsque celui-ci était étendu par terre à la suite d’une bagarre avec d'autres personnes.</w:t>
            </w:r>
          </w:p>
          <w:p w:rsidR="00EB5E40" w:rsidRPr="00495EC2" w:rsidRDefault="00EB5E40" w:rsidP="00EC5583">
            <w:pPr>
              <w:jc w:val="both"/>
              <w:rPr>
                <w:rFonts w:eastAsia="Calibri"/>
                <w:sz w:val="20"/>
                <w:lang w:val="fr-CA"/>
              </w:rPr>
            </w:pPr>
          </w:p>
          <w:p w:rsidR="00EB5E40" w:rsidRPr="00495EC2" w:rsidRDefault="00EB5E40" w:rsidP="00EC5583">
            <w:pPr>
              <w:jc w:val="both"/>
              <w:rPr>
                <w:rFonts w:eastAsia="Calibri"/>
                <w:sz w:val="20"/>
                <w:lang w:val="fr-CA"/>
              </w:rPr>
            </w:pPr>
            <w:r w:rsidRPr="00495EC2">
              <w:rPr>
                <w:rFonts w:eastAsia="Calibri"/>
                <w:sz w:val="20"/>
                <w:lang w:val="fr-CA"/>
              </w:rPr>
              <w:t>Au procès, M. Henderson a présenté une preuve d'expert relativement aux faiblesses de la preuve par témoin oculaire.  Vers la fin du procès, on a découvert qu'un des deux avocats de la Couronne au dossier avait représenté M. Henderson alors que l’avocate en question travaillait pour un cabinet privé.  Le ministère public l’a retirée du dossier et a nommé un nouvel avocat de la Couronne pour l'instruction du voir-dire.  Après le procès, un déclarant a fait une déclaration sous serment enregistrée sur bande vidéo affirmant que M. Henderson ne pouvait pas être le tireur.  Il ne s'est pas présenté pour le contre-interrogatoire comme le lui avait ordonné le tribunal.</w:t>
            </w:r>
          </w:p>
          <w:p w:rsidR="00EB5E40" w:rsidRPr="00495EC2" w:rsidRDefault="00EB5E40" w:rsidP="00EC5583">
            <w:pPr>
              <w:jc w:val="both"/>
              <w:rPr>
                <w:rFonts w:eastAsia="Calibri"/>
                <w:sz w:val="20"/>
                <w:lang w:val="fr-CA"/>
              </w:rPr>
            </w:pPr>
          </w:p>
          <w:p w:rsidR="00EB5E40" w:rsidRPr="00495EC2" w:rsidRDefault="00EB5E40" w:rsidP="00EC5583">
            <w:pPr>
              <w:jc w:val="both"/>
              <w:rPr>
                <w:rFonts w:eastAsia="Calibri"/>
                <w:sz w:val="20"/>
                <w:lang w:val="fr-CA"/>
              </w:rPr>
            </w:pPr>
            <w:r w:rsidRPr="00495EC2">
              <w:rPr>
                <w:rFonts w:eastAsia="Calibri"/>
                <w:sz w:val="20"/>
                <w:lang w:val="fr-CA"/>
              </w:rPr>
              <w:t>Au terme d’un voir-dire portant sur le conflit d'intérêts, le juge du procès a refusé d'exclure le deuxième avocat de la Couronne, d'ordonner l’annulation du procès ou d'ordonner que l'affaire soit confiée à un avocat externe.  Il a donné des directives au jury portant notamment sur le traitement de la preuve par témoin oculaire dans son exposé commenté par l'avocat du demandeur et modifié à la suite de ces commentaires. Le jury a déclaré le demandeur coupable de meurtre au premier degré.  La Cour d'appel a rejeté une requête en vue de présenter la déclaration du déclarant comme nouvel élément de preuve et a rejeté l'appel.</w:t>
            </w:r>
          </w:p>
          <w:p w:rsidR="00EB5E40" w:rsidRPr="00495EC2" w:rsidRDefault="00EB5E40" w:rsidP="00EC5583">
            <w:pPr>
              <w:jc w:val="both"/>
              <w:rPr>
                <w:rFonts w:eastAsia="Calibri"/>
                <w:sz w:val="20"/>
                <w:lang w:val="fr-CA"/>
              </w:rPr>
            </w:pPr>
          </w:p>
        </w:tc>
      </w:tr>
      <w:tr w:rsidR="00EB5E40" w:rsidRPr="009714AD" w:rsidTr="00EC5583">
        <w:tc>
          <w:tcPr>
            <w:tcW w:w="2427" w:type="pct"/>
          </w:tcPr>
          <w:p w:rsidR="00EB5E40" w:rsidRPr="00495EC2" w:rsidRDefault="00EB5E40" w:rsidP="00EC5583">
            <w:pPr>
              <w:jc w:val="both"/>
              <w:rPr>
                <w:rFonts w:eastAsia="Calibri"/>
                <w:sz w:val="20"/>
                <w:lang w:val="fr-CA"/>
              </w:rPr>
            </w:pPr>
            <w:r w:rsidRPr="00495EC2">
              <w:rPr>
                <w:rFonts w:eastAsia="Calibri"/>
                <w:sz w:val="20"/>
                <w:lang w:val="fr-CA"/>
              </w:rPr>
              <w:t>22 avril 2009</w:t>
            </w:r>
          </w:p>
          <w:p w:rsidR="00EB5E40" w:rsidRPr="00495EC2" w:rsidRDefault="00EB5E40" w:rsidP="00EC5583">
            <w:pPr>
              <w:jc w:val="both"/>
              <w:rPr>
                <w:rFonts w:eastAsia="Calibri"/>
                <w:sz w:val="20"/>
                <w:lang w:val="fr-CA"/>
              </w:rPr>
            </w:pPr>
            <w:r w:rsidRPr="00495EC2">
              <w:rPr>
                <w:rFonts w:eastAsia="Calibri"/>
                <w:sz w:val="20"/>
                <w:lang w:val="fr-CA"/>
              </w:rPr>
              <w:t xml:space="preserve">Cour du Banc de la Reine du Manitoba </w:t>
            </w:r>
          </w:p>
          <w:p w:rsidR="00EB5E40" w:rsidRPr="00495EC2" w:rsidRDefault="00EB5E40" w:rsidP="00EC5583">
            <w:pPr>
              <w:jc w:val="both"/>
              <w:rPr>
                <w:rFonts w:eastAsia="Calibri"/>
                <w:sz w:val="20"/>
                <w:lang w:val="fr-CA"/>
              </w:rPr>
            </w:pPr>
            <w:r w:rsidRPr="00495EC2">
              <w:rPr>
                <w:rFonts w:eastAsia="Calibri"/>
                <w:sz w:val="20"/>
                <w:lang w:val="fr-CA"/>
              </w:rPr>
              <w:t>(Juge Sinclair)</w:t>
            </w:r>
          </w:p>
          <w:p w:rsidR="00EB5E40" w:rsidRPr="00495EC2" w:rsidRDefault="00EB5E40" w:rsidP="00EC5583">
            <w:pPr>
              <w:jc w:val="both"/>
              <w:rPr>
                <w:rFonts w:eastAsia="Calibri"/>
                <w:sz w:val="20"/>
                <w:lang w:val="fr-CA"/>
              </w:rPr>
            </w:pPr>
            <w:r w:rsidRPr="00495EC2">
              <w:rPr>
                <w:rFonts w:eastAsia="Calibri"/>
                <w:sz w:val="20"/>
                <w:lang w:val="fr-CA"/>
              </w:rPr>
              <w:t>2009 MBQB 101</w:t>
            </w:r>
          </w:p>
          <w:p w:rsidR="00EB5E40" w:rsidRPr="00495EC2" w:rsidRDefault="00EB5E40" w:rsidP="00EC5583">
            <w:pPr>
              <w:jc w:val="both"/>
              <w:rPr>
                <w:rFonts w:eastAsia="Calibri"/>
                <w:sz w:val="20"/>
                <w:lang w:val="fr-CA"/>
              </w:rPr>
            </w:pPr>
          </w:p>
        </w:tc>
        <w:tc>
          <w:tcPr>
            <w:tcW w:w="243" w:type="pct"/>
          </w:tcPr>
          <w:p w:rsidR="00EB5E40" w:rsidRPr="00495EC2" w:rsidRDefault="00EB5E40" w:rsidP="00EC5583">
            <w:pPr>
              <w:jc w:val="both"/>
              <w:rPr>
                <w:rFonts w:eastAsia="Calibri"/>
                <w:sz w:val="20"/>
                <w:lang w:val="fr-CA"/>
              </w:rPr>
            </w:pPr>
          </w:p>
        </w:tc>
        <w:tc>
          <w:tcPr>
            <w:tcW w:w="2330" w:type="pct"/>
          </w:tcPr>
          <w:p w:rsidR="00EB5E40" w:rsidRPr="00495EC2" w:rsidRDefault="00EB5E40" w:rsidP="00EC5583">
            <w:pPr>
              <w:jc w:val="both"/>
              <w:rPr>
                <w:rFonts w:eastAsia="Calibri"/>
                <w:sz w:val="20"/>
                <w:lang w:val="fr-CA"/>
              </w:rPr>
            </w:pPr>
            <w:r w:rsidRPr="00495EC2">
              <w:rPr>
                <w:rFonts w:eastAsia="Calibri"/>
                <w:sz w:val="20"/>
                <w:lang w:val="fr-CA"/>
              </w:rPr>
              <w:t>Déclaration de culpabilité par un jury sous un chef de meurtre au premier degré; peine obligatoire de 25 ans d'emprisonnement ordonnée</w:t>
            </w:r>
          </w:p>
          <w:p w:rsidR="00EB5E40" w:rsidRPr="00495EC2" w:rsidRDefault="00EB5E40" w:rsidP="00EC5583">
            <w:pPr>
              <w:jc w:val="both"/>
              <w:rPr>
                <w:rFonts w:eastAsia="Calibri"/>
                <w:sz w:val="20"/>
                <w:lang w:val="fr-CA"/>
              </w:rPr>
            </w:pPr>
          </w:p>
        </w:tc>
      </w:tr>
      <w:tr w:rsidR="00EB5E40" w:rsidRPr="009714AD" w:rsidTr="00EC5583">
        <w:tc>
          <w:tcPr>
            <w:tcW w:w="2427" w:type="pct"/>
          </w:tcPr>
          <w:p w:rsidR="00EB5E40" w:rsidRPr="00495EC2" w:rsidRDefault="00EB5E40" w:rsidP="00EC5583">
            <w:pPr>
              <w:jc w:val="both"/>
              <w:rPr>
                <w:rFonts w:eastAsia="Calibri"/>
                <w:sz w:val="20"/>
                <w:lang w:val="fr-CA"/>
              </w:rPr>
            </w:pPr>
            <w:r w:rsidRPr="00495EC2">
              <w:rPr>
                <w:rFonts w:eastAsia="Calibri"/>
                <w:sz w:val="20"/>
                <w:lang w:val="fr-CA"/>
              </w:rPr>
              <w:t>10 octobre 2012</w:t>
            </w:r>
          </w:p>
          <w:p w:rsidR="00EB5E40" w:rsidRPr="00495EC2" w:rsidRDefault="00EB5E40" w:rsidP="00EC5583">
            <w:pPr>
              <w:jc w:val="both"/>
              <w:rPr>
                <w:rFonts w:eastAsia="Calibri"/>
                <w:sz w:val="20"/>
                <w:lang w:val="fr-CA"/>
              </w:rPr>
            </w:pPr>
            <w:r w:rsidRPr="00495EC2">
              <w:rPr>
                <w:rFonts w:eastAsia="Calibri"/>
                <w:sz w:val="20"/>
                <w:lang w:val="fr-CA"/>
              </w:rPr>
              <w:t xml:space="preserve">Cour d'appel du Manitoba </w:t>
            </w:r>
          </w:p>
          <w:p w:rsidR="00EB5E40" w:rsidRPr="00495EC2" w:rsidRDefault="00EB5E40" w:rsidP="00EC5583">
            <w:pPr>
              <w:jc w:val="both"/>
              <w:rPr>
                <w:rFonts w:eastAsia="Calibri"/>
                <w:sz w:val="20"/>
                <w:lang w:val="fr-CA"/>
              </w:rPr>
            </w:pPr>
            <w:r w:rsidRPr="00495EC2">
              <w:rPr>
                <w:rFonts w:eastAsia="Calibri"/>
                <w:sz w:val="20"/>
                <w:lang w:val="fr-CA"/>
              </w:rPr>
              <w:t xml:space="preserve">(Juges </w:t>
            </w:r>
            <w:proofErr w:type="spellStart"/>
            <w:r w:rsidRPr="00495EC2">
              <w:rPr>
                <w:rFonts w:eastAsia="Calibri"/>
                <w:sz w:val="20"/>
                <w:lang w:val="fr-CA"/>
              </w:rPr>
              <w:t>Monnin</w:t>
            </w:r>
            <w:proofErr w:type="spellEnd"/>
            <w:r w:rsidRPr="00495EC2">
              <w:rPr>
                <w:rFonts w:eastAsia="Calibri"/>
                <w:sz w:val="20"/>
                <w:lang w:val="fr-CA"/>
              </w:rPr>
              <w:t>, Hamilton et Chartier)</w:t>
            </w:r>
          </w:p>
          <w:p w:rsidR="00EB5E40" w:rsidRPr="00495EC2" w:rsidRDefault="00EB5E40" w:rsidP="00EC5583">
            <w:pPr>
              <w:jc w:val="both"/>
              <w:rPr>
                <w:rFonts w:eastAsia="Calibri"/>
                <w:sz w:val="20"/>
                <w:lang w:val="fr-CA"/>
              </w:rPr>
            </w:pPr>
            <w:r w:rsidRPr="00495EC2">
              <w:rPr>
                <w:rFonts w:eastAsia="Calibri"/>
                <w:sz w:val="20"/>
                <w:lang w:val="fr-CA"/>
              </w:rPr>
              <w:t>2012 MBCA 93</w:t>
            </w:r>
          </w:p>
          <w:p w:rsidR="00EB5E40" w:rsidRPr="00495EC2" w:rsidRDefault="00EB5E40" w:rsidP="00EC5583">
            <w:pPr>
              <w:jc w:val="both"/>
              <w:rPr>
                <w:rFonts w:eastAsia="Calibri"/>
                <w:sz w:val="20"/>
                <w:lang w:val="fr-CA"/>
              </w:rPr>
            </w:pPr>
          </w:p>
        </w:tc>
        <w:tc>
          <w:tcPr>
            <w:tcW w:w="243" w:type="pct"/>
          </w:tcPr>
          <w:p w:rsidR="00EB5E40" w:rsidRPr="00495EC2" w:rsidRDefault="00EB5E40" w:rsidP="00EC5583">
            <w:pPr>
              <w:jc w:val="both"/>
              <w:rPr>
                <w:rFonts w:eastAsia="Calibri"/>
                <w:sz w:val="20"/>
                <w:lang w:val="fr-CA"/>
              </w:rPr>
            </w:pPr>
          </w:p>
        </w:tc>
        <w:tc>
          <w:tcPr>
            <w:tcW w:w="2330" w:type="pct"/>
          </w:tcPr>
          <w:p w:rsidR="00EB5E40" w:rsidRPr="00495EC2" w:rsidRDefault="00EB5E40" w:rsidP="00EC5583">
            <w:pPr>
              <w:jc w:val="both"/>
              <w:rPr>
                <w:rFonts w:eastAsia="Calibri"/>
                <w:sz w:val="20"/>
                <w:lang w:val="fr-CA"/>
              </w:rPr>
            </w:pPr>
            <w:r w:rsidRPr="00495EC2">
              <w:rPr>
                <w:rFonts w:eastAsia="Calibri"/>
                <w:sz w:val="20"/>
                <w:lang w:val="fr-CA"/>
              </w:rPr>
              <w:t>Demande en vue de présenter un nouvel élément de preuve rejetée; appel de la déclaration de culpabilité, rejeté</w:t>
            </w:r>
          </w:p>
          <w:p w:rsidR="00EB5E40" w:rsidRPr="00495EC2" w:rsidRDefault="00EB5E40" w:rsidP="00EC5583">
            <w:pPr>
              <w:jc w:val="both"/>
              <w:rPr>
                <w:rFonts w:eastAsia="Calibri"/>
                <w:sz w:val="20"/>
                <w:lang w:val="fr-CA"/>
              </w:rPr>
            </w:pPr>
          </w:p>
        </w:tc>
      </w:tr>
      <w:tr w:rsidR="00EB5E40" w:rsidRPr="009714AD" w:rsidTr="00EC5583">
        <w:tc>
          <w:tcPr>
            <w:tcW w:w="2427" w:type="pct"/>
          </w:tcPr>
          <w:p w:rsidR="00EB5E40" w:rsidRPr="00495EC2" w:rsidRDefault="00EB5E40" w:rsidP="00EC5583">
            <w:pPr>
              <w:jc w:val="both"/>
              <w:rPr>
                <w:rFonts w:eastAsia="Calibri"/>
                <w:sz w:val="20"/>
                <w:lang w:val="fr-CA"/>
              </w:rPr>
            </w:pPr>
            <w:r w:rsidRPr="00495EC2">
              <w:rPr>
                <w:rFonts w:eastAsia="Calibri"/>
                <w:sz w:val="20"/>
                <w:lang w:val="fr-CA"/>
              </w:rPr>
              <w:t>10 décembre 2012</w:t>
            </w:r>
          </w:p>
          <w:p w:rsidR="00EB5E40" w:rsidRPr="00495EC2" w:rsidRDefault="00EB5E40" w:rsidP="00EC5583">
            <w:pPr>
              <w:jc w:val="both"/>
              <w:rPr>
                <w:rFonts w:eastAsia="Calibri"/>
                <w:sz w:val="20"/>
                <w:lang w:val="fr-CA"/>
              </w:rPr>
            </w:pPr>
            <w:r w:rsidRPr="00495EC2">
              <w:rPr>
                <w:rFonts w:eastAsia="Calibri"/>
                <w:sz w:val="20"/>
                <w:lang w:val="fr-CA"/>
              </w:rPr>
              <w:t>Cour suprême du Canada</w:t>
            </w:r>
          </w:p>
        </w:tc>
        <w:tc>
          <w:tcPr>
            <w:tcW w:w="243" w:type="pct"/>
          </w:tcPr>
          <w:p w:rsidR="00EB5E40" w:rsidRPr="00495EC2" w:rsidRDefault="00EB5E40" w:rsidP="00EC5583">
            <w:pPr>
              <w:jc w:val="both"/>
              <w:rPr>
                <w:rFonts w:eastAsia="Calibri"/>
                <w:sz w:val="20"/>
                <w:lang w:val="fr-CA"/>
              </w:rPr>
            </w:pPr>
          </w:p>
        </w:tc>
        <w:tc>
          <w:tcPr>
            <w:tcW w:w="2330" w:type="pct"/>
          </w:tcPr>
          <w:p w:rsidR="00EB5E40" w:rsidRPr="00495EC2" w:rsidRDefault="00EB5E40" w:rsidP="00EC5583">
            <w:pPr>
              <w:jc w:val="both"/>
              <w:rPr>
                <w:rFonts w:eastAsia="Calibri"/>
                <w:sz w:val="20"/>
                <w:lang w:val="fr-CA"/>
              </w:rPr>
            </w:pPr>
            <w:r w:rsidRPr="00495EC2">
              <w:rPr>
                <w:rFonts w:eastAsia="Calibri"/>
                <w:sz w:val="20"/>
                <w:lang w:val="fr-CA"/>
              </w:rPr>
              <w:t>Demande d'autorisation d'appel et requête en vue de déposer des éléments de preuve supplémentaires, déposées</w:t>
            </w:r>
          </w:p>
        </w:tc>
      </w:tr>
    </w:tbl>
    <w:p w:rsidR="000C7850" w:rsidRPr="00EB5E40" w:rsidRDefault="000C7850" w:rsidP="000C7850">
      <w:pPr>
        <w:rPr>
          <w:sz w:val="20"/>
          <w:szCs w:val="20"/>
          <w:lang w:val="fr-CA"/>
        </w:rPr>
      </w:pPr>
    </w:p>
    <w:p w:rsidR="000C7850" w:rsidRDefault="00BE6ED8" w:rsidP="000C7850">
      <w:pPr>
        <w:rPr>
          <w:sz w:val="20"/>
          <w:szCs w:val="20"/>
        </w:rPr>
      </w:pPr>
      <w:r w:rsidRPr="00BE6ED8">
        <w:rPr>
          <w:sz w:val="20"/>
          <w:szCs w:val="20"/>
          <w:lang w:val="fr-CA"/>
        </w:rPr>
        <w:pict>
          <v:rect id="_x0000_i1071" style="width:2in;height:1pt" o:hrpct="0" o:hralign="center" o:hrstd="t" o:hrnoshade="t" o:hr="t" fillcolor="black [3213]" stroked="f"/>
        </w:pict>
      </w:r>
    </w:p>
    <w:p w:rsidR="000C7850" w:rsidRDefault="000C7850" w:rsidP="000C7850">
      <w:pPr>
        <w:rPr>
          <w:sz w:val="20"/>
          <w:szCs w:val="20"/>
        </w:rPr>
      </w:pPr>
    </w:p>
    <w:p w:rsidR="00A80FCF" w:rsidRDefault="00A80FCF">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3229E" w:rsidRPr="009714AD" w:rsidTr="009E6124">
        <w:trPr>
          <w:cantSplit/>
        </w:trPr>
        <w:tc>
          <w:tcPr>
            <w:tcW w:w="1458" w:type="dxa"/>
          </w:tcPr>
          <w:p w:rsidR="00B3229E" w:rsidRPr="00841F85" w:rsidRDefault="00B3229E" w:rsidP="009E6124">
            <w:pPr>
              <w:rPr>
                <w:sz w:val="20"/>
                <w:szCs w:val="20"/>
              </w:rPr>
            </w:pPr>
            <w:r w:rsidRPr="00841F85">
              <w:rPr>
                <w:rStyle w:val="SCCFileNumberChar"/>
                <w:sz w:val="20"/>
                <w:szCs w:val="20"/>
              </w:rPr>
              <w:t>35139</w:t>
            </w:r>
          </w:p>
          <w:p w:rsidR="00B3229E" w:rsidRPr="00841F85" w:rsidRDefault="00B3229E" w:rsidP="009E6124">
            <w:pPr>
              <w:rPr>
                <w:b/>
                <w:sz w:val="20"/>
                <w:szCs w:val="20"/>
                <w:lang w:val="fr-CA"/>
              </w:rPr>
            </w:pPr>
          </w:p>
        </w:tc>
        <w:tc>
          <w:tcPr>
            <w:tcW w:w="8118" w:type="dxa"/>
          </w:tcPr>
          <w:p w:rsidR="00B3229E" w:rsidRPr="00841F85" w:rsidRDefault="00B3229E" w:rsidP="009E6124">
            <w:pPr>
              <w:jc w:val="both"/>
              <w:rPr>
                <w:sz w:val="20"/>
                <w:szCs w:val="20"/>
                <w:lang w:val="fr-CA"/>
              </w:rPr>
            </w:pPr>
            <w:r w:rsidRPr="00841F85">
              <w:rPr>
                <w:rStyle w:val="SCCLsocChar"/>
                <w:sz w:val="20"/>
                <w:szCs w:val="20"/>
              </w:rPr>
              <w:t>Commission de la santé et de la sécurité du travail c. Société d'énergie de la Baie James</w:t>
            </w:r>
            <w:r w:rsidRPr="00841F85">
              <w:rPr>
                <w:sz w:val="20"/>
                <w:szCs w:val="20"/>
                <w:lang w:val="fr-CA"/>
              </w:rPr>
              <w:t xml:space="preserve"> (</w:t>
            </w:r>
            <w:proofErr w:type="spellStart"/>
            <w:r w:rsidRPr="00841F85">
              <w:rPr>
                <w:sz w:val="20"/>
                <w:szCs w:val="20"/>
                <w:lang w:val="fr-CA"/>
              </w:rPr>
              <w:t>Qc</w:t>
            </w:r>
            <w:proofErr w:type="spellEnd"/>
            <w:r w:rsidRPr="00841F85">
              <w:rPr>
                <w:sz w:val="20"/>
                <w:szCs w:val="20"/>
                <w:lang w:val="fr-CA"/>
              </w:rPr>
              <w:t>) (Criminelle) (Autorisation)</w:t>
            </w:r>
          </w:p>
          <w:p w:rsidR="00B3229E" w:rsidRPr="00841F85" w:rsidRDefault="00B3229E" w:rsidP="009E6124">
            <w:pPr>
              <w:jc w:val="both"/>
              <w:rPr>
                <w:sz w:val="20"/>
                <w:szCs w:val="20"/>
                <w:lang w:val="fr-CA"/>
              </w:rPr>
            </w:pPr>
          </w:p>
        </w:tc>
      </w:tr>
      <w:tr w:rsidR="00B3229E" w:rsidRPr="009714AD" w:rsidTr="009E6124">
        <w:trPr>
          <w:cantSplit/>
        </w:trPr>
        <w:tc>
          <w:tcPr>
            <w:tcW w:w="1458" w:type="dxa"/>
          </w:tcPr>
          <w:p w:rsidR="00B3229E" w:rsidRPr="00841F85" w:rsidRDefault="00B3229E" w:rsidP="009E6124">
            <w:pPr>
              <w:rPr>
                <w:sz w:val="20"/>
                <w:szCs w:val="20"/>
              </w:rPr>
            </w:pPr>
            <w:r w:rsidRPr="00841F85">
              <w:rPr>
                <w:sz w:val="20"/>
                <w:szCs w:val="20"/>
              </w:rPr>
              <w:t>Coram :</w:t>
            </w:r>
          </w:p>
        </w:tc>
        <w:tc>
          <w:tcPr>
            <w:tcW w:w="8118" w:type="dxa"/>
          </w:tcPr>
          <w:p w:rsidR="00B3229E" w:rsidRPr="00841F85" w:rsidRDefault="00B3229E" w:rsidP="009E6124">
            <w:pPr>
              <w:rPr>
                <w:sz w:val="20"/>
                <w:szCs w:val="20"/>
                <w:lang w:val="fr-CA"/>
              </w:rPr>
            </w:pPr>
            <w:r w:rsidRPr="00841F85">
              <w:rPr>
                <w:rStyle w:val="SCCCoramChar"/>
                <w:sz w:val="20"/>
                <w:szCs w:val="20"/>
              </w:rPr>
              <w:t xml:space="preserve">Les juges </w:t>
            </w:r>
            <w:proofErr w:type="spellStart"/>
            <w:r w:rsidRPr="00841F85">
              <w:rPr>
                <w:rStyle w:val="SCCCoramChar"/>
                <w:sz w:val="20"/>
                <w:szCs w:val="20"/>
              </w:rPr>
              <w:t>LeBel</w:t>
            </w:r>
            <w:proofErr w:type="spellEnd"/>
            <w:r w:rsidRPr="00841F85">
              <w:rPr>
                <w:rStyle w:val="SCCCoramChar"/>
                <w:sz w:val="20"/>
                <w:szCs w:val="20"/>
              </w:rPr>
              <w:t xml:space="preserve">, </w:t>
            </w:r>
            <w:proofErr w:type="spellStart"/>
            <w:r w:rsidRPr="00841F85">
              <w:rPr>
                <w:rStyle w:val="SCCCoramChar"/>
                <w:sz w:val="20"/>
                <w:szCs w:val="20"/>
              </w:rPr>
              <w:t>Karakatsanis</w:t>
            </w:r>
            <w:proofErr w:type="spellEnd"/>
            <w:r w:rsidRPr="00841F85">
              <w:rPr>
                <w:rStyle w:val="SCCCoramChar"/>
                <w:sz w:val="20"/>
                <w:szCs w:val="20"/>
              </w:rPr>
              <w:t xml:space="preserve"> et Wagner</w:t>
            </w:r>
          </w:p>
          <w:p w:rsidR="00B3229E" w:rsidRPr="00841F85" w:rsidRDefault="00B3229E" w:rsidP="009E6124">
            <w:pPr>
              <w:rPr>
                <w:sz w:val="20"/>
                <w:szCs w:val="20"/>
                <w:u w:val="single"/>
                <w:lang w:val="fr-CA"/>
              </w:rPr>
            </w:pPr>
          </w:p>
        </w:tc>
      </w:tr>
      <w:tr w:rsidR="00B3229E" w:rsidRPr="00841F85" w:rsidTr="009E6124">
        <w:trPr>
          <w:cantSplit/>
        </w:trPr>
        <w:tc>
          <w:tcPr>
            <w:tcW w:w="9576" w:type="dxa"/>
            <w:gridSpan w:val="2"/>
          </w:tcPr>
          <w:p w:rsidR="00B3229E" w:rsidRPr="00841F85" w:rsidRDefault="00B3229E" w:rsidP="009E6124">
            <w:pPr>
              <w:pStyle w:val="SCCShortJudgment"/>
              <w:rPr>
                <w:szCs w:val="20"/>
                <w:lang w:val="fr-CA"/>
              </w:rPr>
            </w:pPr>
            <w:r w:rsidRPr="00841F85">
              <w:rPr>
                <w:szCs w:val="20"/>
                <w:lang w:val="fr-CA"/>
              </w:rPr>
              <w:t>La demande d’autorisation d’appel de l’arrêt de la Cour d’appel du Québec (Québec), numéro 200-10-002685-118, 2012 QCCA 1910, daté du 26 octobre 2012, est rejetée avec dépens.</w:t>
            </w:r>
          </w:p>
          <w:p w:rsidR="00B3229E" w:rsidRPr="00841F85" w:rsidRDefault="00B3229E" w:rsidP="009E6124">
            <w:pPr>
              <w:pStyle w:val="SCCShortJudgment"/>
              <w:ind w:firstLine="0"/>
              <w:rPr>
                <w:szCs w:val="20"/>
                <w:lang w:val="fr-CA"/>
              </w:rPr>
            </w:pPr>
          </w:p>
          <w:p w:rsidR="00B3229E" w:rsidRPr="00841F85" w:rsidRDefault="00B3229E" w:rsidP="009E6124">
            <w:pPr>
              <w:pStyle w:val="SCCShortJudgment"/>
              <w:rPr>
                <w:szCs w:val="20"/>
              </w:rPr>
            </w:pPr>
            <w:r w:rsidRPr="00841F85">
              <w:rPr>
                <w:szCs w:val="20"/>
              </w:rPr>
              <w:t>The application for leave to appeal from the judgment of the Court of Appeal of Quebec (Québec), Number 200-10-002685-118, 2012 QCCA 1910, dated October 26, 2012, is dismissed with costs.</w:t>
            </w:r>
          </w:p>
        </w:tc>
      </w:tr>
    </w:tbl>
    <w:p w:rsidR="000C7850" w:rsidRPr="00B3229E" w:rsidRDefault="000C7850" w:rsidP="000C7850">
      <w:pPr>
        <w:rPr>
          <w:sz w:val="20"/>
          <w:szCs w:val="20"/>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B5E40" w:rsidRPr="00495EC2" w:rsidTr="00EC5583">
        <w:tc>
          <w:tcPr>
            <w:tcW w:w="5000" w:type="pct"/>
            <w:gridSpan w:val="3"/>
          </w:tcPr>
          <w:p w:rsidR="00EB5E40" w:rsidRPr="00495EC2" w:rsidRDefault="00EB5E40" w:rsidP="00EC5583">
            <w:pPr>
              <w:jc w:val="both"/>
              <w:rPr>
                <w:rFonts w:eastAsia="Calibri"/>
                <w:sz w:val="20"/>
              </w:rPr>
            </w:pPr>
            <w:r w:rsidRPr="00495EC2">
              <w:rPr>
                <w:rFonts w:eastAsia="Calibri"/>
                <w:sz w:val="20"/>
              </w:rPr>
              <w:t>Provincial offences — Occupational health and safety — Nature of offences — Strict liability — Principal contractor on construction site charged with having, by act or omission, done anything that directly and seriously compromised health, safety or physical well</w:t>
            </w:r>
            <w:r w:rsidRPr="00495EC2">
              <w:rPr>
                <w:rFonts w:eastAsia="Calibri"/>
                <w:sz w:val="20"/>
              </w:rPr>
              <w:noBreakHyphen/>
              <w:t xml:space="preserve">being of worker, contrary to s. 237 of </w:t>
            </w:r>
            <w:r w:rsidRPr="00495EC2">
              <w:rPr>
                <w:rFonts w:eastAsia="Calibri"/>
                <w:i/>
                <w:sz w:val="20"/>
              </w:rPr>
              <w:t>Act respecting occupational health and safety</w:t>
            </w:r>
            <w:r w:rsidRPr="00495EC2">
              <w:rPr>
                <w:rFonts w:eastAsia="Calibri"/>
                <w:sz w:val="20"/>
              </w:rPr>
              <w:t>, R.S.Q., c. S</w:t>
            </w:r>
            <w:r w:rsidRPr="00495EC2">
              <w:rPr>
                <w:rFonts w:eastAsia="Calibri"/>
                <w:sz w:val="20"/>
              </w:rPr>
              <w:noBreakHyphen/>
              <w:t>2.1 — In light of s. 196 of Act, whether Court of Appeal could find that principal contractor not subject to same obligations as employer — Whether Court of Appeal could conclude that principal contractor can avoid sanctions despite failing to observe its obligations — Under strict liability regime, whether Court of Appeal could find that prosecution required to prove specific conduct of principal contractor other than failure to observe its obligations.</w:t>
            </w:r>
          </w:p>
        </w:tc>
      </w:tr>
      <w:tr w:rsidR="00EB5E40" w:rsidRPr="00495EC2" w:rsidTr="00EC5583">
        <w:tc>
          <w:tcPr>
            <w:tcW w:w="5000" w:type="pct"/>
            <w:gridSpan w:val="3"/>
          </w:tcPr>
          <w:p w:rsidR="00EB5E40" w:rsidRPr="00495EC2" w:rsidRDefault="00EB5E40" w:rsidP="00EC5583">
            <w:pPr>
              <w:jc w:val="both"/>
              <w:rPr>
                <w:rFonts w:eastAsia="Calibri"/>
                <w:sz w:val="20"/>
              </w:rPr>
            </w:pPr>
          </w:p>
        </w:tc>
      </w:tr>
      <w:tr w:rsidR="00EB5E40" w:rsidRPr="00495EC2" w:rsidTr="00EC5583">
        <w:tc>
          <w:tcPr>
            <w:tcW w:w="5000" w:type="pct"/>
            <w:gridSpan w:val="3"/>
          </w:tcPr>
          <w:p w:rsidR="00EB5E40" w:rsidRPr="00495EC2" w:rsidRDefault="00EB5E40" w:rsidP="00EC5583">
            <w:pPr>
              <w:jc w:val="both"/>
              <w:rPr>
                <w:rFonts w:eastAsia="Calibri"/>
                <w:sz w:val="20"/>
              </w:rPr>
            </w:pPr>
            <w:r w:rsidRPr="00495EC2">
              <w:rPr>
                <w:rFonts w:eastAsia="Calibri"/>
                <w:sz w:val="20"/>
              </w:rPr>
              <w:t>The respondent company managed the “Eastmain</w:t>
            </w:r>
            <w:r w:rsidRPr="00495EC2">
              <w:rPr>
                <w:rFonts w:eastAsia="Calibri"/>
                <w:sz w:val="20"/>
              </w:rPr>
              <w:noBreakHyphen/>
              <w:t>1</w:t>
            </w:r>
            <w:r w:rsidRPr="00495EC2">
              <w:rPr>
                <w:rFonts w:eastAsia="Calibri"/>
                <w:sz w:val="20"/>
              </w:rPr>
              <w:noBreakHyphen/>
              <w:t xml:space="preserve">A and </w:t>
            </w:r>
            <w:proofErr w:type="spellStart"/>
            <w:r w:rsidRPr="00495EC2">
              <w:rPr>
                <w:rFonts w:eastAsia="Calibri"/>
                <w:sz w:val="20"/>
              </w:rPr>
              <w:t>Sarcelle</w:t>
            </w:r>
            <w:proofErr w:type="spellEnd"/>
            <w:r w:rsidRPr="00495EC2">
              <w:rPr>
                <w:rFonts w:eastAsia="Calibri"/>
                <w:sz w:val="20"/>
              </w:rPr>
              <w:t xml:space="preserve"> powerhouses and Rupert diversion” project on behalf of Hydro</w:t>
            </w:r>
            <w:r w:rsidRPr="00495EC2">
              <w:rPr>
                <w:rFonts w:eastAsia="Calibri"/>
                <w:sz w:val="20"/>
              </w:rPr>
              <w:noBreakHyphen/>
            </w:r>
            <w:proofErr w:type="spellStart"/>
            <w:r w:rsidRPr="00495EC2">
              <w:rPr>
                <w:rFonts w:eastAsia="Calibri"/>
                <w:sz w:val="20"/>
              </w:rPr>
              <w:t>Québec</w:t>
            </w:r>
            <w:proofErr w:type="spellEnd"/>
            <w:r w:rsidRPr="00495EC2">
              <w:rPr>
                <w:rFonts w:eastAsia="Calibri"/>
                <w:sz w:val="20"/>
              </w:rPr>
              <w:t xml:space="preserve">.  Following a tendering process, the respondent awarded Les Constructions </w:t>
            </w:r>
            <w:proofErr w:type="spellStart"/>
            <w:r w:rsidRPr="00495EC2">
              <w:rPr>
                <w:rFonts w:eastAsia="Calibri"/>
                <w:sz w:val="20"/>
              </w:rPr>
              <w:t>Benoît</w:t>
            </w:r>
            <w:proofErr w:type="spellEnd"/>
            <w:r w:rsidRPr="00495EC2">
              <w:rPr>
                <w:rFonts w:eastAsia="Calibri"/>
                <w:sz w:val="20"/>
              </w:rPr>
              <w:t xml:space="preserve"> Doyon inc. (“the employer”) a contract worth several million dollars to move modular utility and residential buildings for the use of the workers involved in carrying out the Eastmain</w:t>
            </w:r>
            <w:r w:rsidRPr="00495EC2">
              <w:rPr>
                <w:rFonts w:eastAsia="Calibri"/>
                <w:sz w:val="20"/>
              </w:rPr>
              <w:noBreakHyphen/>
              <w:t>1</w:t>
            </w:r>
            <w:r w:rsidRPr="00495EC2">
              <w:rPr>
                <w:rFonts w:eastAsia="Calibri"/>
                <w:sz w:val="20"/>
              </w:rPr>
              <w:noBreakHyphen/>
              <w:t>A powerhouse project.  For that purpose, the employer used, among other things, a team of four workers.  Working in tandem, two of the workers simultaneously operated two lift trucks to lift and transport the modules, which were on trestles.  In the meantime, their two coworkers acted as signallers to monitor the progress of the operation.  They positioned themselves at each end of the module or between the trucks to serve as guides.  The four workers remained in contact by radio.</w:t>
            </w:r>
          </w:p>
          <w:p w:rsidR="00EB5E40" w:rsidRPr="00495EC2" w:rsidRDefault="00EB5E40" w:rsidP="00EC5583">
            <w:pPr>
              <w:jc w:val="both"/>
              <w:rPr>
                <w:rFonts w:eastAsia="Calibri"/>
                <w:sz w:val="20"/>
              </w:rPr>
            </w:pPr>
          </w:p>
          <w:p w:rsidR="00EB5E40" w:rsidRPr="00495EC2" w:rsidRDefault="00EB5E40" w:rsidP="00EC5583">
            <w:pPr>
              <w:jc w:val="both"/>
              <w:rPr>
                <w:rFonts w:eastAsia="Calibri"/>
                <w:sz w:val="20"/>
              </w:rPr>
            </w:pPr>
            <w:r w:rsidRPr="00495EC2">
              <w:rPr>
                <w:rFonts w:eastAsia="Calibri"/>
                <w:sz w:val="20"/>
              </w:rPr>
              <w:t>On February 8, 2008, the four workers chosen by the employer had some difficulty correctly positioning the modules they had to move.  After a few unsuccessful attempts, and in order to adjust the position of a beam used to support the module during the lifting manoeuvre, one of the signallers went under the module they were trying to move.  At that moment, the module slid off the lift truck toward the ground.  The signaller was killed.</w:t>
            </w:r>
          </w:p>
          <w:p w:rsidR="00EB5E40" w:rsidRPr="00495EC2" w:rsidRDefault="00EB5E40" w:rsidP="00EC5583">
            <w:pPr>
              <w:jc w:val="both"/>
              <w:rPr>
                <w:rFonts w:eastAsia="Calibri"/>
                <w:sz w:val="20"/>
              </w:rPr>
            </w:pPr>
          </w:p>
          <w:p w:rsidR="00EB5E40" w:rsidRPr="00495EC2" w:rsidRDefault="00EB5E40" w:rsidP="00EC5583">
            <w:pPr>
              <w:jc w:val="both"/>
              <w:rPr>
                <w:rFonts w:eastAsia="Calibri"/>
                <w:sz w:val="20"/>
              </w:rPr>
            </w:pPr>
            <w:r w:rsidRPr="00495EC2">
              <w:rPr>
                <w:rFonts w:eastAsia="Calibri"/>
                <w:sz w:val="20"/>
              </w:rPr>
              <w:t xml:space="preserve">As a result of those events, the applicant Commission charged the respondent, as principal contractor on the construction site, with committing the offence provided for in s. 237 of the </w:t>
            </w:r>
            <w:r w:rsidRPr="00495EC2">
              <w:rPr>
                <w:rFonts w:eastAsia="Calibri"/>
                <w:i/>
                <w:sz w:val="20"/>
              </w:rPr>
              <w:t>Act respecting occupational health and safety</w:t>
            </w:r>
            <w:r w:rsidRPr="00495EC2">
              <w:rPr>
                <w:rFonts w:eastAsia="Calibri"/>
                <w:sz w:val="20"/>
              </w:rPr>
              <w:t>.</w:t>
            </w:r>
          </w:p>
          <w:p w:rsidR="00EB5E40" w:rsidRPr="00495EC2" w:rsidRDefault="00EB5E40" w:rsidP="00EC5583">
            <w:pPr>
              <w:jc w:val="both"/>
              <w:rPr>
                <w:rFonts w:eastAsia="Calibri"/>
                <w:sz w:val="20"/>
              </w:rPr>
            </w:pPr>
          </w:p>
        </w:tc>
      </w:tr>
      <w:tr w:rsidR="00EB5E40" w:rsidRPr="00495EC2" w:rsidTr="00EC5583">
        <w:tc>
          <w:tcPr>
            <w:tcW w:w="2427" w:type="pct"/>
          </w:tcPr>
          <w:p w:rsidR="00EB5E40" w:rsidRPr="00495EC2" w:rsidRDefault="00EB5E40" w:rsidP="00EC5583">
            <w:pPr>
              <w:jc w:val="both"/>
              <w:rPr>
                <w:rFonts w:eastAsia="Calibri"/>
                <w:sz w:val="20"/>
              </w:rPr>
            </w:pPr>
            <w:r w:rsidRPr="00495EC2">
              <w:rPr>
                <w:rFonts w:eastAsia="Calibri"/>
                <w:sz w:val="20"/>
              </w:rPr>
              <w:t>June 8, 2010</w:t>
            </w:r>
          </w:p>
          <w:p w:rsidR="00EB5E40" w:rsidRPr="00495EC2" w:rsidRDefault="00EB5E40" w:rsidP="00EC5583">
            <w:pPr>
              <w:jc w:val="both"/>
              <w:rPr>
                <w:rFonts w:eastAsia="Calibri"/>
                <w:sz w:val="20"/>
              </w:rPr>
            </w:pPr>
            <w:r w:rsidRPr="00495EC2">
              <w:rPr>
                <w:rFonts w:eastAsia="Calibri"/>
                <w:sz w:val="20"/>
              </w:rPr>
              <w:t>Court of Québec, Criminal and Penal Division</w:t>
            </w:r>
          </w:p>
          <w:p w:rsidR="00EB5E40" w:rsidRPr="00495EC2" w:rsidRDefault="00EB5E40" w:rsidP="00EC5583">
            <w:pPr>
              <w:jc w:val="both"/>
              <w:rPr>
                <w:rFonts w:eastAsia="Calibri"/>
                <w:sz w:val="20"/>
              </w:rPr>
            </w:pPr>
            <w:r w:rsidRPr="00495EC2">
              <w:rPr>
                <w:rFonts w:eastAsia="Calibri"/>
                <w:sz w:val="20"/>
              </w:rPr>
              <w:t xml:space="preserve">(Judge </w:t>
            </w:r>
            <w:proofErr w:type="spellStart"/>
            <w:r w:rsidRPr="00495EC2">
              <w:rPr>
                <w:rFonts w:eastAsia="Calibri"/>
                <w:sz w:val="20"/>
              </w:rPr>
              <w:t>Gervais</w:t>
            </w:r>
            <w:proofErr w:type="spellEnd"/>
            <w:r w:rsidRPr="00495EC2">
              <w:rPr>
                <w:rFonts w:eastAsia="Calibri"/>
                <w:sz w:val="20"/>
              </w:rPr>
              <w:t>)</w:t>
            </w:r>
          </w:p>
          <w:p w:rsidR="00EB5E40" w:rsidRPr="00495EC2" w:rsidRDefault="00EB5E40" w:rsidP="00EC5583">
            <w:pPr>
              <w:jc w:val="both"/>
              <w:rPr>
                <w:rFonts w:eastAsia="Calibri"/>
                <w:sz w:val="20"/>
              </w:rPr>
            </w:pPr>
            <w:r w:rsidRPr="00495EC2">
              <w:rPr>
                <w:rFonts w:eastAsia="Calibri"/>
                <w:sz w:val="20"/>
              </w:rPr>
              <w:t>2010 QCCQ 5985</w:t>
            </w:r>
          </w:p>
          <w:p w:rsidR="00EB5E40" w:rsidRPr="00495EC2" w:rsidRDefault="00EB5E40" w:rsidP="00EC5583">
            <w:pPr>
              <w:jc w:val="both"/>
              <w:rPr>
                <w:rFonts w:eastAsia="Calibri"/>
                <w:sz w:val="20"/>
              </w:rPr>
            </w:pPr>
          </w:p>
        </w:tc>
        <w:tc>
          <w:tcPr>
            <w:tcW w:w="243" w:type="pct"/>
          </w:tcPr>
          <w:p w:rsidR="00EB5E40" w:rsidRPr="00495EC2" w:rsidRDefault="00EB5E40" w:rsidP="00EC5583">
            <w:pPr>
              <w:jc w:val="both"/>
              <w:rPr>
                <w:rFonts w:eastAsia="Calibri"/>
                <w:sz w:val="20"/>
              </w:rPr>
            </w:pPr>
          </w:p>
        </w:tc>
        <w:tc>
          <w:tcPr>
            <w:tcW w:w="2330" w:type="pct"/>
          </w:tcPr>
          <w:p w:rsidR="00EB5E40" w:rsidRPr="00495EC2" w:rsidRDefault="00EB5E40" w:rsidP="00EC5583">
            <w:pPr>
              <w:jc w:val="both"/>
              <w:rPr>
                <w:rFonts w:eastAsia="Calibri"/>
                <w:sz w:val="20"/>
              </w:rPr>
            </w:pPr>
            <w:r w:rsidRPr="00495EC2">
              <w:rPr>
                <w:rFonts w:eastAsia="Calibri"/>
                <w:sz w:val="20"/>
              </w:rPr>
              <w:t>Respondent acquitted</w:t>
            </w:r>
          </w:p>
        </w:tc>
      </w:tr>
      <w:tr w:rsidR="00EB5E40" w:rsidRPr="00495EC2" w:rsidTr="00EC5583">
        <w:tc>
          <w:tcPr>
            <w:tcW w:w="2427" w:type="pct"/>
          </w:tcPr>
          <w:p w:rsidR="00EB5E40" w:rsidRPr="00495EC2" w:rsidRDefault="00EB5E40" w:rsidP="00EC5583">
            <w:pPr>
              <w:jc w:val="both"/>
              <w:rPr>
                <w:rFonts w:eastAsia="Calibri"/>
                <w:sz w:val="20"/>
              </w:rPr>
            </w:pPr>
            <w:r w:rsidRPr="00495EC2">
              <w:rPr>
                <w:rFonts w:eastAsia="Calibri"/>
                <w:sz w:val="20"/>
              </w:rPr>
              <w:t>June 9, 2011</w:t>
            </w:r>
          </w:p>
          <w:p w:rsidR="00EB5E40" w:rsidRPr="00495EC2" w:rsidRDefault="00EB5E40" w:rsidP="00EC5583">
            <w:pPr>
              <w:jc w:val="both"/>
              <w:rPr>
                <w:rFonts w:eastAsia="Calibri"/>
                <w:sz w:val="20"/>
              </w:rPr>
            </w:pPr>
            <w:r w:rsidRPr="00495EC2">
              <w:rPr>
                <w:rFonts w:eastAsia="Calibri"/>
                <w:sz w:val="20"/>
              </w:rPr>
              <w:t>Quebec Superior Court</w:t>
            </w:r>
          </w:p>
          <w:p w:rsidR="00EB5E40" w:rsidRPr="00495EC2" w:rsidRDefault="00EB5E40" w:rsidP="00EC5583">
            <w:pPr>
              <w:jc w:val="both"/>
              <w:rPr>
                <w:rFonts w:eastAsia="Calibri"/>
                <w:sz w:val="20"/>
              </w:rPr>
            </w:pPr>
            <w:r w:rsidRPr="00495EC2">
              <w:rPr>
                <w:rFonts w:eastAsia="Calibri"/>
                <w:sz w:val="20"/>
              </w:rPr>
              <w:t>(St</w:t>
            </w:r>
            <w:r w:rsidRPr="00495EC2">
              <w:rPr>
                <w:rFonts w:eastAsia="Calibri"/>
                <w:sz w:val="20"/>
              </w:rPr>
              <w:noBreakHyphen/>
            </w:r>
            <w:proofErr w:type="spellStart"/>
            <w:r w:rsidRPr="00495EC2">
              <w:rPr>
                <w:rFonts w:eastAsia="Calibri"/>
                <w:sz w:val="20"/>
              </w:rPr>
              <w:t>Julien</w:t>
            </w:r>
            <w:proofErr w:type="spellEnd"/>
            <w:r w:rsidRPr="00495EC2">
              <w:rPr>
                <w:rFonts w:eastAsia="Calibri"/>
                <w:sz w:val="20"/>
              </w:rPr>
              <w:t xml:space="preserve"> J.)</w:t>
            </w:r>
          </w:p>
          <w:p w:rsidR="00EB5E40" w:rsidRPr="00495EC2" w:rsidRDefault="00EB5E40" w:rsidP="00EC5583">
            <w:pPr>
              <w:jc w:val="both"/>
              <w:rPr>
                <w:rFonts w:eastAsia="Calibri"/>
                <w:sz w:val="20"/>
              </w:rPr>
            </w:pPr>
            <w:r w:rsidRPr="00495EC2">
              <w:rPr>
                <w:rFonts w:eastAsia="Calibri"/>
                <w:sz w:val="20"/>
              </w:rPr>
              <w:t>2011 QCCS 4819</w:t>
            </w:r>
          </w:p>
          <w:p w:rsidR="00EB5E40" w:rsidRPr="00495EC2" w:rsidRDefault="00EB5E40" w:rsidP="00EC5583">
            <w:pPr>
              <w:jc w:val="both"/>
              <w:rPr>
                <w:rFonts w:eastAsia="Calibri"/>
                <w:sz w:val="20"/>
              </w:rPr>
            </w:pPr>
          </w:p>
        </w:tc>
        <w:tc>
          <w:tcPr>
            <w:tcW w:w="243" w:type="pct"/>
          </w:tcPr>
          <w:p w:rsidR="00EB5E40" w:rsidRPr="00495EC2" w:rsidRDefault="00EB5E40" w:rsidP="00EC5583">
            <w:pPr>
              <w:jc w:val="both"/>
              <w:rPr>
                <w:rFonts w:eastAsia="Calibri"/>
                <w:sz w:val="20"/>
              </w:rPr>
            </w:pPr>
          </w:p>
        </w:tc>
        <w:tc>
          <w:tcPr>
            <w:tcW w:w="2330" w:type="pct"/>
          </w:tcPr>
          <w:p w:rsidR="00EB5E40" w:rsidRPr="00495EC2" w:rsidRDefault="00EB5E40" w:rsidP="00EC5583">
            <w:pPr>
              <w:jc w:val="both"/>
              <w:rPr>
                <w:rFonts w:eastAsia="Calibri"/>
                <w:sz w:val="20"/>
              </w:rPr>
            </w:pPr>
            <w:r w:rsidRPr="00495EC2">
              <w:rPr>
                <w:rFonts w:eastAsia="Calibri"/>
                <w:sz w:val="20"/>
              </w:rPr>
              <w:t>Appeal dismissed</w:t>
            </w:r>
          </w:p>
        </w:tc>
      </w:tr>
      <w:tr w:rsidR="00EB5E40" w:rsidRPr="00495EC2" w:rsidTr="00A80FCF">
        <w:trPr>
          <w:cantSplit/>
        </w:trPr>
        <w:tc>
          <w:tcPr>
            <w:tcW w:w="2427" w:type="pct"/>
          </w:tcPr>
          <w:p w:rsidR="00EB5E40" w:rsidRPr="00495EC2" w:rsidRDefault="00EB5E40" w:rsidP="00EC5583">
            <w:pPr>
              <w:jc w:val="both"/>
              <w:rPr>
                <w:rFonts w:eastAsia="Calibri"/>
                <w:sz w:val="20"/>
              </w:rPr>
            </w:pPr>
            <w:r w:rsidRPr="00495EC2">
              <w:rPr>
                <w:rFonts w:eastAsia="Calibri"/>
                <w:sz w:val="20"/>
              </w:rPr>
              <w:t>October 26, 2012</w:t>
            </w:r>
          </w:p>
          <w:p w:rsidR="00EB5E40" w:rsidRPr="00495EC2" w:rsidRDefault="00EB5E40" w:rsidP="00EC5583">
            <w:pPr>
              <w:jc w:val="both"/>
              <w:rPr>
                <w:rFonts w:eastAsia="Calibri"/>
                <w:sz w:val="20"/>
              </w:rPr>
            </w:pPr>
            <w:r w:rsidRPr="00495EC2">
              <w:rPr>
                <w:rFonts w:eastAsia="Calibri"/>
                <w:sz w:val="20"/>
              </w:rPr>
              <w:t xml:space="preserve">Quebec Court of Appeal (Québec) </w:t>
            </w:r>
          </w:p>
          <w:p w:rsidR="00EB5E40" w:rsidRPr="00495EC2" w:rsidRDefault="00EB5E40" w:rsidP="00EC5583">
            <w:pPr>
              <w:jc w:val="both"/>
              <w:rPr>
                <w:rFonts w:eastAsia="Calibri"/>
                <w:sz w:val="20"/>
              </w:rPr>
            </w:pPr>
            <w:r w:rsidRPr="00495EC2">
              <w:rPr>
                <w:rFonts w:eastAsia="Calibri"/>
                <w:sz w:val="20"/>
              </w:rPr>
              <w:t>(</w:t>
            </w:r>
            <w:proofErr w:type="spellStart"/>
            <w:r w:rsidRPr="00495EC2">
              <w:rPr>
                <w:rFonts w:eastAsia="Calibri"/>
                <w:sz w:val="20"/>
              </w:rPr>
              <w:t>Morissette</w:t>
            </w:r>
            <w:proofErr w:type="spellEnd"/>
            <w:r w:rsidRPr="00495EC2">
              <w:rPr>
                <w:rFonts w:eastAsia="Calibri"/>
                <w:sz w:val="20"/>
              </w:rPr>
              <w:t xml:space="preserve">, </w:t>
            </w:r>
            <w:proofErr w:type="spellStart"/>
            <w:r w:rsidRPr="00495EC2">
              <w:rPr>
                <w:rFonts w:eastAsia="Calibri"/>
                <w:sz w:val="20"/>
              </w:rPr>
              <w:t>Bich</w:t>
            </w:r>
            <w:proofErr w:type="spellEnd"/>
            <w:r w:rsidRPr="00495EC2">
              <w:rPr>
                <w:rFonts w:eastAsia="Calibri"/>
                <w:sz w:val="20"/>
              </w:rPr>
              <w:t xml:space="preserve"> and </w:t>
            </w:r>
            <w:proofErr w:type="spellStart"/>
            <w:r w:rsidRPr="00495EC2">
              <w:rPr>
                <w:rFonts w:eastAsia="Calibri"/>
                <w:sz w:val="20"/>
              </w:rPr>
              <w:t>Dufresne</w:t>
            </w:r>
            <w:proofErr w:type="spellEnd"/>
            <w:r w:rsidRPr="00495EC2">
              <w:rPr>
                <w:rFonts w:eastAsia="Calibri"/>
                <w:sz w:val="20"/>
              </w:rPr>
              <w:t xml:space="preserve"> JJ.A.)</w:t>
            </w:r>
          </w:p>
          <w:p w:rsidR="00EB5E40" w:rsidRPr="00495EC2" w:rsidRDefault="00EB5E40" w:rsidP="00EC5583">
            <w:pPr>
              <w:jc w:val="both"/>
              <w:rPr>
                <w:rFonts w:eastAsia="Calibri"/>
                <w:sz w:val="20"/>
              </w:rPr>
            </w:pPr>
            <w:r w:rsidRPr="00495EC2">
              <w:rPr>
                <w:rFonts w:eastAsia="Calibri"/>
                <w:sz w:val="20"/>
              </w:rPr>
              <w:t>2012 QCCA 1910</w:t>
            </w:r>
          </w:p>
          <w:p w:rsidR="00EB5E40" w:rsidRPr="00495EC2" w:rsidRDefault="00EB5E40" w:rsidP="00EC5583">
            <w:pPr>
              <w:jc w:val="both"/>
              <w:rPr>
                <w:rFonts w:eastAsia="Calibri"/>
                <w:sz w:val="20"/>
              </w:rPr>
            </w:pPr>
          </w:p>
        </w:tc>
        <w:tc>
          <w:tcPr>
            <w:tcW w:w="243" w:type="pct"/>
          </w:tcPr>
          <w:p w:rsidR="00EB5E40" w:rsidRPr="00495EC2" w:rsidRDefault="00EB5E40" w:rsidP="00EC5583">
            <w:pPr>
              <w:jc w:val="both"/>
              <w:rPr>
                <w:rFonts w:eastAsia="Calibri"/>
                <w:sz w:val="20"/>
              </w:rPr>
            </w:pPr>
          </w:p>
        </w:tc>
        <w:tc>
          <w:tcPr>
            <w:tcW w:w="2330" w:type="pct"/>
          </w:tcPr>
          <w:p w:rsidR="00EB5E40" w:rsidRPr="00495EC2" w:rsidRDefault="00EB5E40" w:rsidP="00EC5583">
            <w:pPr>
              <w:jc w:val="both"/>
              <w:rPr>
                <w:rFonts w:eastAsia="Calibri"/>
                <w:sz w:val="20"/>
              </w:rPr>
            </w:pPr>
            <w:r w:rsidRPr="00495EC2">
              <w:rPr>
                <w:rFonts w:eastAsia="Calibri"/>
                <w:sz w:val="20"/>
              </w:rPr>
              <w:t>Appeal dismissed</w:t>
            </w:r>
          </w:p>
        </w:tc>
      </w:tr>
      <w:tr w:rsidR="00EB5E40" w:rsidRPr="00495EC2" w:rsidTr="00A80FCF">
        <w:trPr>
          <w:cantSplit/>
        </w:trPr>
        <w:tc>
          <w:tcPr>
            <w:tcW w:w="2427" w:type="pct"/>
          </w:tcPr>
          <w:p w:rsidR="00EB5E40" w:rsidRPr="00495EC2" w:rsidRDefault="00EB5E40" w:rsidP="00EC5583">
            <w:pPr>
              <w:jc w:val="both"/>
              <w:rPr>
                <w:rFonts w:eastAsia="Calibri"/>
                <w:sz w:val="20"/>
              </w:rPr>
            </w:pPr>
            <w:r w:rsidRPr="00495EC2">
              <w:rPr>
                <w:rFonts w:eastAsia="Calibri"/>
                <w:sz w:val="20"/>
              </w:rPr>
              <w:t>December 21, 2012</w:t>
            </w:r>
          </w:p>
          <w:p w:rsidR="00EB5E40" w:rsidRPr="00495EC2" w:rsidRDefault="00EB5E40" w:rsidP="00EC5583">
            <w:pPr>
              <w:jc w:val="both"/>
              <w:rPr>
                <w:rFonts w:eastAsia="Calibri"/>
                <w:sz w:val="20"/>
              </w:rPr>
            </w:pPr>
            <w:r w:rsidRPr="00495EC2">
              <w:rPr>
                <w:rFonts w:eastAsia="Calibri"/>
                <w:sz w:val="20"/>
              </w:rPr>
              <w:t>Supreme Court of Canada</w:t>
            </w:r>
          </w:p>
        </w:tc>
        <w:tc>
          <w:tcPr>
            <w:tcW w:w="243" w:type="pct"/>
          </w:tcPr>
          <w:p w:rsidR="00EB5E40" w:rsidRPr="00495EC2" w:rsidRDefault="00EB5E40" w:rsidP="00EC5583">
            <w:pPr>
              <w:jc w:val="both"/>
              <w:rPr>
                <w:rFonts w:eastAsia="Calibri"/>
                <w:sz w:val="20"/>
              </w:rPr>
            </w:pPr>
          </w:p>
        </w:tc>
        <w:tc>
          <w:tcPr>
            <w:tcW w:w="2330" w:type="pct"/>
          </w:tcPr>
          <w:p w:rsidR="00EB5E40" w:rsidRPr="00495EC2" w:rsidRDefault="00EB5E40" w:rsidP="00EC5583">
            <w:pPr>
              <w:jc w:val="both"/>
              <w:rPr>
                <w:rFonts w:eastAsia="Calibri"/>
                <w:sz w:val="20"/>
              </w:rPr>
            </w:pPr>
            <w:r w:rsidRPr="00495EC2">
              <w:rPr>
                <w:rFonts w:eastAsia="Calibri"/>
                <w:sz w:val="20"/>
              </w:rPr>
              <w:t>Application for leave to appeal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72"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B5E40" w:rsidRPr="009714AD" w:rsidTr="00EC5583">
        <w:tc>
          <w:tcPr>
            <w:tcW w:w="5000" w:type="pct"/>
            <w:gridSpan w:val="3"/>
          </w:tcPr>
          <w:p w:rsidR="00EB5E40" w:rsidRPr="00495EC2" w:rsidRDefault="00EB5E40" w:rsidP="00EC5583">
            <w:pPr>
              <w:jc w:val="both"/>
              <w:rPr>
                <w:rFonts w:eastAsia="Calibri"/>
                <w:sz w:val="20"/>
                <w:lang w:val="fr-CA"/>
              </w:rPr>
            </w:pPr>
            <w:r w:rsidRPr="00495EC2">
              <w:rPr>
                <w:rFonts w:eastAsia="Calibri"/>
                <w:sz w:val="20"/>
                <w:lang w:val="fr-CA"/>
              </w:rPr>
              <w:t xml:space="preserve">Infractions provinciales — Santé et sécurité du travail — Nature des infractions — Responsabilité stricte — Maître d’œuvre d’un chantier de construction accusé d’avoir, par action ou par omission, agi de manière à compromettre directement et sérieusement la santé, la sécurité ou l’intégrité physique d’un travailleur en contravention de l’art. 237 de la </w:t>
            </w:r>
            <w:r w:rsidRPr="00495EC2">
              <w:rPr>
                <w:rFonts w:eastAsia="Calibri"/>
                <w:i/>
                <w:sz w:val="20"/>
                <w:lang w:val="fr-CA"/>
              </w:rPr>
              <w:t>Loi sur la santé et la sécurité du travail</w:t>
            </w:r>
            <w:r w:rsidRPr="00495EC2">
              <w:rPr>
                <w:rFonts w:eastAsia="Calibri"/>
                <w:sz w:val="20"/>
                <w:lang w:val="fr-CA"/>
              </w:rPr>
              <w:t>, L.R.Q., ch. S</w:t>
            </w:r>
            <w:r w:rsidRPr="00495EC2">
              <w:rPr>
                <w:rFonts w:eastAsia="Calibri"/>
                <w:sz w:val="20"/>
                <w:lang w:val="fr-CA"/>
              </w:rPr>
              <w:noBreakHyphen/>
              <w:t xml:space="preserve">2.1 — Compte tenu de l’art. 196 de la loi, la Cour d’appel </w:t>
            </w:r>
            <w:proofErr w:type="spellStart"/>
            <w:r w:rsidRPr="00495EC2">
              <w:rPr>
                <w:rFonts w:eastAsia="Calibri"/>
                <w:sz w:val="20"/>
                <w:lang w:val="fr-CA"/>
              </w:rPr>
              <w:t>pouvait</w:t>
            </w:r>
            <w:r w:rsidRPr="00495EC2">
              <w:rPr>
                <w:rFonts w:eastAsia="Calibri"/>
                <w:sz w:val="20"/>
                <w:lang w:val="fr-CA"/>
              </w:rPr>
              <w:noBreakHyphen/>
              <w:t>elle</w:t>
            </w:r>
            <w:proofErr w:type="spellEnd"/>
            <w:r w:rsidRPr="00495EC2">
              <w:rPr>
                <w:rFonts w:eastAsia="Calibri"/>
                <w:sz w:val="20"/>
                <w:lang w:val="fr-CA"/>
              </w:rPr>
              <w:t xml:space="preserve"> conclure que le maître d’œuvre n’est pas assujetti aux mêmes obligations que celles attribuées à l’employeur? — La Cour d’appel </w:t>
            </w:r>
            <w:proofErr w:type="spellStart"/>
            <w:r w:rsidRPr="00495EC2">
              <w:rPr>
                <w:rFonts w:eastAsia="Calibri"/>
                <w:sz w:val="20"/>
                <w:lang w:val="fr-CA"/>
              </w:rPr>
              <w:t>pouvait</w:t>
            </w:r>
            <w:r w:rsidRPr="00495EC2">
              <w:rPr>
                <w:rFonts w:eastAsia="Calibri"/>
                <w:sz w:val="20"/>
                <w:lang w:val="fr-CA"/>
              </w:rPr>
              <w:noBreakHyphen/>
              <w:t>elle</w:t>
            </w:r>
            <w:proofErr w:type="spellEnd"/>
            <w:r w:rsidRPr="00495EC2">
              <w:rPr>
                <w:rFonts w:eastAsia="Calibri"/>
                <w:sz w:val="20"/>
                <w:lang w:val="fr-CA"/>
              </w:rPr>
              <w:t xml:space="preserve"> conclure qu’un maître d’œuvre peut échapper aux sanctions prévues alors qu’il est en défaut de respecter les obligations qui lui incombent? — Sous le régime de la responsabilité stricte, la Cour d’appel </w:t>
            </w:r>
            <w:proofErr w:type="spellStart"/>
            <w:r w:rsidRPr="00495EC2">
              <w:rPr>
                <w:rFonts w:eastAsia="Calibri"/>
                <w:sz w:val="20"/>
                <w:lang w:val="fr-CA"/>
              </w:rPr>
              <w:t>pouvait</w:t>
            </w:r>
            <w:r w:rsidRPr="00495EC2">
              <w:rPr>
                <w:rFonts w:eastAsia="Calibri"/>
                <w:sz w:val="20"/>
                <w:lang w:val="fr-CA"/>
              </w:rPr>
              <w:noBreakHyphen/>
              <w:t>elle</w:t>
            </w:r>
            <w:proofErr w:type="spellEnd"/>
            <w:r w:rsidRPr="00495EC2">
              <w:rPr>
                <w:rFonts w:eastAsia="Calibri"/>
                <w:sz w:val="20"/>
                <w:lang w:val="fr-CA"/>
              </w:rPr>
              <w:t xml:space="preserve"> conclure que la poursuite avait l’obligation de prouver le comportement particulier du maître d’œuvre autre que le défaut de respecter ses obligations?</w:t>
            </w:r>
          </w:p>
        </w:tc>
      </w:tr>
      <w:tr w:rsidR="00EB5E40" w:rsidRPr="009714AD" w:rsidTr="00EC5583">
        <w:tc>
          <w:tcPr>
            <w:tcW w:w="5000" w:type="pct"/>
            <w:gridSpan w:val="3"/>
          </w:tcPr>
          <w:p w:rsidR="00EB5E40" w:rsidRPr="00495EC2" w:rsidRDefault="00EB5E40" w:rsidP="00EC5583">
            <w:pPr>
              <w:jc w:val="both"/>
              <w:rPr>
                <w:rFonts w:eastAsia="Calibri"/>
                <w:sz w:val="20"/>
                <w:lang w:val="fr-CA"/>
              </w:rPr>
            </w:pPr>
          </w:p>
        </w:tc>
      </w:tr>
      <w:tr w:rsidR="00EB5E40" w:rsidRPr="009714AD" w:rsidTr="00EC5583">
        <w:tc>
          <w:tcPr>
            <w:tcW w:w="5000" w:type="pct"/>
            <w:gridSpan w:val="3"/>
          </w:tcPr>
          <w:p w:rsidR="00EB5E40" w:rsidRPr="00495EC2" w:rsidRDefault="00EB5E40" w:rsidP="00EC5583">
            <w:pPr>
              <w:jc w:val="both"/>
              <w:rPr>
                <w:rFonts w:eastAsia="Calibri"/>
                <w:sz w:val="20"/>
                <w:lang w:val="fr-CA"/>
              </w:rPr>
            </w:pPr>
            <w:r w:rsidRPr="00495EC2">
              <w:rPr>
                <w:rFonts w:eastAsia="Calibri"/>
                <w:sz w:val="20"/>
                <w:lang w:val="fr-CA"/>
              </w:rPr>
              <w:t>La Société intimée gère pour le compte d’</w:t>
            </w:r>
            <w:proofErr w:type="spellStart"/>
            <w:r w:rsidRPr="00495EC2">
              <w:rPr>
                <w:rFonts w:eastAsia="Calibri"/>
                <w:sz w:val="20"/>
                <w:lang w:val="fr-CA"/>
              </w:rPr>
              <w:t>Hydro</w:t>
            </w:r>
            <w:r w:rsidRPr="00495EC2">
              <w:rPr>
                <w:rFonts w:eastAsia="Calibri"/>
                <w:sz w:val="20"/>
                <w:lang w:val="fr-CA"/>
              </w:rPr>
              <w:noBreakHyphen/>
              <w:t>Québec</w:t>
            </w:r>
            <w:proofErr w:type="spellEnd"/>
            <w:r w:rsidRPr="00495EC2">
              <w:rPr>
                <w:rFonts w:eastAsia="Calibri"/>
                <w:sz w:val="20"/>
                <w:lang w:val="fr-CA"/>
              </w:rPr>
              <w:t xml:space="preserve"> le projet « Centrales de l’</w:t>
            </w:r>
            <w:proofErr w:type="spellStart"/>
            <w:r w:rsidRPr="00495EC2">
              <w:rPr>
                <w:rFonts w:eastAsia="Calibri"/>
                <w:sz w:val="20"/>
                <w:lang w:val="fr-CA"/>
              </w:rPr>
              <w:t>Eastmain</w:t>
            </w:r>
            <w:proofErr w:type="spellEnd"/>
            <w:r w:rsidRPr="00495EC2">
              <w:rPr>
                <w:rFonts w:eastAsia="Calibri"/>
                <w:sz w:val="20"/>
                <w:lang w:val="fr-CA"/>
              </w:rPr>
              <w:noBreakHyphen/>
              <w:t xml:space="preserve">1A et de la Sarcelle et dérivation Rupert ».  Au terme d’un processus d’appel d’offres, l’intimée attribue à l’entreprise Les Constructions Benoît Doyon </w:t>
            </w:r>
            <w:proofErr w:type="spellStart"/>
            <w:r w:rsidRPr="00495EC2">
              <w:rPr>
                <w:rFonts w:eastAsia="Calibri"/>
                <w:sz w:val="20"/>
                <w:lang w:val="fr-CA"/>
              </w:rPr>
              <w:t>inc</w:t>
            </w:r>
            <w:proofErr w:type="spellEnd"/>
            <w:r w:rsidRPr="00495EC2">
              <w:rPr>
                <w:rFonts w:eastAsia="Calibri"/>
                <w:sz w:val="20"/>
                <w:lang w:val="fr-CA"/>
              </w:rPr>
              <w:t>. (« l’employeur ») un contrat de plusieurs millions de dollars pour le déplacement de bâtiments modulaires utilitaires et résidentiels destinés aux travailleurs qui participent à la réalisation du projet de centrale hydroélectrique Eastmain</w:t>
            </w:r>
            <w:r w:rsidRPr="00495EC2">
              <w:rPr>
                <w:rFonts w:eastAsia="Calibri"/>
                <w:sz w:val="20"/>
                <w:lang w:val="fr-CA"/>
              </w:rPr>
              <w:noBreakHyphen/>
              <w:t>1A.  Pour ce faire, l’employeur fait notamment appel à une équipe de quatre travailleurs.  Deux d’entre eux, travaillant en tandem, manœuvrent simultanément deux chariots élévateurs afin de soulever et de transporter les modules placés sur des tréteaux. Pendant ce temps, leurs deux collègues de travail agissent comme signaleurs pour surveiller le déroulement de l’opération.  Ils se placent à chaque bout du module ou entre les chariots afin de leur servir de guides.  Les quatre travailleurs demeurent en contact par radio.</w:t>
            </w:r>
          </w:p>
          <w:p w:rsidR="00EB5E40" w:rsidRPr="00495EC2" w:rsidRDefault="00EB5E40" w:rsidP="00EC5583">
            <w:pPr>
              <w:jc w:val="both"/>
              <w:rPr>
                <w:rFonts w:eastAsia="Calibri"/>
                <w:sz w:val="20"/>
                <w:lang w:val="fr-CA"/>
              </w:rPr>
            </w:pPr>
          </w:p>
          <w:p w:rsidR="00EB5E40" w:rsidRPr="00495EC2" w:rsidRDefault="00EB5E40" w:rsidP="00EC5583">
            <w:pPr>
              <w:jc w:val="both"/>
              <w:rPr>
                <w:rFonts w:eastAsia="Calibri"/>
                <w:sz w:val="20"/>
                <w:lang w:val="fr-CA"/>
              </w:rPr>
            </w:pPr>
            <w:r w:rsidRPr="00495EC2">
              <w:rPr>
                <w:rFonts w:eastAsia="Calibri"/>
                <w:sz w:val="20"/>
                <w:lang w:val="fr-CA"/>
              </w:rPr>
              <w:t>Le 8 février 2008, les quatre travailleurs désignés par l’employeur éprouvent certaines difficultés à positionner correctement les modules qu’ils doivent déplacer.  Après quelques tentatives infructueuses, et dans le but de rectifier la position d’une poutre qui sert d’appui pour le module pendant la manœuvre de soulèvement, l’un des signaleurs s’introduit sous le module que l’on tente de déplacer.  À ce moment, le module glisse du chariot élévateur vers le sol.  Le signaleur en question perd la vie.</w:t>
            </w:r>
          </w:p>
          <w:p w:rsidR="00EB5E40" w:rsidRPr="00495EC2" w:rsidRDefault="00EB5E40" w:rsidP="00EC5583">
            <w:pPr>
              <w:jc w:val="both"/>
              <w:rPr>
                <w:rFonts w:eastAsia="Calibri"/>
                <w:sz w:val="20"/>
                <w:lang w:val="fr-FR"/>
              </w:rPr>
            </w:pPr>
          </w:p>
          <w:p w:rsidR="00EB5E40" w:rsidRPr="00495EC2" w:rsidRDefault="00EB5E40" w:rsidP="00EC5583">
            <w:pPr>
              <w:jc w:val="both"/>
              <w:rPr>
                <w:rFonts w:eastAsia="Calibri"/>
                <w:sz w:val="20"/>
                <w:lang w:val="fr-FR"/>
              </w:rPr>
            </w:pPr>
            <w:r w:rsidRPr="00495EC2">
              <w:rPr>
                <w:rFonts w:eastAsia="Calibri"/>
                <w:sz w:val="20"/>
                <w:lang w:val="fr-FR"/>
              </w:rPr>
              <w:t xml:space="preserve">À la suite de ces événements, la Commission demanderesse accuse l’intimée, à titre de maître d’œuvre du chantier de construction, d’avoir contrevenu à l’infraction prévue à l’art. 237 de la </w:t>
            </w:r>
            <w:r w:rsidRPr="00495EC2">
              <w:rPr>
                <w:rFonts w:eastAsia="Calibri"/>
                <w:i/>
                <w:sz w:val="20"/>
                <w:lang w:val="fr-FR"/>
              </w:rPr>
              <w:t>Loi sur la santé et la sécurité du travail</w:t>
            </w:r>
            <w:r w:rsidRPr="00495EC2">
              <w:rPr>
                <w:rFonts w:eastAsia="Calibri"/>
                <w:sz w:val="20"/>
                <w:lang w:val="fr-FR"/>
              </w:rPr>
              <w:t>.</w:t>
            </w:r>
          </w:p>
          <w:p w:rsidR="00EB5E40" w:rsidRPr="00495EC2" w:rsidRDefault="00EB5E40" w:rsidP="00EC5583">
            <w:pPr>
              <w:jc w:val="both"/>
              <w:rPr>
                <w:rFonts w:eastAsia="Calibri"/>
                <w:sz w:val="20"/>
                <w:lang w:val="fr-FR"/>
              </w:rPr>
            </w:pPr>
          </w:p>
          <w:p w:rsidR="00EB5E40" w:rsidRPr="00495EC2" w:rsidRDefault="00EB5E40" w:rsidP="00EC5583">
            <w:pPr>
              <w:jc w:val="both"/>
              <w:rPr>
                <w:rFonts w:eastAsia="Calibri"/>
                <w:sz w:val="20"/>
                <w:lang w:val="fr-FR"/>
              </w:rPr>
            </w:pPr>
          </w:p>
        </w:tc>
      </w:tr>
      <w:tr w:rsidR="00EB5E40" w:rsidRPr="00495EC2" w:rsidTr="00EC5583">
        <w:tc>
          <w:tcPr>
            <w:tcW w:w="2427" w:type="pct"/>
          </w:tcPr>
          <w:p w:rsidR="00EB5E40" w:rsidRPr="00495EC2" w:rsidRDefault="00EB5E40" w:rsidP="00EC5583">
            <w:pPr>
              <w:jc w:val="both"/>
              <w:rPr>
                <w:rFonts w:eastAsia="Calibri"/>
                <w:sz w:val="20"/>
                <w:lang w:val="fr-CA"/>
              </w:rPr>
            </w:pPr>
            <w:r w:rsidRPr="00495EC2">
              <w:rPr>
                <w:rFonts w:eastAsia="Calibri"/>
                <w:sz w:val="20"/>
                <w:lang w:val="fr-CA"/>
              </w:rPr>
              <w:t>Le 8 juin 2010</w:t>
            </w:r>
          </w:p>
          <w:p w:rsidR="00EB5E40" w:rsidRPr="00495EC2" w:rsidRDefault="00EB5E40" w:rsidP="00EC5583">
            <w:pPr>
              <w:jc w:val="both"/>
              <w:rPr>
                <w:rFonts w:eastAsia="Calibri"/>
                <w:sz w:val="20"/>
                <w:lang w:val="fr-CA"/>
              </w:rPr>
            </w:pPr>
            <w:r w:rsidRPr="00495EC2">
              <w:rPr>
                <w:rFonts w:eastAsia="Calibri"/>
                <w:sz w:val="20"/>
                <w:lang w:val="fr-CA"/>
              </w:rPr>
              <w:t>Cour du Québec, Chambre criminelle et pénale</w:t>
            </w:r>
          </w:p>
          <w:p w:rsidR="00EB5E40" w:rsidRPr="00495EC2" w:rsidRDefault="00EB5E40" w:rsidP="00EC5583">
            <w:pPr>
              <w:jc w:val="both"/>
              <w:rPr>
                <w:rFonts w:eastAsia="Calibri"/>
                <w:sz w:val="20"/>
                <w:lang w:val="fr-CA"/>
              </w:rPr>
            </w:pPr>
            <w:r w:rsidRPr="00495EC2">
              <w:rPr>
                <w:rFonts w:eastAsia="Calibri"/>
                <w:sz w:val="20"/>
                <w:lang w:val="fr-CA"/>
              </w:rPr>
              <w:t>(Le juge Gervais)</w:t>
            </w:r>
          </w:p>
          <w:p w:rsidR="00EB5E40" w:rsidRPr="00495EC2" w:rsidRDefault="00EB5E40" w:rsidP="00EC5583">
            <w:pPr>
              <w:jc w:val="both"/>
              <w:rPr>
                <w:rFonts w:eastAsia="Calibri"/>
                <w:sz w:val="20"/>
                <w:lang w:val="fr-CA"/>
              </w:rPr>
            </w:pPr>
            <w:r w:rsidRPr="00495EC2">
              <w:rPr>
                <w:rFonts w:eastAsia="Calibri"/>
                <w:sz w:val="20"/>
                <w:lang w:val="fr-CA"/>
              </w:rPr>
              <w:t>2010 QCCQ 5985</w:t>
            </w:r>
          </w:p>
          <w:p w:rsidR="00EB5E40" w:rsidRPr="00495EC2" w:rsidRDefault="00EB5E40" w:rsidP="00EC5583">
            <w:pPr>
              <w:jc w:val="both"/>
              <w:rPr>
                <w:rFonts w:eastAsia="Calibri"/>
                <w:sz w:val="20"/>
                <w:lang w:val="fr-CA"/>
              </w:rPr>
            </w:pPr>
          </w:p>
        </w:tc>
        <w:tc>
          <w:tcPr>
            <w:tcW w:w="243" w:type="pct"/>
          </w:tcPr>
          <w:p w:rsidR="00EB5E40" w:rsidRPr="00495EC2" w:rsidRDefault="00EB5E40" w:rsidP="00EC5583">
            <w:pPr>
              <w:jc w:val="both"/>
              <w:rPr>
                <w:rFonts w:eastAsia="Calibri"/>
                <w:sz w:val="20"/>
                <w:lang w:val="fr-FR"/>
              </w:rPr>
            </w:pPr>
          </w:p>
        </w:tc>
        <w:tc>
          <w:tcPr>
            <w:tcW w:w="2330" w:type="pct"/>
          </w:tcPr>
          <w:p w:rsidR="00EB5E40" w:rsidRPr="00495EC2" w:rsidRDefault="00EB5E40" w:rsidP="00EC5583">
            <w:pPr>
              <w:jc w:val="both"/>
              <w:rPr>
                <w:rFonts w:eastAsia="Calibri"/>
                <w:sz w:val="20"/>
                <w:lang w:val="fr-CA"/>
              </w:rPr>
            </w:pPr>
            <w:r w:rsidRPr="00495EC2">
              <w:rPr>
                <w:rFonts w:eastAsia="Calibri"/>
                <w:sz w:val="20"/>
                <w:lang w:val="fr-CA"/>
              </w:rPr>
              <w:t>Intimée acquittée</w:t>
            </w:r>
          </w:p>
        </w:tc>
      </w:tr>
      <w:tr w:rsidR="00EB5E40" w:rsidRPr="00495EC2" w:rsidTr="00A80FCF">
        <w:trPr>
          <w:cantSplit/>
        </w:trPr>
        <w:tc>
          <w:tcPr>
            <w:tcW w:w="2427" w:type="pct"/>
          </w:tcPr>
          <w:p w:rsidR="00EB5E40" w:rsidRPr="00495EC2" w:rsidRDefault="00EB5E40" w:rsidP="00EC5583">
            <w:pPr>
              <w:jc w:val="both"/>
              <w:rPr>
                <w:rFonts w:eastAsia="Calibri"/>
                <w:sz w:val="20"/>
                <w:lang w:val="fr-CA"/>
              </w:rPr>
            </w:pPr>
            <w:r w:rsidRPr="00495EC2">
              <w:rPr>
                <w:rFonts w:eastAsia="Calibri"/>
                <w:sz w:val="20"/>
                <w:lang w:val="fr-CA"/>
              </w:rPr>
              <w:t>Le 9 juin 2011</w:t>
            </w:r>
          </w:p>
          <w:p w:rsidR="00EB5E40" w:rsidRPr="00495EC2" w:rsidRDefault="00EB5E40" w:rsidP="00EC5583">
            <w:pPr>
              <w:jc w:val="both"/>
              <w:rPr>
                <w:rFonts w:eastAsia="Calibri"/>
                <w:sz w:val="20"/>
                <w:lang w:val="fr-CA"/>
              </w:rPr>
            </w:pPr>
            <w:r w:rsidRPr="00495EC2">
              <w:rPr>
                <w:rFonts w:eastAsia="Calibri"/>
                <w:sz w:val="20"/>
                <w:lang w:val="fr-CA"/>
              </w:rPr>
              <w:t>Cour supérieure du Québec</w:t>
            </w:r>
          </w:p>
          <w:p w:rsidR="00EB5E40" w:rsidRPr="00495EC2" w:rsidRDefault="00EB5E40" w:rsidP="00EC5583">
            <w:pPr>
              <w:jc w:val="both"/>
              <w:rPr>
                <w:rFonts w:eastAsia="Calibri"/>
                <w:sz w:val="20"/>
                <w:lang w:val="fr-CA"/>
              </w:rPr>
            </w:pPr>
            <w:r w:rsidRPr="00495EC2">
              <w:rPr>
                <w:rFonts w:eastAsia="Calibri"/>
                <w:sz w:val="20"/>
                <w:lang w:val="fr-CA"/>
              </w:rPr>
              <w:t xml:space="preserve">(Le juge </w:t>
            </w:r>
            <w:proofErr w:type="spellStart"/>
            <w:r w:rsidRPr="00495EC2">
              <w:rPr>
                <w:rFonts w:eastAsia="Calibri"/>
                <w:sz w:val="20"/>
                <w:lang w:val="fr-CA"/>
              </w:rPr>
              <w:t>St</w:t>
            </w:r>
            <w:r w:rsidRPr="00495EC2">
              <w:rPr>
                <w:rFonts w:eastAsia="Calibri"/>
                <w:sz w:val="20"/>
                <w:lang w:val="fr-CA"/>
              </w:rPr>
              <w:noBreakHyphen/>
              <w:t>Julien</w:t>
            </w:r>
            <w:proofErr w:type="spellEnd"/>
            <w:r w:rsidRPr="00495EC2">
              <w:rPr>
                <w:rFonts w:eastAsia="Calibri"/>
                <w:sz w:val="20"/>
                <w:lang w:val="fr-CA"/>
              </w:rPr>
              <w:t>)</w:t>
            </w:r>
          </w:p>
          <w:p w:rsidR="00EB5E40" w:rsidRPr="00495EC2" w:rsidRDefault="00EB5E40" w:rsidP="00EC5583">
            <w:pPr>
              <w:jc w:val="both"/>
              <w:rPr>
                <w:rFonts w:eastAsia="Calibri"/>
                <w:sz w:val="20"/>
                <w:lang w:val="fr-CA"/>
              </w:rPr>
            </w:pPr>
            <w:r w:rsidRPr="00495EC2">
              <w:rPr>
                <w:rFonts w:eastAsia="Calibri"/>
                <w:sz w:val="20"/>
                <w:lang w:val="fr-CA"/>
              </w:rPr>
              <w:t>2011 QCCS 4819</w:t>
            </w:r>
          </w:p>
          <w:p w:rsidR="00EB5E40" w:rsidRPr="00495EC2" w:rsidRDefault="00EB5E40" w:rsidP="00EC5583">
            <w:pPr>
              <w:jc w:val="both"/>
              <w:rPr>
                <w:rFonts w:eastAsia="Calibri"/>
                <w:sz w:val="20"/>
                <w:lang w:val="fr-FR"/>
              </w:rPr>
            </w:pPr>
          </w:p>
        </w:tc>
        <w:tc>
          <w:tcPr>
            <w:tcW w:w="243" w:type="pct"/>
          </w:tcPr>
          <w:p w:rsidR="00EB5E40" w:rsidRPr="00495EC2" w:rsidRDefault="00EB5E40" w:rsidP="00EC5583">
            <w:pPr>
              <w:jc w:val="both"/>
              <w:rPr>
                <w:rFonts w:eastAsia="Calibri"/>
                <w:sz w:val="20"/>
                <w:lang w:val="fr-FR"/>
              </w:rPr>
            </w:pPr>
          </w:p>
        </w:tc>
        <w:tc>
          <w:tcPr>
            <w:tcW w:w="2330" w:type="pct"/>
          </w:tcPr>
          <w:p w:rsidR="00EB5E40" w:rsidRPr="00495EC2" w:rsidRDefault="00EB5E40" w:rsidP="00EC5583">
            <w:pPr>
              <w:jc w:val="both"/>
              <w:rPr>
                <w:rFonts w:eastAsia="Calibri"/>
                <w:sz w:val="20"/>
                <w:lang w:val="fr-CA"/>
              </w:rPr>
            </w:pPr>
            <w:r w:rsidRPr="00495EC2">
              <w:rPr>
                <w:rFonts w:eastAsia="Calibri"/>
                <w:sz w:val="20"/>
                <w:lang w:val="fr-CA"/>
              </w:rPr>
              <w:t>Appel rejeté</w:t>
            </w:r>
          </w:p>
        </w:tc>
      </w:tr>
      <w:tr w:rsidR="00EB5E40" w:rsidRPr="00495EC2" w:rsidTr="00A80FCF">
        <w:trPr>
          <w:cantSplit/>
        </w:trPr>
        <w:tc>
          <w:tcPr>
            <w:tcW w:w="2427" w:type="pct"/>
          </w:tcPr>
          <w:p w:rsidR="00EB5E40" w:rsidRPr="00495EC2" w:rsidRDefault="00EB5E40" w:rsidP="00EC5583">
            <w:pPr>
              <w:jc w:val="both"/>
              <w:rPr>
                <w:rFonts w:eastAsia="Calibri"/>
                <w:sz w:val="20"/>
                <w:lang w:val="fr-CA"/>
              </w:rPr>
            </w:pPr>
            <w:r w:rsidRPr="00495EC2">
              <w:rPr>
                <w:rFonts w:eastAsia="Calibri"/>
                <w:sz w:val="20"/>
                <w:lang w:val="fr-CA"/>
              </w:rPr>
              <w:t>Le 26 octobre 2012</w:t>
            </w:r>
          </w:p>
          <w:p w:rsidR="00EB5E40" w:rsidRPr="00495EC2" w:rsidRDefault="00EB5E40" w:rsidP="00EC5583">
            <w:pPr>
              <w:jc w:val="both"/>
              <w:rPr>
                <w:rFonts w:eastAsia="Calibri"/>
                <w:sz w:val="20"/>
                <w:lang w:val="fr-CA"/>
              </w:rPr>
            </w:pPr>
            <w:r w:rsidRPr="00495EC2">
              <w:rPr>
                <w:rFonts w:eastAsia="Calibri"/>
                <w:sz w:val="20"/>
                <w:lang w:val="fr-CA"/>
              </w:rPr>
              <w:t xml:space="preserve">Cour d’appel du Québec (Québec) </w:t>
            </w:r>
          </w:p>
          <w:p w:rsidR="00EB5E40" w:rsidRPr="00495EC2" w:rsidRDefault="00EB5E40" w:rsidP="00EC5583">
            <w:pPr>
              <w:jc w:val="both"/>
              <w:rPr>
                <w:rFonts w:eastAsia="Calibri"/>
                <w:sz w:val="20"/>
                <w:lang w:val="fr-CA"/>
              </w:rPr>
            </w:pPr>
            <w:r w:rsidRPr="00495EC2">
              <w:rPr>
                <w:rFonts w:eastAsia="Calibri"/>
                <w:sz w:val="20"/>
                <w:lang w:val="fr-CA"/>
              </w:rPr>
              <w:t xml:space="preserve">(Les juges Morissette, </w:t>
            </w:r>
            <w:proofErr w:type="spellStart"/>
            <w:r w:rsidRPr="00495EC2">
              <w:rPr>
                <w:rFonts w:eastAsia="Calibri"/>
                <w:sz w:val="20"/>
                <w:lang w:val="fr-CA"/>
              </w:rPr>
              <w:t>Bich</w:t>
            </w:r>
            <w:proofErr w:type="spellEnd"/>
            <w:r w:rsidRPr="00495EC2">
              <w:rPr>
                <w:rFonts w:eastAsia="Calibri"/>
                <w:sz w:val="20"/>
                <w:lang w:val="fr-CA"/>
              </w:rPr>
              <w:t xml:space="preserve"> et Dufresne)</w:t>
            </w:r>
          </w:p>
          <w:p w:rsidR="00EB5E40" w:rsidRPr="00495EC2" w:rsidRDefault="00EB5E40" w:rsidP="00EC5583">
            <w:pPr>
              <w:jc w:val="both"/>
              <w:rPr>
                <w:rFonts w:eastAsia="Calibri"/>
                <w:sz w:val="20"/>
                <w:lang w:val="fr-CA"/>
              </w:rPr>
            </w:pPr>
            <w:r w:rsidRPr="00495EC2">
              <w:rPr>
                <w:rFonts w:eastAsia="Calibri"/>
                <w:sz w:val="20"/>
                <w:lang w:val="fr-CA"/>
              </w:rPr>
              <w:t>2012 QCCA 1910</w:t>
            </w:r>
          </w:p>
          <w:p w:rsidR="00EB5E40" w:rsidRPr="00495EC2" w:rsidRDefault="00EB5E40" w:rsidP="00EC5583">
            <w:pPr>
              <w:jc w:val="both"/>
              <w:rPr>
                <w:rFonts w:eastAsia="Calibri"/>
                <w:sz w:val="20"/>
                <w:lang w:val="fr-FR"/>
              </w:rPr>
            </w:pPr>
          </w:p>
        </w:tc>
        <w:tc>
          <w:tcPr>
            <w:tcW w:w="243" w:type="pct"/>
          </w:tcPr>
          <w:p w:rsidR="00EB5E40" w:rsidRPr="00495EC2" w:rsidRDefault="00EB5E40" w:rsidP="00EC5583">
            <w:pPr>
              <w:jc w:val="both"/>
              <w:rPr>
                <w:rFonts w:eastAsia="Calibri"/>
                <w:sz w:val="20"/>
                <w:lang w:val="fr-FR"/>
              </w:rPr>
            </w:pPr>
          </w:p>
        </w:tc>
        <w:tc>
          <w:tcPr>
            <w:tcW w:w="2330" w:type="pct"/>
          </w:tcPr>
          <w:p w:rsidR="00EB5E40" w:rsidRPr="00495EC2" w:rsidRDefault="00EB5E40" w:rsidP="00EC5583">
            <w:pPr>
              <w:jc w:val="both"/>
              <w:rPr>
                <w:rFonts w:eastAsia="Calibri"/>
                <w:sz w:val="20"/>
                <w:lang w:val="fr-CA"/>
              </w:rPr>
            </w:pPr>
            <w:r w:rsidRPr="00495EC2">
              <w:rPr>
                <w:rFonts w:eastAsia="Calibri"/>
                <w:sz w:val="20"/>
                <w:lang w:val="fr-CA"/>
              </w:rPr>
              <w:t>Appel rejeté</w:t>
            </w:r>
          </w:p>
        </w:tc>
      </w:tr>
      <w:tr w:rsidR="00EB5E40" w:rsidRPr="00495EC2" w:rsidTr="00A80FCF">
        <w:trPr>
          <w:cantSplit/>
        </w:trPr>
        <w:tc>
          <w:tcPr>
            <w:tcW w:w="2427" w:type="pct"/>
          </w:tcPr>
          <w:p w:rsidR="00EB5E40" w:rsidRPr="00495EC2" w:rsidRDefault="00EB5E40" w:rsidP="00EC5583">
            <w:pPr>
              <w:jc w:val="both"/>
              <w:rPr>
                <w:rFonts w:eastAsia="Calibri"/>
                <w:sz w:val="20"/>
                <w:lang w:val="fr-CA"/>
              </w:rPr>
            </w:pPr>
            <w:r w:rsidRPr="00495EC2">
              <w:rPr>
                <w:rFonts w:eastAsia="Calibri"/>
                <w:sz w:val="20"/>
                <w:lang w:val="fr-CA"/>
              </w:rPr>
              <w:t>Le 21 décembre 2012</w:t>
            </w:r>
          </w:p>
          <w:p w:rsidR="00EB5E40" w:rsidRPr="00495EC2" w:rsidRDefault="00EB5E40" w:rsidP="00EC5583">
            <w:pPr>
              <w:jc w:val="both"/>
              <w:rPr>
                <w:rFonts w:eastAsia="Calibri"/>
                <w:sz w:val="20"/>
                <w:lang w:val="fr-FR"/>
              </w:rPr>
            </w:pPr>
            <w:r w:rsidRPr="00495EC2">
              <w:rPr>
                <w:rFonts w:eastAsia="Calibri"/>
                <w:sz w:val="20"/>
                <w:lang w:val="fr-CA"/>
              </w:rPr>
              <w:t>Cour suprême du Canada</w:t>
            </w:r>
          </w:p>
        </w:tc>
        <w:tc>
          <w:tcPr>
            <w:tcW w:w="243" w:type="pct"/>
          </w:tcPr>
          <w:p w:rsidR="00EB5E40" w:rsidRPr="00495EC2" w:rsidRDefault="00EB5E40" w:rsidP="00EC5583">
            <w:pPr>
              <w:jc w:val="both"/>
              <w:rPr>
                <w:rFonts w:eastAsia="Calibri"/>
                <w:sz w:val="20"/>
                <w:lang w:val="fr-FR"/>
              </w:rPr>
            </w:pPr>
          </w:p>
        </w:tc>
        <w:tc>
          <w:tcPr>
            <w:tcW w:w="2330" w:type="pct"/>
          </w:tcPr>
          <w:p w:rsidR="00EB5E40" w:rsidRPr="00495EC2" w:rsidRDefault="00EB5E40" w:rsidP="00EC5583">
            <w:pPr>
              <w:jc w:val="both"/>
              <w:rPr>
                <w:rFonts w:eastAsia="Calibri"/>
                <w:sz w:val="20"/>
                <w:lang w:val="fr-CA"/>
              </w:rPr>
            </w:pPr>
            <w:r w:rsidRPr="00495EC2">
              <w:rPr>
                <w:rFonts w:eastAsia="Calibri"/>
                <w:sz w:val="20"/>
                <w:lang w:val="fr-CA"/>
              </w:rPr>
              <w:t>Demande d’autorisation d’appel déposée</w:t>
            </w:r>
          </w:p>
          <w:p w:rsidR="00EB5E40" w:rsidRPr="00495EC2" w:rsidRDefault="00EB5E40" w:rsidP="00EC5583">
            <w:pPr>
              <w:jc w:val="both"/>
              <w:rPr>
                <w:rFonts w:eastAsia="Calibri"/>
                <w:sz w:val="20"/>
                <w:lang w:val="fr-CA"/>
              </w:rPr>
            </w:pP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73"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3229E" w:rsidRPr="00841F85" w:rsidTr="009E6124">
        <w:trPr>
          <w:cantSplit/>
        </w:trPr>
        <w:tc>
          <w:tcPr>
            <w:tcW w:w="1458" w:type="dxa"/>
          </w:tcPr>
          <w:p w:rsidR="00B3229E" w:rsidRPr="00841F85" w:rsidRDefault="00B3229E" w:rsidP="009E6124">
            <w:pPr>
              <w:rPr>
                <w:sz w:val="20"/>
                <w:szCs w:val="20"/>
              </w:rPr>
            </w:pPr>
            <w:r w:rsidRPr="00841F85">
              <w:rPr>
                <w:rStyle w:val="SCCFileNumberChar"/>
                <w:sz w:val="20"/>
                <w:szCs w:val="20"/>
              </w:rPr>
              <w:t>35145</w:t>
            </w:r>
          </w:p>
          <w:p w:rsidR="00B3229E" w:rsidRPr="00841F85" w:rsidRDefault="00B3229E" w:rsidP="009E6124">
            <w:pPr>
              <w:rPr>
                <w:b/>
                <w:sz w:val="20"/>
                <w:szCs w:val="20"/>
                <w:lang w:val="fr-CA"/>
              </w:rPr>
            </w:pPr>
          </w:p>
        </w:tc>
        <w:tc>
          <w:tcPr>
            <w:tcW w:w="8118" w:type="dxa"/>
          </w:tcPr>
          <w:p w:rsidR="00B3229E" w:rsidRPr="00841F85" w:rsidRDefault="00B3229E" w:rsidP="009E6124">
            <w:pPr>
              <w:jc w:val="both"/>
              <w:rPr>
                <w:sz w:val="20"/>
                <w:szCs w:val="20"/>
              </w:rPr>
            </w:pPr>
            <w:r w:rsidRPr="00841F85">
              <w:rPr>
                <w:rStyle w:val="SCCLsocChar"/>
                <w:sz w:val="20"/>
                <w:szCs w:val="20"/>
                <w:lang w:val="en-CA"/>
              </w:rPr>
              <w:t>Canadian National Railway Company v. Attorney General of Canada, Peace River Coal Inc.</w:t>
            </w:r>
            <w:r w:rsidR="001A7CE8">
              <w:rPr>
                <w:rStyle w:val="SCCLsocChar"/>
                <w:sz w:val="20"/>
                <w:szCs w:val="20"/>
                <w:lang w:val="en-CA"/>
              </w:rPr>
              <w:t xml:space="preserve"> and</w:t>
            </w:r>
            <w:r w:rsidRPr="00841F85">
              <w:rPr>
                <w:rStyle w:val="SCCLsocChar"/>
                <w:sz w:val="20"/>
                <w:szCs w:val="20"/>
                <w:lang w:val="en-CA"/>
              </w:rPr>
              <w:t xml:space="preserve"> Canadian Industrial Transportation Association AND BETWEEN Canadian National Railway Company v. Peace River Coal Inc., Canadian Industrial Transportation Association</w:t>
            </w:r>
            <w:r w:rsidR="001A7CE8">
              <w:rPr>
                <w:rStyle w:val="SCCLsocChar"/>
                <w:sz w:val="20"/>
                <w:szCs w:val="20"/>
                <w:lang w:val="en-CA"/>
              </w:rPr>
              <w:t xml:space="preserve"> and</w:t>
            </w:r>
            <w:r w:rsidRPr="00841F85">
              <w:rPr>
                <w:rStyle w:val="SCCLsocChar"/>
                <w:sz w:val="20"/>
                <w:szCs w:val="20"/>
                <w:lang w:val="en-CA"/>
              </w:rPr>
              <w:t xml:space="preserve"> Attorney General of Canada</w:t>
            </w:r>
            <w:r w:rsidRPr="00841F85">
              <w:rPr>
                <w:sz w:val="20"/>
                <w:szCs w:val="20"/>
              </w:rPr>
              <w:t xml:space="preserve"> (F.C.) (Civil) (By Leave)</w:t>
            </w:r>
          </w:p>
          <w:p w:rsidR="00B3229E" w:rsidRPr="00841F85" w:rsidRDefault="00B3229E" w:rsidP="009E6124">
            <w:pPr>
              <w:jc w:val="both"/>
              <w:rPr>
                <w:sz w:val="20"/>
                <w:szCs w:val="20"/>
              </w:rPr>
            </w:pPr>
          </w:p>
        </w:tc>
      </w:tr>
      <w:tr w:rsidR="00B3229E" w:rsidRPr="00841F85" w:rsidTr="009E6124">
        <w:trPr>
          <w:cantSplit/>
        </w:trPr>
        <w:tc>
          <w:tcPr>
            <w:tcW w:w="1458" w:type="dxa"/>
          </w:tcPr>
          <w:p w:rsidR="00B3229E" w:rsidRPr="00841F85" w:rsidRDefault="00B3229E" w:rsidP="009E6124">
            <w:pPr>
              <w:rPr>
                <w:sz w:val="20"/>
                <w:szCs w:val="20"/>
              </w:rPr>
            </w:pPr>
            <w:r w:rsidRPr="00841F85">
              <w:rPr>
                <w:sz w:val="20"/>
                <w:szCs w:val="20"/>
              </w:rPr>
              <w:t>Coram :</w:t>
            </w:r>
          </w:p>
        </w:tc>
        <w:tc>
          <w:tcPr>
            <w:tcW w:w="8118" w:type="dxa"/>
          </w:tcPr>
          <w:p w:rsidR="00B3229E" w:rsidRPr="00841F85" w:rsidRDefault="00B3229E" w:rsidP="009E6124">
            <w:pPr>
              <w:rPr>
                <w:sz w:val="20"/>
                <w:szCs w:val="20"/>
              </w:rPr>
            </w:pPr>
            <w:proofErr w:type="spellStart"/>
            <w:r w:rsidRPr="00841F85">
              <w:rPr>
                <w:rStyle w:val="SCCCoramChar"/>
                <w:sz w:val="20"/>
                <w:szCs w:val="20"/>
                <w:lang w:val="en-CA"/>
              </w:rPr>
              <w:t>LeBel</w:t>
            </w:r>
            <w:proofErr w:type="spellEnd"/>
            <w:r w:rsidRPr="00841F85">
              <w:rPr>
                <w:rStyle w:val="SCCCoramChar"/>
                <w:sz w:val="20"/>
                <w:szCs w:val="20"/>
                <w:lang w:val="en-CA"/>
              </w:rPr>
              <w:t xml:space="preserve">, </w:t>
            </w:r>
            <w:proofErr w:type="spellStart"/>
            <w:r w:rsidRPr="00841F85">
              <w:rPr>
                <w:rStyle w:val="SCCCoramChar"/>
                <w:sz w:val="20"/>
                <w:szCs w:val="20"/>
                <w:lang w:val="en-CA"/>
              </w:rPr>
              <w:t>Karakatsanis</w:t>
            </w:r>
            <w:proofErr w:type="spellEnd"/>
            <w:r w:rsidRPr="00841F85">
              <w:rPr>
                <w:rStyle w:val="SCCCoramChar"/>
                <w:sz w:val="20"/>
                <w:szCs w:val="20"/>
                <w:lang w:val="en-CA"/>
              </w:rPr>
              <w:t xml:space="preserve"> and Wagner JJ.</w:t>
            </w:r>
          </w:p>
          <w:p w:rsidR="00B3229E" w:rsidRPr="00841F85" w:rsidRDefault="00B3229E" w:rsidP="009E6124">
            <w:pPr>
              <w:rPr>
                <w:sz w:val="20"/>
                <w:szCs w:val="20"/>
                <w:u w:val="single"/>
              </w:rPr>
            </w:pPr>
          </w:p>
        </w:tc>
      </w:tr>
      <w:tr w:rsidR="00B3229E" w:rsidRPr="009714AD" w:rsidTr="009E6124">
        <w:trPr>
          <w:cantSplit/>
        </w:trPr>
        <w:tc>
          <w:tcPr>
            <w:tcW w:w="9576" w:type="dxa"/>
            <w:gridSpan w:val="2"/>
          </w:tcPr>
          <w:p w:rsidR="00B3229E" w:rsidRPr="00841F85" w:rsidRDefault="00B3229E" w:rsidP="009E6124">
            <w:pPr>
              <w:pStyle w:val="SCCShortJudgment"/>
              <w:rPr>
                <w:szCs w:val="20"/>
              </w:rPr>
            </w:pPr>
            <w:r w:rsidRPr="00841F85">
              <w:rPr>
                <w:szCs w:val="20"/>
              </w:rPr>
              <w:t>The application for leave to appeal from the judgment of the Federal Court of Appeal, Numbers A-438-11 and A-440-11, 2012 FCA 278, dated November 2, 2012, is granted with costs in the cause.</w:t>
            </w:r>
          </w:p>
          <w:p w:rsidR="00B3229E" w:rsidRPr="00841F85" w:rsidRDefault="00B3229E" w:rsidP="009E6124">
            <w:pPr>
              <w:pStyle w:val="SCCShortJudgment"/>
              <w:ind w:firstLine="0"/>
              <w:rPr>
                <w:szCs w:val="20"/>
              </w:rPr>
            </w:pPr>
          </w:p>
          <w:p w:rsidR="00B3229E" w:rsidRPr="00841F85" w:rsidRDefault="00B3229E" w:rsidP="009E6124">
            <w:pPr>
              <w:pStyle w:val="SCCShortJudgment"/>
              <w:rPr>
                <w:szCs w:val="20"/>
                <w:lang w:val="fr-CA"/>
              </w:rPr>
            </w:pPr>
            <w:r w:rsidRPr="00841F85">
              <w:rPr>
                <w:szCs w:val="20"/>
                <w:lang w:val="fr-CA"/>
              </w:rPr>
              <w:t>La demande d’autorisation d’appel de l’arrêt de la Cour d’appel fédérale, numéros A-438-11 et A-440-11, 2012 CAF 278, daté du 2 novembre 2012, est accueillie avec dépens selon l’issue de la cause.</w:t>
            </w:r>
          </w:p>
        </w:tc>
      </w:tr>
    </w:tbl>
    <w:p w:rsidR="000C7850" w:rsidRPr="000C7850"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9684" w:type="pct"/>
        <w:tblLayout w:type="fixed"/>
        <w:tblCellMar>
          <w:left w:w="0" w:type="dxa"/>
          <w:bottom w:w="99" w:type="dxa"/>
          <w:right w:w="0" w:type="dxa"/>
        </w:tblCellMar>
        <w:tblLook w:val="04A0"/>
      </w:tblPr>
      <w:tblGrid>
        <w:gridCol w:w="4628"/>
        <w:gridCol w:w="462"/>
        <w:gridCol w:w="4445"/>
        <w:gridCol w:w="4553"/>
        <w:gridCol w:w="4542"/>
      </w:tblGrid>
      <w:tr w:rsidR="00EF1BA3" w:rsidRPr="00495EC2" w:rsidTr="00A80FCF">
        <w:trPr>
          <w:gridAfter w:val="2"/>
          <w:wAfter w:w="2441" w:type="pct"/>
        </w:trPr>
        <w:tc>
          <w:tcPr>
            <w:tcW w:w="2559" w:type="pct"/>
            <w:gridSpan w:val="3"/>
          </w:tcPr>
          <w:p w:rsidR="00EF1BA3" w:rsidRPr="00495EC2" w:rsidRDefault="00EF1BA3" w:rsidP="00EC5583">
            <w:pPr>
              <w:pStyle w:val="SCCBanSummary"/>
              <w:rPr>
                <w:sz w:val="20"/>
                <w:szCs w:val="20"/>
              </w:rPr>
            </w:pPr>
            <w:r w:rsidRPr="00495EC2">
              <w:rPr>
                <w:sz w:val="20"/>
                <w:szCs w:val="20"/>
              </w:rPr>
              <w:t xml:space="preserve">(Sealing </w:t>
            </w:r>
            <w:r>
              <w:rPr>
                <w:sz w:val="20"/>
                <w:szCs w:val="20"/>
              </w:rPr>
              <w:t>O</w:t>
            </w:r>
            <w:r w:rsidRPr="00495EC2">
              <w:rPr>
                <w:sz w:val="20"/>
                <w:szCs w:val="20"/>
              </w:rPr>
              <w:t xml:space="preserve">rder) </w:t>
            </w:r>
          </w:p>
          <w:p w:rsidR="00EF1BA3" w:rsidRPr="00495EC2" w:rsidRDefault="00EF1BA3" w:rsidP="00EC5583">
            <w:pPr>
              <w:rPr>
                <w:sz w:val="20"/>
              </w:rPr>
            </w:pPr>
          </w:p>
          <w:p w:rsidR="00EF1BA3" w:rsidRPr="00495EC2" w:rsidRDefault="00EF1BA3" w:rsidP="00EC5583">
            <w:pPr>
              <w:jc w:val="both"/>
              <w:rPr>
                <w:sz w:val="20"/>
              </w:rPr>
            </w:pPr>
            <w:r w:rsidRPr="00495EC2">
              <w:rPr>
                <w:iCs/>
                <w:color w:val="000000"/>
                <w:sz w:val="20"/>
              </w:rPr>
              <w:t xml:space="preserve">Transportation law </w:t>
            </w:r>
            <w:r w:rsidRPr="00495EC2">
              <w:rPr>
                <w:sz w:val="20"/>
              </w:rPr>
              <w:t xml:space="preserve">– </w:t>
            </w:r>
            <w:r w:rsidRPr="00495EC2">
              <w:rPr>
                <w:iCs/>
                <w:color w:val="000000"/>
                <w:sz w:val="20"/>
              </w:rPr>
              <w:t xml:space="preserve">Railways </w:t>
            </w:r>
            <w:r w:rsidRPr="00495EC2">
              <w:rPr>
                <w:sz w:val="20"/>
              </w:rPr>
              <w:t xml:space="preserve">– </w:t>
            </w:r>
            <w:r w:rsidRPr="00495EC2">
              <w:rPr>
                <w:iCs/>
                <w:color w:val="000000"/>
                <w:sz w:val="20"/>
              </w:rPr>
              <w:t xml:space="preserve">Rates and service charges </w:t>
            </w:r>
            <w:r w:rsidRPr="00495EC2">
              <w:rPr>
                <w:sz w:val="20"/>
              </w:rPr>
              <w:t xml:space="preserve">– </w:t>
            </w:r>
            <w:r w:rsidRPr="00495EC2">
              <w:rPr>
                <w:iCs/>
                <w:color w:val="000000"/>
                <w:sz w:val="20"/>
              </w:rPr>
              <w:t>Governor in Council deciding decision by Canadian Transportation Agency that it had no jurisdiction to hear Peace River Coal Inc.’s complaint that CN's fuel surcharge for transporting coal was unreasonable was incorrect</w:t>
            </w:r>
            <w:r w:rsidRPr="00495EC2">
              <w:rPr>
                <w:sz w:val="20"/>
              </w:rPr>
              <w:t xml:space="preserve"> – Whether Governor in Council had authority under s. 40 of </w:t>
            </w:r>
            <w:r w:rsidRPr="00495EC2">
              <w:rPr>
                <w:i/>
                <w:sz w:val="20"/>
              </w:rPr>
              <w:t>Canada Transportation Act</w:t>
            </w:r>
            <w:r w:rsidRPr="00495EC2">
              <w:rPr>
                <w:sz w:val="20"/>
              </w:rPr>
              <w:t>, S.C. 1996, c. 10</w:t>
            </w:r>
            <w:r w:rsidRPr="00495EC2">
              <w:rPr>
                <w:i/>
                <w:sz w:val="20"/>
              </w:rPr>
              <w:t xml:space="preserve"> </w:t>
            </w:r>
            <w:r w:rsidRPr="00495EC2">
              <w:rPr>
                <w:sz w:val="20"/>
              </w:rPr>
              <w:t xml:space="preserve">to vary or rescind decisions of the Agency on questions of law and jurisdiction – Whether legal framework established in </w:t>
            </w:r>
            <w:r w:rsidRPr="00495EC2">
              <w:rPr>
                <w:i/>
                <w:sz w:val="20"/>
              </w:rPr>
              <w:t xml:space="preserve">Dunsmuir </w:t>
            </w:r>
            <w:r w:rsidRPr="00495EC2">
              <w:rPr>
                <w:sz w:val="20"/>
              </w:rPr>
              <w:t>for the determination of standard of review applies to decisions of the Governor in Council</w:t>
            </w:r>
          </w:p>
        </w:tc>
      </w:tr>
      <w:tr w:rsidR="00EF1BA3" w:rsidRPr="00495EC2" w:rsidTr="00A80FCF">
        <w:trPr>
          <w:gridAfter w:val="2"/>
          <w:wAfter w:w="2441" w:type="pct"/>
        </w:trPr>
        <w:tc>
          <w:tcPr>
            <w:tcW w:w="2559" w:type="pct"/>
            <w:gridSpan w:val="3"/>
          </w:tcPr>
          <w:p w:rsidR="00EF1BA3" w:rsidRPr="00495EC2" w:rsidRDefault="00EF1BA3" w:rsidP="00EC5583">
            <w:pPr>
              <w:rPr>
                <w:sz w:val="20"/>
              </w:rPr>
            </w:pPr>
          </w:p>
        </w:tc>
      </w:tr>
      <w:tr w:rsidR="00EF1BA3" w:rsidRPr="00495EC2" w:rsidTr="00A80FCF">
        <w:tc>
          <w:tcPr>
            <w:tcW w:w="2559" w:type="pct"/>
            <w:gridSpan w:val="3"/>
          </w:tcPr>
          <w:p w:rsidR="00EF1BA3" w:rsidRPr="00495EC2" w:rsidRDefault="00EF1BA3" w:rsidP="00EC5583">
            <w:pPr>
              <w:pStyle w:val="loose"/>
              <w:spacing w:before="0"/>
              <w:jc w:val="both"/>
              <w:rPr>
                <w:color w:val="000000"/>
                <w:sz w:val="20"/>
                <w:szCs w:val="20"/>
              </w:rPr>
            </w:pPr>
            <w:r w:rsidRPr="00495EC2">
              <w:rPr>
                <w:color w:val="000000"/>
                <w:sz w:val="20"/>
                <w:szCs w:val="20"/>
              </w:rPr>
              <w:t xml:space="preserve">In January, 2008, Peace River Coal Inc. (“PRC”) and the Canadian National Railway Company (“CN”) entered into a confidential contract for the transportation of PRC’s coal until June, 2010.  The contract stated that the base freight rates would be subject to “Fuel Surcharge Tariff CN 7402.  In April, 2008, CN implemented new fuel surcharge in Tariff CN 7403.  CN advised its customers that confidential contracts subject to fuel surcharge CN 7402 would continue to apply until the contracts expired.  PRC applied to the Canadian Transportation Agency (“CTA”) for an order establishing reasonable fuel surcharges under s. 120.1 of the </w:t>
            </w:r>
            <w:r w:rsidRPr="00495EC2">
              <w:rPr>
                <w:i/>
                <w:color w:val="000000"/>
                <w:sz w:val="20"/>
                <w:szCs w:val="20"/>
              </w:rPr>
              <w:t>Canada Transportation Act</w:t>
            </w:r>
            <w:r w:rsidRPr="00495EC2">
              <w:rPr>
                <w:color w:val="000000"/>
                <w:sz w:val="20"/>
                <w:szCs w:val="20"/>
              </w:rPr>
              <w:t xml:space="preserve"> and asked that CN be required to vary its charges in CN 7402 to reflect the charges in CN 7403. CN moved to have the application dismissed. </w:t>
            </w:r>
          </w:p>
          <w:p w:rsidR="00EF1BA3" w:rsidRPr="00495EC2" w:rsidRDefault="00EF1BA3" w:rsidP="00EC5583">
            <w:pPr>
              <w:pStyle w:val="loose"/>
              <w:spacing w:before="0"/>
              <w:jc w:val="both"/>
              <w:rPr>
                <w:color w:val="000000"/>
                <w:sz w:val="20"/>
                <w:szCs w:val="20"/>
              </w:rPr>
            </w:pPr>
          </w:p>
        </w:tc>
        <w:tc>
          <w:tcPr>
            <w:tcW w:w="1222" w:type="pct"/>
          </w:tcPr>
          <w:p w:rsidR="00EF1BA3" w:rsidRPr="00495EC2" w:rsidRDefault="00EF1BA3" w:rsidP="00EC5583">
            <w:pPr>
              <w:rPr>
                <w:sz w:val="20"/>
              </w:rPr>
            </w:pPr>
          </w:p>
        </w:tc>
        <w:tc>
          <w:tcPr>
            <w:tcW w:w="1219" w:type="pct"/>
          </w:tcPr>
          <w:p w:rsidR="00EF1BA3" w:rsidRPr="00495EC2" w:rsidRDefault="00EF1BA3" w:rsidP="00EC5583">
            <w:pPr>
              <w:rPr>
                <w:sz w:val="20"/>
              </w:rPr>
            </w:pPr>
            <w:r w:rsidRPr="00495EC2">
              <w:rPr>
                <w:sz w:val="20"/>
              </w:rPr>
              <w:t>Agency deciding it had no jurisdiction to change terms of confidential contract between parties regarding fuel surcharge</w:t>
            </w:r>
          </w:p>
          <w:p w:rsidR="00EF1BA3" w:rsidRPr="00495EC2" w:rsidRDefault="00EF1BA3" w:rsidP="00EC5583">
            <w:pPr>
              <w:rPr>
                <w:sz w:val="20"/>
              </w:rPr>
            </w:pPr>
          </w:p>
        </w:tc>
      </w:tr>
      <w:tr w:rsidR="00EF1BA3" w:rsidRPr="00495EC2" w:rsidTr="00A80FCF">
        <w:trPr>
          <w:gridAfter w:val="2"/>
          <w:wAfter w:w="2441" w:type="pct"/>
          <w:cantSplit/>
        </w:trPr>
        <w:tc>
          <w:tcPr>
            <w:tcW w:w="1242" w:type="pct"/>
          </w:tcPr>
          <w:p w:rsidR="00EF1BA3" w:rsidRPr="00495EC2" w:rsidRDefault="00EF1BA3" w:rsidP="00EC5583">
            <w:pPr>
              <w:jc w:val="both"/>
              <w:rPr>
                <w:sz w:val="20"/>
              </w:rPr>
            </w:pPr>
            <w:r w:rsidRPr="00495EC2">
              <w:rPr>
                <w:sz w:val="20"/>
              </w:rPr>
              <w:t>July 31, 2008</w:t>
            </w:r>
          </w:p>
          <w:p w:rsidR="00EF1BA3" w:rsidRPr="00495EC2" w:rsidRDefault="00EF1BA3" w:rsidP="00EC5583">
            <w:pPr>
              <w:jc w:val="both"/>
              <w:rPr>
                <w:sz w:val="20"/>
              </w:rPr>
            </w:pPr>
            <w:r w:rsidRPr="00495EC2">
              <w:rPr>
                <w:sz w:val="20"/>
              </w:rPr>
              <w:t>Canadian Transportation Agency</w:t>
            </w:r>
          </w:p>
          <w:p w:rsidR="00EF1BA3" w:rsidRPr="00495EC2" w:rsidRDefault="00EF1BA3" w:rsidP="00EC5583">
            <w:pPr>
              <w:jc w:val="both"/>
              <w:rPr>
                <w:sz w:val="20"/>
              </w:rPr>
            </w:pPr>
            <w:r w:rsidRPr="00495EC2">
              <w:rPr>
                <w:sz w:val="20"/>
              </w:rPr>
              <w:t xml:space="preserve">(G. Hare; R. </w:t>
            </w:r>
            <w:proofErr w:type="spellStart"/>
            <w:r w:rsidRPr="00495EC2">
              <w:rPr>
                <w:sz w:val="20"/>
              </w:rPr>
              <w:t>Kaduck</w:t>
            </w:r>
            <w:proofErr w:type="spellEnd"/>
            <w:r w:rsidRPr="00495EC2">
              <w:rPr>
                <w:sz w:val="20"/>
              </w:rPr>
              <w:t>, Members)</w:t>
            </w:r>
          </w:p>
        </w:tc>
        <w:tc>
          <w:tcPr>
            <w:tcW w:w="124" w:type="pct"/>
          </w:tcPr>
          <w:p w:rsidR="00EF1BA3" w:rsidRPr="00495EC2" w:rsidRDefault="00EF1BA3" w:rsidP="00EC5583">
            <w:pPr>
              <w:jc w:val="both"/>
              <w:rPr>
                <w:sz w:val="20"/>
              </w:rPr>
            </w:pPr>
          </w:p>
        </w:tc>
        <w:tc>
          <w:tcPr>
            <w:tcW w:w="1193" w:type="pct"/>
          </w:tcPr>
          <w:p w:rsidR="00EF1BA3" w:rsidRPr="00495EC2" w:rsidRDefault="00EF1BA3" w:rsidP="00EC5583">
            <w:pPr>
              <w:jc w:val="both"/>
              <w:rPr>
                <w:sz w:val="20"/>
              </w:rPr>
            </w:pPr>
            <w:r w:rsidRPr="00495EC2">
              <w:rPr>
                <w:sz w:val="20"/>
              </w:rPr>
              <w:t>Agency deciding it had no jurisdiction to change terms of confidential contract between parties regarding fuel surcharge</w:t>
            </w:r>
          </w:p>
          <w:p w:rsidR="00EF1BA3" w:rsidRPr="00495EC2" w:rsidRDefault="00EF1BA3" w:rsidP="00EC5583">
            <w:pPr>
              <w:jc w:val="both"/>
              <w:rPr>
                <w:sz w:val="20"/>
              </w:rPr>
            </w:pPr>
          </w:p>
        </w:tc>
      </w:tr>
      <w:tr w:rsidR="00EF1BA3" w:rsidRPr="00495EC2" w:rsidTr="00A80FCF">
        <w:trPr>
          <w:gridAfter w:val="2"/>
          <w:wAfter w:w="2441" w:type="pct"/>
          <w:cantSplit/>
        </w:trPr>
        <w:tc>
          <w:tcPr>
            <w:tcW w:w="1242" w:type="pct"/>
          </w:tcPr>
          <w:p w:rsidR="00EF1BA3" w:rsidRPr="00495EC2" w:rsidRDefault="00EF1BA3" w:rsidP="00EC5583">
            <w:pPr>
              <w:jc w:val="both"/>
              <w:rPr>
                <w:sz w:val="20"/>
              </w:rPr>
            </w:pPr>
            <w:r w:rsidRPr="00495EC2">
              <w:rPr>
                <w:sz w:val="20"/>
              </w:rPr>
              <w:t>June 10, 2010</w:t>
            </w:r>
          </w:p>
          <w:p w:rsidR="00EF1BA3" w:rsidRPr="00495EC2" w:rsidRDefault="00EF1BA3" w:rsidP="00EC5583">
            <w:pPr>
              <w:jc w:val="both"/>
              <w:rPr>
                <w:sz w:val="20"/>
              </w:rPr>
            </w:pPr>
            <w:r w:rsidRPr="00495EC2">
              <w:rPr>
                <w:sz w:val="20"/>
              </w:rPr>
              <w:t>Privy Council</w:t>
            </w:r>
          </w:p>
          <w:p w:rsidR="00EF1BA3" w:rsidRPr="00495EC2" w:rsidRDefault="00EF1BA3" w:rsidP="00EC5583">
            <w:pPr>
              <w:jc w:val="both"/>
              <w:rPr>
                <w:sz w:val="20"/>
              </w:rPr>
            </w:pPr>
            <w:r w:rsidRPr="00495EC2">
              <w:rPr>
                <w:sz w:val="20"/>
              </w:rPr>
              <w:t>Governor in Council</w:t>
            </w:r>
          </w:p>
          <w:p w:rsidR="00EF1BA3" w:rsidRPr="00495EC2" w:rsidRDefault="00EF1BA3" w:rsidP="00EC5583">
            <w:pPr>
              <w:jc w:val="both"/>
              <w:rPr>
                <w:sz w:val="20"/>
              </w:rPr>
            </w:pPr>
          </w:p>
        </w:tc>
        <w:tc>
          <w:tcPr>
            <w:tcW w:w="124" w:type="pct"/>
          </w:tcPr>
          <w:p w:rsidR="00EF1BA3" w:rsidRPr="00495EC2" w:rsidRDefault="00EF1BA3" w:rsidP="00EC5583">
            <w:pPr>
              <w:jc w:val="both"/>
              <w:rPr>
                <w:sz w:val="20"/>
              </w:rPr>
            </w:pPr>
          </w:p>
        </w:tc>
        <w:tc>
          <w:tcPr>
            <w:tcW w:w="1193" w:type="pct"/>
          </w:tcPr>
          <w:p w:rsidR="00EF1BA3" w:rsidRPr="00495EC2" w:rsidRDefault="00EF1BA3" w:rsidP="00EC5583">
            <w:pPr>
              <w:jc w:val="both"/>
              <w:rPr>
                <w:sz w:val="20"/>
              </w:rPr>
            </w:pPr>
            <w:r w:rsidRPr="00495EC2">
              <w:rPr>
                <w:sz w:val="20"/>
              </w:rPr>
              <w:t>Order</w:t>
            </w:r>
            <w:r w:rsidRPr="00495EC2">
              <w:rPr>
                <w:sz w:val="20"/>
              </w:rPr>
              <w:noBreakHyphen/>
            </w:r>
            <w:proofErr w:type="spellStart"/>
            <w:r w:rsidRPr="00495EC2">
              <w:rPr>
                <w:sz w:val="20"/>
              </w:rPr>
              <w:t>in</w:t>
            </w:r>
            <w:proofErr w:type="spellEnd"/>
            <w:r w:rsidRPr="00495EC2">
              <w:rPr>
                <w:sz w:val="20"/>
              </w:rPr>
              <w:noBreakHyphen/>
            </w:r>
            <w:proofErr w:type="spellStart"/>
            <w:r w:rsidRPr="00495EC2">
              <w:rPr>
                <w:sz w:val="20"/>
              </w:rPr>
              <w:t>Council</w:t>
            </w:r>
            <w:proofErr w:type="spellEnd"/>
            <w:r w:rsidRPr="00495EC2">
              <w:rPr>
                <w:sz w:val="20"/>
              </w:rPr>
              <w:t xml:space="preserve"> rescinding decision of Agency</w:t>
            </w:r>
          </w:p>
        </w:tc>
      </w:tr>
      <w:tr w:rsidR="00EF1BA3" w:rsidRPr="00495EC2" w:rsidTr="00A80FCF">
        <w:trPr>
          <w:gridAfter w:val="2"/>
          <w:wAfter w:w="2441" w:type="pct"/>
          <w:cantSplit/>
        </w:trPr>
        <w:tc>
          <w:tcPr>
            <w:tcW w:w="1242" w:type="pct"/>
          </w:tcPr>
          <w:p w:rsidR="00EF1BA3" w:rsidRPr="00495EC2" w:rsidRDefault="00EF1BA3" w:rsidP="00EC5583">
            <w:pPr>
              <w:jc w:val="both"/>
              <w:rPr>
                <w:sz w:val="20"/>
              </w:rPr>
            </w:pPr>
            <w:r w:rsidRPr="00495EC2">
              <w:rPr>
                <w:sz w:val="20"/>
              </w:rPr>
              <w:t>October 20, 2011</w:t>
            </w:r>
          </w:p>
          <w:p w:rsidR="00EF1BA3" w:rsidRPr="00495EC2" w:rsidRDefault="00EF1BA3" w:rsidP="00EC5583">
            <w:pPr>
              <w:jc w:val="both"/>
              <w:rPr>
                <w:sz w:val="20"/>
              </w:rPr>
            </w:pPr>
            <w:r w:rsidRPr="00495EC2">
              <w:rPr>
                <w:sz w:val="20"/>
              </w:rPr>
              <w:t>Federal Court</w:t>
            </w:r>
          </w:p>
          <w:p w:rsidR="00EF1BA3" w:rsidRPr="00495EC2" w:rsidRDefault="00EF1BA3" w:rsidP="00EC5583">
            <w:pPr>
              <w:jc w:val="both"/>
              <w:rPr>
                <w:sz w:val="20"/>
              </w:rPr>
            </w:pPr>
            <w:r w:rsidRPr="00495EC2">
              <w:rPr>
                <w:sz w:val="20"/>
              </w:rPr>
              <w:t>(Hughes J.)</w:t>
            </w:r>
          </w:p>
          <w:p w:rsidR="00EF1BA3" w:rsidRPr="00495EC2" w:rsidRDefault="00EF1BA3" w:rsidP="00EC5583">
            <w:pPr>
              <w:jc w:val="both"/>
              <w:rPr>
                <w:sz w:val="20"/>
              </w:rPr>
            </w:pPr>
            <w:r w:rsidRPr="00495EC2">
              <w:rPr>
                <w:sz w:val="20"/>
              </w:rPr>
              <w:t>2011 FC 1201</w:t>
            </w:r>
          </w:p>
          <w:p w:rsidR="00EF1BA3" w:rsidRPr="00495EC2" w:rsidRDefault="00EF1BA3" w:rsidP="00EC5583">
            <w:pPr>
              <w:jc w:val="both"/>
              <w:rPr>
                <w:sz w:val="20"/>
              </w:rPr>
            </w:pPr>
          </w:p>
        </w:tc>
        <w:tc>
          <w:tcPr>
            <w:tcW w:w="124" w:type="pct"/>
          </w:tcPr>
          <w:p w:rsidR="00EF1BA3" w:rsidRPr="00495EC2" w:rsidRDefault="00EF1BA3" w:rsidP="00EC5583">
            <w:pPr>
              <w:jc w:val="both"/>
              <w:rPr>
                <w:sz w:val="20"/>
              </w:rPr>
            </w:pPr>
          </w:p>
        </w:tc>
        <w:tc>
          <w:tcPr>
            <w:tcW w:w="1193" w:type="pct"/>
          </w:tcPr>
          <w:p w:rsidR="00EF1BA3" w:rsidRPr="00495EC2" w:rsidRDefault="00EF1BA3" w:rsidP="00EC5583">
            <w:pPr>
              <w:jc w:val="both"/>
              <w:rPr>
                <w:sz w:val="20"/>
              </w:rPr>
            </w:pPr>
            <w:r w:rsidRPr="00495EC2">
              <w:rPr>
                <w:sz w:val="20"/>
              </w:rPr>
              <w:t>CN’s application to quash Order</w:t>
            </w:r>
            <w:r w:rsidRPr="00495EC2">
              <w:rPr>
                <w:sz w:val="20"/>
              </w:rPr>
              <w:noBreakHyphen/>
            </w:r>
            <w:proofErr w:type="spellStart"/>
            <w:r w:rsidRPr="00495EC2">
              <w:rPr>
                <w:sz w:val="20"/>
              </w:rPr>
              <w:t>in</w:t>
            </w:r>
            <w:proofErr w:type="spellEnd"/>
            <w:r w:rsidRPr="00495EC2">
              <w:rPr>
                <w:sz w:val="20"/>
              </w:rPr>
              <w:noBreakHyphen/>
            </w:r>
            <w:proofErr w:type="spellStart"/>
            <w:r w:rsidRPr="00495EC2">
              <w:rPr>
                <w:sz w:val="20"/>
              </w:rPr>
              <w:t>Council</w:t>
            </w:r>
            <w:proofErr w:type="spellEnd"/>
            <w:r w:rsidRPr="00495EC2">
              <w:rPr>
                <w:sz w:val="20"/>
              </w:rPr>
              <w:t xml:space="preserve"> granted</w:t>
            </w:r>
          </w:p>
          <w:p w:rsidR="00EF1BA3" w:rsidRPr="00495EC2" w:rsidRDefault="00EF1BA3" w:rsidP="00EC5583">
            <w:pPr>
              <w:jc w:val="both"/>
              <w:rPr>
                <w:sz w:val="20"/>
              </w:rPr>
            </w:pPr>
          </w:p>
        </w:tc>
      </w:tr>
      <w:tr w:rsidR="00EF1BA3" w:rsidRPr="00495EC2" w:rsidTr="00A80FCF">
        <w:trPr>
          <w:gridAfter w:val="2"/>
          <w:wAfter w:w="2441" w:type="pct"/>
          <w:cantSplit/>
        </w:trPr>
        <w:tc>
          <w:tcPr>
            <w:tcW w:w="1242" w:type="pct"/>
          </w:tcPr>
          <w:p w:rsidR="00EF1BA3" w:rsidRPr="00495EC2" w:rsidRDefault="00EF1BA3" w:rsidP="00EC5583">
            <w:pPr>
              <w:jc w:val="both"/>
              <w:rPr>
                <w:sz w:val="20"/>
              </w:rPr>
            </w:pPr>
            <w:r w:rsidRPr="00495EC2">
              <w:rPr>
                <w:sz w:val="20"/>
              </w:rPr>
              <w:t>November 2, 2012</w:t>
            </w:r>
          </w:p>
          <w:p w:rsidR="00EF1BA3" w:rsidRPr="00495EC2" w:rsidRDefault="00EF1BA3" w:rsidP="00EC5583">
            <w:pPr>
              <w:jc w:val="both"/>
              <w:rPr>
                <w:sz w:val="20"/>
              </w:rPr>
            </w:pPr>
            <w:r w:rsidRPr="00495EC2">
              <w:rPr>
                <w:sz w:val="20"/>
              </w:rPr>
              <w:t>Federal Court of Appeal</w:t>
            </w:r>
          </w:p>
          <w:p w:rsidR="00EF1BA3" w:rsidRPr="00495EC2" w:rsidRDefault="00EF1BA3" w:rsidP="00EC5583">
            <w:pPr>
              <w:jc w:val="both"/>
              <w:rPr>
                <w:sz w:val="20"/>
              </w:rPr>
            </w:pPr>
            <w:r w:rsidRPr="00495EC2">
              <w:rPr>
                <w:sz w:val="20"/>
              </w:rPr>
              <w:t xml:space="preserve">(Dawson, Gauthier and </w:t>
            </w:r>
            <w:proofErr w:type="spellStart"/>
            <w:r w:rsidRPr="00495EC2">
              <w:rPr>
                <w:sz w:val="20"/>
              </w:rPr>
              <w:t>Stratas</w:t>
            </w:r>
            <w:proofErr w:type="spellEnd"/>
            <w:r w:rsidRPr="00495EC2">
              <w:rPr>
                <w:sz w:val="20"/>
              </w:rPr>
              <w:t xml:space="preserve"> JJ.A.)</w:t>
            </w:r>
          </w:p>
          <w:p w:rsidR="00EF1BA3" w:rsidRPr="00495EC2" w:rsidRDefault="00EF1BA3" w:rsidP="00EC5583">
            <w:pPr>
              <w:jc w:val="both"/>
              <w:rPr>
                <w:sz w:val="20"/>
              </w:rPr>
            </w:pPr>
          </w:p>
        </w:tc>
        <w:tc>
          <w:tcPr>
            <w:tcW w:w="124" w:type="pct"/>
          </w:tcPr>
          <w:p w:rsidR="00EF1BA3" w:rsidRPr="00495EC2" w:rsidRDefault="00EF1BA3" w:rsidP="00EC5583">
            <w:pPr>
              <w:jc w:val="both"/>
              <w:rPr>
                <w:sz w:val="20"/>
              </w:rPr>
            </w:pPr>
          </w:p>
        </w:tc>
        <w:tc>
          <w:tcPr>
            <w:tcW w:w="1193" w:type="pct"/>
          </w:tcPr>
          <w:p w:rsidR="00EF1BA3" w:rsidRPr="00495EC2" w:rsidRDefault="00EF1BA3" w:rsidP="00EC5583">
            <w:pPr>
              <w:jc w:val="both"/>
              <w:rPr>
                <w:sz w:val="20"/>
              </w:rPr>
            </w:pPr>
            <w:r w:rsidRPr="00495EC2">
              <w:rPr>
                <w:sz w:val="20"/>
              </w:rPr>
              <w:t>Respondents’ appeal allowed; Order</w:t>
            </w:r>
            <w:r w:rsidRPr="00495EC2">
              <w:rPr>
                <w:sz w:val="20"/>
              </w:rPr>
              <w:noBreakHyphen/>
            </w:r>
            <w:proofErr w:type="spellStart"/>
            <w:r w:rsidRPr="00495EC2">
              <w:rPr>
                <w:sz w:val="20"/>
              </w:rPr>
              <w:t>in</w:t>
            </w:r>
            <w:proofErr w:type="spellEnd"/>
            <w:r w:rsidRPr="00495EC2">
              <w:rPr>
                <w:sz w:val="20"/>
              </w:rPr>
              <w:noBreakHyphen/>
            </w:r>
            <w:proofErr w:type="spellStart"/>
            <w:r w:rsidRPr="00495EC2">
              <w:rPr>
                <w:sz w:val="20"/>
              </w:rPr>
              <w:t>Council</w:t>
            </w:r>
            <w:proofErr w:type="spellEnd"/>
            <w:r w:rsidRPr="00495EC2">
              <w:rPr>
                <w:sz w:val="20"/>
              </w:rPr>
              <w:t xml:space="preserve"> restored</w:t>
            </w:r>
          </w:p>
          <w:p w:rsidR="00EF1BA3" w:rsidRPr="00495EC2" w:rsidRDefault="00EF1BA3" w:rsidP="00EC5583">
            <w:pPr>
              <w:jc w:val="both"/>
              <w:rPr>
                <w:sz w:val="20"/>
              </w:rPr>
            </w:pPr>
          </w:p>
        </w:tc>
      </w:tr>
      <w:tr w:rsidR="00EF1BA3" w:rsidRPr="00495EC2" w:rsidTr="00A80FCF">
        <w:trPr>
          <w:gridAfter w:val="2"/>
          <w:wAfter w:w="2441" w:type="pct"/>
          <w:cantSplit/>
        </w:trPr>
        <w:tc>
          <w:tcPr>
            <w:tcW w:w="1242" w:type="pct"/>
          </w:tcPr>
          <w:p w:rsidR="00EF1BA3" w:rsidRPr="00495EC2" w:rsidRDefault="00EF1BA3" w:rsidP="00EC5583">
            <w:pPr>
              <w:jc w:val="both"/>
              <w:rPr>
                <w:sz w:val="20"/>
              </w:rPr>
            </w:pPr>
            <w:r w:rsidRPr="00495EC2">
              <w:rPr>
                <w:sz w:val="20"/>
              </w:rPr>
              <w:t>December 21, 2012</w:t>
            </w:r>
          </w:p>
          <w:p w:rsidR="00EF1BA3" w:rsidRPr="00495EC2" w:rsidRDefault="00EF1BA3" w:rsidP="00EC5583">
            <w:pPr>
              <w:jc w:val="both"/>
              <w:rPr>
                <w:sz w:val="20"/>
              </w:rPr>
            </w:pPr>
            <w:r w:rsidRPr="00495EC2">
              <w:rPr>
                <w:sz w:val="20"/>
              </w:rPr>
              <w:t>Supreme Court of Canada</w:t>
            </w:r>
          </w:p>
        </w:tc>
        <w:tc>
          <w:tcPr>
            <w:tcW w:w="124" w:type="pct"/>
          </w:tcPr>
          <w:p w:rsidR="00EF1BA3" w:rsidRPr="00495EC2" w:rsidRDefault="00EF1BA3" w:rsidP="00EC5583">
            <w:pPr>
              <w:jc w:val="both"/>
              <w:rPr>
                <w:sz w:val="20"/>
              </w:rPr>
            </w:pPr>
          </w:p>
        </w:tc>
        <w:tc>
          <w:tcPr>
            <w:tcW w:w="1193" w:type="pct"/>
          </w:tcPr>
          <w:p w:rsidR="00EF1BA3" w:rsidRPr="00495EC2" w:rsidRDefault="00EF1BA3" w:rsidP="00EC5583">
            <w:pPr>
              <w:jc w:val="both"/>
              <w:rPr>
                <w:sz w:val="20"/>
              </w:rPr>
            </w:pPr>
            <w:r w:rsidRPr="00495EC2">
              <w:rPr>
                <w:sz w:val="20"/>
              </w:rPr>
              <w:t>Application for leave to appeal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74"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9684" w:type="pct"/>
        <w:tblLayout w:type="fixed"/>
        <w:tblCellMar>
          <w:left w:w="0" w:type="dxa"/>
          <w:bottom w:w="99" w:type="dxa"/>
          <w:right w:w="0" w:type="dxa"/>
        </w:tblCellMar>
        <w:tblLook w:val="00A0"/>
      </w:tblPr>
      <w:tblGrid>
        <w:gridCol w:w="4628"/>
        <w:gridCol w:w="462"/>
        <w:gridCol w:w="4445"/>
        <w:gridCol w:w="4553"/>
        <w:gridCol w:w="4542"/>
      </w:tblGrid>
      <w:tr w:rsidR="00EF1BA3" w:rsidRPr="009714AD" w:rsidTr="00A80FCF">
        <w:trPr>
          <w:gridAfter w:val="2"/>
          <w:wAfter w:w="2441" w:type="pct"/>
        </w:trPr>
        <w:tc>
          <w:tcPr>
            <w:tcW w:w="2559" w:type="pct"/>
            <w:gridSpan w:val="3"/>
          </w:tcPr>
          <w:p w:rsidR="00EF1BA3" w:rsidRPr="00495EC2" w:rsidRDefault="00EF1BA3" w:rsidP="00EC5583">
            <w:pPr>
              <w:jc w:val="both"/>
              <w:rPr>
                <w:rFonts w:eastAsia="Calibri"/>
                <w:smallCaps/>
                <w:sz w:val="20"/>
                <w:lang w:val="fr-CA"/>
              </w:rPr>
            </w:pPr>
            <w:r w:rsidRPr="00495EC2">
              <w:rPr>
                <w:rFonts w:eastAsia="Calibri"/>
                <w:smallCaps/>
                <w:sz w:val="20"/>
                <w:lang w:val="fr-CA"/>
              </w:rPr>
              <w:t xml:space="preserve">(Ordonnance de mise sous scellés) </w:t>
            </w:r>
          </w:p>
          <w:p w:rsidR="00EF1BA3" w:rsidRPr="00495EC2" w:rsidRDefault="00EF1BA3" w:rsidP="00EC5583">
            <w:pPr>
              <w:jc w:val="both"/>
              <w:rPr>
                <w:rFonts w:eastAsia="Calibri"/>
                <w:sz w:val="20"/>
                <w:lang w:val="fr-CA"/>
              </w:rPr>
            </w:pPr>
          </w:p>
          <w:p w:rsidR="00EF1BA3" w:rsidRPr="00495EC2" w:rsidRDefault="00EF1BA3" w:rsidP="00EC5583">
            <w:pPr>
              <w:jc w:val="both"/>
              <w:rPr>
                <w:rFonts w:eastAsia="Calibri"/>
                <w:sz w:val="20"/>
                <w:lang w:val="fr-CA"/>
              </w:rPr>
            </w:pPr>
            <w:r w:rsidRPr="00495EC2">
              <w:rPr>
                <w:rFonts w:eastAsia="Calibri"/>
                <w:iCs/>
                <w:color w:val="000000"/>
                <w:sz w:val="20"/>
                <w:lang w:val="fr-CA"/>
              </w:rPr>
              <w:t xml:space="preserve">Droit des transports </w:t>
            </w:r>
            <w:r w:rsidRPr="00495EC2">
              <w:rPr>
                <w:rFonts w:eastAsia="Calibri"/>
                <w:sz w:val="20"/>
                <w:lang w:val="fr-CA"/>
              </w:rPr>
              <w:t xml:space="preserve">– </w:t>
            </w:r>
            <w:r w:rsidRPr="00495EC2">
              <w:rPr>
                <w:rFonts w:eastAsia="Calibri"/>
                <w:iCs/>
                <w:color w:val="000000"/>
                <w:sz w:val="20"/>
                <w:lang w:val="fr-CA"/>
              </w:rPr>
              <w:t xml:space="preserve">Chemins de fer </w:t>
            </w:r>
            <w:r w:rsidRPr="00495EC2">
              <w:rPr>
                <w:rFonts w:eastAsia="Calibri"/>
                <w:sz w:val="20"/>
                <w:lang w:val="fr-CA"/>
              </w:rPr>
              <w:t xml:space="preserve">– </w:t>
            </w:r>
            <w:r w:rsidRPr="00495EC2">
              <w:rPr>
                <w:rFonts w:eastAsia="Calibri"/>
                <w:iCs/>
                <w:color w:val="000000"/>
                <w:sz w:val="20"/>
                <w:lang w:val="fr-CA"/>
              </w:rPr>
              <w:t xml:space="preserve">Tarifs et frais de service </w:t>
            </w:r>
            <w:r w:rsidRPr="00495EC2">
              <w:rPr>
                <w:rFonts w:eastAsia="Calibri"/>
                <w:iCs/>
                <w:color w:val="000000"/>
                <w:sz w:val="20"/>
                <w:lang w:val="fr-CA"/>
              </w:rPr>
              <w:noBreakHyphen/>
              <w:t xml:space="preserve"> Le gouverneur en conseil a décidé que la décision de l'Office des transports du Canada selon laquelle il n'avait pas compétence pour entendre la plainte de </w:t>
            </w:r>
            <w:proofErr w:type="spellStart"/>
            <w:r w:rsidRPr="00495EC2">
              <w:rPr>
                <w:rFonts w:eastAsia="Calibri"/>
                <w:iCs/>
                <w:color w:val="000000"/>
                <w:sz w:val="20"/>
                <w:lang w:val="fr-CA"/>
              </w:rPr>
              <w:t>Peace</w:t>
            </w:r>
            <w:proofErr w:type="spellEnd"/>
            <w:r w:rsidRPr="00495EC2">
              <w:rPr>
                <w:rFonts w:eastAsia="Calibri"/>
                <w:iCs/>
                <w:color w:val="000000"/>
                <w:sz w:val="20"/>
                <w:lang w:val="fr-CA"/>
              </w:rPr>
              <w:t xml:space="preserve"> River Coal Inc. portant que le supplément carburant imposé par le CN sur le transport du charbon était déraisonnable était incorrecte </w:t>
            </w:r>
            <w:r w:rsidRPr="00495EC2">
              <w:rPr>
                <w:rFonts w:eastAsia="Calibri"/>
                <w:sz w:val="20"/>
                <w:lang w:val="fr-CA"/>
              </w:rPr>
              <w:t xml:space="preserve">– Le gouverneur en conseil </w:t>
            </w:r>
            <w:proofErr w:type="spellStart"/>
            <w:r w:rsidRPr="00495EC2">
              <w:rPr>
                <w:rFonts w:eastAsia="Calibri"/>
                <w:sz w:val="20"/>
                <w:lang w:val="fr-CA"/>
              </w:rPr>
              <w:t>avait</w:t>
            </w:r>
            <w:r w:rsidRPr="00495EC2">
              <w:rPr>
                <w:rFonts w:eastAsia="Calibri"/>
                <w:sz w:val="20"/>
                <w:lang w:val="fr-CA"/>
              </w:rPr>
              <w:noBreakHyphen/>
              <w:t>il</w:t>
            </w:r>
            <w:proofErr w:type="spellEnd"/>
            <w:r w:rsidRPr="00495EC2">
              <w:rPr>
                <w:rFonts w:eastAsia="Calibri"/>
                <w:sz w:val="20"/>
                <w:lang w:val="fr-CA"/>
              </w:rPr>
              <w:t xml:space="preserve"> le pouvoir en vertu de l'art. 40 de la</w:t>
            </w:r>
            <w:r w:rsidRPr="00495EC2">
              <w:rPr>
                <w:rFonts w:eastAsia="Calibri"/>
                <w:i/>
                <w:sz w:val="20"/>
                <w:lang w:val="fr-CA"/>
              </w:rPr>
              <w:t xml:space="preserve"> Loi sur les transports au Canada</w:t>
            </w:r>
            <w:r w:rsidRPr="00495EC2">
              <w:rPr>
                <w:rFonts w:eastAsia="Calibri"/>
                <w:sz w:val="20"/>
                <w:lang w:val="fr-CA"/>
              </w:rPr>
              <w:t>, L.C. 1996, ch. 10</w:t>
            </w:r>
            <w:r w:rsidRPr="00495EC2">
              <w:rPr>
                <w:rFonts w:eastAsia="Calibri"/>
                <w:i/>
                <w:sz w:val="20"/>
                <w:lang w:val="fr-CA"/>
              </w:rPr>
              <w:t xml:space="preserve"> </w:t>
            </w:r>
            <w:r w:rsidRPr="00495EC2">
              <w:rPr>
                <w:rFonts w:eastAsia="Calibri"/>
                <w:sz w:val="20"/>
                <w:lang w:val="fr-CA"/>
              </w:rPr>
              <w:t xml:space="preserve">de modifier ou d’annuler la décision de l'Office sur des questions de droit et de compétence? – Le cadre juridique établi dans l'arrêt </w:t>
            </w:r>
            <w:proofErr w:type="spellStart"/>
            <w:r w:rsidRPr="00495EC2">
              <w:rPr>
                <w:rFonts w:eastAsia="Calibri"/>
                <w:i/>
                <w:sz w:val="20"/>
                <w:lang w:val="fr-CA"/>
              </w:rPr>
              <w:t>Dunsmuir</w:t>
            </w:r>
            <w:proofErr w:type="spellEnd"/>
            <w:r w:rsidRPr="00495EC2">
              <w:rPr>
                <w:rFonts w:eastAsia="Calibri"/>
                <w:sz w:val="20"/>
                <w:lang w:val="fr-CA"/>
              </w:rPr>
              <w:t xml:space="preserve"> pour la détermination de la norme de contrôle s'applique</w:t>
            </w:r>
            <w:r w:rsidRPr="00495EC2">
              <w:rPr>
                <w:rFonts w:eastAsia="Calibri"/>
                <w:sz w:val="20"/>
                <w:lang w:val="fr-CA"/>
              </w:rPr>
              <w:noBreakHyphen/>
            </w:r>
            <w:proofErr w:type="spellStart"/>
            <w:r w:rsidRPr="00495EC2">
              <w:rPr>
                <w:rFonts w:eastAsia="Calibri"/>
                <w:sz w:val="20"/>
                <w:lang w:val="fr-CA"/>
              </w:rPr>
              <w:t>t</w:t>
            </w:r>
            <w:r w:rsidRPr="00495EC2">
              <w:rPr>
                <w:rFonts w:eastAsia="Calibri"/>
                <w:sz w:val="20"/>
                <w:lang w:val="fr-CA"/>
              </w:rPr>
              <w:noBreakHyphen/>
              <w:t>il</w:t>
            </w:r>
            <w:proofErr w:type="spellEnd"/>
            <w:r w:rsidRPr="00495EC2">
              <w:rPr>
                <w:rFonts w:eastAsia="Calibri"/>
                <w:sz w:val="20"/>
                <w:lang w:val="fr-CA"/>
              </w:rPr>
              <w:t xml:space="preserve"> aux décisions du gouverneur en conseil?</w:t>
            </w:r>
          </w:p>
        </w:tc>
      </w:tr>
      <w:tr w:rsidR="00EF1BA3" w:rsidRPr="009714AD" w:rsidTr="00A80FCF">
        <w:trPr>
          <w:gridAfter w:val="2"/>
          <w:wAfter w:w="2441" w:type="pct"/>
        </w:trPr>
        <w:tc>
          <w:tcPr>
            <w:tcW w:w="2559" w:type="pct"/>
            <w:gridSpan w:val="3"/>
          </w:tcPr>
          <w:p w:rsidR="00EF1BA3" w:rsidRPr="00495EC2" w:rsidRDefault="00EF1BA3" w:rsidP="00EC5583">
            <w:pPr>
              <w:jc w:val="both"/>
              <w:rPr>
                <w:rFonts w:eastAsia="Calibri"/>
                <w:sz w:val="20"/>
                <w:lang w:val="fr-CA"/>
              </w:rPr>
            </w:pPr>
          </w:p>
        </w:tc>
      </w:tr>
      <w:tr w:rsidR="00EF1BA3" w:rsidRPr="00495EC2" w:rsidTr="00A80FCF">
        <w:tc>
          <w:tcPr>
            <w:tcW w:w="2559" w:type="pct"/>
            <w:gridSpan w:val="3"/>
          </w:tcPr>
          <w:p w:rsidR="00EF1BA3" w:rsidRPr="00495EC2" w:rsidRDefault="00EF1BA3" w:rsidP="00EC5583">
            <w:pPr>
              <w:jc w:val="both"/>
              <w:rPr>
                <w:color w:val="000000"/>
                <w:sz w:val="20"/>
                <w:lang w:val="fr-CA"/>
              </w:rPr>
            </w:pPr>
            <w:r w:rsidRPr="00495EC2">
              <w:rPr>
                <w:color w:val="000000"/>
                <w:sz w:val="20"/>
                <w:lang w:val="fr-CA"/>
              </w:rPr>
              <w:t xml:space="preserve">En janvier 2008, </w:t>
            </w:r>
            <w:proofErr w:type="spellStart"/>
            <w:r w:rsidRPr="00495EC2">
              <w:rPr>
                <w:color w:val="000000"/>
                <w:sz w:val="20"/>
                <w:lang w:val="fr-CA"/>
              </w:rPr>
              <w:t>Peace</w:t>
            </w:r>
            <w:proofErr w:type="spellEnd"/>
            <w:r w:rsidRPr="00495EC2">
              <w:rPr>
                <w:color w:val="000000"/>
                <w:sz w:val="20"/>
                <w:lang w:val="fr-CA"/>
              </w:rPr>
              <w:t xml:space="preserve"> River Coal Inc. (« PRC ») et la Compagnie des chemins de fer nationaux du Canada (le « CN ») ont passé un contrat confidentiel touchant le transport du charbon de PRC jusqu'en juin 2010.  Ce contrat stipulait que les taux de fret de base convenus seraient soumis [</w:t>
            </w:r>
            <w:r w:rsidRPr="00495EC2">
              <w:rPr>
                <w:smallCaps/>
                <w:color w:val="000000"/>
                <w:sz w:val="20"/>
                <w:lang w:val="fr-CA"/>
              </w:rPr>
              <w:t>traduction</w:t>
            </w:r>
            <w:r w:rsidRPr="00495EC2">
              <w:rPr>
                <w:color w:val="000000"/>
                <w:sz w:val="20"/>
                <w:lang w:val="fr-CA"/>
              </w:rPr>
              <w:t>] « au tarif de supplément carburant CN 7402 ».  En avril 2008, le CN a institué un nouveau tarif de supplément carburant, le CN 7403.  Le CN a avisé ses clients que les contrats confidentiels prévoyant l'application du supplément carburant du tarif CN 7402 continueraient de s’appliquer jusqu'à leur expiration.  PRC a présenté une demande à l'Office des transports du Canada (l’« Office ») pour une ordonnance établissant un supplément carburant raisonnable en application de l'art. 120.1 de la</w:t>
            </w:r>
            <w:r w:rsidRPr="00495EC2">
              <w:rPr>
                <w:i/>
                <w:color w:val="000000"/>
                <w:sz w:val="20"/>
                <w:lang w:val="fr-CA"/>
              </w:rPr>
              <w:t xml:space="preserve"> Loi sur les transports au Canada </w:t>
            </w:r>
            <w:r w:rsidRPr="00495EC2">
              <w:rPr>
                <w:color w:val="000000"/>
                <w:sz w:val="20"/>
                <w:lang w:val="fr-CA"/>
              </w:rPr>
              <w:t xml:space="preserve">et prescrivant au CN de modifier les frais qu'elle exigeait au titre du tarif CN 7402 de manière à tenir compte des frais stipulés au tarif CN 7403.  Par requête, le CN a demandé le rejet de la demande.  </w:t>
            </w:r>
          </w:p>
          <w:p w:rsidR="00EF1BA3" w:rsidRPr="00495EC2" w:rsidRDefault="00EF1BA3" w:rsidP="00EC5583">
            <w:pPr>
              <w:jc w:val="both"/>
              <w:rPr>
                <w:color w:val="000000"/>
                <w:sz w:val="20"/>
                <w:lang w:val="fr-CA"/>
              </w:rPr>
            </w:pPr>
          </w:p>
        </w:tc>
        <w:tc>
          <w:tcPr>
            <w:tcW w:w="1222" w:type="pct"/>
          </w:tcPr>
          <w:p w:rsidR="00EF1BA3" w:rsidRPr="00495EC2" w:rsidRDefault="00EF1BA3" w:rsidP="00EC5583">
            <w:pPr>
              <w:jc w:val="both"/>
              <w:rPr>
                <w:rFonts w:eastAsia="Calibri"/>
                <w:sz w:val="20"/>
                <w:lang w:val="fr-CA"/>
              </w:rPr>
            </w:pPr>
          </w:p>
        </w:tc>
        <w:tc>
          <w:tcPr>
            <w:tcW w:w="1219" w:type="pct"/>
          </w:tcPr>
          <w:p w:rsidR="00EF1BA3" w:rsidRPr="00495EC2" w:rsidRDefault="00EF1BA3" w:rsidP="00EC5583">
            <w:pPr>
              <w:jc w:val="both"/>
              <w:rPr>
                <w:rFonts w:eastAsia="Calibri"/>
                <w:sz w:val="20"/>
              </w:rPr>
            </w:pPr>
            <w:r w:rsidRPr="00495EC2">
              <w:rPr>
                <w:rFonts w:eastAsia="Calibri"/>
                <w:sz w:val="20"/>
              </w:rPr>
              <w:t>Agency deciding it had no jurisdiction to change terms of confidential contract between parties regarding fuel surcharge</w:t>
            </w:r>
          </w:p>
          <w:p w:rsidR="00EF1BA3" w:rsidRPr="00495EC2" w:rsidRDefault="00EF1BA3" w:rsidP="00EC5583">
            <w:pPr>
              <w:jc w:val="both"/>
              <w:rPr>
                <w:rFonts w:eastAsia="Calibri"/>
                <w:sz w:val="20"/>
              </w:rPr>
            </w:pPr>
          </w:p>
        </w:tc>
      </w:tr>
      <w:tr w:rsidR="00EF1BA3" w:rsidRPr="009714AD" w:rsidTr="00A80FCF">
        <w:trPr>
          <w:gridAfter w:val="2"/>
          <w:wAfter w:w="2441" w:type="pct"/>
        </w:trPr>
        <w:tc>
          <w:tcPr>
            <w:tcW w:w="1242" w:type="pct"/>
          </w:tcPr>
          <w:p w:rsidR="00EF1BA3" w:rsidRPr="00495EC2" w:rsidRDefault="00EF1BA3" w:rsidP="00EC5583">
            <w:pPr>
              <w:jc w:val="both"/>
              <w:rPr>
                <w:rFonts w:eastAsia="Calibri"/>
                <w:sz w:val="20"/>
                <w:lang w:val="fr-CA"/>
              </w:rPr>
            </w:pPr>
            <w:r w:rsidRPr="00495EC2">
              <w:rPr>
                <w:rFonts w:eastAsia="Calibri"/>
                <w:sz w:val="20"/>
                <w:lang w:val="fr-CA"/>
              </w:rPr>
              <w:t>31 juillet 2008</w:t>
            </w:r>
          </w:p>
          <w:p w:rsidR="00EF1BA3" w:rsidRPr="00495EC2" w:rsidRDefault="00EF1BA3" w:rsidP="00EC5583">
            <w:pPr>
              <w:jc w:val="both"/>
              <w:rPr>
                <w:rFonts w:eastAsia="Calibri"/>
                <w:sz w:val="20"/>
                <w:lang w:val="fr-CA"/>
              </w:rPr>
            </w:pPr>
            <w:r w:rsidRPr="00495EC2">
              <w:rPr>
                <w:rFonts w:eastAsia="Calibri"/>
                <w:sz w:val="20"/>
                <w:lang w:val="fr-CA"/>
              </w:rPr>
              <w:t xml:space="preserve">Office des transports du Canada </w:t>
            </w:r>
          </w:p>
          <w:p w:rsidR="00EF1BA3" w:rsidRPr="00495EC2" w:rsidRDefault="00EF1BA3" w:rsidP="00EC5583">
            <w:pPr>
              <w:jc w:val="both"/>
              <w:rPr>
                <w:rFonts w:eastAsia="Calibri"/>
                <w:sz w:val="20"/>
                <w:lang w:val="fr-CA"/>
              </w:rPr>
            </w:pPr>
            <w:r w:rsidRPr="00495EC2">
              <w:rPr>
                <w:rFonts w:eastAsia="Calibri"/>
                <w:sz w:val="20"/>
                <w:lang w:val="fr-CA"/>
              </w:rPr>
              <w:t xml:space="preserve">(Membres Hare et </w:t>
            </w:r>
            <w:proofErr w:type="spellStart"/>
            <w:r w:rsidRPr="00495EC2">
              <w:rPr>
                <w:rFonts w:eastAsia="Calibri"/>
                <w:sz w:val="20"/>
                <w:lang w:val="fr-CA"/>
              </w:rPr>
              <w:t>Kaduck</w:t>
            </w:r>
            <w:proofErr w:type="spellEnd"/>
            <w:r w:rsidRPr="00495EC2">
              <w:rPr>
                <w:rFonts w:eastAsia="Calibri"/>
                <w:sz w:val="20"/>
                <w:lang w:val="fr-CA"/>
              </w:rPr>
              <w:t>)</w:t>
            </w:r>
          </w:p>
        </w:tc>
        <w:tc>
          <w:tcPr>
            <w:tcW w:w="124" w:type="pct"/>
          </w:tcPr>
          <w:p w:rsidR="00EF1BA3" w:rsidRPr="00495EC2" w:rsidRDefault="00EF1BA3" w:rsidP="00EC5583">
            <w:pPr>
              <w:jc w:val="both"/>
              <w:rPr>
                <w:rFonts w:eastAsia="Calibri"/>
                <w:sz w:val="20"/>
                <w:lang w:val="fr-CA"/>
              </w:rPr>
            </w:pPr>
          </w:p>
        </w:tc>
        <w:tc>
          <w:tcPr>
            <w:tcW w:w="1193" w:type="pct"/>
          </w:tcPr>
          <w:p w:rsidR="00EF1BA3" w:rsidRPr="00495EC2" w:rsidRDefault="00EF1BA3" w:rsidP="00EC5583">
            <w:pPr>
              <w:jc w:val="both"/>
              <w:rPr>
                <w:rFonts w:eastAsia="Calibri"/>
                <w:sz w:val="20"/>
                <w:lang w:val="fr-CA"/>
              </w:rPr>
            </w:pPr>
            <w:r w:rsidRPr="00495EC2">
              <w:rPr>
                <w:rFonts w:eastAsia="Calibri"/>
                <w:sz w:val="20"/>
                <w:lang w:val="fr-CA"/>
              </w:rPr>
              <w:t>L'Office décide qu'il n’est pas habilité à modifier les modalités du contrat confidentiel passé entre les parties relativement au supplément carburant</w:t>
            </w:r>
          </w:p>
          <w:p w:rsidR="00EF1BA3" w:rsidRPr="00495EC2" w:rsidRDefault="00EF1BA3" w:rsidP="00EC5583">
            <w:pPr>
              <w:jc w:val="both"/>
              <w:rPr>
                <w:rFonts w:eastAsia="Calibri"/>
                <w:sz w:val="20"/>
                <w:lang w:val="fr-CA"/>
              </w:rPr>
            </w:pPr>
          </w:p>
        </w:tc>
      </w:tr>
      <w:tr w:rsidR="00EF1BA3" w:rsidRPr="009714AD" w:rsidTr="00A80FCF">
        <w:trPr>
          <w:gridAfter w:val="2"/>
          <w:wAfter w:w="2441" w:type="pct"/>
          <w:cantSplit/>
        </w:trPr>
        <w:tc>
          <w:tcPr>
            <w:tcW w:w="1242" w:type="pct"/>
          </w:tcPr>
          <w:p w:rsidR="00EF1BA3" w:rsidRPr="00495EC2" w:rsidRDefault="00EF1BA3" w:rsidP="00EC5583">
            <w:pPr>
              <w:jc w:val="both"/>
              <w:rPr>
                <w:rFonts w:eastAsia="Calibri"/>
                <w:sz w:val="20"/>
                <w:lang w:val="fr-CA"/>
              </w:rPr>
            </w:pPr>
            <w:r w:rsidRPr="00495EC2">
              <w:rPr>
                <w:rFonts w:eastAsia="Calibri"/>
                <w:sz w:val="20"/>
                <w:lang w:val="fr-CA"/>
              </w:rPr>
              <w:t>10 juin 2010</w:t>
            </w:r>
          </w:p>
          <w:p w:rsidR="00EF1BA3" w:rsidRPr="00495EC2" w:rsidRDefault="00EF1BA3" w:rsidP="00EC5583">
            <w:pPr>
              <w:jc w:val="both"/>
              <w:rPr>
                <w:rFonts w:eastAsia="Calibri"/>
                <w:sz w:val="20"/>
                <w:lang w:val="fr-CA"/>
              </w:rPr>
            </w:pPr>
            <w:r w:rsidRPr="00495EC2">
              <w:rPr>
                <w:rFonts w:eastAsia="Calibri"/>
                <w:sz w:val="20"/>
                <w:lang w:val="fr-CA"/>
              </w:rPr>
              <w:t xml:space="preserve">Conseil privé </w:t>
            </w:r>
          </w:p>
          <w:p w:rsidR="00EF1BA3" w:rsidRDefault="00EF1BA3" w:rsidP="00EC5583">
            <w:pPr>
              <w:jc w:val="both"/>
              <w:rPr>
                <w:rFonts w:eastAsia="Calibri"/>
                <w:sz w:val="20"/>
                <w:lang w:val="fr-CA"/>
              </w:rPr>
            </w:pPr>
            <w:r w:rsidRPr="00495EC2">
              <w:rPr>
                <w:rFonts w:eastAsia="Calibri"/>
                <w:sz w:val="20"/>
                <w:lang w:val="fr-CA"/>
              </w:rPr>
              <w:t>Gouverneur en conseil</w:t>
            </w:r>
          </w:p>
          <w:p w:rsidR="00010639" w:rsidRPr="00495EC2" w:rsidRDefault="00010639" w:rsidP="00EC5583">
            <w:pPr>
              <w:jc w:val="both"/>
              <w:rPr>
                <w:rFonts w:eastAsia="Calibri"/>
                <w:sz w:val="20"/>
                <w:lang w:val="fr-CA"/>
              </w:rPr>
            </w:pPr>
          </w:p>
        </w:tc>
        <w:tc>
          <w:tcPr>
            <w:tcW w:w="124" w:type="pct"/>
          </w:tcPr>
          <w:p w:rsidR="00EF1BA3" w:rsidRPr="00495EC2" w:rsidRDefault="00EF1BA3" w:rsidP="00EC5583">
            <w:pPr>
              <w:jc w:val="both"/>
              <w:rPr>
                <w:rFonts w:eastAsia="Calibri"/>
                <w:sz w:val="20"/>
                <w:lang w:val="fr-CA"/>
              </w:rPr>
            </w:pPr>
          </w:p>
        </w:tc>
        <w:tc>
          <w:tcPr>
            <w:tcW w:w="1193" w:type="pct"/>
          </w:tcPr>
          <w:p w:rsidR="00EF1BA3" w:rsidRPr="00495EC2" w:rsidRDefault="00EF1BA3" w:rsidP="00EC5583">
            <w:pPr>
              <w:jc w:val="both"/>
              <w:rPr>
                <w:rFonts w:eastAsia="Calibri"/>
                <w:sz w:val="20"/>
                <w:lang w:val="fr-CA"/>
              </w:rPr>
            </w:pPr>
            <w:r w:rsidRPr="00495EC2">
              <w:rPr>
                <w:rFonts w:eastAsia="Calibri"/>
                <w:sz w:val="20"/>
                <w:lang w:val="fr-CA"/>
              </w:rPr>
              <w:t>Décret annulant la décision de l'Office</w:t>
            </w:r>
          </w:p>
        </w:tc>
      </w:tr>
      <w:tr w:rsidR="00EF1BA3" w:rsidRPr="009714AD" w:rsidTr="00A80FCF">
        <w:trPr>
          <w:gridAfter w:val="2"/>
          <w:wAfter w:w="2441" w:type="pct"/>
          <w:cantSplit/>
        </w:trPr>
        <w:tc>
          <w:tcPr>
            <w:tcW w:w="1242" w:type="pct"/>
          </w:tcPr>
          <w:p w:rsidR="00EF1BA3" w:rsidRPr="00495EC2" w:rsidRDefault="00EF1BA3" w:rsidP="00EC5583">
            <w:pPr>
              <w:jc w:val="both"/>
              <w:rPr>
                <w:rFonts w:eastAsia="Calibri"/>
                <w:sz w:val="20"/>
                <w:lang w:val="fr-CA"/>
              </w:rPr>
            </w:pPr>
            <w:r w:rsidRPr="00495EC2">
              <w:rPr>
                <w:rFonts w:eastAsia="Calibri"/>
                <w:sz w:val="20"/>
                <w:lang w:val="fr-CA"/>
              </w:rPr>
              <w:t>20 octobre 2011</w:t>
            </w:r>
          </w:p>
          <w:p w:rsidR="00EF1BA3" w:rsidRPr="00495EC2" w:rsidRDefault="00EF1BA3" w:rsidP="00EC5583">
            <w:pPr>
              <w:jc w:val="both"/>
              <w:rPr>
                <w:rFonts w:eastAsia="Calibri"/>
                <w:sz w:val="20"/>
                <w:lang w:val="fr-CA"/>
              </w:rPr>
            </w:pPr>
            <w:r w:rsidRPr="00495EC2">
              <w:rPr>
                <w:rFonts w:eastAsia="Calibri"/>
                <w:sz w:val="20"/>
                <w:lang w:val="fr-CA"/>
              </w:rPr>
              <w:t xml:space="preserve">Cour fédérale </w:t>
            </w:r>
          </w:p>
          <w:p w:rsidR="00EF1BA3" w:rsidRPr="00495EC2" w:rsidRDefault="00EF1BA3" w:rsidP="00EC5583">
            <w:pPr>
              <w:jc w:val="both"/>
              <w:rPr>
                <w:rFonts w:eastAsia="Calibri"/>
                <w:sz w:val="20"/>
                <w:lang w:val="fr-CA"/>
              </w:rPr>
            </w:pPr>
            <w:r w:rsidRPr="00495EC2">
              <w:rPr>
                <w:rFonts w:eastAsia="Calibri"/>
                <w:sz w:val="20"/>
                <w:lang w:val="fr-CA"/>
              </w:rPr>
              <w:t>(Juge Hughes)</w:t>
            </w:r>
          </w:p>
          <w:p w:rsidR="00EF1BA3" w:rsidRPr="00495EC2" w:rsidRDefault="00EF1BA3" w:rsidP="00EC5583">
            <w:pPr>
              <w:jc w:val="both"/>
              <w:rPr>
                <w:rFonts w:eastAsia="Calibri"/>
                <w:sz w:val="20"/>
                <w:lang w:val="fr-CA"/>
              </w:rPr>
            </w:pPr>
            <w:r w:rsidRPr="00495EC2">
              <w:rPr>
                <w:rFonts w:eastAsia="Calibri"/>
                <w:sz w:val="20"/>
                <w:lang w:val="fr-CA"/>
              </w:rPr>
              <w:t>2011 CF 1201</w:t>
            </w:r>
          </w:p>
          <w:p w:rsidR="00EF1BA3" w:rsidRPr="00495EC2" w:rsidRDefault="00EF1BA3" w:rsidP="00EC5583">
            <w:pPr>
              <w:jc w:val="both"/>
              <w:rPr>
                <w:rFonts w:eastAsia="Calibri"/>
                <w:sz w:val="20"/>
                <w:lang w:val="fr-CA"/>
              </w:rPr>
            </w:pPr>
          </w:p>
        </w:tc>
        <w:tc>
          <w:tcPr>
            <w:tcW w:w="124" w:type="pct"/>
          </w:tcPr>
          <w:p w:rsidR="00EF1BA3" w:rsidRPr="00495EC2" w:rsidRDefault="00EF1BA3" w:rsidP="00EC5583">
            <w:pPr>
              <w:jc w:val="both"/>
              <w:rPr>
                <w:rFonts w:eastAsia="Calibri"/>
                <w:sz w:val="20"/>
                <w:lang w:val="fr-CA"/>
              </w:rPr>
            </w:pPr>
          </w:p>
        </w:tc>
        <w:tc>
          <w:tcPr>
            <w:tcW w:w="1193" w:type="pct"/>
          </w:tcPr>
          <w:p w:rsidR="00EF1BA3" w:rsidRPr="00495EC2" w:rsidRDefault="00EF1BA3" w:rsidP="00EC5583">
            <w:pPr>
              <w:jc w:val="both"/>
              <w:rPr>
                <w:rFonts w:eastAsia="Calibri"/>
                <w:sz w:val="20"/>
                <w:lang w:val="fr-CA"/>
              </w:rPr>
            </w:pPr>
            <w:r w:rsidRPr="00495EC2">
              <w:rPr>
                <w:rFonts w:eastAsia="Calibri"/>
                <w:sz w:val="20"/>
                <w:lang w:val="fr-CA"/>
              </w:rPr>
              <w:t>Demande du CN en annulation du décret, accueillie</w:t>
            </w:r>
          </w:p>
          <w:p w:rsidR="00EF1BA3" w:rsidRPr="00495EC2" w:rsidRDefault="00EF1BA3" w:rsidP="00EC5583">
            <w:pPr>
              <w:jc w:val="both"/>
              <w:rPr>
                <w:rFonts w:eastAsia="Calibri"/>
                <w:sz w:val="20"/>
                <w:lang w:val="fr-CA"/>
              </w:rPr>
            </w:pPr>
          </w:p>
        </w:tc>
      </w:tr>
      <w:tr w:rsidR="00EF1BA3" w:rsidRPr="009714AD" w:rsidTr="00A80FCF">
        <w:trPr>
          <w:gridAfter w:val="2"/>
          <w:wAfter w:w="2441" w:type="pct"/>
          <w:cantSplit/>
        </w:trPr>
        <w:tc>
          <w:tcPr>
            <w:tcW w:w="1242" w:type="pct"/>
          </w:tcPr>
          <w:p w:rsidR="00EF1BA3" w:rsidRPr="00495EC2" w:rsidRDefault="00EF1BA3" w:rsidP="00EC5583">
            <w:pPr>
              <w:jc w:val="both"/>
              <w:rPr>
                <w:rFonts w:eastAsia="Calibri"/>
                <w:sz w:val="20"/>
                <w:lang w:val="fr-CA"/>
              </w:rPr>
            </w:pPr>
            <w:r w:rsidRPr="00495EC2">
              <w:rPr>
                <w:rFonts w:eastAsia="Calibri"/>
                <w:sz w:val="20"/>
                <w:lang w:val="fr-CA"/>
              </w:rPr>
              <w:t>2 novembre 2012</w:t>
            </w:r>
          </w:p>
          <w:p w:rsidR="00EF1BA3" w:rsidRPr="00495EC2" w:rsidRDefault="00EF1BA3" w:rsidP="00EC5583">
            <w:pPr>
              <w:jc w:val="both"/>
              <w:rPr>
                <w:rFonts w:eastAsia="Calibri"/>
                <w:sz w:val="20"/>
                <w:lang w:val="fr-CA"/>
              </w:rPr>
            </w:pPr>
            <w:r w:rsidRPr="00495EC2">
              <w:rPr>
                <w:rFonts w:eastAsia="Calibri"/>
                <w:sz w:val="20"/>
                <w:lang w:val="fr-CA"/>
              </w:rPr>
              <w:t xml:space="preserve">Cour d'appel fédérale </w:t>
            </w:r>
          </w:p>
          <w:p w:rsidR="00EF1BA3" w:rsidRPr="00495EC2" w:rsidRDefault="00EF1BA3" w:rsidP="00EC5583">
            <w:pPr>
              <w:jc w:val="both"/>
              <w:rPr>
                <w:rFonts w:eastAsia="Calibri"/>
                <w:sz w:val="20"/>
                <w:lang w:val="fr-CA"/>
              </w:rPr>
            </w:pPr>
            <w:r w:rsidRPr="00495EC2">
              <w:rPr>
                <w:rFonts w:eastAsia="Calibri"/>
                <w:sz w:val="20"/>
                <w:lang w:val="fr-CA"/>
              </w:rPr>
              <w:t xml:space="preserve">(Juges Dawson, Gauthier et </w:t>
            </w:r>
            <w:proofErr w:type="spellStart"/>
            <w:r w:rsidRPr="00495EC2">
              <w:rPr>
                <w:rFonts w:eastAsia="Calibri"/>
                <w:sz w:val="20"/>
                <w:lang w:val="fr-CA"/>
              </w:rPr>
              <w:t>Stratas</w:t>
            </w:r>
            <w:proofErr w:type="spellEnd"/>
            <w:r w:rsidRPr="00495EC2">
              <w:rPr>
                <w:rFonts w:eastAsia="Calibri"/>
                <w:sz w:val="20"/>
                <w:lang w:val="fr-CA"/>
              </w:rPr>
              <w:t>)</w:t>
            </w:r>
          </w:p>
          <w:p w:rsidR="00EF1BA3" w:rsidRPr="00495EC2" w:rsidRDefault="00EF1BA3" w:rsidP="00EC5583">
            <w:pPr>
              <w:jc w:val="both"/>
              <w:rPr>
                <w:rFonts w:eastAsia="Calibri"/>
                <w:sz w:val="20"/>
                <w:lang w:val="fr-CA"/>
              </w:rPr>
            </w:pPr>
          </w:p>
        </w:tc>
        <w:tc>
          <w:tcPr>
            <w:tcW w:w="124" w:type="pct"/>
          </w:tcPr>
          <w:p w:rsidR="00EF1BA3" w:rsidRPr="00495EC2" w:rsidRDefault="00EF1BA3" w:rsidP="00EC5583">
            <w:pPr>
              <w:jc w:val="both"/>
              <w:rPr>
                <w:rFonts w:eastAsia="Calibri"/>
                <w:sz w:val="20"/>
                <w:lang w:val="fr-CA"/>
              </w:rPr>
            </w:pPr>
          </w:p>
        </w:tc>
        <w:tc>
          <w:tcPr>
            <w:tcW w:w="1193" w:type="pct"/>
          </w:tcPr>
          <w:p w:rsidR="00EF1BA3" w:rsidRPr="00495EC2" w:rsidRDefault="00EF1BA3" w:rsidP="00EC5583">
            <w:pPr>
              <w:jc w:val="both"/>
              <w:rPr>
                <w:rFonts w:eastAsia="Calibri"/>
                <w:sz w:val="20"/>
                <w:lang w:val="fr-CA"/>
              </w:rPr>
            </w:pPr>
            <w:r w:rsidRPr="00495EC2">
              <w:rPr>
                <w:rFonts w:eastAsia="Calibri"/>
                <w:sz w:val="20"/>
                <w:lang w:val="fr-CA"/>
              </w:rPr>
              <w:t>Appel des intimés accueilli; décret rétabli</w:t>
            </w:r>
          </w:p>
          <w:p w:rsidR="00EF1BA3" w:rsidRPr="00495EC2" w:rsidRDefault="00EF1BA3" w:rsidP="00EC5583">
            <w:pPr>
              <w:jc w:val="both"/>
              <w:rPr>
                <w:rFonts w:eastAsia="Calibri"/>
                <w:sz w:val="20"/>
                <w:lang w:val="fr-CA"/>
              </w:rPr>
            </w:pPr>
          </w:p>
        </w:tc>
      </w:tr>
      <w:tr w:rsidR="00EF1BA3" w:rsidRPr="00495EC2" w:rsidTr="00A80FCF">
        <w:trPr>
          <w:gridAfter w:val="2"/>
          <w:wAfter w:w="2441" w:type="pct"/>
          <w:cantSplit/>
        </w:trPr>
        <w:tc>
          <w:tcPr>
            <w:tcW w:w="1242" w:type="pct"/>
          </w:tcPr>
          <w:p w:rsidR="00EF1BA3" w:rsidRPr="00495EC2" w:rsidRDefault="00EF1BA3" w:rsidP="00EC5583">
            <w:pPr>
              <w:jc w:val="both"/>
              <w:rPr>
                <w:rFonts w:eastAsia="Calibri"/>
                <w:sz w:val="20"/>
                <w:lang w:val="fr-CA"/>
              </w:rPr>
            </w:pPr>
            <w:r w:rsidRPr="00495EC2">
              <w:rPr>
                <w:rFonts w:eastAsia="Calibri"/>
                <w:sz w:val="20"/>
                <w:lang w:val="fr-CA"/>
              </w:rPr>
              <w:t>21 décembre 2012</w:t>
            </w:r>
          </w:p>
          <w:p w:rsidR="00EF1BA3" w:rsidRPr="00495EC2" w:rsidRDefault="00EF1BA3" w:rsidP="00EC5583">
            <w:pPr>
              <w:jc w:val="both"/>
              <w:rPr>
                <w:rFonts w:eastAsia="Calibri"/>
                <w:sz w:val="20"/>
                <w:lang w:val="fr-CA"/>
              </w:rPr>
            </w:pPr>
            <w:r w:rsidRPr="00495EC2">
              <w:rPr>
                <w:rFonts w:eastAsia="Calibri"/>
                <w:sz w:val="20"/>
                <w:lang w:val="fr-CA"/>
              </w:rPr>
              <w:t>Cour suprême du Canada</w:t>
            </w:r>
          </w:p>
        </w:tc>
        <w:tc>
          <w:tcPr>
            <w:tcW w:w="124" w:type="pct"/>
          </w:tcPr>
          <w:p w:rsidR="00EF1BA3" w:rsidRPr="00495EC2" w:rsidRDefault="00EF1BA3" w:rsidP="00EC5583">
            <w:pPr>
              <w:jc w:val="both"/>
              <w:rPr>
                <w:rFonts w:eastAsia="Calibri"/>
                <w:sz w:val="20"/>
                <w:lang w:val="fr-CA"/>
              </w:rPr>
            </w:pPr>
          </w:p>
        </w:tc>
        <w:tc>
          <w:tcPr>
            <w:tcW w:w="1193" w:type="pct"/>
          </w:tcPr>
          <w:p w:rsidR="00EF1BA3" w:rsidRPr="00495EC2" w:rsidRDefault="00EF1BA3" w:rsidP="00EC5583">
            <w:pPr>
              <w:jc w:val="both"/>
              <w:rPr>
                <w:rFonts w:eastAsia="Calibri"/>
                <w:sz w:val="20"/>
                <w:lang w:val="fr-CA"/>
              </w:rPr>
            </w:pPr>
            <w:r w:rsidRPr="00495EC2">
              <w:rPr>
                <w:rFonts w:eastAsia="Calibri"/>
                <w:sz w:val="20"/>
                <w:lang w:val="fr-CA"/>
              </w:rPr>
              <w:t>Demande d'autorisation d'appel, déposée</w:t>
            </w:r>
          </w:p>
          <w:p w:rsidR="00EF1BA3" w:rsidRPr="00495EC2" w:rsidRDefault="00EF1BA3" w:rsidP="00EC5583">
            <w:pPr>
              <w:jc w:val="both"/>
              <w:rPr>
                <w:rFonts w:eastAsia="Calibri"/>
                <w:sz w:val="20"/>
                <w:lang w:val="fr-CA"/>
              </w:rPr>
            </w:pP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75"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00EC3" w:rsidRPr="00CE3693" w:rsidTr="004A0323">
        <w:trPr>
          <w:cantSplit/>
        </w:trPr>
        <w:tc>
          <w:tcPr>
            <w:tcW w:w="1458" w:type="dxa"/>
          </w:tcPr>
          <w:p w:rsidR="00500EC3" w:rsidRPr="00CE3693" w:rsidRDefault="00500EC3" w:rsidP="004A0323">
            <w:pPr>
              <w:rPr>
                <w:sz w:val="20"/>
                <w:szCs w:val="20"/>
              </w:rPr>
            </w:pPr>
            <w:r w:rsidRPr="00CE3693">
              <w:rPr>
                <w:rStyle w:val="SCCFileNumberChar"/>
                <w:sz w:val="20"/>
                <w:szCs w:val="20"/>
              </w:rPr>
              <w:t>35146</w:t>
            </w:r>
          </w:p>
          <w:p w:rsidR="00500EC3" w:rsidRPr="00CE3693" w:rsidRDefault="00500EC3" w:rsidP="004A0323">
            <w:pPr>
              <w:rPr>
                <w:b/>
                <w:sz w:val="20"/>
                <w:szCs w:val="20"/>
                <w:lang w:val="fr-CA"/>
              </w:rPr>
            </w:pPr>
          </w:p>
        </w:tc>
        <w:tc>
          <w:tcPr>
            <w:tcW w:w="8118" w:type="dxa"/>
          </w:tcPr>
          <w:p w:rsidR="00500EC3" w:rsidRPr="00CE3693" w:rsidRDefault="00500EC3" w:rsidP="004A0323">
            <w:pPr>
              <w:jc w:val="both"/>
              <w:rPr>
                <w:sz w:val="20"/>
                <w:szCs w:val="20"/>
              </w:rPr>
            </w:pPr>
            <w:r w:rsidRPr="00CE3693">
              <w:rPr>
                <w:rStyle w:val="SCCLsocChar"/>
                <w:sz w:val="20"/>
                <w:szCs w:val="20"/>
                <w:lang w:val="en-CA"/>
              </w:rPr>
              <w:t xml:space="preserve">Dale </w:t>
            </w:r>
            <w:proofErr w:type="spellStart"/>
            <w:r w:rsidRPr="00CE3693">
              <w:rPr>
                <w:rStyle w:val="SCCLsocChar"/>
                <w:sz w:val="20"/>
                <w:szCs w:val="20"/>
                <w:lang w:val="en-CA"/>
              </w:rPr>
              <w:t>Barteau</w:t>
            </w:r>
            <w:proofErr w:type="spellEnd"/>
            <w:r w:rsidRPr="00CE3693">
              <w:rPr>
                <w:rStyle w:val="SCCLsocChar"/>
                <w:sz w:val="20"/>
                <w:szCs w:val="20"/>
                <w:lang w:val="en-CA"/>
              </w:rPr>
              <w:t xml:space="preserve">, Glenna </w:t>
            </w:r>
            <w:proofErr w:type="spellStart"/>
            <w:r w:rsidRPr="00CE3693">
              <w:rPr>
                <w:rStyle w:val="SCCLsocChar"/>
                <w:sz w:val="20"/>
                <w:szCs w:val="20"/>
                <w:lang w:val="en-CA"/>
              </w:rPr>
              <w:t>Barteau</w:t>
            </w:r>
            <w:proofErr w:type="spellEnd"/>
            <w:r w:rsidRPr="00CE3693">
              <w:rPr>
                <w:rStyle w:val="SCCLsocChar"/>
                <w:sz w:val="20"/>
                <w:szCs w:val="20"/>
                <w:lang w:val="en-CA"/>
              </w:rPr>
              <w:t xml:space="preserve">, Constance </w:t>
            </w:r>
            <w:proofErr w:type="spellStart"/>
            <w:r w:rsidRPr="00CE3693">
              <w:rPr>
                <w:rStyle w:val="SCCLsocChar"/>
                <w:sz w:val="20"/>
                <w:szCs w:val="20"/>
                <w:lang w:val="en-CA"/>
              </w:rPr>
              <w:t>Rogerson</w:t>
            </w:r>
            <w:proofErr w:type="spellEnd"/>
            <w:r w:rsidRPr="00CE3693">
              <w:rPr>
                <w:rStyle w:val="SCCLsocChar"/>
                <w:sz w:val="20"/>
                <w:szCs w:val="20"/>
                <w:lang w:val="en-CA"/>
              </w:rPr>
              <w:t xml:space="preserve">, Gilbert Stuart, Allison Pendleton, Weldon Lambert, Elizabeth </w:t>
            </w:r>
            <w:proofErr w:type="spellStart"/>
            <w:r w:rsidRPr="00CE3693">
              <w:rPr>
                <w:rStyle w:val="SCCLsocChar"/>
                <w:sz w:val="20"/>
                <w:szCs w:val="20"/>
                <w:lang w:val="en-CA"/>
              </w:rPr>
              <w:t>Darke</w:t>
            </w:r>
            <w:proofErr w:type="spellEnd"/>
            <w:r w:rsidRPr="00CE3693">
              <w:rPr>
                <w:rStyle w:val="SCCLsocChar"/>
                <w:sz w:val="20"/>
                <w:szCs w:val="20"/>
                <w:lang w:val="en-CA"/>
              </w:rPr>
              <w:t xml:space="preserve">, Laurie Pendleton, Brian Young, Bryan </w:t>
            </w:r>
            <w:proofErr w:type="spellStart"/>
            <w:r w:rsidRPr="00CE3693">
              <w:rPr>
                <w:rStyle w:val="SCCLsocChar"/>
                <w:sz w:val="20"/>
                <w:szCs w:val="20"/>
                <w:lang w:val="en-CA"/>
              </w:rPr>
              <w:t>Barteau</w:t>
            </w:r>
            <w:proofErr w:type="spellEnd"/>
            <w:r w:rsidRPr="00CE3693">
              <w:rPr>
                <w:rStyle w:val="SCCLsocChar"/>
                <w:sz w:val="20"/>
                <w:szCs w:val="20"/>
                <w:lang w:val="en-CA"/>
              </w:rPr>
              <w:t xml:space="preserve">, Philip Miner, Glenn Cox, Edward Power, Floyd Richardson, Dana Conley and Brian Calder v. </w:t>
            </w:r>
            <w:proofErr w:type="spellStart"/>
            <w:r w:rsidRPr="00CE3693">
              <w:rPr>
                <w:rStyle w:val="SCCLsocChar"/>
                <w:sz w:val="20"/>
                <w:szCs w:val="20"/>
                <w:lang w:val="en-CA"/>
              </w:rPr>
              <w:t>Simson</w:t>
            </w:r>
            <w:proofErr w:type="spellEnd"/>
            <w:r w:rsidRPr="00CE3693">
              <w:rPr>
                <w:rStyle w:val="SCCLsocChar"/>
                <w:sz w:val="20"/>
                <w:szCs w:val="20"/>
                <w:lang w:val="en-CA"/>
              </w:rPr>
              <w:t xml:space="preserve">, Cumming, Webber, a partnership, Cumming, Webber, </w:t>
            </w:r>
            <w:proofErr w:type="spellStart"/>
            <w:r w:rsidRPr="00CE3693">
              <w:rPr>
                <w:rStyle w:val="SCCLsocChar"/>
                <w:sz w:val="20"/>
                <w:szCs w:val="20"/>
                <w:lang w:val="en-CA"/>
              </w:rPr>
              <w:t>Francoeur</w:t>
            </w:r>
            <w:proofErr w:type="spellEnd"/>
            <w:r w:rsidRPr="00CE3693">
              <w:rPr>
                <w:rStyle w:val="SCCLsocChar"/>
                <w:sz w:val="20"/>
                <w:szCs w:val="20"/>
                <w:lang w:val="en-CA"/>
              </w:rPr>
              <w:t xml:space="preserve">, a partnership, John R. </w:t>
            </w:r>
            <w:proofErr w:type="spellStart"/>
            <w:r w:rsidRPr="00CE3693">
              <w:rPr>
                <w:rStyle w:val="SCCLsocChar"/>
                <w:sz w:val="20"/>
                <w:szCs w:val="20"/>
                <w:lang w:val="en-CA"/>
              </w:rPr>
              <w:t>Simson</w:t>
            </w:r>
            <w:proofErr w:type="spellEnd"/>
            <w:r w:rsidRPr="00CE3693">
              <w:rPr>
                <w:rStyle w:val="SCCLsocChar"/>
                <w:sz w:val="20"/>
                <w:szCs w:val="20"/>
                <w:lang w:val="en-CA"/>
              </w:rPr>
              <w:t xml:space="preserve">, Bruce C. Cumming, John E. Webber, Mark D. </w:t>
            </w:r>
            <w:proofErr w:type="spellStart"/>
            <w:r w:rsidRPr="00CE3693">
              <w:rPr>
                <w:rStyle w:val="SCCLsocChar"/>
                <w:sz w:val="20"/>
                <w:szCs w:val="20"/>
                <w:lang w:val="en-CA"/>
              </w:rPr>
              <w:t>Francoeur</w:t>
            </w:r>
            <w:proofErr w:type="spellEnd"/>
            <w:r w:rsidRPr="00CE3693">
              <w:rPr>
                <w:rStyle w:val="SCCLsocChar"/>
                <w:sz w:val="20"/>
                <w:szCs w:val="20"/>
                <w:lang w:val="en-CA"/>
              </w:rPr>
              <w:t xml:space="preserve"> and Terrence L. Thorne</w:t>
            </w:r>
            <w:r w:rsidRPr="00CE3693">
              <w:rPr>
                <w:sz w:val="20"/>
                <w:szCs w:val="20"/>
              </w:rPr>
              <w:t xml:space="preserve"> (N.B.) (Civil) (By Leave)</w:t>
            </w:r>
          </w:p>
          <w:p w:rsidR="00500EC3" w:rsidRPr="00CE3693" w:rsidRDefault="00500EC3" w:rsidP="004A0323">
            <w:pPr>
              <w:jc w:val="both"/>
              <w:rPr>
                <w:sz w:val="20"/>
                <w:szCs w:val="20"/>
              </w:rPr>
            </w:pPr>
          </w:p>
        </w:tc>
      </w:tr>
      <w:tr w:rsidR="00500EC3" w:rsidRPr="00CE3693" w:rsidTr="004A0323">
        <w:trPr>
          <w:cantSplit/>
        </w:trPr>
        <w:tc>
          <w:tcPr>
            <w:tcW w:w="1458" w:type="dxa"/>
          </w:tcPr>
          <w:p w:rsidR="00500EC3" w:rsidRPr="00CE3693" w:rsidRDefault="00500EC3" w:rsidP="004A0323">
            <w:pPr>
              <w:rPr>
                <w:sz w:val="20"/>
                <w:szCs w:val="20"/>
              </w:rPr>
            </w:pPr>
            <w:r w:rsidRPr="00CE3693">
              <w:rPr>
                <w:sz w:val="20"/>
                <w:szCs w:val="20"/>
              </w:rPr>
              <w:t>Coram :</w:t>
            </w:r>
          </w:p>
        </w:tc>
        <w:tc>
          <w:tcPr>
            <w:tcW w:w="8118" w:type="dxa"/>
          </w:tcPr>
          <w:p w:rsidR="00500EC3" w:rsidRPr="00CE3693" w:rsidRDefault="00500EC3" w:rsidP="004A0323">
            <w:pPr>
              <w:rPr>
                <w:sz w:val="20"/>
                <w:szCs w:val="20"/>
              </w:rPr>
            </w:pPr>
            <w:r w:rsidRPr="00CE3693">
              <w:rPr>
                <w:rStyle w:val="SCCCoramChar"/>
                <w:sz w:val="20"/>
                <w:szCs w:val="20"/>
                <w:lang w:val="en-CA"/>
              </w:rPr>
              <w:t xml:space="preserve">Fish, Rothstein and </w:t>
            </w:r>
            <w:proofErr w:type="spellStart"/>
            <w:r w:rsidRPr="00CE3693">
              <w:rPr>
                <w:rStyle w:val="SCCCoramChar"/>
                <w:sz w:val="20"/>
                <w:szCs w:val="20"/>
                <w:lang w:val="en-CA"/>
              </w:rPr>
              <w:t>Moldaver</w:t>
            </w:r>
            <w:proofErr w:type="spellEnd"/>
            <w:r w:rsidRPr="00CE3693">
              <w:rPr>
                <w:rStyle w:val="SCCCoramChar"/>
                <w:sz w:val="20"/>
                <w:szCs w:val="20"/>
                <w:lang w:val="en-CA"/>
              </w:rPr>
              <w:t> JJ.</w:t>
            </w:r>
          </w:p>
          <w:p w:rsidR="00500EC3" w:rsidRPr="00CE3693" w:rsidRDefault="00500EC3" w:rsidP="004A0323">
            <w:pPr>
              <w:rPr>
                <w:sz w:val="20"/>
                <w:szCs w:val="20"/>
                <w:u w:val="single"/>
              </w:rPr>
            </w:pPr>
          </w:p>
        </w:tc>
      </w:tr>
      <w:tr w:rsidR="00500EC3" w:rsidRPr="009714AD" w:rsidTr="004A0323">
        <w:trPr>
          <w:cantSplit/>
        </w:trPr>
        <w:tc>
          <w:tcPr>
            <w:tcW w:w="9576" w:type="dxa"/>
            <w:gridSpan w:val="2"/>
          </w:tcPr>
          <w:p w:rsidR="00500EC3" w:rsidRPr="00CE3693" w:rsidRDefault="00500EC3" w:rsidP="004A0323">
            <w:pPr>
              <w:pStyle w:val="SCCShortJudgment"/>
              <w:rPr>
                <w:szCs w:val="20"/>
              </w:rPr>
            </w:pPr>
            <w:r w:rsidRPr="00CE3693">
              <w:rPr>
                <w:szCs w:val="20"/>
              </w:rPr>
              <w:t>The motion for an extension of time to serve and file the application for leave to appeal is granted. The application for leave to appeal from the judgment of the Court of Appeal of New Brunswick, Number 151-11-CA, 2012 NBCA 92, dated March 22, 2012, is dismissed with costs.</w:t>
            </w:r>
          </w:p>
          <w:p w:rsidR="00500EC3" w:rsidRPr="00CE3693" w:rsidRDefault="00500EC3" w:rsidP="004A0323">
            <w:pPr>
              <w:pStyle w:val="SCCShortJudgment"/>
              <w:ind w:firstLine="0"/>
              <w:rPr>
                <w:szCs w:val="20"/>
              </w:rPr>
            </w:pPr>
          </w:p>
          <w:p w:rsidR="00500EC3" w:rsidRPr="00CE3693" w:rsidRDefault="00500EC3" w:rsidP="004A0323">
            <w:pPr>
              <w:pStyle w:val="SCCShortJudgment"/>
              <w:rPr>
                <w:szCs w:val="20"/>
                <w:lang w:val="fr-CA"/>
              </w:rPr>
            </w:pPr>
            <w:r w:rsidRPr="00CE3693">
              <w:rPr>
                <w:szCs w:val="20"/>
                <w:lang w:val="fr-CA"/>
              </w:rPr>
              <w:t>La requête en prorogation du délai de signification et de dépôt de la demande d’autorisation d’appel est accueillie. La demande d’autorisation d’appel de l’arrêt de la Cour d’appel du Nouveau-Brunswick, numéro 151-11-CA, 2012 NBCA 92, daté du 22 mars 2012, est rejetée avec dépens.</w:t>
            </w:r>
          </w:p>
        </w:tc>
      </w:tr>
    </w:tbl>
    <w:p w:rsidR="000C7850" w:rsidRPr="00500EC3"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F1BA3" w:rsidRPr="00495EC2" w:rsidTr="00EC5583">
        <w:tc>
          <w:tcPr>
            <w:tcW w:w="5000" w:type="pct"/>
            <w:gridSpan w:val="3"/>
          </w:tcPr>
          <w:p w:rsidR="00EF1BA3" w:rsidRPr="00495EC2" w:rsidRDefault="00EF1BA3" w:rsidP="00EC5583">
            <w:pPr>
              <w:jc w:val="both"/>
              <w:rPr>
                <w:rFonts w:eastAsia="Calibri"/>
                <w:sz w:val="20"/>
              </w:rPr>
            </w:pPr>
            <w:r w:rsidRPr="00495EC2">
              <w:rPr>
                <w:rFonts w:eastAsia="Calibri"/>
                <w:sz w:val="20"/>
              </w:rPr>
              <w:t xml:space="preserve">Civil procedure – Abuse of process – Third party claims – Commercial law – Corporations – Directors’ liability – Torts – Negligence – Duty of care – Can corporate directors be held personally liable to third parties for general negligence or </w:t>
            </w:r>
            <w:proofErr w:type="spellStart"/>
            <w:r w:rsidRPr="00495EC2">
              <w:rPr>
                <w:rFonts w:eastAsia="Calibri"/>
                <w:sz w:val="20"/>
              </w:rPr>
              <w:t>mis</w:t>
            </w:r>
            <w:r w:rsidRPr="00495EC2">
              <w:rPr>
                <w:rFonts w:eastAsia="Calibri"/>
                <w:sz w:val="20"/>
              </w:rPr>
              <w:noBreakHyphen/>
              <w:t>management</w:t>
            </w:r>
            <w:proofErr w:type="spellEnd"/>
            <w:r w:rsidRPr="00495EC2">
              <w:rPr>
                <w:rFonts w:eastAsia="Calibri"/>
                <w:sz w:val="20"/>
              </w:rPr>
              <w:t xml:space="preserve"> of the corporation, where there are no allegations of actions by the director that would create a personal duty of care to third parties – Is it valid for a defendant to bring a third party claim against corporate directors for contribution and indemnity, where the corporate plaintiff’s claim against the defendant is only for the defendant’s proportion of fault – Is it an abuse of process to join corporate directors as third parties to litigation involving the corporation, where there is no possible remedy against the directors and the proceedings are simply a means to compel discovery of the directors – </w:t>
            </w:r>
            <w:r w:rsidRPr="00495EC2">
              <w:rPr>
                <w:rFonts w:eastAsia="Calibri"/>
                <w:i/>
                <w:sz w:val="20"/>
              </w:rPr>
              <w:t>Rules of Court</w:t>
            </w:r>
            <w:r w:rsidRPr="00495EC2">
              <w:rPr>
                <w:rFonts w:eastAsia="Calibri"/>
                <w:sz w:val="20"/>
              </w:rPr>
              <w:t>, N.B. Reg. 82</w:t>
            </w:r>
            <w:r w:rsidRPr="00495EC2">
              <w:rPr>
                <w:rFonts w:eastAsia="Calibri"/>
                <w:sz w:val="20"/>
              </w:rPr>
              <w:noBreakHyphen/>
              <w:t>73, Rules 23.01 and 27.09.</w:t>
            </w:r>
          </w:p>
        </w:tc>
      </w:tr>
      <w:tr w:rsidR="00EF1BA3" w:rsidRPr="00495EC2" w:rsidTr="00EC5583">
        <w:tc>
          <w:tcPr>
            <w:tcW w:w="5000" w:type="pct"/>
            <w:gridSpan w:val="3"/>
          </w:tcPr>
          <w:p w:rsidR="00EF1BA3" w:rsidRPr="00495EC2" w:rsidRDefault="00EF1BA3" w:rsidP="00EC5583">
            <w:pPr>
              <w:jc w:val="both"/>
              <w:rPr>
                <w:rFonts w:eastAsia="Calibri"/>
                <w:sz w:val="20"/>
              </w:rPr>
            </w:pPr>
          </w:p>
        </w:tc>
      </w:tr>
      <w:tr w:rsidR="00EF1BA3" w:rsidRPr="00495EC2" w:rsidTr="00EC5583">
        <w:tc>
          <w:tcPr>
            <w:tcW w:w="5000" w:type="pct"/>
            <w:gridSpan w:val="3"/>
          </w:tcPr>
          <w:p w:rsidR="00EF1BA3" w:rsidRPr="00495EC2" w:rsidRDefault="00EF1BA3" w:rsidP="00EC5583">
            <w:pPr>
              <w:jc w:val="both"/>
              <w:rPr>
                <w:rFonts w:eastAsia="Calibri"/>
                <w:sz w:val="20"/>
              </w:rPr>
            </w:pPr>
            <w:r w:rsidRPr="00495EC2">
              <w:rPr>
                <w:rFonts w:eastAsia="Calibri"/>
                <w:sz w:val="20"/>
              </w:rPr>
              <w:t>Deer Island Credit Union brought an action in damages against the respondent auditors, alleging negligence and breach of contract for their failure to discover fraudulent misappropriations by a former Credit Union employee from 1995 to 2007, totalling $1,849,576.00.  The respondents denied liability and alternatively pled contributory negligence by the Credit Union.  In its reply, the Credit Union acknowledged that, should it be found that its officers or directors caused or contributed to the loss, recovery against the respondents would be reduced according to the proportion of the loss ascribed to them.  The respondents subsequently brought a third party claim against the individual members of the Credit Union’s board of directors, claiming negligence in the performance of their duties.  The directors and Credit Union brought a motion to strike out the third party claims against the directors.  The Court of Queen’s Bench of New Brunswick granted the motion but that decision was reversed and set aside by the Court of Appeal for New Brunswick.</w:t>
            </w:r>
          </w:p>
          <w:p w:rsidR="00EF1BA3" w:rsidRPr="00495EC2" w:rsidRDefault="00EF1BA3" w:rsidP="00EC5583">
            <w:pPr>
              <w:jc w:val="both"/>
              <w:rPr>
                <w:rFonts w:eastAsia="Calibri"/>
                <w:sz w:val="20"/>
              </w:rPr>
            </w:pPr>
          </w:p>
        </w:tc>
      </w:tr>
      <w:tr w:rsidR="00EF1BA3" w:rsidRPr="00495EC2" w:rsidTr="00EC5583">
        <w:tc>
          <w:tcPr>
            <w:tcW w:w="2427" w:type="pct"/>
          </w:tcPr>
          <w:p w:rsidR="00EF1BA3" w:rsidRPr="00495EC2" w:rsidRDefault="00EF1BA3" w:rsidP="00EC5583">
            <w:pPr>
              <w:jc w:val="both"/>
              <w:rPr>
                <w:rFonts w:eastAsia="Calibri"/>
                <w:sz w:val="20"/>
              </w:rPr>
            </w:pPr>
            <w:r w:rsidRPr="00495EC2">
              <w:rPr>
                <w:rFonts w:eastAsia="Calibri"/>
                <w:sz w:val="20"/>
              </w:rPr>
              <w:t>November 30, 2011</w:t>
            </w:r>
          </w:p>
          <w:p w:rsidR="00EF1BA3" w:rsidRPr="00495EC2" w:rsidRDefault="00EF1BA3" w:rsidP="00EC5583">
            <w:pPr>
              <w:jc w:val="both"/>
              <w:rPr>
                <w:rFonts w:eastAsia="Calibri"/>
                <w:sz w:val="20"/>
              </w:rPr>
            </w:pPr>
            <w:r w:rsidRPr="00495EC2">
              <w:rPr>
                <w:rFonts w:eastAsia="Calibri"/>
                <w:sz w:val="20"/>
              </w:rPr>
              <w:t>Court of Queen’s Bench of New Brunswick</w:t>
            </w:r>
          </w:p>
          <w:p w:rsidR="00EF1BA3" w:rsidRPr="00495EC2" w:rsidRDefault="00EF1BA3" w:rsidP="00EC5583">
            <w:pPr>
              <w:jc w:val="both"/>
              <w:rPr>
                <w:rFonts w:eastAsia="Calibri"/>
                <w:sz w:val="20"/>
              </w:rPr>
            </w:pPr>
            <w:r w:rsidRPr="00495EC2">
              <w:rPr>
                <w:rFonts w:eastAsia="Calibri"/>
                <w:sz w:val="20"/>
              </w:rPr>
              <w:t>(</w:t>
            </w:r>
            <w:proofErr w:type="spellStart"/>
            <w:r w:rsidRPr="00495EC2">
              <w:rPr>
                <w:rFonts w:eastAsia="Calibri"/>
                <w:sz w:val="20"/>
              </w:rPr>
              <w:t>McLellan</w:t>
            </w:r>
            <w:proofErr w:type="spellEnd"/>
            <w:r w:rsidRPr="00495EC2">
              <w:rPr>
                <w:rFonts w:eastAsia="Calibri"/>
                <w:sz w:val="20"/>
              </w:rPr>
              <w:t xml:space="preserve"> J.)</w:t>
            </w:r>
          </w:p>
          <w:p w:rsidR="00EF1BA3" w:rsidRPr="00495EC2" w:rsidRDefault="00EF1BA3" w:rsidP="00EC5583">
            <w:pPr>
              <w:jc w:val="both"/>
              <w:rPr>
                <w:rFonts w:eastAsia="Calibri"/>
                <w:sz w:val="20"/>
              </w:rPr>
            </w:pPr>
            <w:r w:rsidRPr="00495EC2">
              <w:rPr>
                <w:rFonts w:eastAsia="Calibri"/>
                <w:sz w:val="20"/>
              </w:rPr>
              <w:t xml:space="preserve">2011 NBQB 334 </w:t>
            </w:r>
          </w:p>
          <w:p w:rsidR="00EF1BA3" w:rsidRPr="00495EC2" w:rsidRDefault="00EF1BA3" w:rsidP="00EC5583">
            <w:pPr>
              <w:jc w:val="both"/>
              <w:rPr>
                <w:rFonts w:eastAsia="Calibri"/>
                <w:sz w:val="20"/>
              </w:rPr>
            </w:pPr>
          </w:p>
        </w:tc>
        <w:tc>
          <w:tcPr>
            <w:tcW w:w="243" w:type="pct"/>
          </w:tcPr>
          <w:p w:rsidR="00EF1BA3" w:rsidRPr="00495EC2" w:rsidRDefault="00EF1BA3" w:rsidP="00EC5583">
            <w:pPr>
              <w:jc w:val="both"/>
              <w:rPr>
                <w:rFonts w:eastAsia="Calibri"/>
                <w:sz w:val="20"/>
              </w:rPr>
            </w:pPr>
          </w:p>
        </w:tc>
        <w:tc>
          <w:tcPr>
            <w:tcW w:w="2330" w:type="pct"/>
          </w:tcPr>
          <w:p w:rsidR="00EF1BA3" w:rsidRPr="00495EC2" w:rsidRDefault="00EF1BA3" w:rsidP="00EC5583">
            <w:pPr>
              <w:jc w:val="both"/>
              <w:rPr>
                <w:rFonts w:eastAsia="Calibri"/>
                <w:sz w:val="20"/>
              </w:rPr>
            </w:pPr>
            <w:r w:rsidRPr="00495EC2">
              <w:rPr>
                <w:rFonts w:eastAsia="Calibri"/>
                <w:sz w:val="20"/>
              </w:rPr>
              <w:t>Third party claims by respondents against applicants struck out as not disclosing a reasonable cause of action and as an abuse of process</w:t>
            </w:r>
          </w:p>
        </w:tc>
      </w:tr>
      <w:tr w:rsidR="00EF1BA3" w:rsidRPr="00495EC2" w:rsidTr="00EC5583">
        <w:tc>
          <w:tcPr>
            <w:tcW w:w="2427" w:type="pct"/>
          </w:tcPr>
          <w:p w:rsidR="00EF1BA3" w:rsidRPr="00495EC2" w:rsidRDefault="00EF1BA3" w:rsidP="00EC5583">
            <w:pPr>
              <w:jc w:val="both"/>
              <w:rPr>
                <w:rFonts w:eastAsia="Calibri"/>
                <w:sz w:val="20"/>
              </w:rPr>
            </w:pPr>
            <w:r w:rsidRPr="00495EC2">
              <w:rPr>
                <w:rFonts w:eastAsia="Calibri"/>
                <w:sz w:val="20"/>
              </w:rPr>
              <w:t>March 22, 2012</w:t>
            </w:r>
          </w:p>
          <w:p w:rsidR="00EF1BA3" w:rsidRPr="00495EC2" w:rsidRDefault="00EF1BA3" w:rsidP="00EC5583">
            <w:pPr>
              <w:jc w:val="both"/>
              <w:rPr>
                <w:rFonts w:eastAsia="Calibri"/>
                <w:sz w:val="20"/>
              </w:rPr>
            </w:pPr>
            <w:r w:rsidRPr="00495EC2">
              <w:rPr>
                <w:rFonts w:eastAsia="Calibri"/>
                <w:sz w:val="20"/>
              </w:rPr>
              <w:t>Court of Appeal of New Brunswick</w:t>
            </w:r>
          </w:p>
          <w:p w:rsidR="00EF1BA3" w:rsidRPr="00495EC2" w:rsidRDefault="00EF1BA3" w:rsidP="00EC5583">
            <w:pPr>
              <w:jc w:val="both"/>
              <w:rPr>
                <w:rFonts w:eastAsia="Calibri"/>
                <w:sz w:val="20"/>
              </w:rPr>
            </w:pPr>
            <w:r w:rsidRPr="00495EC2">
              <w:rPr>
                <w:rFonts w:eastAsia="Calibri"/>
                <w:sz w:val="20"/>
              </w:rPr>
              <w:t xml:space="preserve">(Richard, Bell and </w:t>
            </w:r>
            <w:proofErr w:type="spellStart"/>
            <w:r w:rsidRPr="00495EC2">
              <w:rPr>
                <w:rFonts w:eastAsia="Calibri"/>
                <w:sz w:val="20"/>
              </w:rPr>
              <w:t>Quigg</w:t>
            </w:r>
            <w:proofErr w:type="spellEnd"/>
            <w:r w:rsidRPr="00495EC2">
              <w:rPr>
                <w:rFonts w:eastAsia="Calibri"/>
                <w:sz w:val="20"/>
              </w:rPr>
              <w:t xml:space="preserve"> JJ.A.)</w:t>
            </w:r>
          </w:p>
          <w:p w:rsidR="00EF1BA3" w:rsidRPr="00495EC2" w:rsidRDefault="00EF1BA3" w:rsidP="00EC5583">
            <w:pPr>
              <w:jc w:val="both"/>
              <w:rPr>
                <w:rFonts w:eastAsia="Calibri"/>
                <w:sz w:val="20"/>
              </w:rPr>
            </w:pPr>
            <w:r w:rsidRPr="00495EC2">
              <w:rPr>
                <w:rFonts w:eastAsia="Calibri"/>
                <w:sz w:val="20"/>
              </w:rPr>
              <w:t>2012 NBCA 92; 151</w:t>
            </w:r>
            <w:r w:rsidRPr="00495EC2">
              <w:rPr>
                <w:rFonts w:eastAsia="Calibri"/>
                <w:sz w:val="20"/>
              </w:rPr>
              <w:noBreakHyphen/>
              <w:t>11</w:t>
            </w:r>
            <w:r w:rsidRPr="00495EC2">
              <w:rPr>
                <w:rFonts w:eastAsia="Calibri"/>
                <w:sz w:val="20"/>
              </w:rPr>
              <w:noBreakHyphen/>
              <w:t>CA; 172</w:t>
            </w:r>
            <w:r w:rsidRPr="00495EC2">
              <w:rPr>
                <w:rFonts w:eastAsia="Calibri"/>
                <w:sz w:val="20"/>
              </w:rPr>
              <w:noBreakHyphen/>
              <w:t>11</w:t>
            </w:r>
            <w:r w:rsidRPr="00495EC2">
              <w:rPr>
                <w:rFonts w:eastAsia="Calibri"/>
                <w:sz w:val="20"/>
              </w:rPr>
              <w:noBreakHyphen/>
              <w:t>CA</w:t>
            </w:r>
          </w:p>
          <w:p w:rsidR="00EF1BA3" w:rsidRPr="00495EC2" w:rsidRDefault="00EF1BA3" w:rsidP="00EC5583">
            <w:pPr>
              <w:jc w:val="both"/>
              <w:rPr>
                <w:rFonts w:eastAsia="Calibri"/>
                <w:sz w:val="20"/>
              </w:rPr>
            </w:pPr>
          </w:p>
        </w:tc>
        <w:tc>
          <w:tcPr>
            <w:tcW w:w="243" w:type="pct"/>
          </w:tcPr>
          <w:p w:rsidR="00EF1BA3" w:rsidRPr="00495EC2" w:rsidRDefault="00EF1BA3" w:rsidP="00EC5583">
            <w:pPr>
              <w:jc w:val="both"/>
              <w:rPr>
                <w:rFonts w:eastAsia="Calibri"/>
                <w:sz w:val="20"/>
              </w:rPr>
            </w:pPr>
          </w:p>
        </w:tc>
        <w:tc>
          <w:tcPr>
            <w:tcW w:w="2330" w:type="pct"/>
          </w:tcPr>
          <w:p w:rsidR="00EF1BA3" w:rsidRPr="00495EC2" w:rsidRDefault="00EF1BA3" w:rsidP="00EC5583">
            <w:pPr>
              <w:jc w:val="both"/>
              <w:rPr>
                <w:rFonts w:eastAsia="Calibri"/>
                <w:sz w:val="20"/>
              </w:rPr>
            </w:pPr>
            <w:r w:rsidRPr="00495EC2">
              <w:rPr>
                <w:rFonts w:eastAsia="Calibri"/>
                <w:sz w:val="20"/>
              </w:rPr>
              <w:t>Respondents’ appeal allowed and decision of the Court of Queen’s Bench striking out the third party claim set aside</w:t>
            </w:r>
          </w:p>
          <w:p w:rsidR="00EF1BA3" w:rsidRPr="00495EC2" w:rsidRDefault="00EF1BA3" w:rsidP="00EC5583">
            <w:pPr>
              <w:jc w:val="both"/>
              <w:rPr>
                <w:rFonts w:eastAsia="Calibri"/>
                <w:sz w:val="20"/>
              </w:rPr>
            </w:pPr>
          </w:p>
        </w:tc>
      </w:tr>
      <w:tr w:rsidR="00EF1BA3" w:rsidRPr="00495EC2" w:rsidTr="00EC5583">
        <w:tc>
          <w:tcPr>
            <w:tcW w:w="2427" w:type="pct"/>
          </w:tcPr>
          <w:p w:rsidR="00EF1BA3" w:rsidRPr="00495EC2" w:rsidRDefault="00EF1BA3" w:rsidP="00EC5583">
            <w:pPr>
              <w:jc w:val="both"/>
              <w:rPr>
                <w:rFonts w:eastAsia="Calibri"/>
                <w:sz w:val="20"/>
              </w:rPr>
            </w:pPr>
            <w:r w:rsidRPr="00495EC2">
              <w:rPr>
                <w:rFonts w:eastAsia="Calibri"/>
                <w:sz w:val="20"/>
              </w:rPr>
              <w:t>December 28, 2012</w:t>
            </w:r>
          </w:p>
          <w:p w:rsidR="00EF1BA3" w:rsidRPr="00495EC2" w:rsidRDefault="00EF1BA3" w:rsidP="00EC5583">
            <w:pPr>
              <w:jc w:val="both"/>
              <w:rPr>
                <w:rFonts w:eastAsia="Calibri"/>
                <w:sz w:val="20"/>
              </w:rPr>
            </w:pPr>
            <w:r w:rsidRPr="00495EC2">
              <w:rPr>
                <w:rFonts w:eastAsia="Calibri"/>
                <w:sz w:val="20"/>
              </w:rPr>
              <w:t>Supreme Court of Canada</w:t>
            </w:r>
          </w:p>
        </w:tc>
        <w:tc>
          <w:tcPr>
            <w:tcW w:w="243" w:type="pct"/>
          </w:tcPr>
          <w:p w:rsidR="00EF1BA3" w:rsidRPr="00495EC2" w:rsidRDefault="00EF1BA3" w:rsidP="00EC5583">
            <w:pPr>
              <w:jc w:val="both"/>
              <w:rPr>
                <w:rFonts w:eastAsia="Calibri"/>
                <w:sz w:val="20"/>
              </w:rPr>
            </w:pPr>
          </w:p>
        </w:tc>
        <w:tc>
          <w:tcPr>
            <w:tcW w:w="2330" w:type="pct"/>
          </w:tcPr>
          <w:p w:rsidR="00EF1BA3" w:rsidRPr="00495EC2" w:rsidRDefault="00EF1BA3" w:rsidP="00EC5583">
            <w:pPr>
              <w:jc w:val="both"/>
              <w:rPr>
                <w:rFonts w:eastAsia="Calibri"/>
                <w:sz w:val="20"/>
              </w:rPr>
            </w:pPr>
            <w:r w:rsidRPr="00495EC2">
              <w:rPr>
                <w:rFonts w:eastAsia="Calibri"/>
                <w:sz w:val="20"/>
              </w:rPr>
              <w:t>Motion for an extension of time to serve and file the leave application and application for leave to appeal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76"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F1BA3" w:rsidRPr="009714AD" w:rsidTr="00EC5583">
        <w:tc>
          <w:tcPr>
            <w:tcW w:w="5000" w:type="pct"/>
            <w:gridSpan w:val="3"/>
          </w:tcPr>
          <w:p w:rsidR="00EF1BA3" w:rsidRPr="00495EC2" w:rsidRDefault="00EF1BA3" w:rsidP="00EC5583">
            <w:pPr>
              <w:jc w:val="both"/>
              <w:rPr>
                <w:rFonts w:eastAsia="Calibri"/>
                <w:sz w:val="20"/>
                <w:lang w:val="fr-CA"/>
              </w:rPr>
            </w:pPr>
            <w:r w:rsidRPr="00495EC2">
              <w:rPr>
                <w:rFonts w:eastAsia="Calibri"/>
                <w:sz w:val="20"/>
                <w:lang w:val="fr-CA"/>
              </w:rPr>
              <w:t xml:space="preserve">Procédure civile – Abus de procédure – Mise en cause – Droit commercial – Personnes morales – Responsabilité des administrateurs – Responsabilité délictuelle – Négligence – Obligation de diligence – Les administrateurs d'une personne morale </w:t>
            </w:r>
            <w:proofErr w:type="spellStart"/>
            <w:r w:rsidRPr="00495EC2">
              <w:rPr>
                <w:rFonts w:eastAsia="Calibri"/>
                <w:sz w:val="20"/>
                <w:lang w:val="fr-CA"/>
              </w:rPr>
              <w:t>peuvent</w:t>
            </w:r>
            <w:r w:rsidRPr="00495EC2">
              <w:rPr>
                <w:rFonts w:eastAsia="Calibri"/>
                <w:sz w:val="20"/>
                <w:lang w:val="fr-CA"/>
              </w:rPr>
              <w:noBreakHyphen/>
              <w:t>ils</w:t>
            </w:r>
            <w:proofErr w:type="spellEnd"/>
            <w:r w:rsidRPr="00495EC2">
              <w:rPr>
                <w:rFonts w:eastAsia="Calibri"/>
                <w:sz w:val="20"/>
                <w:lang w:val="fr-CA"/>
              </w:rPr>
              <w:t xml:space="preserve"> être tenus personnellement responsables envers des tiers pour la négligence générale ou la mauvaise gestion de la personne morale, en l'absence d'allégations d'actes posés par les administrateurs qui auraient pour effet de créer une obligation personnelle de diligence envers des tiers? – Un défendeur </w:t>
            </w:r>
            <w:proofErr w:type="spellStart"/>
            <w:r w:rsidRPr="00495EC2">
              <w:rPr>
                <w:rFonts w:eastAsia="Calibri"/>
                <w:sz w:val="20"/>
                <w:lang w:val="fr-CA"/>
              </w:rPr>
              <w:t>peut</w:t>
            </w:r>
            <w:r w:rsidRPr="00495EC2">
              <w:rPr>
                <w:rFonts w:eastAsia="Calibri"/>
                <w:sz w:val="20"/>
                <w:lang w:val="fr-CA"/>
              </w:rPr>
              <w:noBreakHyphen/>
              <w:t>il</w:t>
            </w:r>
            <w:proofErr w:type="spellEnd"/>
            <w:r w:rsidRPr="00495EC2">
              <w:rPr>
                <w:rFonts w:eastAsia="Calibri"/>
                <w:sz w:val="20"/>
                <w:lang w:val="fr-CA"/>
              </w:rPr>
              <w:t xml:space="preserve"> valablement mettre en cause les administrateurs de la personne morale dans une demande de contribution et d’indemnisation lorsque la demande de la personne morale demanderesse contre le défendeur ne concerne que la part de faute du défendeur? – La mise en cause des administrateurs d'une personne morale dans un litige intéressant la personne morale </w:t>
            </w:r>
            <w:proofErr w:type="spellStart"/>
            <w:r w:rsidRPr="00495EC2">
              <w:rPr>
                <w:rFonts w:eastAsia="Calibri"/>
                <w:sz w:val="20"/>
                <w:lang w:val="fr-CA"/>
              </w:rPr>
              <w:t>constitue</w:t>
            </w:r>
            <w:r w:rsidRPr="00495EC2">
              <w:rPr>
                <w:rFonts w:eastAsia="Calibri"/>
                <w:sz w:val="20"/>
                <w:lang w:val="fr-CA"/>
              </w:rPr>
              <w:noBreakHyphen/>
              <w:t>t</w:t>
            </w:r>
            <w:r w:rsidRPr="00495EC2">
              <w:rPr>
                <w:rFonts w:eastAsia="Calibri"/>
                <w:sz w:val="20"/>
                <w:lang w:val="fr-CA"/>
              </w:rPr>
              <w:noBreakHyphen/>
              <w:t>elle</w:t>
            </w:r>
            <w:proofErr w:type="spellEnd"/>
            <w:r w:rsidRPr="00495EC2">
              <w:rPr>
                <w:rFonts w:eastAsia="Calibri"/>
                <w:sz w:val="20"/>
                <w:lang w:val="fr-CA"/>
              </w:rPr>
              <w:t xml:space="preserve"> un abus de procédure lorsqu'il n'y a aucun recours possible contre les administrateurs et que l'instance représente simplement un moyen d'enjoindre les administrateurs de communiquer la preuve? –</w:t>
            </w:r>
            <w:r w:rsidRPr="00495EC2">
              <w:rPr>
                <w:rFonts w:eastAsia="Calibri"/>
                <w:i/>
                <w:sz w:val="20"/>
                <w:lang w:val="fr-CA"/>
              </w:rPr>
              <w:t xml:space="preserve"> Règles de procédure</w:t>
            </w:r>
            <w:r w:rsidRPr="00495EC2">
              <w:rPr>
                <w:rFonts w:eastAsia="Calibri"/>
                <w:sz w:val="20"/>
                <w:lang w:val="fr-CA"/>
              </w:rPr>
              <w:t xml:space="preserve">, </w:t>
            </w:r>
            <w:proofErr w:type="spellStart"/>
            <w:r w:rsidRPr="00495EC2">
              <w:rPr>
                <w:rFonts w:eastAsia="Calibri"/>
                <w:sz w:val="20"/>
                <w:lang w:val="fr-CA"/>
              </w:rPr>
              <w:t>Règl</w:t>
            </w:r>
            <w:proofErr w:type="spellEnd"/>
            <w:r w:rsidRPr="00495EC2">
              <w:rPr>
                <w:rFonts w:eastAsia="Calibri"/>
                <w:sz w:val="20"/>
                <w:lang w:val="fr-CA"/>
              </w:rPr>
              <w:t>. du N.</w:t>
            </w:r>
            <w:r w:rsidRPr="00495EC2">
              <w:rPr>
                <w:rFonts w:eastAsia="Calibri"/>
                <w:sz w:val="20"/>
                <w:lang w:val="fr-CA"/>
              </w:rPr>
              <w:noBreakHyphen/>
              <w:t>B. 82</w:t>
            </w:r>
            <w:r w:rsidRPr="00495EC2">
              <w:rPr>
                <w:rFonts w:eastAsia="Calibri"/>
                <w:sz w:val="20"/>
                <w:lang w:val="fr-CA"/>
              </w:rPr>
              <w:noBreakHyphen/>
              <w:t>73, règles 23.01 et 27.09.</w:t>
            </w:r>
          </w:p>
        </w:tc>
      </w:tr>
      <w:tr w:rsidR="00EF1BA3" w:rsidRPr="009714AD" w:rsidTr="00EC5583">
        <w:tc>
          <w:tcPr>
            <w:tcW w:w="5000" w:type="pct"/>
            <w:gridSpan w:val="3"/>
          </w:tcPr>
          <w:p w:rsidR="00EF1BA3" w:rsidRPr="00495EC2" w:rsidRDefault="00EF1BA3" w:rsidP="00EC5583">
            <w:pPr>
              <w:jc w:val="both"/>
              <w:rPr>
                <w:rFonts w:eastAsia="Calibri"/>
                <w:sz w:val="20"/>
                <w:lang w:val="fr-CA"/>
              </w:rPr>
            </w:pPr>
          </w:p>
        </w:tc>
      </w:tr>
      <w:tr w:rsidR="00EF1BA3" w:rsidRPr="009714AD" w:rsidTr="00EC5583">
        <w:tc>
          <w:tcPr>
            <w:tcW w:w="5000" w:type="pct"/>
            <w:gridSpan w:val="3"/>
          </w:tcPr>
          <w:p w:rsidR="00EF1BA3" w:rsidRPr="00495EC2" w:rsidRDefault="00EF1BA3" w:rsidP="00EC5583">
            <w:pPr>
              <w:jc w:val="both"/>
              <w:rPr>
                <w:rFonts w:eastAsia="Calibri"/>
                <w:sz w:val="20"/>
                <w:lang w:val="fr-CA"/>
              </w:rPr>
            </w:pPr>
            <w:proofErr w:type="spellStart"/>
            <w:r w:rsidRPr="00495EC2">
              <w:rPr>
                <w:rFonts w:eastAsia="Calibri"/>
                <w:sz w:val="20"/>
                <w:lang w:val="fr-CA"/>
              </w:rPr>
              <w:t>Deer</w:t>
            </w:r>
            <w:proofErr w:type="spellEnd"/>
            <w:r w:rsidRPr="00495EC2">
              <w:rPr>
                <w:rFonts w:eastAsia="Calibri"/>
                <w:sz w:val="20"/>
                <w:lang w:val="fr-CA"/>
              </w:rPr>
              <w:t xml:space="preserve"> Island </w:t>
            </w:r>
            <w:proofErr w:type="spellStart"/>
            <w:r w:rsidRPr="00495EC2">
              <w:rPr>
                <w:rFonts w:eastAsia="Calibri"/>
                <w:sz w:val="20"/>
                <w:lang w:val="fr-CA"/>
              </w:rPr>
              <w:t>Credit</w:t>
            </w:r>
            <w:proofErr w:type="spellEnd"/>
            <w:r w:rsidRPr="00495EC2">
              <w:rPr>
                <w:rFonts w:eastAsia="Calibri"/>
                <w:sz w:val="20"/>
                <w:lang w:val="fr-CA"/>
              </w:rPr>
              <w:t xml:space="preserve"> Union a intenté une action en </w:t>
            </w:r>
            <w:proofErr w:type="spellStart"/>
            <w:r w:rsidRPr="00495EC2">
              <w:rPr>
                <w:rFonts w:eastAsia="Calibri"/>
                <w:sz w:val="20"/>
                <w:lang w:val="fr-CA"/>
              </w:rPr>
              <w:t>dommages</w:t>
            </w:r>
            <w:r w:rsidRPr="00495EC2">
              <w:rPr>
                <w:rFonts w:eastAsia="Calibri"/>
                <w:sz w:val="20"/>
                <w:lang w:val="fr-CA"/>
              </w:rPr>
              <w:noBreakHyphen/>
              <w:t>intérêts</w:t>
            </w:r>
            <w:proofErr w:type="spellEnd"/>
            <w:r w:rsidRPr="00495EC2">
              <w:rPr>
                <w:rFonts w:eastAsia="Calibri"/>
                <w:sz w:val="20"/>
                <w:lang w:val="fr-CA"/>
              </w:rPr>
              <w:t xml:space="preserve"> contre les vérificateurs intimés, alléguant la négligence et la rupture de contrat parce qu'ils n’auraient pas découvert les détournements frauduleux perpétrés par une ancienne employée de la coopérative de crédit de 1995 à 2007, totalisant la somme de 1 849 576 $.  Les intimés ont nié toute la responsabilité et ont plaidé subsidiairement la négligence contributive de la coopérative de crédit.  Dans sa réplique, la coopérative de crédit a reconnu que s'il était jugé que ses dirigeants ou administrateurs avaient causé la perte ou y avaient contribué, le montant récupéré des intimés serait réduit proportionnellement à la perte qui leur est imputée.  Les intimés ont subséquemment mis en cause les membres individuels du conseil d'administration de la coopérative de crédit, alléguant la négligence dans l'exécution de leurs fonctions.  Les administrateurs et la coopérative de crédit ont présenté une motion en radiation de la mise en cause des administrateurs.  La Cour du Banc de la Reine du </w:t>
            </w:r>
            <w:proofErr w:type="spellStart"/>
            <w:r w:rsidRPr="00495EC2">
              <w:rPr>
                <w:rFonts w:eastAsia="Calibri"/>
                <w:sz w:val="20"/>
                <w:lang w:val="fr-CA"/>
              </w:rPr>
              <w:t>Nouveau</w:t>
            </w:r>
            <w:r w:rsidRPr="00495EC2">
              <w:rPr>
                <w:rFonts w:eastAsia="Calibri"/>
                <w:sz w:val="20"/>
                <w:lang w:val="fr-CA"/>
              </w:rPr>
              <w:noBreakHyphen/>
              <w:t>Brunswick</w:t>
            </w:r>
            <w:proofErr w:type="spellEnd"/>
            <w:r w:rsidRPr="00495EC2">
              <w:rPr>
                <w:rFonts w:eastAsia="Calibri"/>
                <w:sz w:val="20"/>
                <w:lang w:val="fr-CA"/>
              </w:rPr>
              <w:t xml:space="preserve"> a accueilli la motion, mais cette décision a été infirmée et annulée par la Cour d'appel du </w:t>
            </w:r>
            <w:proofErr w:type="spellStart"/>
            <w:r w:rsidRPr="00495EC2">
              <w:rPr>
                <w:rFonts w:eastAsia="Calibri"/>
                <w:sz w:val="20"/>
                <w:lang w:val="fr-CA"/>
              </w:rPr>
              <w:t>Nouveau</w:t>
            </w:r>
            <w:r w:rsidRPr="00495EC2">
              <w:rPr>
                <w:rFonts w:eastAsia="Calibri"/>
                <w:sz w:val="20"/>
                <w:lang w:val="fr-CA"/>
              </w:rPr>
              <w:noBreakHyphen/>
              <w:t>Brunswick</w:t>
            </w:r>
            <w:proofErr w:type="spellEnd"/>
            <w:r w:rsidRPr="00495EC2">
              <w:rPr>
                <w:rFonts w:eastAsia="Calibri"/>
                <w:sz w:val="20"/>
                <w:lang w:val="fr-CA"/>
              </w:rPr>
              <w:t>.</w:t>
            </w:r>
          </w:p>
          <w:p w:rsidR="00EF1BA3" w:rsidRPr="00495EC2" w:rsidRDefault="00EF1BA3" w:rsidP="00EC5583">
            <w:pPr>
              <w:jc w:val="both"/>
              <w:rPr>
                <w:rFonts w:eastAsia="Calibri"/>
                <w:sz w:val="20"/>
                <w:lang w:val="fr-CA"/>
              </w:rPr>
            </w:pPr>
          </w:p>
        </w:tc>
      </w:tr>
      <w:tr w:rsidR="00EF1BA3" w:rsidRPr="009714AD" w:rsidTr="004A0323">
        <w:trPr>
          <w:cantSplit/>
        </w:trPr>
        <w:tc>
          <w:tcPr>
            <w:tcW w:w="2427" w:type="pct"/>
          </w:tcPr>
          <w:p w:rsidR="00EF1BA3" w:rsidRPr="00495EC2" w:rsidRDefault="00EF1BA3" w:rsidP="00EC5583">
            <w:pPr>
              <w:jc w:val="both"/>
              <w:rPr>
                <w:rFonts w:eastAsia="Calibri"/>
                <w:sz w:val="20"/>
                <w:lang w:val="fr-CA"/>
              </w:rPr>
            </w:pPr>
            <w:r w:rsidRPr="00495EC2">
              <w:rPr>
                <w:rFonts w:eastAsia="Calibri"/>
                <w:sz w:val="20"/>
                <w:lang w:val="fr-CA"/>
              </w:rPr>
              <w:t>30 novembre 2011</w:t>
            </w:r>
          </w:p>
          <w:p w:rsidR="00EF1BA3" w:rsidRPr="00495EC2" w:rsidRDefault="00EF1BA3" w:rsidP="00EC5583">
            <w:pPr>
              <w:jc w:val="both"/>
              <w:rPr>
                <w:rFonts w:eastAsia="Calibri"/>
                <w:sz w:val="20"/>
                <w:lang w:val="fr-CA"/>
              </w:rPr>
            </w:pPr>
            <w:r w:rsidRPr="00495EC2">
              <w:rPr>
                <w:rFonts w:eastAsia="Calibri"/>
                <w:sz w:val="20"/>
                <w:lang w:val="fr-CA"/>
              </w:rPr>
              <w:t xml:space="preserve">Cour du Banc de la Reine du </w:t>
            </w:r>
            <w:proofErr w:type="spellStart"/>
            <w:r w:rsidRPr="00495EC2">
              <w:rPr>
                <w:rFonts w:eastAsia="Calibri"/>
                <w:sz w:val="20"/>
                <w:lang w:val="fr-CA"/>
              </w:rPr>
              <w:t>Nouveau</w:t>
            </w:r>
            <w:r w:rsidRPr="00495EC2">
              <w:rPr>
                <w:rFonts w:eastAsia="Calibri"/>
                <w:sz w:val="20"/>
                <w:lang w:val="fr-CA"/>
              </w:rPr>
              <w:noBreakHyphen/>
              <w:t>Brunswick</w:t>
            </w:r>
            <w:proofErr w:type="spellEnd"/>
          </w:p>
          <w:p w:rsidR="00EF1BA3" w:rsidRPr="00495EC2" w:rsidRDefault="00EF1BA3" w:rsidP="00EC5583">
            <w:pPr>
              <w:jc w:val="both"/>
              <w:rPr>
                <w:rFonts w:eastAsia="Calibri"/>
                <w:sz w:val="20"/>
                <w:lang w:val="fr-CA"/>
              </w:rPr>
            </w:pPr>
            <w:r w:rsidRPr="00495EC2">
              <w:rPr>
                <w:rFonts w:eastAsia="Calibri"/>
                <w:sz w:val="20"/>
                <w:lang w:val="fr-CA"/>
              </w:rPr>
              <w:t xml:space="preserve">(Juge </w:t>
            </w:r>
            <w:proofErr w:type="spellStart"/>
            <w:r w:rsidRPr="00495EC2">
              <w:rPr>
                <w:rFonts w:eastAsia="Calibri"/>
                <w:sz w:val="20"/>
                <w:lang w:val="fr-CA"/>
              </w:rPr>
              <w:t>McLellan</w:t>
            </w:r>
            <w:proofErr w:type="spellEnd"/>
            <w:r w:rsidRPr="00495EC2">
              <w:rPr>
                <w:rFonts w:eastAsia="Calibri"/>
                <w:sz w:val="20"/>
                <w:lang w:val="fr-CA"/>
              </w:rPr>
              <w:t>)</w:t>
            </w:r>
          </w:p>
          <w:p w:rsidR="00EF1BA3" w:rsidRPr="00495EC2" w:rsidRDefault="00EF1BA3" w:rsidP="00EC5583">
            <w:pPr>
              <w:jc w:val="both"/>
              <w:rPr>
                <w:rFonts w:eastAsia="Calibri"/>
                <w:sz w:val="20"/>
                <w:lang w:val="fr-CA"/>
              </w:rPr>
            </w:pPr>
            <w:r w:rsidRPr="00495EC2">
              <w:rPr>
                <w:rFonts w:eastAsia="Calibri"/>
                <w:sz w:val="20"/>
                <w:lang w:val="fr-CA"/>
              </w:rPr>
              <w:t xml:space="preserve">2011 NBQB 334 </w:t>
            </w:r>
          </w:p>
          <w:p w:rsidR="00EF1BA3" w:rsidRPr="00495EC2" w:rsidRDefault="00EF1BA3" w:rsidP="00EC5583">
            <w:pPr>
              <w:jc w:val="both"/>
              <w:rPr>
                <w:rFonts w:eastAsia="Calibri"/>
                <w:sz w:val="20"/>
                <w:lang w:val="fr-CA"/>
              </w:rPr>
            </w:pPr>
          </w:p>
        </w:tc>
        <w:tc>
          <w:tcPr>
            <w:tcW w:w="243" w:type="pct"/>
          </w:tcPr>
          <w:p w:rsidR="00EF1BA3" w:rsidRPr="00495EC2" w:rsidRDefault="00EF1BA3" w:rsidP="00EC5583">
            <w:pPr>
              <w:jc w:val="both"/>
              <w:rPr>
                <w:rFonts w:eastAsia="Calibri"/>
                <w:sz w:val="20"/>
                <w:lang w:val="fr-CA"/>
              </w:rPr>
            </w:pPr>
          </w:p>
        </w:tc>
        <w:tc>
          <w:tcPr>
            <w:tcW w:w="2330" w:type="pct"/>
          </w:tcPr>
          <w:p w:rsidR="00EF1BA3" w:rsidRPr="00495EC2" w:rsidRDefault="00EF1BA3" w:rsidP="00EC5583">
            <w:pPr>
              <w:jc w:val="both"/>
              <w:rPr>
                <w:rFonts w:eastAsia="Calibri"/>
                <w:sz w:val="20"/>
                <w:lang w:val="fr-CA"/>
              </w:rPr>
            </w:pPr>
            <w:r w:rsidRPr="00495EC2">
              <w:rPr>
                <w:rFonts w:eastAsia="Calibri"/>
                <w:sz w:val="20"/>
                <w:lang w:val="fr-CA"/>
              </w:rPr>
              <w:t>Mises en cause des demandeurs par les intimés annulée parce qu'elle ne révèle aucune cause d'action raisonnable  et qu’elle constitue un usage abusif de la procédure judiciaire</w:t>
            </w:r>
          </w:p>
        </w:tc>
      </w:tr>
      <w:tr w:rsidR="00EF1BA3" w:rsidRPr="009714AD" w:rsidTr="004A0323">
        <w:trPr>
          <w:cantSplit/>
        </w:trPr>
        <w:tc>
          <w:tcPr>
            <w:tcW w:w="2427" w:type="pct"/>
          </w:tcPr>
          <w:p w:rsidR="00EF1BA3" w:rsidRPr="00495EC2" w:rsidRDefault="00EF1BA3" w:rsidP="00EC5583">
            <w:pPr>
              <w:jc w:val="both"/>
              <w:rPr>
                <w:rFonts w:eastAsia="Calibri"/>
                <w:sz w:val="20"/>
                <w:lang w:val="fr-CA"/>
              </w:rPr>
            </w:pPr>
            <w:r w:rsidRPr="00495EC2">
              <w:rPr>
                <w:rFonts w:eastAsia="Calibri"/>
                <w:sz w:val="20"/>
                <w:lang w:val="fr-CA"/>
              </w:rPr>
              <w:t>22 mars 2012</w:t>
            </w:r>
          </w:p>
          <w:p w:rsidR="00EF1BA3" w:rsidRPr="00495EC2" w:rsidRDefault="00EF1BA3" w:rsidP="00EC5583">
            <w:pPr>
              <w:jc w:val="both"/>
              <w:rPr>
                <w:rFonts w:eastAsia="Calibri"/>
                <w:sz w:val="20"/>
                <w:lang w:val="fr-CA"/>
              </w:rPr>
            </w:pPr>
            <w:r w:rsidRPr="00495EC2">
              <w:rPr>
                <w:rFonts w:eastAsia="Calibri"/>
                <w:sz w:val="20"/>
                <w:lang w:val="fr-CA"/>
              </w:rPr>
              <w:t xml:space="preserve">Cour d'appel du </w:t>
            </w:r>
            <w:proofErr w:type="spellStart"/>
            <w:r w:rsidRPr="00495EC2">
              <w:rPr>
                <w:rFonts w:eastAsia="Calibri"/>
                <w:sz w:val="20"/>
                <w:lang w:val="fr-CA"/>
              </w:rPr>
              <w:t>Nouveau</w:t>
            </w:r>
            <w:r w:rsidRPr="00495EC2">
              <w:rPr>
                <w:rFonts w:eastAsia="Calibri"/>
                <w:sz w:val="20"/>
                <w:lang w:val="fr-CA"/>
              </w:rPr>
              <w:noBreakHyphen/>
              <w:t>Brunswick</w:t>
            </w:r>
            <w:proofErr w:type="spellEnd"/>
          </w:p>
          <w:p w:rsidR="00EF1BA3" w:rsidRPr="00495EC2" w:rsidRDefault="00EF1BA3" w:rsidP="00EC5583">
            <w:pPr>
              <w:jc w:val="both"/>
              <w:rPr>
                <w:rFonts w:eastAsia="Calibri"/>
                <w:sz w:val="20"/>
                <w:lang w:val="fr-CA"/>
              </w:rPr>
            </w:pPr>
            <w:r w:rsidRPr="00495EC2">
              <w:rPr>
                <w:rFonts w:eastAsia="Calibri"/>
                <w:sz w:val="20"/>
                <w:lang w:val="fr-CA"/>
              </w:rPr>
              <w:t xml:space="preserve">(Juges Richard, Bell et </w:t>
            </w:r>
            <w:proofErr w:type="spellStart"/>
            <w:r w:rsidRPr="00495EC2">
              <w:rPr>
                <w:rFonts w:eastAsia="Calibri"/>
                <w:sz w:val="20"/>
                <w:lang w:val="fr-CA"/>
              </w:rPr>
              <w:t>Quigg</w:t>
            </w:r>
            <w:proofErr w:type="spellEnd"/>
            <w:r w:rsidRPr="00495EC2">
              <w:rPr>
                <w:rFonts w:eastAsia="Calibri"/>
                <w:sz w:val="20"/>
                <w:lang w:val="fr-CA"/>
              </w:rPr>
              <w:t>)</w:t>
            </w:r>
          </w:p>
          <w:p w:rsidR="00EF1BA3" w:rsidRPr="00495EC2" w:rsidRDefault="00EF1BA3" w:rsidP="00EC5583">
            <w:pPr>
              <w:jc w:val="both"/>
              <w:rPr>
                <w:rFonts w:eastAsia="Calibri"/>
                <w:sz w:val="20"/>
                <w:lang w:val="fr-CA"/>
              </w:rPr>
            </w:pPr>
            <w:r w:rsidRPr="00495EC2">
              <w:rPr>
                <w:rFonts w:eastAsia="Calibri"/>
                <w:sz w:val="20"/>
                <w:lang w:val="fr-CA"/>
              </w:rPr>
              <w:t>2012 NBCA 92; 151</w:t>
            </w:r>
            <w:r w:rsidRPr="00495EC2">
              <w:rPr>
                <w:rFonts w:eastAsia="Calibri"/>
                <w:sz w:val="20"/>
                <w:lang w:val="fr-CA"/>
              </w:rPr>
              <w:noBreakHyphen/>
              <w:t>11</w:t>
            </w:r>
            <w:r w:rsidRPr="00495EC2">
              <w:rPr>
                <w:rFonts w:eastAsia="Calibri"/>
                <w:sz w:val="20"/>
                <w:lang w:val="fr-CA"/>
              </w:rPr>
              <w:noBreakHyphen/>
              <w:t>CA; 172</w:t>
            </w:r>
            <w:r w:rsidRPr="00495EC2">
              <w:rPr>
                <w:rFonts w:eastAsia="Calibri"/>
                <w:sz w:val="20"/>
                <w:lang w:val="fr-CA"/>
              </w:rPr>
              <w:noBreakHyphen/>
              <w:t>11</w:t>
            </w:r>
            <w:r w:rsidRPr="00495EC2">
              <w:rPr>
                <w:rFonts w:eastAsia="Calibri"/>
                <w:sz w:val="20"/>
                <w:lang w:val="fr-CA"/>
              </w:rPr>
              <w:noBreakHyphen/>
              <w:t>CA</w:t>
            </w:r>
          </w:p>
          <w:p w:rsidR="00EF1BA3" w:rsidRPr="00495EC2" w:rsidRDefault="00EF1BA3" w:rsidP="00EC5583">
            <w:pPr>
              <w:jc w:val="both"/>
              <w:rPr>
                <w:rFonts w:eastAsia="Calibri"/>
                <w:sz w:val="20"/>
                <w:lang w:val="fr-CA"/>
              </w:rPr>
            </w:pPr>
          </w:p>
        </w:tc>
        <w:tc>
          <w:tcPr>
            <w:tcW w:w="243" w:type="pct"/>
          </w:tcPr>
          <w:p w:rsidR="00EF1BA3" w:rsidRPr="00495EC2" w:rsidRDefault="00EF1BA3" w:rsidP="00EC5583">
            <w:pPr>
              <w:jc w:val="both"/>
              <w:rPr>
                <w:rFonts w:eastAsia="Calibri"/>
                <w:sz w:val="20"/>
                <w:lang w:val="fr-CA"/>
              </w:rPr>
            </w:pPr>
          </w:p>
        </w:tc>
        <w:tc>
          <w:tcPr>
            <w:tcW w:w="2330" w:type="pct"/>
          </w:tcPr>
          <w:p w:rsidR="00EF1BA3" w:rsidRPr="00495EC2" w:rsidRDefault="00EF1BA3" w:rsidP="00EC5583">
            <w:pPr>
              <w:jc w:val="both"/>
              <w:rPr>
                <w:rFonts w:eastAsia="Calibri"/>
                <w:sz w:val="20"/>
                <w:lang w:val="fr-CA"/>
              </w:rPr>
            </w:pPr>
            <w:r w:rsidRPr="00495EC2">
              <w:rPr>
                <w:rFonts w:eastAsia="Calibri"/>
                <w:sz w:val="20"/>
                <w:lang w:val="fr-CA"/>
              </w:rPr>
              <w:t>Appel des intimés accueilli et décision de la Cour du Banc de la Reine radiant la mise en cause, annulée</w:t>
            </w:r>
          </w:p>
          <w:p w:rsidR="00EF1BA3" w:rsidRPr="00495EC2" w:rsidRDefault="00EF1BA3" w:rsidP="00EC5583">
            <w:pPr>
              <w:jc w:val="both"/>
              <w:rPr>
                <w:rFonts w:eastAsia="Calibri"/>
                <w:sz w:val="20"/>
                <w:lang w:val="fr-CA"/>
              </w:rPr>
            </w:pPr>
          </w:p>
        </w:tc>
      </w:tr>
      <w:tr w:rsidR="00EF1BA3" w:rsidRPr="009714AD" w:rsidTr="004A0323">
        <w:trPr>
          <w:cantSplit/>
        </w:trPr>
        <w:tc>
          <w:tcPr>
            <w:tcW w:w="2427" w:type="pct"/>
          </w:tcPr>
          <w:p w:rsidR="00EF1BA3" w:rsidRPr="00495EC2" w:rsidRDefault="00EF1BA3" w:rsidP="00EC5583">
            <w:pPr>
              <w:jc w:val="both"/>
              <w:rPr>
                <w:rFonts w:eastAsia="Calibri"/>
                <w:sz w:val="20"/>
                <w:lang w:val="fr-CA"/>
              </w:rPr>
            </w:pPr>
            <w:r w:rsidRPr="00495EC2">
              <w:rPr>
                <w:rFonts w:eastAsia="Calibri"/>
                <w:sz w:val="20"/>
                <w:lang w:val="fr-CA"/>
              </w:rPr>
              <w:t>28 décembre 2012</w:t>
            </w:r>
          </w:p>
          <w:p w:rsidR="00EF1BA3" w:rsidRPr="00495EC2" w:rsidRDefault="00EF1BA3" w:rsidP="00EC5583">
            <w:pPr>
              <w:jc w:val="both"/>
              <w:rPr>
                <w:rFonts w:eastAsia="Calibri"/>
                <w:sz w:val="20"/>
                <w:lang w:val="fr-CA"/>
              </w:rPr>
            </w:pPr>
            <w:r w:rsidRPr="00495EC2">
              <w:rPr>
                <w:rFonts w:eastAsia="Calibri"/>
                <w:sz w:val="20"/>
                <w:lang w:val="fr-CA"/>
              </w:rPr>
              <w:t>Cour suprême du Canada</w:t>
            </w:r>
          </w:p>
        </w:tc>
        <w:tc>
          <w:tcPr>
            <w:tcW w:w="243" w:type="pct"/>
          </w:tcPr>
          <w:p w:rsidR="00EF1BA3" w:rsidRPr="00495EC2" w:rsidRDefault="00EF1BA3" w:rsidP="00EC5583">
            <w:pPr>
              <w:jc w:val="both"/>
              <w:rPr>
                <w:rFonts w:eastAsia="Calibri"/>
                <w:sz w:val="20"/>
                <w:lang w:val="fr-CA"/>
              </w:rPr>
            </w:pPr>
          </w:p>
        </w:tc>
        <w:tc>
          <w:tcPr>
            <w:tcW w:w="2330" w:type="pct"/>
          </w:tcPr>
          <w:p w:rsidR="00EF1BA3" w:rsidRPr="00495EC2" w:rsidRDefault="00EF1BA3" w:rsidP="00EC5583">
            <w:pPr>
              <w:jc w:val="both"/>
              <w:rPr>
                <w:rFonts w:eastAsia="Calibri"/>
                <w:sz w:val="20"/>
                <w:lang w:val="fr-CA"/>
              </w:rPr>
            </w:pPr>
            <w:r w:rsidRPr="00495EC2">
              <w:rPr>
                <w:rFonts w:eastAsia="Calibri"/>
                <w:sz w:val="20"/>
                <w:lang w:val="fr-CA"/>
              </w:rPr>
              <w:t>Requête en prorogation du délai de signification et du dépôt de la demande d'autorisation et demande d'autorisation d'appel, déposées</w:t>
            </w:r>
          </w:p>
        </w:tc>
      </w:tr>
    </w:tbl>
    <w:p w:rsidR="000C7850" w:rsidRPr="00EF1BA3" w:rsidRDefault="000C7850" w:rsidP="000C7850">
      <w:pPr>
        <w:rPr>
          <w:sz w:val="20"/>
          <w:szCs w:val="20"/>
          <w:lang w:val="fr-CA"/>
        </w:rPr>
      </w:pPr>
    </w:p>
    <w:p w:rsidR="000C7850" w:rsidRDefault="00BE6ED8" w:rsidP="000C7850">
      <w:pPr>
        <w:rPr>
          <w:sz w:val="20"/>
          <w:szCs w:val="20"/>
        </w:rPr>
      </w:pPr>
      <w:r w:rsidRPr="00BE6ED8">
        <w:rPr>
          <w:sz w:val="20"/>
          <w:szCs w:val="20"/>
          <w:lang w:val="fr-CA"/>
        </w:rPr>
        <w:pict>
          <v:rect id="_x0000_i1077"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3229E" w:rsidRPr="00B3229E" w:rsidTr="009E6124">
        <w:trPr>
          <w:cantSplit/>
        </w:trPr>
        <w:tc>
          <w:tcPr>
            <w:tcW w:w="1458" w:type="dxa"/>
          </w:tcPr>
          <w:p w:rsidR="00B3229E" w:rsidRPr="00B3229E" w:rsidRDefault="00B3229E" w:rsidP="009E6124">
            <w:pPr>
              <w:rPr>
                <w:sz w:val="20"/>
                <w:szCs w:val="20"/>
              </w:rPr>
            </w:pPr>
            <w:r w:rsidRPr="00B3229E">
              <w:rPr>
                <w:rStyle w:val="SCCFileNumberChar"/>
                <w:sz w:val="20"/>
                <w:szCs w:val="20"/>
              </w:rPr>
              <w:t>35147</w:t>
            </w:r>
          </w:p>
          <w:p w:rsidR="00B3229E" w:rsidRPr="00B3229E" w:rsidRDefault="00B3229E" w:rsidP="009E6124">
            <w:pPr>
              <w:rPr>
                <w:b/>
                <w:sz w:val="20"/>
                <w:szCs w:val="20"/>
                <w:lang w:val="fr-CA"/>
              </w:rPr>
            </w:pPr>
          </w:p>
        </w:tc>
        <w:tc>
          <w:tcPr>
            <w:tcW w:w="8118" w:type="dxa"/>
          </w:tcPr>
          <w:p w:rsidR="00B3229E" w:rsidRPr="00B3229E" w:rsidRDefault="00B3229E" w:rsidP="009E6124">
            <w:pPr>
              <w:rPr>
                <w:sz w:val="20"/>
                <w:szCs w:val="20"/>
              </w:rPr>
            </w:pPr>
            <w:r w:rsidRPr="00B3229E">
              <w:rPr>
                <w:rStyle w:val="SCCLsocChar"/>
                <w:sz w:val="20"/>
                <w:szCs w:val="20"/>
                <w:lang w:val="en-CA"/>
              </w:rPr>
              <w:t>Global Equity Fund Ltd. v. Her Majesty the Queen</w:t>
            </w:r>
            <w:r w:rsidRPr="00B3229E">
              <w:rPr>
                <w:sz w:val="20"/>
                <w:szCs w:val="20"/>
              </w:rPr>
              <w:t xml:space="preserve"> (F.C.) (Civil) (By Leave)</w:t>
            </w:r>
          </w:p>
          <w:p w:rsidR="00B3229E" w:rsidRPr="00B3229E" w:rsidRDefault="00B3229E" w:rsidP="009E6124">
            <w:pPr>
              <w:rPr>
                <w:sz w:val="20"/>
                <w:szCs w:val="20"/>
              </w:rPr>
            </w:pPr>
          </w:p>
        </w:tc>
      </w:tr>
      <w:tr w:rsidR="00B3229E" w:rsidRPr="00B3229E" w:rsidTr="009E6124">
        <w:trPr>
          <w:cantSplit/>
        </w:trPr>
        <w:tc>
          <w:tcPr>
            <w:tcW w:w="1458" w:type="dxa"/>
          </w:tcPr>
          <w:p w:rsidR="00B3229E" w:rsidRPr="00B3229E" w:rsidRDefault="00B3229E" w:rsidP="009E6124">
            <w:pPr>
              <w:rPr>
                <w:sz w:val="20"/>
                <w:szCs w:val="20"/>
              </w:rPr>
            </w:pPr>
            <w:r w:rsidRPr="00B3229E">
              <w:rPr>
                <w:sz w:val="20"/>
                <w:szCs w:val="20"/>
              </w:rPr>
              <w:t>Coram :</w:t>
            </w:r>
          </w:p>
        </w:tc>
        <w:tc>
          <w:tcPr>
            <w:tcW w:w="8118" w:type="dxa"/>
          </w:tcPr>
          <w:p w:rsidR="00B3229E" w:rsidRPr="00B3229E" w:rsidRDefault="00B3229E" w:rsidP="009E6124">
            <w:pPr>
              <w:rPr>
                <w:sz w:val="20"/>
                <w:szCs w:val="20"/>
              </w:rPr>
            </w:pPr>
            <w:proofErr w:type="spellStart"/>
            <w:r w:rsidRPr="00B3229E">
              <w:rPr>
                <w:rStyle w:val="SCCCoramChar"/>
                <w:sz w:val="20"/>
                <w:szCs w:val="20"/>
                <w:lang w:val="en-CA"/>
              </w:rPr>
              <w:t>McLachlin</w:t>
            </w:r>
            <w:proofErr w:type="spellEnd"/>
            <w:r w:rsidRPr="00B3229E">
              <w:rPr>
                <w:rStyle w:val="SCCCoramChar"/>
                <w:sz w:val="20"/>
                <w:szCs w:val="20"/>
                <w:lang w:val="en-CA"/>
              </w:rPr>
              <w:t xml:space="preserve"> C.J. and </w:t>
            </w:r>
            <w:proofErr w:type="spellStart"/>
            <w:r w:rsidRPr="00B3229E">
              <w:rPr>
                <w:rStyle w:val="SCCCoramChar"/>
                <w:sz w:val="20"/>
                <w:szCs w:val="20"/>
                <w:lang w:val="en-CA"/>
              </w:rPr>
              <w:t>Abella</w:t>
            </w:r>
            <w:proofErr w:type="spellEnd"/>
            <w:r w:rsidRPr="00B3229E">
              <w:rPr>
                <w:rStyle w:val="SCCCoramChar"/>
                <w:sz w:val="20"/>
                <w:szCs w:val="20"/>
                <w:lang w:val="en-CA"/>
              </w:rPr>
              <w:t xml:space="preserve"> and Cromwell JJ.</w:t>
            </w:r>
          </w:p>
          <w:p w:rsidR="00B3229E" w:rsidRPr="00B3229E" w:rsidRDefault="00B3229E" w:rsidP="009E6124">
            <w:pPr>
              <w:rPr>
                <w:sz w:val="20"/>
                <w:szCs w:val="20"/>
                <w:u w:val="single"/>
              </w:rPr>
            </w:pPr>
          </w:p>
        </w:tc>
      </w:tr>
      <w:tr w:rsidR="00B3229E" w:rsidRPr="009714AD" w:rsidTr="009E6124">
        <w:trPr>
          <w:cantSplit/>
        </w:trPr>
        <w:tc>
          <w:tcPr>
            <w:tcW w:w="9576" w:type="dxa"/>
            <w:gridSpan w:val="2"/>
          </w:tcPr>
          <w:p w:rsidR="00B3229E" w:rsidRPr="00B3229E" w:rsidRDefault="00B3229E" w:rsidP="009E6124">
            <w:pPr>
              <w:pStyle w:val="SCCShortJudgment"/>
              <w:rPr>
                <w:szCs w:val="20"/>
              </w:rPr>
            </w:pPr>
            <w:r w:rsidRPr="00B3229E">
              <w:rPr>
                <w:szCs w:val="20"/>
              </w:rPr>
              <w:t>The application for leave to appeal from the judgment of the Federal Court of Appeal, Number A-445-11, 2012 FCA 272, dated October 30, 2012, is dismissed with costs.</w:t>
            </w:r>
          </w:p>
          <w:p w:rsidR="00B3229E" w:rsidRPr="00B3229E" w:rsidRDefault="00B3229E" w:rsidP="009E6124">
            <w:pPr>
              <w:pStyle w:val="SCCShortJudgment"/>
              <w:ind w:firstLine="0"/>
              <w:rPr>
                <w:szCs w:val="20"/>
              </w:rPr>
            </w:pPr>
          </w:p>
          <w:p w:rsidR="00B3229E" w:rsidRPr="00B3229E" w:rsidRDefault="00B3229E" w:rsidP="009E6124">
            <w:pPr>
              <w:pStyle w:val="SCCShortJudgment"/>
              <w:rPr>
                <w:szCs w:val="20"/>
                <w:lang w:val="fr-CA"/>
              </w:rPr>
            </w:pPr>
            <w:r w:rsidRPr="00B3229E">
              <w:rPr>
                <w:szCs w:val="20"/>
                <w:lang w:val="fr-CA"/>
              </w:rPr>
              <w:t>La demande d’autorisation d’appel de l’arrêt de la Cour d’appel fédérale, numéro A-445-11, 2012 CAF 272, daté du 30 octobre 2012, est rejetée avec dépens.</w:t>
            </w:r>
          </w:p>
        </w:tc>
      </w:tr>
    </w:tbl>
    <w:p w:rsidR="000C7850" w:rsidRPr="000C7850"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5583" w:rsidRPr="00495EC2" w:rsidTr="00EC5583">
        <w:tc>
          <w:tcPr>
            <w:tcW w:w="5000" w:type="pct"/>
            <w:gridSpan w:val="3"/>
          </w:tcPr>
          <w:p w:rsidR="00EC5583" w:rsidRPr="00495EC2" w:rsidRDefault="00EC5583" w:rsidP="00EC5583">
            <w:pPr>
              <w:jc w:val="both"/>
              <w:rPr>
                <w:rFonts w:eastAsia="Calibri"/>
                <w:sz w:val="20"/>
              </w:rPr>
            </w:pPr>
            <w:r w:rsidRPr="00495EC2">
              <w:rPr>
                <w:rFonts w:eastAsia="Calibri"/>
                <w:sz w:val="20"/>
              </w:rPr>
              <w:t>Taxation – Income tax – General anti</w:t>
            </w:r>
            <w:r w:rsidRPr="00495EC2">
              <w:rPr>
                <w:rFonts w:eastAsia="Calibri"/>
                <w:sz w:val="20"/>
              </w:rPr>
              <w:noBreakHyphen/>
            </w:r>
            <w:proofErr w:type="spellStart"/>
            <w:r w:rsidRPr="00495EC2">
              <w:rPr>
                <w:rFonts w:eastAsia="Calibri"/>
                <w:sz w:val="20"/>
              </w:rPr>
              <w:t>avoidance</w:t>
            </w:r>
            <w:proofErr w:type="spellEnd"/>
            <w:r w:rsidRPr="00495EC2">
              <w:rPr>
                <w:rFonts w:eastAsia="Calibri"/>
                <w:sz w:val="20"/>
              </w:rPr>
              <w:t xml:space="preserve"> rule (“GAAR”) – Legislation – Interpretation – Is s. 9 business income or business loss subject to an “economic” or “business reality” test – Did the appellate court err in its application of the GAAR by ignoring the Crown’s burden and by advancing its own rationale of the relevant provisions – Did the appellate court err in its application of the standard of review by failing to determine the correctness of the trial judge’s decision – Did the appellate court err by allowing GAAR to fill in the gaps in the Minister’s assessing choice and expanding on the permissible extrinsic aids used in GAAR</w:t>
            </w:r>
            <w:r w:rsidRPr="00495EC2">
              <w:rPr>
                <w:rFonts w:eastAsia="Calibri"/>
                <w:sz w:val="20"/>
              </w:rPr>
              <w:noBreakHyphen/>
            </w:r>
            <w:proofErr w:type="spellStart"/>
            <w:r w:rsidRPr="00495EC2">
              <w:rPr>
                <w:rFonts w:eastAsia="Calibri"/>
                <w:sz w:val="20"/>
              </w:rPr>
              <w:t>based</w:t>
            </w:r>
            <w:proofErr w:type="spellEnd"/>
            <w:r w:rsidRPr="00495EC2">
              <w:rPr>
                <w:rFonts w:eastAsia="Calibri"/>
                <w:sz w:val="20"/>
              </w:rPr>
              <w:t xml:space="preserve"> statutory interpretation – Whether appellate court decision finding abusive tax avoidance raises an issue of public importance – </w:t>
            </w:r>
            <w:r w:rsidRPr="00495EC2">
              <w:rPr>
                <w:rFonts w:eastAsia="Calibri"/>
                <w:i/>
                <w:sz w:val="20"/>
              </w:rPr>
              <w:t xml:space="preserve">Canada </w:t>
            </w:r>
            <w:proofErr w:type="spellStart"/>
            <w:r w:rsidRPr="00495EC2">
              <w:rPr>
                <w:rFonts w:eastAsia="Calibri"/>
                <w:i/>
                <w:sz w:val="20"/>
              </w:rPr>
              <w:t>Trustco</w:t>
            </w:r>
            <w:proofErr w:type="spellEnd"/>
            <w:r w:rsidRPr="00495EC2">
              <w:rPr>
                <w:rFonts w:eastAsia="Calibri"/>
                <w:i/>
                <w:sz w:val="20"/>
              </w:rPr>
              <w:t xml:space="preserve"> Mortgage Co. v. Canada</w:t>
            </w:r>
            <w:r w:rsidRPr="00495EC2">
              <w:rPr>
                <w:rFonts w:eastAsia="Calibri"/>
                <w:sz w:val="20"/>
              </w:rPr>
              <w:t xml:space="preserve">, 2005 SCC 54, [2005] 2 S.C.R. 601 – </w:t>
            </w:r>
            <w:r w:rsidRPr="00495EC2">
              <w:rPr>
                <w:rFonts w:eastAsia="Calibri"/>
                <w:i/>
                <w:sz w:val="20"/>
              </w:rPr>
              <w:t>Income Tax Act</w:t>
            </w:r>
            <w:r w:rsidRPr="00495EC2">
              <w:rPr>
                <w:rFonts w:eastAsia="Calibri"/>
                <w:sz w:val="20"/>
              </w:rPr>
              <w:t>, R.S.C. 1985, C. 1 (5</w:t>
            </w:r>
            <w:r w:rsidRPr="00495EC2">
              <w:rPr>
                <w:rFonts w:eastAsia="Calibri"/>
                <w:sz w:val="20"/>
                <w:vertAlign w:val="superscript"/>
              </w:rPr>
              <w:t>th</w:t>
            </w:r>
            <w:r w:rsidRPr="00495EC2">
              <w:rPr>
                <w:rFonts w:eastAsia="Calibri"/>
                <w:sz w:val="20"/>
              </w:rPr>
              <w:t xml:space="preserve"> Supp.) (</w:t>
            </w:r>
            <w:proofErr w:type="gramStart"/>
            <w:r w:rsidRPr="00495EC2">
              <w:rPr>
                <w:rFonts w:eastAsia="Calibri"/>
                <w:sz w:val="20"/>
              </w:rPr>
              <w:t>the</w:t>
            </w:r>
            <w:proofErr w:type="gramEnd"/>
            <w:r w:rsidRPr="00495EC2">
              <w:rPr>
                <w:rFonts w:eastAsia="Calibri"/>
                <w:sz w:val="20"/>
              </w:rPr>
              <w:t xml:space="preserve"> “</w:t>
            </w:r>
            <w:r w:rsidRPr="00495EC2">
              <w:rPr>
                <w:rFonts w:eastAsia="Calibri"/>
                <w:i/>
                <w:sz w:val="20"/>
              </w:rPr>
              <w:t>Act</w:t>
            </w:r>
            <w:r w:rsidRPr="00495EC2">
              <w:rPr>
                <w:rFonts w:eastAsia="Calibri"/>
                <w:sz w:val="20"/>
              </w:rPr>
              <w:t>”) ss. 9, 245.</w:t>
            </w:r>
          </w:p>
        </w:tc>
      </w:tr>
      <w:tr w:rsidR="00EC5583" w:rsidRPr="00495EC2" w:rsidTr="00EC5583">
        <w:tc>
          <w:tcPr>
            <w:tcW w:w="5000" w:type="pct"/>
            <w:gridSpan w:val="3"/>
          </w:tcPr>
          <w:p w:rsidR="00EC5583" w:rsidRPr="00495EC2" w:rsidRDefault="00EC5583" w:rsidP="00EC5583">
            <w:pPr>
              <w:jc w:val="both"/>
              <w:rPr>
                <w:rFonts w:eastAsia="Calibri"/>
                <w:sz w:val="20"/>
              </w:rPr>
            </w:pPr>
          </w:p>
        </w:tc>
      </w:tr>
      <w:tr w:rsidR="00EC5583" w:rsidRPr="00495EC2" w:rsidTr="00EC5583">
        <w:tc>
          <w:tcPr>
            <w:tcW w:w="5000" w:type="pct"/>
            <w:gridSpan w:val="3"/>
          </w:tcPr>
          <w:p w:rsidR="00EC5583" w:rsidRPr="00495EC2" w:rsidRDefault="00EC5583" w:rsidP="00EC5583">
            <w:pPr>
              <w:jc w:val="both"/>
              <w:rPr>
                <w:rFonts w:eastAsia="Calibri"/>
                <w:sz w:val="20"/>
              </w:rPr>
            </w:pPr>
            <w:r w:rsidRPr="00495EC2">
              <w:rPr>
                <w:rFonts w:eastAsia="Calibri"/>
                <w:sz w:val="20"/>
              </w:rPr>
              <w:t xml:space="preserve">The applicant undertook a series of transactions in its 2001 taxation year that produced a loss of $5,600,250.  The loss was applied to eliminate most of the applicant’s tax payable pursuant to the </w:t>
            </w:r>
            <w:r w:rsidRPr="00495EC2">
              <w:rPr>
                <w:rFonts w:eastAsia="Calibri"/>
                <w:i/>
                <w:sz w:val="20"/>
              </w:rPr>
              <w:t>Act</w:t>
            </w:r>
            <w:r w:rsidRPr="00495EC2">
              <w:rPr>
                <w:rFonts w:eastAsia="Calibri"/>
                <w:sz w:val="20"/>
              </w:rPr>
              <w:t xml:space="preserve"> for the 1999, 2000 and 2001 taxation years.  The loss was artificial, having been created by a shuffling of paper, but resulting in no real economic loss.  The applicant claimed that the purpose behind the transactions was creditor protection.</w:t>
            </w:r>
          </w:p>
          <w:p w:rsidR="00EC5583" w:rsidRPr="00495EC2" w:rsidRDefault="00EC5583" w:rsidP="00EC5583">
            <w:pPr>
              <w:jc w:val="both"/>
              <w:rPr>
                <w:rFonts w:eastAsia="Calibri"/>
                <w:sz w:val="20"/>
              </w:rPr>
            </w:pPr>
          </w:p>
          <w:p w:rsidR="00EC5583" w:rsidRPr="00495EC2" w:rsidRDefault="00EC5583" w:rsidP="00EC5583">
            <w:pPr>
              <w:jc w:val="both"/>
              <w:rPr>
                <w:rFonts w:eastAsia="Calibri"/>
                <w:sz w:val="20"/>
              </w:rPr>
            </w:pPr>
            <w:r w:rsidRPr="00495EC2">
              <w:rPr>
                <w:rFonts w:eastAsia="Calibri"/>
                <w:sz w:val="20"/>
              </w:rPr>
              <w:t xml:space="preserve">The applicant was reassessed for the 1999, 2000 and 2001 taxation years to deny the loss of $5,600,250 on the disposition of shares.  The Tax Court of Canada allowed the applicant’s appeal and referred the matter back to the Minister of National Revenue for reconsideration and reassessment on the basis that, </w:t>
            </w:r>
            <w:r w:rsidRPr="00495EC2">
              <w:rPr>
                <w:rFonts w:eastAsia="Calibri"/>
                <w:i/>
                <w:sz w:val="20"/>
              </w:rPr>
              <w:t>inter alia</w:t>
            </w:r>
            <w:r w:rsidRPr="00495EC2">
              <w:rPr>
                <w:rFonts w:eastAsia="Calibri"/>
                <w:sz w:val="20"/>
              </w:rPr>
              <w:t>, the GAAR did not apply to the loss of $5,600,250. The Crown raised new arguments before the Federal Court of Appeal, some of which were disallowed.  The Court allowed the appeal in part, and set aside that part of the lower court judgment concerning the application of GAAR to the loss of $5,600,250.</w:t>
            </w:r>
          </w:p>
          <w:p w:rsidR="00EC5583" w:rsidRPr="00495EC2" w:rsidRDefault="00EC5583" w:rsidP="00EC5583">
            <w:pPr>
              <w:jc w:val="both"/>
              <w:rPr>
                <w:rFonts w:eastAsia="Calibri"/>
                <w:sz w:val="20"/>
              </w:rPr>
            </w:pPr>
          </w:p>
        </w:tc>
      </w:tr>
      <w:tr w:rsidR="00EC5583" w:rsidRPr="00495EC2" w:rsidTr="00EC5583">
        <w:tc>
          <w:tcPr>
            <w:tcW w:w="2427" w:type="pct"/>
          </w:tcPr>
          <w:p w:rsidR="00EC5583" w:rsidRPr="00495EC2" w:rsidRDefault="00EC5583" w:rsidP="00EC5583">
            <w:pPr>
              <w:jc w:val="both"/>
              <w:rPr>
                <w:rFonts w:eastAsia="Calibri"/>
                <w:sz w:val="20"/>
              </w:rPr>
            </w:pPr>
            <w:r w:rsidRPr="00495EC2">
              <w:rPr>
                <w:rFonts w:eastAsia="Calibri"/>
                <w:sz w:val="20"/>
              </w:rPr>
              <w:t>October 28, 2011</w:t>
            </w:r>
          </w:p>
          <w:p w:rsidR="00EC5583" w:rsidRPr="00495EC2" w:rsidRDefault="00EC5583" w:rsidP="00EC5583">
            <w:pPr>
              <w:jc w:val="both"/>
              <w:rPr>
                <w:rFonts w:eastAsia="Calibri"/>
                <w:sz w:val="20"/>
              </w:rPr>
            </w:pPr>
            <w:r w:rsidRPr="00495EC2">
              <w:rPr>
                <w:rFonts w:eastAsia="Calibri"/>
                <w:sz w:val="20"/>
              </w:rPr>
              <w:t>Tax Court of Canada</w:t>
            </w:r>
          </w:p>
          <w:p w:rsidR="00EC5583" w:rsidRPr="00495EC2" w:rsidRDefault="00EC5583" w:rsidP="00EC5583">
            <w:pPr>
              <w:jc w:val="both"/>
              <w:rPr>
                <w:rFonts w:eastAsia="Calibri"/>
                <w:sz w:val="20"/>
              </w:rPr>
            </w:pPr>
            <w:r w:rsidRPr="00495EC2">
              <w:rPr>
                <w:rFonts w:eastAsia="Calibri"/>
                <w:sz w:val="20"/>
              </w:rPr>
              <w:t>(Woods J.)</w:t>
            </w:r>
          </w:p>
          <w:p w:rsidR="00EC5583" w:rsidRPr="00495EC2" w:rsidRDefault="00EC5583" w:rsidP="00EC5583">
            <w:pPr>
              <w:jc w:val="both"/>
              <w:rPr>
                <w:rFonts w:eastAsia="Calibri"/>
                <w:sz w:val="20"/>
              </w:rPr>
            </w:pPr>
            <w:r w:rsidRPr="00495EC2">
              <w:rPr>
                <w:rFonts w:eastAsia="Calibri"/>
                <w:sz w:val="20"/>
              </w:rPr>
              <w:t>2011 TCC 507</w:t>
            </w:r>
          </w:p>
        </w:tc>
        <w:tc>
          <w:tcPr>
            <w:tcW w:w="243" w:type="pct"/>
          </w:tcPr>
          <w:p w:rsidR="00EC5583" w:rsidRPr="00495EC2" w:rsidRDefault="00EC5583" w:rsidP="00EC5583">
            <w:pPr>
              <w:jc w:val="both"/>
              <w:rPr>
                <w:rFonts w:eastAsia="Calibri"/>
                <w:sz w:val="20"/>
              </w:rPr>
            </w:pPr>
          </w:p>
        </w:tc>
        <w:tc>
          <w:tcPr>
            <w:tcW w:w="2330" w:type="pct"/>
          </w:tcPr>
          <w:p w:rsidR="00EC5583" w:rsidRPr="00495EC2" w:rsidRDefault="00EC5583" w:rsidP="00EC5583">
            <w:pPr>
              <w:jc w:val="both"/>
              <w:rPr>
                <w:rFonts w:eastAsia="Calibri"/>
                <w:sz w:val="20"/>
              </w:rPr>
            </w:pPr>
            <w:r w:rsidRPr="00495EC2">
              <w:rPr>
                <w:rFonts w:eastAsia="Calibri"/>
                <w:sz w:val="20"/>
              </w:rPr>
              <w:t>Appeal of assessments of taxation years 1999</w:t>
            </w:r>
            <w:r w:rsidRPr="00495EC2">
              <w:rPr>
                <w:rFonts w:eastAsia="Calibri"/>
                <w:sz w:val="20"/>
              </w:rPr>
              <w:noBreakHyphen/>
              <w:t>2001 allowed and assessments referred back to Minister for reconsideration on basis that:  GAAR does not apply to $5,600,250 loss; certain amounts are deductible as bad debt and other expense; and business investment loss allowed</w:t>
            </w:r>
          </w:p>
          <w:p w:rsidR="00EC5583" w:rsidRPr="00495EC2" w:rsidRDefault="00EC5583" w:rsidP="00EC5583">
            <w:pPr>
              <w:jc w:val="both"/>
              <w:rPr>
                <w:rFonts w:eastAsia="Calibri"/>
                <w:sz w:val="20"/>
              </w:rPr>
            </w:pPr>
          </w:p>
        </w:tc>
      </w:tr>
      <w:tr w:rsidR="00EC5583" w:rsidRPr="00495EC2" w:rsidTr="00EC5583">
        <w:tc>
          <w:tcPr>
            <w:tcW w:w="2427" w:type="pct"/>
          </w:tcPr>
          <w:p w:rsidR="00EC5583" w:rsidRPr="00495EC2" w:rsidRDefault="00EC5583" w:rsidP="00EC5583">
            <w:pPr>
              <w:jc w:val="both"/>
              <w:rPr>
                <w:rFonts w:eastAsia="Calibri"/>
                <w:sz w:val="20"/>
              </w:rPr>
            </w:pPr>
            <w:r w:rsidRPr="00495EC2">
              <w:rPr>
                <w:rFonts w:eastAsia="Calibri"/>
                <w:sz w:val="20"/>
              </w:rPr>
              <w:t>October 30, 2012</w:t>
            </w:r>
          </w:p>
          <w:p w:rsidR="00EC5583" w:rsidRPr="00495EC2" w:rsidRDefault="00EC5583" w:rsidP="00EC5583">
            <w:pPr>
              <w:jc w:val="both"/>
              <w:rPr>
                <w:rFonts w:eastAsia="Calibri"/>
                <w:sz w:val="20"/>
              </w:rPr>
            </w:pPr>
            <w:r w:rsidRPr="00495EC2">
              <w:rPr>
                <w:rFonts w:eastAsia="Calibri"/>
                <w:sz w:val="20"/>
              </w:rPr>
              <w:t>Federal Court of Appeal</w:t>
            </w:r>
          </w:p>
          <w:p w:rsidR="00EC5583" w:rsidRPr="00495EC2" w:rsidRDefault="00EC5583" w:rsidP="00EC5583">
            <w:pPr>
              <w:jc w:val="both"/>
              <w:rPr>
                <w:rFonts w:eastAsia="Calibri"/>
                <w:sz w:val="20"/>
              </w:rPr>
            </w:pPr>
            <w:r w:rsidRPr="00495EC2">
              <w:rPr>
                <w:rFonts w:eastAsia="Calibri"/>
                <w:sz w:val="20"/>
              </w:rPr>
              <w:t>(</w:t>
            </w:r>
            <w:proofErr w:type="spellStart"/>
            <w:r w:rsidRPr="00495EC2">
              <w:rPr>
                <w:rFonts w:eastAsia="Calibri"/>
                <w:sz w:val="20"/>
              </w:rPr>
              <w:t>Nadon</w:t>
            </w:r>
            <w:proofErr w:type="spellEnd"/>
            <w:r w:rsidRPr="00495EC2">
              <w:rPr>
                <w:rFonts w:eastAsia="Calibri"/>
                <w:sz w:val="20"/>
              </w:rPr>
              <w:t xml:space="preserve">, Gauthier and </w:t>
            </w:r>
            <w:proofErr w:type="spellStart"/>
            <w:r w:rsidRPr="00495EC2">
              <w:rPr>
                <w:rFonts w:eastAsia="Calibri"/>
                <w:sz w:val="20"/>
              </w:rPr>
              <w:t>Mainville</w:t>
            </w:r>
            <w:proofErr w:type="spellEnd"/>
            <w:r w:rsidRPr="00495EC2">
              <w:rPr>
                <w:rFonts w:eastAsia="Calibri"/>
                <w:sz w:val="20"/>
              </w:rPr>
              <w:t xml:space="preserve"> JJ.A.)</w:t>
            </w:r>
          </w:p>
          <w:p w:rsidR="00EC5583" w:rsidRPr="00495EC2" w:rsidRDefault="00EC5583" w:rsidP="00EC5583">
            <w:pPr>
              <w:jc w:val="both"/>
              <w:rPr>
                <w:rFonts w:eastAsia="Calibri"/>
                <w:sz w:val="20"/>
                <w:lang w:val="fr-CA"/>
              </w:rPr>
            </w:pPr>
            <w:r w:rsidRPr="00495EC2">
              <w:rPr>
                <w:rFonts w:eastAsia="Calibri"/>
                <w:sz w:val="20"/>
                <w:lang w:val="fr-CA"/>
              </w:rPr>
              <w:t>2012 FCA 272; A</w:t>
            </w:r>
            <w:r w:rsidRPr="00495EC2">
              <w:rPr>
                <w:rFonts w:eastAsia="Calibri"/>
                <w:sz w:val="20"/>
                <w:lang w:val="fr-CA"/>
              </w:rPr>
              <w:noBreakHyphen/>
              <w:t>445</w:t>
            </w:r>
            <w:r w:rsidRPr="00495EC2">
              <w:rPr>
                <w:rFonts w:eastAsia="Calibri"/>
                <w:sz w:val="20"/>
                <w:lang w:val="fr-CA"/>
              </w:rPr>
              <w:noBreakHyphen/>
              <w:t>11</w:t>
            </w:r>
          </w:p>
          <w:p w:rsidR="00EC5583" w:rsidRPr="00495EC2" w:rsidRDefault="00EC5583" w:rsidP="00EC5583">
            <w:pPr>
              <w:jc w:val="both"/>
              <w:rPr>
                <w:rFonts w:eastAsia="Calibri"/>
                <w:sz w:val="20"/>
                <w:lang w:val="fr-CA"/>
              </w:rPr>
            </w:pPr>
          </w:p>
        </w:tc>
        <w:tc>
          <w:tcPr>
            <w:tcW w:w="243" w:type="pct"/>
          </w:tcPr>
          <w:p w:rsidR="00EC5583" w:rsidRPr="00495EC2" w:rsidRDefault="00EC5583" w:rsidP="00EC5583">
            <w:pPr>
              <w:jc w:val="both"/>
              <w:rPr>
                <w:rFonts w:eastAsia="Calibri"/>
                <w:sz w:val="20"/>
                <w:lang w:val="fr-CA"/>
              </w:rPr>
            </w:pPr>
          </w:p>
        </w:tc>
        <w:tc>
          <w:tcPr>
            <w:tcW w:w="2330" w:type="pct"/>
          </w:tcPr>
          <w:p w:rsidR="00EC5583" w:rsidRPr="00495EC2" w:rsidRDefault="00EC5583" w:rsidP="00EC5583">
            <w:pPr>
              <w:jc w:val="both"/>
              <w:rPr>
                <w:rFonts w:eastAsia="Calibri"/>
                <w:sz w:val="20"/>
              </w:rPr>
            </w:pPr>
            <w:r w:rsidRPr="00495EC2">
              <w:rPr>
                <w:rFonts w:eastAsia="Calibri"/>
                <w:sz w:val="20"/>
              </w:rPr>
              <w:t>Appeal allowed in part; the lower court judgment set aside with respect to application of GAAR to loss claimed for share disposition; remainder left undisturbed</w:t>
            </w:r>
          </w:p>
          <w:p w:rsidR="00EC5583" w:rsidRPr="00495EC2" w:rsidRDefault="00EC5583" w:rsidP="00EC5583">
            <w:pPr>
              <w:jc w:val="both"/>
              <w:rPr>
                <w:rFonts w:eastAsia="Calibri"/>
                <w:sz w:val="20"/>
              </w:rPr>
            </w:pPr>
          </w:p>
        </w:tc>
      </w:tr>
      <w:tr w:rsidR="00EC5583" w:rsidRPr="00495EC2" w:rsidTr="00EC5583">
        <w:tc>
          <w:tcPr>
            <w:tcW w:w="2427" w:type="pct"/>
          </w:tcPr>
          <w:p w:rsidR="00EC5583" w:rsidRPr="00495EC2" w:rsidRDefault="00EC5583" w:rsidP="00EC5583">
            <w:pPr>
              <w:jc w:val="both"/>
              <w:rPr>
                <w:rFonts w:eastAsia="Calibri"/>
                <w:sz w:val="20"/>
              </w:rPr>
            </w:pPr>
            <w:r w:rsidRPr="00495EC2">
              <w:rPr>
                <w:rFonts w:eastAsia="Calibri"/>
                <w:sz w:val="20"/>
              </w:rPr>
              <w:t>December 31, 2012</w:t>
            </w:r>
          </w:p>
          <w:p w:rsidR="00EC5583" w:rsidRPr="00495EC2" w:rsidRDefault="00EC5583" w:rsidP="00EC5583">
            <w:pPr>
              <w:jc w:val="both"/>
              <w:rPr>
                <w:rFonts w:eastAsia="Calibri"/>
                <w:sz w:val="20"/>
              </w:rPr>
            </w:pPr>
            <w:r w:rsidRPr="00495EC2">
              <w:rPr>
                <w:rFonts w:eastAsia="Calibri"/>
                <w:sz w:val="20"/>
              </w:rPr>
              <w:t>Supreme Court of Canada</w:t>
            </w:r>
          </w:p>
        </w:tc>
        <w:tc>
          <w:tcPr>
            <w:tcW w:w="243" w:type="pct"/>
          </w:tcPr>
          <w:p w:rsidR="00EC5583" w:rsidRPr="00495EC2" w:rsidRDefault="00EC5583" w:rsidP="00EC5583">
            <w:pPr>
              <w:jc w:val="both"/>
              <w:rPr>
                <w:rFonts w:eastAsia="Calibri"/>
                <w:sz w:val="20"/>
              </w:rPr>
            </w:pPr>
          </w:p>
        </w:tc>
        <w:tc>
          <w:tcPr>
            <w:tcW w:w="2330" w:type="pct"/>
          </w:tcPr>
          <w:p w:rsidR="00EC5583" w:rsidRPr="00495EC2" w:rsidRDefault="00EC5583" w:rsidP="00EC5583">
            <w:pPr>
              <w:jc w:val="both"/>
              <w:rPr>
                <w:rFonts w:eastAsia="Calibri"/>
                <w:sz w:val="20"/>
              </w:rPr>
            </w:pPr>
            <w:r w:rsidRPr="00495EC2">
              <w:rPr>
                <w:rFonts w:eastAsia="Calibri"/>
                <w:sz w:val="20"/>
              </w:rPr>
              <w:t>Application for leave to appeal filed</w:t>
            </w:r>
          </w:p>
          <w:p w:rsidR="00EC5583" w:rsidRPr="00495EC2" w:rsidRDefault="00EC5583" w:rsidP="00EC5583">
            <w:pPr>
              <w:jc w:val="both"/>
              <w:rPr>
                <w:rFonts w:eastAsia="Calibri"/>
                <w:sz w:val="20"/>
              </w:rPr>
            </w:pP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78"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C5583" w:rsidRPr="00495EC2" w:rsidTr="00EC5583">
        <w:tc>
          <w:tcPr>
            <w:tcW w:w="5000" w:type="pct"/>
            <w:gridSpan w:val="3"/>
          </w:tcPr>
          <w:p w:rsidR="00EC5583" w:rsidRPr="00495EC2" w:rsidRDefault="00EC5583" w:rsidP="00EC5583">
            <w:pPr>
              <w:jc w:val="both"/>
              <w:rPr>
                <w:sz w:val="20"/>
                <w:lang w:val="fr-CA"/>
              </w:rPr>
            </w:pPr>
            <w:r w:rsidRPr="00495EC2">
              <w:rPr>
                <w:sz w:val="20"/>
                <w:lang w:val="fr-CA"/>
              </w:rPr>
              <w:t xml:space="preserve">Droit fiscal – Impôt sur le revenu – Règle générale </w:t>
            </w:r>
            <w:proofErr w:type="spellStart"/>
            <w:r w:rsidRPr="00495EC2">
              <w:rPr>
                <w:sz w:val="20"/>
                <w:lang w:val="fr-CA"/>
              </w:rPr>
              <w:t>anti</w:t>
            </w:r>
            <w:r w:rsidRPr="00495EC2">
              <w:rPr>
                <w:sz w:val="20"/>
                <w:lang w:val="fr-CA"/>
              </w:rPr>
              <w:noBreakHyphen/>
              <w:t>évitement</w:t>
            </w:r>
            <w:proofErr w:type="spellEnd"/>
            <w:r w:rsidRPr="00495EC2">
              <w:rPr>
                <w:sz w:val="20"/>
                <w:lang w:val="fr-CA"/>
              </w:rPr>
              <w:t xml:space="preserve"> (« RGAÉ ») – Législation – Interprétation – Le revenu d'entreprise ou la perte d'entreprise visés par l'art. 9 </w:t>
            </w:r>
            <w:proofErr w:type="spellStart"/>
            <w:r w:rsidRPr="00495EC2">
              <w:rPr>
                <w:sz w:val="20"/>
                <w:lang w:val="fr-CA"/>
              </w:rPr>
              <w:t>sont</w:t>
            </w:r>
            <w:r w:rsidRPr="00495EC2">
              <w:rPr>
                <w:sz w:val="20"/>
                <w:lang w:val="fr-CA"/>
              </w:rPr>
              <w:noBreakHyphen/>
              <w:t>ils</w:t>
            </w:r>
            <w:proofErr w:type="spellEnd"/>
            <w:r w:rsidRPr="00495EC2">
              <w:rPr>
                <w:sz w:val="20"/>
                <w:lang w:val="fr-CA"/>
              </w:rPr>
              <w:t xml:space="preserve"> soumis au critère de la « réalité économique » ou « commerciale »? – La Cour d'appel </w:t>
            </w:r>
            <w:proofErr w:type="spellStart"/>
            <w:r w:rsidRPr="00495EC2">
              <w:rPr>
                <w:sz w:val="20"/>
                <w:lang w:val="fr-CA"/>
              </w:rPr>
              <w:t>a</w:t>
            </w:r>
            <w:r w:rsidRPr="00495EC2">
              <w:rPr>
                <w:sz w:val="20"/>
                <w:lang w:val="fr-CA"/>
              </w:rPr>
              <w:noBreakHyphen/>
              <w:t>t</w:t>
            </w:r>
            <w:r w:rsidRPr="00495EC2">
              <w:rPr>
                <w:sz w:val="20"/>
                <w:lang w:val="fr-CA"/>
              </w:rPr>
              <w:noBreakHyphen/>
              <w:t>elle</w:t>
            </w:r>
            <w:proofErr w:type="spellEnd"/>
            <w:r w:rsidRPr="00495EC2">
              <w:rPr>
                <w:sz w:val="20"/>
                <w:lang w:val="fr-CA"/>
              </w:rPr>
              <w:t xml:space="preserve"> commis une erreur dans son application de la RGAÉ a faisant abstraction du fardeau de la Couronne et en faisant valoir ce qu’elle estime </w:t>
            </w:r>
            <w:proofErr w:type="spellStart"/>
            <w:r w:rsidRPr="00495EC2">
              <w:rPr>
                <w:sz w:val="20"/>
                <w:lang w:val="fr-CA"/>
              </w:rPr>
              <w:t>elle</w:t>
            </w:r>
            <w:r w:rsidRPr="00495EC2">
              <w:rPr>
                <w:sz w:val="20"/>
                <w:lang w:val="fr-CA"/>
              </w:rPr>
              <w:noBreakHyphen/>
              <w:t>même</w:t>
            </w:r>
            <w:proofErr w:type="spellEnd"/>
            <w:r w:rsidRPr="00495EC2">
              <w:rPr>
                <w:sz w:val="20"/>
                <w:lang w:val="fr-CA"/>
              </w:rPr>
              <w:t xml:space="preserve"> être la </w:t>
            </w:r>
            <w:proofErr w:type="spellStart"/>
            <w:r w:rsidRPr="00495EC2">
              <w:rPr>
                <w:sz w:val="20"/>
                <w:lang w:val="fr-CA"/>
              </w:rPr>
              <w:t>raison</w:t>
            </w:r>
            <w:r w:rsidRPr="00495EC2">
              <w:rPr>
                <w:sz w:val="20"/>
                <w:lang w:val="fr-CA"/>
              </w:rPr>
              <w:noBreakHyphen/>
              <w:t>d</w:t>
            </w:r>
            <w:proofErr w:type="spellEnd"/>
            <w:r w:rsidRPr="00495EC2">
              <w:rPr>
                <w:sz w:val="20"/>
                <w:lang w:val="fr-CA"/>
              </w:rPr>
              <w:t xml:space="preserve">'être des dispositions pertinentes? – La Cour d'appel </w:t>
            </w:r>
            <w:proofErr w:type="spellStart"/>
            <w:r w:rsidRPr="00495EC2">
              <w:rPr>
                <w:sz w:val="20"/>
                <w:lang w:val="fr-CA"/>
              </w:rPr>
              <w:t>a</w:t>
            </w:r>
            <w:r w:rsidRPr="00495EC2">
              <w:rPr>
                <w:sz w:val="20"/>
                <w:lang w:val="fr-CA"/>
              </w:rPr>
              <w:noBreakHyphen/>
              <w:t>t</w:t>
            </w:r>
            <w:r w:rsidRPr="00495EC2">
              <w:rPr>
                <w:sz w:val="20"/>
                <w:lang w:val="fr-CA"/>
              </w:rPr>
              <w:noBreakHyphen/>
              <w:t>elle</w:t>
            </w:r>
            <w:proofErr w:type="spellEnd"/>
            <w:r w:rsidRPr="00495EC2">
              <w:rPr>
                <w:sz w:val="20"/>
                <w:lang w:val="fr-CA"/>
              </w:rPr>
              <w:t xml:space="preserve"> commis une erreur dans son application de la norme de contrôle en ne statuant pas sur la justesse de la décision du juge de première instance? – La Cour d'appel </w:t>
            </w:r>
            <w:proofErr w:type="spellStart"/>
            <w:r w:rsidRPr="00495EC2">
              <w:rPr>
                <w:sz w:val="20"/>
                <w:lang w:val="fr-CA"/>
              </w:rPr>
              <w:t>a</w:t>
            </w:r>
            <w:r w:rsidRPr="00495EC2">
              <w:rPr>
                <w:sz w:val="20"/>
                <w:lang w:val="fr-CA"/>
              </w:rPr>
              <w:noBreakHyphen/>
              <w:t>t</w:t>
            </w:r>
            <w:r w:rsidRPr="00495EC2">
              <w:rPr>
                <w:sz w:val="20"/>
                <w:lang w:val="fr-CA"/>
              </w:rPr>
              <w:noBreakHyphen/>
              <w:t>elle</w:t>
            </w:r>
            <w:proofErr w:type="spellEnd"/>
            <w:r w:rsidRPr="00495EC2">
              <w:rPr>
                <w:sz w:val="20"/>
                <w:lang w:val="fr-CA"/>
              </w:rPr>
              <w:t xml:space="preserve"> eu tort de permettre que la RGAÉ soit utilisée pour combler les lacunes dans le choix exercé par le ministre en matière de cotisation et en élargissant les moyens extrinsèques admissibles utilisés dans l'interprétation de la loi fondée sur la RGAÉ? – La conclusion de la Cour d'appel selon laquelle il y avait eu évitement fiscal abusif </w:t>
            </w:r>
            <w:proofErr w:type="spellStart"/>
            <w:r w:rsidRPr="00495EC2">
              <w:rPr>
                <w:sz w:val="20"/>
                <w:lang w:val="fr-CA"/>
              </w:rPr>
              <w:t>soulève</w:t>
            </w:r>
            <w:r w:rsidRPr="00495EC2">
              <w:rPr>
                <w:sz w:val="20"/>
                <w:lang w:val="fr-CA"/>
              </w:rPr>
              <w:noBreakHyphen/>
              <w:t>t</w:t>
            </w:r>
            <w:r w:rsidRPr="00495EC2">
              <w:rPr>
                <w:sz w:val="20"/>
                <w:lang w:val="fr-CA"/>
              </w:rPr>
              <w:noBreakHyphen/>
              <w:t>elle</w:t>
            </w:r>
            <w:proofErr w:type="spellEnd"/>
            <w:r w:rsidRPr="00495EC2">
              <w:rPr>
                <w:sz w:val="20"/>
                <w:lang w:val="fr-CA"/>
              </w:rPr>
              <w:t xml:space="preserve"> une question d'importance pour le public? – </w:t>
            </w:r>
            <w:r w:rsidRPr="00495EC2">
              <w:rPr>
                <w:i/>
                <w:sz w:val="20"/>
                <w:lang w:val="fr-CA"/>
              </w:rPr>
              <w:t xml:space="preserve">Hypothèques </w:t>
            </w:r>
            <w:proofErr w:type="spellStart"/>
            <w:r w:rsidRPr="00495EC2">
              <w:rPr>
                <w:i/>
                <w:sz w:val="20"/>
                <w:lang w:val="fr-CA"/>
              </w:rPr>
              <w:t>Trustco</w:t>
            </w:r>
            <w:proofErr w:type="spellEnd"/>
            <w:r w:rsidRPr="00495EC2">
              <w:rPr>
                <w:i/>
                <w:sz w:val="20"/>
                <w:lang w:val="fr-CA"/>
              </w:rPr>
              <w:t xml:space="preserve"> Canada c. Canada</w:t>
            </w:r>
            <w:r w:rsidRPr="00495EC2">
              <w:rPr>
                <w:sz w:val="20"/>
                <w:lang w:val="fr-CA"/>
              </w:rPr>
              <w:t>, 2005 CSC 54, [2005] 2 R.C.S. 601 –</w:t>
            </w:r>
            <w:r w:rsidRPr="00495EC2">
              <w:rPr>
                <w:i/>
                <w:sz w:val="20"/>
                <w:lang w:val="fr-CA"/>
              </w:rPr>
              <w:t xml:space="preserve"> Loi de l'impôt sur le revenu</w:t>
            </w:r>
            <w:r w:rsidRPr="00495EC2">
              <w:rPr>
                <w:sz w:val="20"/>
                <w:lang w:val="fr-CA"/>
              </w:rPr>
              <w:t>, L.R.C. 1985, ch. 1 (5</w:t>
            </w:r>
            <w:r w:rsidRPr="00495EC2">
              <w:rPr>
                <w:sz w:val="20"/>
                <w:vertAlign w:val="superscript"/>
                <w:lang w:val="fr-CA"/>
              </w:rPr>
              <w:t>e</w:t>
            </w:r>
            <w:r w:rsidRPr="00495EC2">
              <w:rPr>
                <w:sz w:val="20"/>
                <w:lang w:val="fr-CA"/>
              </w:rPr>
              <w:t xml:space="preserve"> suppl.) (la « </w:t>
            </w:r>
            <w:r w:rsidRPr="00495EC2">
              <w:rPr>
                <w:i/>
                <w:sz w:val="20"/>
                <w:lang w:val="fr-CA"/>
              </w:rPr>
              <w:t>Loi</w:t>
            </w:r>
            <w:r w:rsidRPr="00495EC2">
              <w:rPr>
                <w:sz w:val="20"/>
                <w:lang w:val="fr-CA"/>
              </w:rPr>
              <w:t> ») art. 9, 245.</w:t>
            </w:r>
          </w:p>
        </w:tc>
      </w:tr>
      <w:tr w:rsidR="00EC5583" w:rsidRPr="00495EC2" w:rsidTr="00EC5583">
        <w:tc>
          <w:tcPr>
            <w:tcW w:w="5000" w:type="pct"/>
            <w:gridSpan w:val="3"/>
          </w:tcPr>
          <w:p w:rsidR="00EC5583" w:rsidRPr="00495EC2" w:rsidRDefault="00EC5583" w:rsidP="00EC5583">
            <w:pPr>
              <w:jc w:val="both"/>
              <w:rPr>
                <w:sz w:val="20"/>
                <w:lang w:val="fr-CA"/>
              </w:rPr>
            </w:pPr>
          </w:p>
        </w:tc>
      </w:tr>
      <w:tr w:rsidR="00EC5583" w:rsidRPr="009714AD" w:rsidTr="00EC5583">
        <w:tc>
          <w:tcPr>
            <w:tcW w:w="5000" w:type="pct"/>
            <w:gridSpan w:val="3"/>
          </w:tcPr>
          <w:p w:rsidR="00EC5583" w:rsidRPr="00495EC2" w:rsidRDefault="00EC5583" w:rsidP="00EC5583">
            <w:pPr>
              <w:jc w:val="both"/>
              <w:rPr>
                <w:sz w:val="20"/>
                <w:lang w:val="fr-CA"/>
              </w:rPr>
            </w:pPr>
            <w:r w:rsidRPr="00495EC2">
              <w:rPr>
                <w:sz w:val="20"/>
                <w:lang w:val="fr-CA"/>
              </w:rPr>
              <w:t xml:space="preserve">La demanderesse a effectué dans son année d'imposition 2001 une série d’opérations entraînant une perte de 5 600 250 $.  La déduction de cette perte a eu pour effet d’éliminer la plus grande partie des impôts que l’appelante devait en vertu de la </w:t>
            </w:r>
            <w:r w:rsidRPr="00495EC2">
              <w:rPr>
                <w:i/>
                <w:iCs/>
                <w:sz w:val="20"/>
                <w:lang w:val="fr-CA"/>
              </w:rPr>
              <w:t xml:space="preserve">Loi </w:t>
            </w:r>
            <w:r w:rsidRPr="00495EC2">
              <w:rPr>
                <w:sz w:val="20"/>
                <w:lang w:val="fr-CA"/>
              </w:rPr>
              <w:t>pour les années d’imposition 1999, 2000 et 2001.  La perte était artificielle, ayant résulté d'un jeu d'écritures, mais ne donnait lieu à aucune perte financière réelle.  La demanderesse a allégué que les opérations avaient pour objet de la protéger contre ses créanciers.</w:t>
            </w:r>
          </w:p>
          <w:p w:rsidR="00EC5583" w:rsidRPr="00495EC2" w:rsidRDefault="00EC5583" w:rsidP="00EC5583">
            <w:pPr>
              <w:jc w:val="both"/>
              <w:rPr>
                <w:sz w:val="20"/>
                <w:lang w:val="fr-CA"/>
              </w:rPr>
            </w:pPr>
          </w:p>
          <w:p w:rsidR="00EC5583" w:rsidRPr="00495EC2" w:rsidRDefault="00EC5583" w:rsidP="00EC5583">
            <w:pPr>
              <w:jc w:val="both"/>
              <w:rPr>
                <w:sz w:val="20"/>
                <w:lang w:val="fr-CA"/>
              </w:rPr>
            </w:pPr>
            <w:r w:rsidRPr="00495EC2">
              <w:rPr>
                <w:sz w:val="20"/>
                <w:lang w:val="fr-CA"/>
              </w:rPr>
              <w:t>L'appelante a fait l’objet de nouvelles cotisations pour ses années d’imposition 1999, 2000 et 2001 dans lesquelles on refusait la déduction de la perte de 5 600 250 $ suite à la disposition d’actions.  La Cour canadienne de l'impôt a accueilli l'appel de la demanderesse et renvoyé l'affaire au ministre du Revenu national pour un nouvel examen et une nouvelle cotisation, notamment parce que la RGAÉ ne s'appliquait pas à la perte de 5 600 250 $.  La Couronne a soulevé de nouveaux arguments devant la Cour d'appel fédérale, dont certains ont été rejetés. La Cour a accueilli l'appel en partie et a annulé la partie du jugement du tribunal d'instance inférieure portant sur l'application de la RGAÉ à la perte de 5 600 250 $.</w:t>
            </w:r>
          </w:p>
          <w:p w:rsidR="00EC5583" w:rsidRPr="00495EC2" w:rsidRDefault="00EC5583" w:rsidP="00EC5583">
            <w:pPr>
              <w:jc w:val="both"/>
              <w:rPr>
                <w:sz w:val="20"/>
                <w:lang w:val="fr-CA"/>
              </w:rPr>
            </w:pPr>
          </w:p>
        </w:tc>
      </w:tr>
      <w:tr w:rsidR="00EC5583" w:rsidRPr="009714AD" w:rsidTr="004A0323">
        <w:trPr>
          <w:cantSplit/>
        </w:trPr>
        <w:tc>
          <w:tcPr>
            <w:tcW w:w="2427" w:type="pct"/>
          </w:tcPr>
          <w:p w:rsidR="00EC5583" w:rsidRPr="00495EC2" w:rsidRDefault="00EC5583" w:rsidP="00EC5583">
            <w:pPr>
              <w:jc w:val="both"/>
              <w:rPr>
                <w:sz w:val="20"/>
                <w:lang w:val="fr-CA"/>
              </w:rPr>
            </w:pPr>
            <w:r w:rsidRPr="00495EC2">
              <w:rPr>
                <w:sz w:val="20"/>
                <w:lang w:val="fr-CA"/>
              </w:rPr>
              <w:t>28 octobre 2011</w:t>
            </w:r>
          </w:p>
          <w:p w:rsidR="00EC5583" w:rsidRPr="00495EC2" w:rsidRDefault="00EC5583" w:rsidP="00EC5583">
            <w:pPr>
              <w:jc w:val="both"/>
              <w:rPr>
                <w:sz w:val="20"/>
                <w:lang w:val="fr-CA"/>
              </w:rPr>
            </w:pPr>
            <w:r w:rsidRPr="00495EC2">
              <w:rPr>
                <w:sz w:val="20"/>
                <w:lang w:val="fr-CA"/>
              </w:rPr>
              <w:t xml:space="preserve">Cour canadienne de l'impôt </w:t>
            </w:r>
          </w:p>
          <w:p w:rsidR="00EC5583" w:rsidRPr="00495EC2" w:rsidRDefault="00EC5583" w:rsidP="00EC5583">
            <w:pPr>
              <w:jc w:val="both"/>
              <w:rPr>
                <w:sz w:val="20"/>
                <w:lang w:val="fr-CA"/>
              </w:rPr>
            </w:pPr>
            <w:r w:rsidRPr="00495EC2">
              <w:rPr>
                <w:sz w:val="20"/>
                <w:lang w:val="fr-CA"/>
              </w:rPr>
              <w:t xml:space="preserve">(Juge </w:t>
            </w:r>
            <w:proofErr w:type="spellStart"/>
            <w:r w:rsidRPr="00495EC2">
              <w:rPr>
                <w:sz w:val="20"/>
                <w:lang w:val="fr-CA"/>
              </w:rPr>
              <w:t>Woods</w:t>
            </w:r>
            <w:proofErr w:type="spellEnd"/>
            <w:r w:rsidRPr="00495EC2">
              <w:rPr>
                <w:sz w:val="20"/>
                <w:lang w:val="fr-CA"/>
              </w:rPr>
              <w:t>)</w:t>
            </w:r>
          </w:p>
          <w:p w:rsidR="00EC5583" w:rsidRPr="00495EC2" w:rsidRDefault="00EC5583" w:rsidP="00EC5583">
            <w:pPr>
              <w:jc w:val="both"/>
              <w:rPr>
                <w:sz w:val="20"/>
                <w:lang w:val="fr-CA"/>
              </w:rPr>
            </w:pPr>
            <w:r w:rsidRPr="00495EC2">
              <w:rPr>
                <w:sz w:val="20"/>
                <w:lang w:val="fr-CA"/>
              </w:rPr>
              <w:t>2011 CCI 507</w:t>
            </w:r>
          </w:p>
        </w:tc>
        <w:tc>
          <w:tcPr>
            <w:tcW w:w="243" w:type="pct"/>
          </w:tcPr>
          <w:p w:rsidR="00EC5583" w:rsidRPr="00495EC2" w:rsidRDefault="00EC5583" w:rsidP="00EC5583">
            <w:pPr>
              <w:rPr>
                <w:sz w:val="20"/>
                <w:lang w:val="fr-CA"/>
              </w:rPr>
            </w:pPr>
          </w:p>
        </w:tc>
        <w:tc>
          <w:tcPr>
            <w:tcW w:w="2330" w:type="pct"/>
          </w:tcPr>
          <w:p w:rsidR="00EC5583" w:rsidRPr="00495EC2" w:rsidRDefault="00EC5583" w:rsidP="00EC5583">
            <w:pPr>
              <w:jc w:val="both"/>
              <w:rPr>
                <w:sz w:val="20"/>
                <w:lang w:val="fr-CA"/>
              </w:rPr>
            </w:pPr>
            <w:r w:rsidRPr="00495EC2">
              <w:rPr>
                <w:sz w:val="20"/>
                <w:lang w:val="fr-CA"/>
              </w:rPr>
              <w:t>Appel des cotisations pour les années d'imposition 1999</w:t>
            </w:r>
            <w:r w:rsidRPr="00495EC2">
              <w:rPr>
                <w:sz w:val="20"/>
                <w:lang w:val="fr-CA"/>
              </w:rPr>
              <w:noBreakHyphen/>
              <w:t>2001, accueilli et cotisations renvoyées au ministre pour un nouvel examen parce que la RGAÉ ne s'applique pas à la perte de 5 600 250 $; certains montants sont déductibles à titre de créances irrécouvrables et d'autres dépenses; la perte au titre d'un placement d'entreprise est autorisée</w:t>
            </w:r>
          </w:p>
          <w:p w:rsidR="00EC5583" w:rsidRPr="00495EC2" w:rsidRDefault="00EC5583" w:rsidP="00EC5583">
            <w:pPr>
              <w:jc w:val="both"/>
              <w:rPr>
                <w:sz w:val="20"/>
                <w:lang w:val="fr-CA"/>
              </w:rPr>
            </w:pPr>
          </w:p>
        </w:tc>
      </w:tr>
      <w:tr w:rsidR="00EC5583" w:rsidRPr="009714AD" w:rsidTr="004A0323">
        <w:trPr>
          <w:cantSplit/>
        </w:trPr>
        <w:tc>
          <w:tcPr>
            <w:tcW w:w="2427" w:type="pct"/>
          </w:tcPr>
          <w:p w:rsidR="00EC5583" w:rsidRPr="00495EC2" w:rsidRDefault="00EC5583" w:rsidP="00EC5583">
            <w:pPr>
              <w:jc w:val="both"/>
              <w:rPr>
                <w:sz w:val="20"/>
                <w:lang w:val="fr-CA"/>
              </w:rPr>
            </w:pPr>
            <w:r w:rsidRPr="00495EC2">
              <w:rPr>
                <w:sz w:val="20"/>
                <w:lang w:val="fr-CA"/>
              </w:rPr>
              <w:t>30 octobre 2012</w:t>
            </w:r>
          </w:p>
          <w:p w:rsidR="00EC5583" w:rsidRPr="00495EC2" w:rsidRDefault="00EC5583" w:rsidP="00EC5583">
            <w:pPr>
              <w:jc w:val="both"/>
              <w:rPr>
                <w:sz w:val="20"/>
                <w:lang w:val="fr-CA"/>
              </w:rPr>
            </w:pPr>
            <w:r w:rsidRPr="00495EC2">
              <w:rPr>
                <w:sz w:val="20"/>
                <w:lang w:val="fr-CA"/>
              </w:rPr>
              <w:t xml:space="preserve">Cour d'appel fédérale </w:t>
            </w:r>
          </w:p>
          <w:p w:rsidR="00EC5583" w:rsidRPr="00495EC2" w:rsidRDefault="00EC5583" w:rsidP="00EC5583">
            <w:pPr>
              <w:jc w:val="both"/>
              <w:rPr>
                <w:sz w:val="20"/>
                <w:lang w:val="fr-CA"/>
              </w:rPr>
            </w:pPr>
            <w:r w:rsidRPr="00495EC2">
              <w:rPr>
                <w:sz w:val="20"/>
                <w:lang w:val="fr-CA"/>
              </w:rPr>
              <w:t>(Juges Nadon, Gauthier et Mainville)</w:t>
            </w:r>
          </w:p>
          <w:p w:rsidR="00EC5583" w:rsidRPr="00495EC2" w:rsidRDefault="00EC5583" w:rsidP="00EC5583">
            <w:pPr>
              <w:jc w:val="both"/>
              <w:rPr>
                <w:sz w:val="20"/>
                <w:lang w:val="fr-CA"/>
              </w:rPr>
            </w:pPr>
            <w:r w:rsidRPr="00495EC2">
              <w:rPr>
                <w:sz w:val="20"/>
                <w:lang w:val="fr-CA"/>
              </w:rPr>
              <w:t>2012 CAF 272; A</w:t>
            </w:r>
            <w:r w:rsidRPr="00495EC2">
              <w:rPr>
                <w:sz w:val="20"/>
                <w:lang w:val="fr-CA"/>
              </w:rPr>
              <w:noBreakHyphen/>
              <w:t>445</w:t>
            </w:r>
            <w:r w:rsidRPr="00495EC2">
              <w:rPr>
                <w:sz w:val="20"/>
                <w:lang w:val="fr-CA"/>
              </w:rPr>
              <w:noBreakHyphen/>
              <w:t>11</w:t>
            </w:r>
          </w:p>
          <w:p w:rsidR="00EC5583" w:rsidRPr="00495EC2" w:rsidRDefault="00EC5583" w:rsidP="00EC5583">
            <w:pPr>
              <w:jc w:val="both"/>
              <w:rPr>
                <w:sz w:val="20"/>
                <w:lang w:val="fr-CA"/>
              </w:rPr>
            </w:pPr>
          </w:p>
        </w:tc>
        <w:tc>
          <w:tcPr>
            <w:tcW w:w="243" w:type="pct"/>
          </w:tcPr>
          <w:p w:rsidR="00EC5583" w:rsidRPr="00495EC2" w:rsidRDefault="00EC5583" w:rsidP="00EC5583">
            <w:pPr>
              <w:rPr>
                <w:sz w:val="20"/>
                <w:lang w:val="fr-CA"/>
              </w:rPr>
            </w:pPr>
          </w:p>
        </w:tc>
        <w:tc>
          <w:tcPr>
            <w:tcW w:w="2330" w:type="pct"/>
          </w:tcPr>
          <w:p w:rsidR="00EC5583" w:rsidRPr="00495EC2" w:rsidRDefault="00EC5583" w:rsidP="00EC5583">
            <w:pPr>
              <w:jc w:val="both"/>
              <w:rPr>
                <w:sz w:val="20"/>
                <w:lang w:val="fr-CA"/>
              </w:rPr>
            </w:pPr>
            <w:r w:rsidRPr="00495EC2">
              <w:rPr>
                <w:sz w:val="20"/>
                <w:lang w:val="fr-CA"/>
              </w:rPr>
              <w:t>Appel accueilli en partie; le jugement du tribunal d'instance inférieure est annulé relativement à l'application de la RGAÉ à la perte demandée sur la disposition des actions; pour le reste, le jugement est confirmé</w:t>
            </w:r>
          </w:p>
          <w:p w:rsidR="00EC5583" w:rsidRPr="00495EC2" w:rsidRDefault="00EC5583" w:rsidP="00EC5583">
            <w:pPr>
              <w:jc w:val="both"/>
              <w:rPr>
                <w:sz w:val="20"/>
                <w:lang w:val="fr-CA"/>
              </w:rPr>
            </w:pPr>
          </w:p>
        </w:tc>
      </w:tr>
      <w:tr w:rsidR="00EC5583" w:rsidRPr="00495EC2" w:rsidTr="004A0323">
        <w:trPr>
          <w:cantSplit/>
        </w:trPr>
        <w:tc>
          <w:tcPr>
            <w:tcW w:w="2427" w:type="pct"/>
          </w:tcPr>
          <w:p w:rsidR="00EC5583" w:rsidRPr="00495EC2" w:rsidRDefault="00EC5583" w:rsidP="00EC5583">
            <w:pPr>
              <w:jc w:val="both"/>
              <w:rPr>
                <w:sz w:val="20"/>
                <w:lang w:val="fr-CA"/>
              </w:rPr>
            </w:pPr>
            <w:r w:rsidRPr="00495EC2">
              <w:rPr>
                <w:sz w:val="20"/>
                <w:lang w:val="fr-CA"/>
              </w:rPr>
              <w:t>31 décembre 2012</w:t>
            </w:r>
          </w:p>
          <w:p w:rsidR="00EC5583" w:rsidRPr="00495EC2" w:rsidRDefault="00EC5583" w:rsidP="00EC5583">
            <w:pPr>
              <w:jc w:val="both"/>
              <w:rPr>
                <w:sz w:val="20"/>
                <w:lang w:val="fr-CA"/>
              </w:rPr>
            </w:pPr>
            <w:r w:rsidRPr="00495EC2">
              <w:rPr>
                <w:sz w:val="20"/>
                <w:lang w:val="fr-CA"/>
              </w:rPr>
              <w:t>Cour suprême du Canada</w:t>
            </w:r>
          </w:p>
        </w:tc>
        <w:tc>
          <w:tcPr>
            <w:tcW w:w="243" w:type="pct"/>
          </w:tcPr>
          <w:p w:rsidR="00EC5583" w:rsidRPr="00495EC2" w:rsidRDefault="00EC5583" w:rsidP="00EC5583">
            <w:pPr>
              <w:rPr>
                <w:sz w:val="20"/>
                <w:lang w:val="fr-CA"/>
              </w:rPr>
            </w:pPr>
          </w:p>
        </w:tc>
        <w:tc>
          <w:tcPr>
            <w:tcW w:w="2330" w:type="pct"/>
          </w:tcPr>
          <w:p w:rsidR="00EC5583" w:rsidRPr="00495EC2" w:rsidRDefault="00EC5583" w:rsidP="00EC5583">
            <w:pPr>
              <w:jc w:val="both"/>
              <w:rPr>
                <w:sz w:val="20"/>
                <w:lang w:val="fr-CA"/>
              </w:rPr>
            </w:pPr>
            <w:r w:rsidRPr="00495EC2">
              <w:rPr>
                <w:sz w:val="20"/>
                <w:lang w:val="fr-CA"/>
              </w:rPr>
              <w:t>Demande d'autorisation d'appel, déposée</w:t>
            </w:r>
          </w:p>
          <w:p w:rsidR="00EC5583" w:rsidRPr="00495EC2" w:rsidRDefault="00EC5583" w:rsidP="00EC5583">
            <w:pPr>
              <w:jc w:val="both"/>
              <w:rPr>
                <w:sz w:val="20"/>
                <w:lang w:val="fr-CA"/>
              </w:rPr>
            </w:pP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79"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B50FB" w:rsidRPr="00182D0C" w:rsidTr="009E6124">
        <w:trPr>
          <w:cantSplit/>
        </w:trPr>
        <w:tc>
          <w:tcPr>
            <w:tcW w:w="1458" w:type="dxa"/>
          </w:tcPr>
          <w:p w:rsidR="005B50FB" w:rsidRPr="00182D0C" w:rsidRDefault="005B50FB" w:rsidP="009E6124">
            <w:pPr>
              <w:rPr>
                <w:sz w:val="20"/>
                <w:szCs w:val="20"/>
              </w:rPr>
            </w:pPr>
            <w:r w:rsidRPr="00182D0C">
              <w:rPr>
                <w:rStyle w:val="SCCFileNumberChar"/>
                <w:sz w:val="20"/>
                <w:szCs w:val="20"/>
              </w:rPr>
              <w:t>35148</w:t>
            </w:r>
          </w:p>
          <w:p w:rsidR="005B50FB" w:rsidRPr="00182D0C" w:rsidRDefault="005B50FB" w:rsidP="009E6124">
            <w:pPr>
              <w:rPr>
                <w:b/>
                <w:sz w:val="20"/>
                <w:szCs w:val="20"/>
                <w:lang w:val="fr-CA"/>
              </w:rPr>
            </w:pPr>
          </w:p>
        </w:tc>
        <w:tc>
          <w:tcPr>
            <w:tcW w:w="8118" w:type="dxa"/>
          </w:tcPr>
          <w:p w:rsidR="005B50FB" w:rsidRPr="00182D0C" w:rsidRDefault="005B50FB" w:rsidP="009E6124">
            <w:pPr>
              <w:rPr>
                <w:sz w:val="20"/>
                <w:szCs w:val="20"/>
              </w:rPr>
            </w:pPr>
            <w:r w:rsidRPr="00182D0C">
              <w:rPr>
                <w:rStyle w:val="SCCLsocChar"/>
                <w:sz w:val="20"/>
                <w:szCs w:val="20"/>
                <w:lang w:val="en-CA"/>
              </w:rPr>
              <w:t>J.S. v. Her Majesty the Queen</w:t>
            </w:r>
            <w:r w:rsidRPr="00182D0C">
              <w:rPr>
                <w:sz w:val="20"/>
                <w:szCs w:val="20"/>
              </w:rPr>
              <w:t xml:space="preserve"> (Ont.) (Criminal) (By Leave)</w:t>
            </w:r>
          </w:p>
          <w:p w:rsidR="005B50FB" w:rsidRPr="00182D0C" w:rsidRDefault="005B50FB" w:rsidP="009E6124">
            <w:pPr>
              <w:rPr>
                <w:sz w:val="20"/>
                <w:szCs w:val="20"/>
              </w:rPr>
            </w:pPr>
          </w:p>
        </w:tc>
      </w:tr>
      <w:tr w:rsidR="005B50FB" w:rsidRPr="00182D0C" w:rsidTr="009E6124">
        <w:trPr>
          <w:cantSplit/>
        </w:trPr>
        <w:tc>
          <w:tcPr>
            <w:tcW w:w="1458" w:type="dxa"/>
          </w:tcPr>
          <w:p w:rsidR="005B50FB" w:rsidRPr="00182D0C" w:rsidRDefault="005B50FB" w:rsidP="009E6124">
            <w:pPr>
              <w:rPr>
                <w:sz w:val="20"/>
                <w:szCs w:val="20"/>
              </w:rPr>
            </w:pPr>
            <w:r w:rsidRPr="00182D0C">
              <w:rPr>
                <w:sz w:val="20"/>
                <w:szCs w:val="20"/>
              </w:rPr>
              <w:t>Coram :</w:t>
            </w:r>
          </w:p>
        </w:tc>
        <w:tc>
          <w:tcPr>
            <w:tcW w:w="8118" w:type="dxa"/>
          </w:tcPr>
          <w:p w:rsidR="005B50FB" w:rsidRPr="00182D0C" w:rsidRDefault="005B50FB" w:rsidP="009E6124">
            <w:pPr>
              <w:rPr>
                <w:sz w:val="20"/>
                <w:szCs w:val="20"/>
              </w:rPr>
            </w:pPr>
            <w:proofErr w:type="spellStart"/>
            <w:r w:rsidRPr="00182D0C">
              <w:rPr>
                <w:rStyle w:val="SCCCoramChar"/>
                <w:sz w:val="20"/>
                <w:szCs w:val="20"/>
                <w:lang w:val="en-CA"/>
              </w:rPr>
              <w:t>LeBel</w:t>
            </w:r>
            <w:proofErr w:type="spellEnd"/>
            <w:r w:rsidRPr="00182D0C">
              <w:rPr>
                <w:rStyle w:val="SCCCoramChar"/>
                <w:sz w:val="20"/>
                <w:szCs w:val="20"/>
                <w:lang w:val="en-CA"/>
              </w:rPr>
              <w:t xml:space="preserve">, </w:t>
            </w:r>
            <w:proofErr w:type="spellStart"/>
            <w:r w:rsidRPr="00182D0C">
              <w:rPr>
                <w:rStyle w:val="SCCCoramChar"/>
                <w:sz w:val="20"/>
                <w:szCs w:val="20"/>
                <w:lang w:val="en-CA"/>
              </w:rPr>
              <w:t>Karakatsanis</w:t>
            </w:r>
            <w:proofErr w:type="spellEnd"/>
            <w:r w:rsidRPr="00182D0C">
              <w:rPr>
                <w:rStyle w:val="SCCCoramChar"/>
                <w:sz w:val="20"/>
                <w:szCs w:val="20"/>
                <w:lang w:val="en-CA"/>
              </w:rPr>
              <w:t xml:space="preserve"> and Wagner JJ.</w:t>
            </w:r>
          </w:p>
          <w:p w:rsidR="005B50FB" w:rsidRPr="00182D0C" w:rsidRDefault="005B50FB" w:rsidP="009E6124">
            <w:pPr>
              <w:rPr>
                <w:sz w:val="20"/>
                <w:szCs w:val="20"/>
                <w:u w:val="single"/>
              </w:rPr>
            </w:pPr>
          </w:p>
        </w:tc>
      </w:tr>
      <w:tr w:rsidR="005B50FB" w:rsidRPr="009714AD" w:rsidTr="009E6124">
        <w:trPr>
          <w:cantSplit/>
        </w:trPr>
        <w:tc>
          <w:tcPr>
            <w:tcW w:w="9576" w:type="dxa"/>
            <w:gridSpan w:val="2"/>
          </w:tcPr>
          <w:p w:rsidR="005B50FB" w:rsidRPr="00182D0C" w:rsidRDefault="005B50FB" w:rsidP="009E6124">
            <w:pPr>
              <w:pStyle w:val="SCCShortJudgment"/>
              <w:rPr>
                <w:szCs w:val="20"/>
              </w:rPr>
            </w:pPr>
            <w:r w:rsidRPr="00182D0C">
              <w:rPr>
                <w:szCs w:val="20"/>
              </w:rPr>
              <w:t>The motion for an extension of time to serve and file the application for leave to appeal is granted. The motions for a stay of execution and for the appointment of counsel are dismissed without costs. The application for leave to appeal from the judgment of the Court of Appeal for Ontario, Number C52031, 2012 ONCA 271, dated April 4, 2012, is dismissed without costs.</w:t>
            </w:r>
          </w:p>
          <w:p w:rsidR="005B50FB" w:rsidRPr="00182D0C" w:rsidRDefault="005B50FB" w:rsidP="009E6124">
            <w:pPr>
              <w:pStyle w:val="SCCShortJudgment"/>
              <w:ind w:firstLine="0"/>
              <w:rPr>
                <w:szCs w:val="20"/>
              </w:rPr>
            </w:pPr>
          </w:p>
          <w:p w:rsidR="005B50FB" w:rsidRPr="00182D0C" w:rsidRDefault="005B50FB" w:rsidP="005B50FB">
            <w:pPr>
              <w:pStyle w:val="SCCShortJudgment"/>
              <w:rPr>
                <w:szCs w:val="20"/>
                <w:lang w:val="fr-CA"/>
              </w:rPr>
            </w:pPr>
            <w:r w:rsidRPr="00182D0C">
              <w:rPr>
                <w:szCs w:val="20"/>
                <w:lang w:val="fr-CA"/>
              </w:rPr>
              <w:t>La requête en prorogation du délai de signification et de dépôt de la demande d’autorisation d’appel est accueillie. Les requêtes pour sursis d’exécution et pour nomination d’un avocat sont rejetées sans dépens. La demande d’autorisation d’appel de l’arrêt de la Cour d’appel de l’Ontario, numéro C52031, 2012 ONCA 271, daté du 4 avril 2012, est rejetée sans dépens.</w:t>
            </w:r>
          </w:p>
        </w:tc>
      </w:tr>
    </w:tbl>
    <w:p w:rsidR="000C7850" w:rsidRPr="000C7850"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72EAB" w:rsidRPr="00495EC2" w:rsidTr="009E6124">
        <w:tc>
          <w:tcPr>
            <w:tcW w:w="5000" w:type="pct"/>
            <w:gridSpan w:val="3"/>
          </w:tcPr>
          <w:p w:rsidR="00372EAB" w:rsidRPr="00495EC2" w:rsidRDefault="00372EAB" w:rsidP="009E6124">
            <w:pPr>
              <w:jc w:val="both"/>
              <w:rPr>
                <w:rFonts w:eastAsia="Calibri"/>
                <w:smallCaps/>
                <w:sz w:val="20"/>
              </w:rPr>
            </w:pPr>
            <w:r w:rsidRPr="00495EC2">
              <w:rPr>
                <w:rFonts w:eastAsia="Calibri"/>
                <w:smallCaps/>
                <w:sz w:val="20"/>
              </w:rPr>
              <w:t xml:space="preserve">(Publication </w:t>
            </w:r>
            <w:r>
              <w:rPr>
                <w:rFonts w:eastAsia="Calibri"/>
                <w:smallCaps/>
                <w:sz w:val="20"/>
              </w:rPr>
              <w:t>B</w:t>
            </w:r>
            <w:r w:rsidRPr="00495EC2">
              <w:rPr>
                <w:rFonts w:eastAsia="Calibri"/>
                <w:smallCaps/>
                <w:sz w:val="20"/>
              </w:rPr>
              <w:t xml:space="preserve">an in </w:t>
            </w:r>
            <w:r>
              <w:rPr>
                <w:rFonts w:eastAsia="Calibri"/>
                <w:smallCaps/>
                <w:sz w:val="20"/>
              </w:rPr>
              <w:t>C</w:t>
            </w:r>
            <w:r w:rsidRPr="00495EC2">
              <w:rPr>
                <w:rFonts w:eastAsia="Calibri"/>
                <w:smallCaps/>
                <w:sz w:val="20"/>
              </w:rPr>
              <w:t xml:space="preserve">ase) (Publication </w:t>
            </w:r>
            <w:r>
              <w:rPr>
                <w:rFonts w:eastAsia="Calibri"/>
                <w:smallCaps/>
                <w:sz w:val="20"/>
              </w:rPr>
              <w:t>B</w:t>
            </w:r>
            <w:r w:rsidRPr="00495EC2">
              <w:rPr>
                <w:rFonts w:eastAsia="Calibri"/>
                <w:smallCaps/>
                <w:sz w:val="20"/>
              </w:rPr>
              <w:t xml:space="preserve">an on </w:t>
            </w:r>
            <w:r>
              <w:rPr>
                <w:rFonts w:eastAsia="Calibri"/>
                <w:smallCaps/>
                <w:sz w:val="20"/>
              </w:rPr>
              <w:t>P</w:t>
            </w:r>
            <w:r w:rsidRPr="00495EC2">
              <w:rPr>
                <w:rFonts w:eastAsia="Calibri"/>
                <w:smallCaps/>
                <w:sz w:val="20"/>
              </w:rPr>
              <w:t>arty)</w:t>
            </w:r>
          </w:p>
          <w:p w:rsidR="00372EAB" w:rsidRPr="00495EC2" w:rsidRDefault="00372EAB" w:rsidP="009E6124">
            <w:pPr>
              <w:jc w:val="both"/>
              <w:rPr>
                <w:rFonts w:eastAsia="Calibri"/>
                <w:sz w:val="20"/>
              </w:rPr>
            </w:pPr>
          </w:p>
          <w:p w:rsidR="00372EAB" w:rsidRPr="00495EC2" w:rsidRDefault="00372EAB" w:rsidP="009E6124">
            <w:pPr>
              <w:jc w:val="both"/>
              <w:rPr>
                <w:rFonts w:eastAsia="Calibri"/>
                <w:sz w:val="20"/>
              </w:rPr>
            </w:pPr>
            <w:r w:rsidRPr="00495EC2">
              <w:rPr>
                <w:rFonts w:eastAsia="Calibri"/>
                <w:sz w:val="20"/>
              </w:rPr>
              <w:t>Criminal law – Charge to Jury – Jurors – Selection – Accused convicted after trial by judge and jury of sexual assault – Whether Crown’s conduct was improper by failing to alert the trial judge to the existence of jury vetting – Whether trial judge’s improper reference to “timid juror” confused the jurors in their assessment of reasonable doubt – Whether Court of Appeal erred in failing to admit new and fresh evidence received two days prior to hearing date that exonerated Applicant</w:t>
            </w:r>
          </w:p>
          <w:p w:rsidR="00372EAB" w:rsidRPr="00495EC2" w:rsidRDefault="00372EAB" w:rsidP="009E6124">
            <w:pPr>
              <w:jc w:val="both"/>
              <w:rPr>
                <w:rFonts w:eastAsia="Calibri"/>
                <w:sz w:val="20"/>
              </w:rPr>
            </w:pPr>
          </w:p>
        </w:tc>
      </w:tr>
      <w:tr w:rsidR="00372EAB" w:rsidRPr="00495EC2" w:rsidTr="009E6124">
        <w:tc>
          <w:tcPr>
            <w:tcW w:w="5000" w:type="pct"/>
            <w:gridSpan w:val="3"/>
          </w:tcPr>
          <w:p w:rsidR="00372EAB" w:rsidRPr="00495EC2" w:rsidRDefault="00372EAB" w:rsidP="009E6124">
            <w:pPr>
              <w:tabs>
                <w:tab w:val="left" w:pos="9270"/>
              </w:tabs>
              <w:jc w:val="both"/>
              <w:rPr>
                <w:rFonts w:eastAsia="Calibri"/>
                <w:color w:val="000000"/>
                <w:sz w:val="20"/>
              </w:rPr>
            </w:pPr>
            <w:r w:rsidRPr="00495EC2">
              <w:rPr>
                <w:rFonts w:eastAsia="Calibri"/>
                <w:color w:val="000000"/>
                <w:sz w:val="20"/>
              </w:rPr>
              <w:t xml:space="preserve">A jury found the Applicant guilty of one count of sexual assault and he was sentenced to a term of imprisonment.  He appealed his conviction on two grounds.  First, he alleged error on the part of the trial judge in his charge to the jury on reasonable doubt that caused confusion for the jurors.  The second ground concerned the integrity of the jury selection process.  The defence maintained, </w:t>
            </w:r>
            <w:r w:rsidRPr="00495EC2">
              <w:rPr>
                <w:rFonts w:eastAsia="Calibri"/>
                <w:i/>
                <w:color w:val="000000"/>
                <w:sz w:val="20"/>
              </w:rPr>
              <w:t>inter alia</w:t>
            </w:r>
            <w:r w:rsidRPr="00495EC2">
              <w:rPr>
                <w:rFonts w:eastAsia="Calibri"/>
                <w:color w:val="000000"/>
                <w:sz w:val="20"/>
              </w:rPr>
              <w:t>, that the disclosure came late and that the Crown failed to correct some of the trial judge’s comments about the jurors in his opening comments.</w:t>
            </w:r>
          </w:p>
          <w:p w:rsidR="00372EAB" w:rsidRPr="00495EC2" w:rsidRDefault="00372EAB" w:rsidP="009E6124">
            <w:pPr>
              <w:ind w:right="243"/>
              <w:jc w:val="both"/>
              <w:rPr>
                <w:rFonts w:eastAsia="Calibri"/>
                <w:sz w:val="20"/>
              </w:rPr>
            </w:pPr>
          </w:p>
        </w:tc>
      </w:tr>
      <w:tr w:rsidR="00372EAB" w:rsidRPr="00495EC2" w:rsidTr="004A0323">
        <w:trPr>
          <w:cantSplit/>
        </w:trPr>
        <w:tc>
          <w:tcPr>
            <w:tcW w:w="2427" w:type="pct"/>
          </w:tcPr>
          <w:p w:rsidR="00372EAB" w:rsidRPr="00495EC2" w:rsidRDefault="00372EAB" w:rsidP="009E6124">
            <w:pPr>
              <w:jc w:val="both"/>
              <w:rPr>
                <w:rFonts w:eastAsia="Calibri"/>
                <w:sz w:val="20"/>
              </w:rPr>
            </w:pPr>
            <w:r w:rsidRPr="00495EC2">
              <w:rPr>
                <w:rFonts w:eastAsia="Calibri"/>
                <w:sz w:val="20"/>
              </w:rPr>
              <w:t>June 9, 2009</w:t>
            </w:r>
          </w:p>
          <w:p w:rsidR="00372EAB" w:rsidRPr="00495EC2" w:rsidRDefault="00372EAB" w:rsidP="009E6124">
            <w:pPr>
              <w:jc w:val="both"/>
              <w:rPr>
                <w:rFonts w:eastAsia="Calibri"/>
                <w:sz w:val="20"/>
              </w:rPr>
            </w:pPr>
            <w:r w:rsidRPr="00495EC2">
              <w:rPr>
                <w:rFonts w:eastAsia="Calibri"/>
                <w:sz w:val="20"/>
              </w:rPr>
              <w:t>Ontario Superior Court of Justice</w:t>
            </w:r>
          </w:p>
          <w:p w:rsidR="00372EAB" w:rsidRPr="00495EC2" w:rsidRDefault="00372EAB" w:rsidP="009E6124">
            <w:pPr>
              <w:jc w:val="both"/>
              <w:rPr>
                <w:rFonts w:eastAsia="Calibri"/>
                <w:sz w:val="20"/>
              </w:rPr>
            </w:pPr>
            <w:r w:rsidRPr="00495EC2">
              <w:rPr>
                <w:rFonts w:eastAsia="Calibri"/>
                <w:sz w:val="20"/>
              </w:rPr>
              <w:t>(</w:t>
            </w:r>
            <w:proofErr w:type="spellStart"/>
            <w:r w:rsidRPr="00495EC2">
              <w:rPr>
                <w:rFonts w:eastAsia="Calibri"/>
                <w:sz w:val="20"/>
              </w:rPr>
              <w:t>Platana</w:t>
            </w:r>
            <w:proofErr w:type="spellEnd"/>
            <w:r w:rsidRPr="00495EC2">
              <w:rPr>
                <w:rFonts w:eastAsia="Calibri"/>
                <w:sz w:val="20"/>
              </w:rPr>
              <w:t xml:space="preserve"> J.)</w:t>
            </w:r>
          </w:p>
          <w:p w:rsidR="00372EAB" w:rsidRPr="00495EC2" w:rsidRDefault="00372EAB" w:rsidP="009E6124">
            <w:pPr>
              <w:jc w:val="both"/>
              <w:rPr>
                <w:rFonts w:eastAsia="Calibri"/>
                <w:sz w:val="20"/>
              </w:rPr>
            </w:pPr>
          </w:p>
        </w:tc>
        <w:tc>
          <w:tcPr>
            <w:tcW w:w="243" w:type="pct"/>
          </w:tcPr>
          <w:p w:rsidR="00372EAB" w:rsidRPr="00495EC2" w:rsidRDefault="00372EAB" w:rsidP="009E6124">
            <w:pPr>
              <w:jc w:val="both"/>
              <w:rPr>
                <w:rFonts w:eastAsia="Calibri"/>
                <w:sz w:val="20"/>
              </w:rPr>
            </w:pPr>
          </w:p>
        </w:tc>
        <w:tc>
          <w:tcPr>
            <w:tcW w:w="2330" w:type="pct"/>
          </w:tcPr>
          <w:p w:rsidR="00372EAB" w:rsidRPr="00495EC2" w:rsidRDefault="00372EAB" w:rsidP="009E6124">
            <w:pPr>
              <w:jc w:val="both"/>
              <w:rPr>
                <w:rFonts w:eastAsia="Calibri"/>
                <w:sz w:val="20"/>
              </w:rPr>
            </w:pPr>
            <w:r w:rsidRPr="00495EC2">
              <w:rPr>
                <w:rFonts w:eastAsia="Calibri"/>
                <w:sz w:val="20"/>
              </w:rPr>
              <w:t>Applicant convicted on one count of sexual assault</w:t>
            </w:r>
          </w:p>
          <w:p w:rsidR="00372EAB" w:rsidRPr="00495EC2" w:rsidRDefault="00372EAB" w:rsidP="009E6124">
            <w:pPr>
              <w:jc w:val="both"/>
              <w:rPr>
                <w:rFonts w:eastAsia="Calibri"/>
                <w:sz w:val="20"/>
              </w:rPr>
            </w:pPr>
          </w:p>
        </w:tc>
      </w:tr>
      <w:tr w:rsidR="00372EAB" w:rsidRPr="00495EC2" w:rsidTr="004A0323">
        <w:trPr>
          <w:cantSplit/>
        </w:trPr>
        <w:tc>
          <w:tcPr>
            <w:tcW w:w="2427" w:type="pct"/>
          </w:tcPr>
          <w:p w:rsidR="00372EAB" w:rsidRPr="00495EC2" w:rsidRDefault="00372EAB" w:rsidP="009E6124">
            <w:pPr>
              <w:jc w:val="both"/>
              <w:rPr>
                <w:rFonts w:eastAsia="Calibri"/>
                <w:sz w:val="20"/>
              </w:rPr>
            </w:pPr>
            <w:r w:rsidRPr="00495EC2">
              <w:rPr>
                <w:rFonts w:eastAsia="Calibri"/>
                <w:sz w:val="20"/>
              </w:rPr>
              <w:t>April 4, 2012</w:t>
            </w:r>
          </w:p>
          <w:p w:rsidR="00372EAB" w:rsidRPr="00495EC2" w:rsidRDefault="00372EAB" w:rsidP="009E6124">
            <w:pPr>
              <w:jc w:val="both"/>
              <w:rPr>
                <w:rFonts w:eastAsia="Calibri"/>
                <w:sz w:val="20"/>
              </w:rPr>
            </w:pPr>
            <w:r w:rsidRPr="00495EC2">
              <w:rPr>
                <w:rFonts w:eastAsia="Calibri"/>
                <w:sz w:val="20"/>
              </w:rPr>
              <w:t>Court of Appeal for Ontario</w:t>
            </w:r>
          </w:p>
          <w:p w:rsidR="00372EAB" w:rsidRPr="00495EC2" w:rsidRDefault="00372EAB" w:rsidP="009E6124">
            <w:pPr>
              <w:jc w:val="both"/>
              <w:rPr>
                <w:rFonts w:eastAsia="Calibri"/>
                <w:sz w:val="20"/>
              </w:rPr>
            </w:pPr>
            <w:r w:rsidRPr="00495EC2">
              <w:rPr>
                <w:rFonts w:eastAsia="Calibri"/>
                <w:sz w:val="20"/>
              </w:rPr>
              <w:t xml:space="preserve">(Winkler, </w:t>
            </w:r>
            <w:proofErr w:type="spellStart"/>
            <w:r w:rsidRPr="00495EC2">
              <w:rPr>
                <w:rFonts w:eastAsia="Calibri"/>
                <w:sz w:val="20"/>
              </w:rPr>
              <w:t>Laskin</w:t>
            </w:r>
            <w:proofErr w:type="spellEnd"/>
            <w:r w:rsidRPr="00495EC2">
              <w:rPr>
                <w:rFonts w:eastAsia="Calibri"/>
                <w:sz w:val="20"/>
              </w:rPr>
              <w:t xml:space="preserve"> and Watt JJ.A.)</w:t>
            </w:r>
          </w:p>
          <w:p w:rsidR="00372EAB" w:rsidRPr="00495EC2" w:rsidRDefault="00372EAB" w:rsidP="009E6124">
            <w:pPr>
              <w:jc w:val="both"/>
              <w:rPr>
                <w:rFonts w:eastAsia="Calibri"/>
                <w:sz w:val="20"/>
              </w:rPr>
            </w:pPr>
            <w:r w:rsidRPr="00495EC2">
              <w:rPr>
                <w:rFonts w:eastAsia="Calibri"/>
                <w:sz w:val="20"/>
              </w:rPr>
              <w:t>2012 ONCA 271</w:t>
            </w:r>
          </w:p>
          <w:p w:rsidR="00372EAB" w:rsidRPr="00495EC2" w:rsidRDefault="00372EAB" w:rsidP="009E6124">
            <w:pPr>
              <w:jc w:val="both"/>
              <w:rPr>
                <w:rFonts w:eastAsia="Calibri"/>
                <w:sz w:val="20"/>
              </w:rPr>
            </w:pPr>
          </w:p>
        </w:tc>
        <w:tc>
          <w:tcPr>
            <w:tcW w:w="243" w:type="pct"/>
          </w:tcPr>
          <w:p w:rsidR="00372EAB" w:rsidRPr="00495EC2" w:rsidRDefault="00372EAB" w:rsidP="009E6124">
            <w:pPr>
              <w:jc w:val="both"/>
              <w:rPr>
                <w:rFonts w:eastAsia="Calibri"/>
                <w:sz w:val="20"/>
              </w:rPr>
            </w:pPr>
          </w:p>
        </w:tc>
        <w:tc>
          <w:tcPr>
            <w:tcW w:w="2330" w:type="pct"/>
          </w:tcPr>
          <w:p w:rsidR="00372EAB" w:rsidRPr="00495EC2" w:rsidRDefault="00372EAB" w:rsidP="009E6124">
            <w:pPr>
              <w:jc w:val="both"/>
              <w:rPr>
                <w:rFonts w:eastAsia="Calibri"/>
                <w:sz w:val="20"/>
              </w:rPr>
            </w:pPr>
            <w:r w:rsidRPr="00495EC2">
              <w:rPr>
                <w:rFonts w:eastAsia="Calibri"/>
                <w:sz w:val="20"/>
              </w:rPr>
              <w:t>Appeal dismissed</w:t>
            </w:r>
          </w:p>
          <w:p w:rsidR="00372EAB" w:rsidRPr="00495EC2" w:rsidRDefault="00372EAB" w:rsidP="009E6124">
            <w:pPr>
              <w:jc w:val="both"/>
              <w:rPr>
                <w:rFonts w:eastAsia="Calibri"/>
                <w:sz w:val="20"/>
              </w:rPr>
            </w:pPr>
          </w:p>
        </w:tc>
      </w:tr>
      <w:tr w:rsidR="00372EAB" w:rsidRPr="00495EC2" w:rsidTr="004A0323">
        <w:trPr>
          <w:cantSplit/>
        </w:trPr>
        <w:tc>
          <w:tcPr>
            <w:tcW w:w="2427" w:type="pct"/>
          </w:tcPr>
          <w:p w:rsidR="00372EAB" w:rsidRPr="00495EC2" w:rsidRDefault="00372EAB" w:rsidP="009E6124">
            <w:pPr>
              <w:jc w:val="both"/>
              <w:rPr>
                <w:rFonts w:eastAsia="Calibri"/>
                <w:sz w:val="20"/>
              </w:rPr>
            </w:pPr>
            <w:r w:rsidRPr="00495EC2">
              <w:rPr>
                <w:rFonts w:eastAsia="Calibri"/>
                <w:sz w:val="20"/>
              </w:rPr>
              <w:t>August 13, 2012</w:t>
            </w:r>
          </w:p>
          <w:p w:rsidR="00372EAB" w:rsidRPr="00495EC2" w:rsidRDefault="00372EAB" w:rsidP="009E6124">
            <w:pPr>
              <w:jc w:val="both"/>
              <w:rPr>
                <w:rFonts w:eastAsia="Calibri"/>
                <w:sz w:val="20"/>
              </w:rPr>
            </w:pPr>
            <w:r w:rsidRPr="00495EC2">
              <w:rPr>
                <w:rFonts w:eastAsia="Calibri"/>
                <w:sz w:val="20"/>
              </w:rPr>
              <w:t>Supreme Court of Canada</w:t>
            </w:r>
          </w:p>
          <w:p w:rsidR="00372EAB" w:rsidRPr="00495EC2" w:rsidRDefault="00372EAB" w:rsidP="009E6124">
            <w:pPr>
              <w:jc w:val="both"/>
              <w:rPr>
                <w:rFonts w:eastAsia="Calibri"/>
                <w:sz w:val="20"/>
              </w:rPr>
            </w:pPr>
          </w:p>
        </w:tc>
        <w:tc>
          <w:tcPr>
            <w:tcW w:w="243" w:type="pct"/>
          </w:tcPr>
          <w:p w:rsidR="00372EAB" w:rsidRPr="00495EC2" w:rsidRDefault="00372EAB" w:rsidP="009E6124">
            <w:pPr>
              <w:jc w:val="both"/>
              <w:rPr>
                <w:rFonts w:eastAsia="Calibri"/>
                <w:sz w:val="20"/>
              </w:rPr>
            </w:pPr>
          </w:p>
        </w:tc>
        <w:tc>
          <w:tcPr>
            <w:tcW w:w="2330" w:type="pct"/>
          </w:tcPr>
          <w:p w:rsidR="00372EAB" w:rsidRPr="00495EC2" w:rsidRDefault="00372EAB" w:rsidP="009E6124">
            <w:pPr>
              <w:jc w:val="both"/>
              <w:rPr>
                <w:rFonts w:eastAsia="Calibri"/>
                <w:sz w:val="20"/>
              </w:rPr>
            </w:pPr>
            <w:r w:rsidRPr="00495EC2">
              <w:rPr>
                <w:rFonts w:eastAsia="Calibri"/>
                <w:sz w:val="20"/>
              </w:rPr>
              <w:t>Motion for a stay of execution and motion to appoint counsel filed</w:t>
            </w:r>
          </w:p>
        </w:tc>
      </w:tr>
      <w:tr w:rsidR="00372EAB" w:rsidRPr="00495EC2" w:rsidTr="004A0323">
        <w:trPr>
          <w:cantSplit/>
        </w:trPr>
        <w:tc>
          <w:tcPr>
            <w:tcW w:w="2427" w:type="pct"/>
          </w:tcPr>
          <w:p w:rsidR="00372EAB" w:rsidRPr="00495EC2" w:rsidRDefault="00372EAB" w:rsidP="009E6124">
            <w:pPr>
              <w:jc w:val="both"/>
              <w:rPr>
                <w:rFonts w:eastAsia="Calibri"/>
                <w:sz w:val="20"/>
              </w:rPr>
            </w:pPr>
            <w:r w:rsidRPr="00495EC2">
              <w:rPr>
                <w:rFonts w:eastAsia="Calibri"/>
                <w:sz w:val="20"/>
              </w:rPr>
              <w:t>August 16, 2012</w:t>
            </w:r>
          </w:p>
          <w:p w:rsidR="00372EAB" w:rsidRPr="00495EC2" w:rsidRDefault="00372EAB" w:rsidP="00372EAB">
            <w:pPr>
              <w:jc w:val="both"/>
              <w:rPr>
                <w:rFonts w:eastAsia="Calibri"/>
                <w:sz w:val="20"/>
              </w:rPr>
            </w:pPr>
            <w:r w:rsidRPr="00495EC2">
              <w:rPr>
                <w:rFonts w:eastAsia="Calibri"/>
                <w:sz w:val="20"/>
              </w:rPr>
              <w:t>Supreme Court of Canada</w:t>
            </w:r>
          </w:p>
        </w:tc>
        <w:tc>
          <w:tcPr>
            <w:tcW w:w="243" w:type="pct"/>
          </w:tcPr>
          <w:p w:rsidR="00372EAB" w:rsidRPr="00495EC2" w:rsidRDefault="00372EAB" w:rsidP="009E6124">
            <w:pPr>
              <w:jc w:val="both"/>
              <w:rPr>
                <w:rFonts w:eastAsia="Calibri"/>
                <w:sz w:val="20"/>
              </w:rPr>
            </w:pPr>
          </w:p>
        </w:tc>
        <w:tc>
          <w:tcPr>
            <w:tcW w:w="2330" w:type="pct"/>
          </w:tcPr>
          <w:p w:rsidR="00372EAB" w:rsidRPr="00495EC2" w:rsidRDefault="00372EAB" w:rsidP="00372EAB">
            <w:pPr>
              <w:jc w:val="both"/>
              <w:rPr>
                <w:rFonts w:eastAsia="Calibri"/>
                <w:sz w:val="20"/>
              </w:rPr>
            </w:pPr>
            <w:r w:rsidRPr="00495EC2">
              <w:rPr>
                <w:rFonts w:eastAsia="Calibri"/>
                <w:sz w:val="20"/>
              </w:rPr>
              <w:t>Motion to extend time to file and serve a leave application and application for leave to appeal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80"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72EAB" w:rsidRPr="009714AD" w:rsidTr="009E6124">
        <w:tc>
          <w:tcPr>
            <w:tcW w:w="5000" w:type="pct"/>
            <w:gridSpan w:val="3"/>
          </w:tcPr>
          <w:p w:rsidR="00372EAB" w:rsidRPr="00495EC2" w:rsidRDefault="00372EAB" w:rsidP="009E6124">
            <w:pPr>
              <w:jc w:val="both"/>
              <w:rPr>
                <w:rFonts w:eastAsia="Calibri"/>
                <w:smallCaps/>
                <w:sz w:val="20"/>
                <w:lang w:val="fr-CA"/>
              </w:rPr>
            </w:pPr>
            <w:r w:rsidRPr="00495EC2">
              <w:rPr>
                <w:rFonts w:eastAsia="Calibri"/>
                <w:smallCaps/>
                <w:sz w:val="20"/>
                <w:lang w:val="fr-CA"/>
              </w:rPr>
              <w:t xml:space="preserve">(Ordonnance de </w:t>
            </w:r>
            <w:proofErr w:type="spellStart"/>
            <w:r w:rsidRPr="00495EC2">
              <w:rPr>
                <w:rFonts w:eastAsia="Calibri"/>
                <w:smallCaps/>
                <w:sz w:val="20"/>
                <w:lang w:val="fr-CA"/>
              </w:rPr>
              <w:t>non</w:t>
            </w:r>
            <w:r w:rsidRPr="00495EC2">
              <w:rPr>
                <w:rFonts w:eastAsia="Calibri"/>
                <w:smallCaps/>
                <w:sz w:val="20"/>
                <w:lang w:val="fr-CA"/>
              </w:rPr>
              <w:noBreakHyphen/>
              <w:t>publication</w:t>
            </w:r>
            <w:proofErr w:type="spellEnd"/>
            <w:r w:rsidRPr="00495EC2">
              <w:rPr>
                <w:rFonts w:eastAsia="Calibri"/>
                <w:smallCaps/>
                <w:sz w:val="20"/>
                <w:lang w:val="fr-CA"/>
              </w:rPr>
              <w:t xml:space="preserve"> dans le dossier) (Ordonnance de </w:t>
            </w:r>
            <w:proofErr w:type="spellStart"/>
            <w:r w:rsidRPr="00495EC2">
              <w:rPr>
                <w:rFonts w:eastAsia="Calibri"/>
                <w:smallCaps/>
                <w:sz w:val="20"/>
                <w:lang w:val="fr-CA"/>
              </w:rPr>
              <w:t>non</w:t>
            </w:r>
            <w:r w:rsidRPr="00495EC2">
              <w:rPr>
                <w:rFonts w:eastAsia="Calibri"/>
                <w:smallCaps/>
                <w:sz w:val="20"/>
                <w:lang w:val="fr-CA"/>
              </w:rPr>
              <w:noBreakHyphen/>
              <w:t>publication</w:t>
            </w:r>
            <w:proofErr w:type="spellEnd"/>
            <w:r w:rsidRPr="00495EC2">
              <w:rPr>
                <w:rFonts w:eastAsia="Calibri"/>
                <w:smallCaps/>
                <w:sz w:val="20"/>
                <w:lang w:val="fr-CA"/>
              </w:rPr>
              <w:t xml:space="preserve"> visant une partie)</w:t>
            </w:r>
          </w:p>
          <w:p w:rsidR="00372EAB" w:rsidRPr="00495EC2" w:rsidRDefault="00372EAB" w:rsidP="009E6124">
            <w:pPr>
              <w:jc w:val="both"/>
              <w:rPr>
                <w:rFonts w:eastAsia="Calibri"/>
                <w:sz w:val="20"/>
                <w:lang w:val="fr-CA"/>
              </w:rPr>
            </w:pPr>
          </w:p>
          <w:p w:rsidR="00372EAB" w:rsidRPr="00495EC2" w:rsidRDefault="00372EAB" w:rsidP="009E6124">
            <w:pPr>
              <w:jc w:val="both"/>
              <w:rPr>
                <w:rFonts w:eastAsia="Calibri"/>
                <w:sz w:val="20"/>
                <w:lang w:val="fr-CA"/>
              </w:rPr>
            </w:pPr>
            <w:r w:rsidRPr="00495EC2">
              <w:rPr>
                <w:rFonts w:eastAsia="Calibri"/>
                <w:sz w:val="20"/>
                <w:lang w:val="fr-CA"/>
              </w:rPr>
              <w:t xml:space="preserve">Droit criminel – Exposé au jury – Jurés – Sélection – Accusé déclaré coupable d’agression sexuelle au terme d'un procès devant juge et jury </w:t>
            </w:r>
            <w:r w:rsidRPr="00495EC2">
              <w:rPr>
                <w:rFonts w:eastAsia="Calibri"/>
                <w:sz w:val="20"/>
                <w:lang w:val="fr-CA"/>
              </w:rPr>
              <w:noBreakHyphen/>
              <w:t xml:space="preserve"> Le ministère public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il</w:t>
            </w:r>
            <w:proofErr w:type="spellEnd"/>
            <w:r w:rsidRPr="00495EC2">
              <w:rPr>
                <w:rFonts w:eastAsia="Calibri"/>
                <w:sz w:val="20"/>
                <w:lang w:val="fr-CA"/>
              </w:rPr>
              <w:t xml:space="preserve"> mal agi en omettant d'informer le juge du procès de l'existence d'une évaluation des candidats jurés? – La  mention incorrecte par le juge du procès à propos du « juré timide »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elle</w:t>
            </w:r>
            <w:proofErr w:type="spellEnd"/>
            <w:r w:rsidRPr="00495EC2">
              <w:rPr>
                <w:rFonts w:eastAsia="Calibri"/>
                <w:sz w:val="20"/>
                <w:lang w:val="fr-CA"/>
              </w:rPr>
              <w:t xml:space="preserve"> créé de la confusion chez les jurés dans leur évaluation du doute raisonnable? – La Cour d'appel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elle</w:t>
            </w:r>
            <w:proofErr w:type="spellEnd"/>
            <w:r w:rsidRPr="00495EC2">
              <w:rPr>
                <w:rFonts w:eastAsia="Calibri"/>
                <w:sz w:val="20"/>
                <w:lang w:val="fr-CA"/>
              </w:rPr>
              <w:t xml:space="preserve"> eu tort de ne pas admettre de nouveaux éléments de preuve reçus deux jours avant la date d'audience et qui exonéraient le demandeur?</w:t>
            </w:r>
          </w:p>
          <w:p w:rsidR="00372EAB" w:rsidRPr="00495EC2" w:rsidRDefault="00372EAB" w:rsidP="009E6124">
            <w:pPr>
              <w:jc w:val="both"/>
              <w:rPr>
                <w:rFonts w:eastAsia="Calibri"/>
                <w:sz w:val="20"/>
                <w:lang w:val="fr-CA"/>
              </w:rPr>
            </w:pPr>
          </w:p>
        </w:tc>
      </w:tr>
      <w:tr w:rsidR="00372EAB" w:rsidRPr="009714AD" w:rsidTr="009E6124">
        <w:tc>
          <w:tcPr>
            <w:tcW w:w="5000" w:type="pct"/>
            <w:gridSpan w:val="3"/>
          </w:tcPr>
          <w:p w:rsidR="00372EAB" w:rsidRPr="00495EC2" w:rsidRDefault="00372EAB" w:rsidP="009E6124">
            <w:pPr>
              <w:tabs>
                <w:tab w:val="left" w:pos="9270"/>
              </w:tabs>
              <w:jc w:val="both"/>
              <w:rPr>
                <w:rFonts w:eastAsia="Calibri"/>
                <w:sz w:val="20"/>
                <w:lang w:val="fr-CA"/>
              </w:rPr>
            </w:pPr>
            <w:r w:rsidRPr="00495EC2">
              <w:rPr>
                <w:rFonts w:eastAsia="Calibri"/>
                <w:color w:val="000000"/>
                <w:sz w:val="20"/>
                <w:lang w:val="fr-CA"/>
              </w:rPr>
              <w:t xml:space="preserve">Un jury a déclaré le demandeur coupable sous un chef d’agression sexuelle et </w:t>
            </w:r>
            <w:proofErr w:type="spellStart"/>
            <w:r w:rsidRPr="00495EC2">
              <w:rPr>
                <w:rFonts w:eastAsia="Calibri"/>
                <w:color w:val="000000"/>
                <w:sz w:val="20"/>
                <w:lang w:val="fr-CA"/>
              </w:rPr>
              <w:t>celui</w:t>
            </w:r>
            <w:r w:rsidRPr="00495EC2">
              <w:rPr>
                <w:rFonts w:eastAsia="Calibri"/>
                <w:color w:val="000000"/>
                <w:sz w:val="20"/>
                <w:lang w:val="fr-CA"/>
              </w:rPr>
              <w:noBreakHyphen/>
              <w:t>ci</w:t>
            </w:r>
            <w:proofErr w:type="spellEnd"/>
            <w:r w:rsidRPr="00495EC2">
              <w:rPr>
                <w:rFonts w:eastAsia="Calibri"/>
                <w:color w:val="000000"/>
                <w:sz w:val="20"/>
                <w:lang w:val="fr-CA"/>
              </w:rPr>
              <w:t xml:space="preserve"> a été condamné à une peine d'emprisonnement.  Le demandeur a interjeté appel de la déclaration de culpabilité pour deux motifs.  Premièrement, il a allégué que le juge du procès avait commis une erreur dans son exposé au jury sur le doute raisonnable, ce qui a créé de la confusion chez les jurés.  Le deuxième motif avait trait à l'intégrité du processus de sélection des jurés.  La défense a notamment soutenu que la divulgation avait été faite en retard et que le ministère public avait omis de corriger certains commentaires du juge du procès au sujet des jurés dans son exposé introductif.</w:t>
            </w:r>
          </w:p>
          <w:p w:rsidR="00372EAB" w:rsidRPr="00495EC2" w:rsidRDefault="00372EAB" w:rsidP="009E6124">
            <w:pPr>
              <w:ind w:right="243"/>
              <w:jc w:val="both"/>
              <w:rPr>
                <w:rFonts w:eastAsia="Calibri"/>
                <w:sz w:val="20"/>
                <w:lang w:val="fr-CA"/>
              </w:rPr>
            </w:pPr>
          </w:p>
        </w:tc>
      </w:tr>
      <w:tr w:rsidR="00372EAB" w:rsidRPr="009714AD" w:rsidTr="009E6124">
        <w:tc>
          <w:tcPr>
            <w:tcW w:w="2427" w:type="pct"/>
          </w:tcPr>
          <w:p w:rsidR="00372EAB" w:rsidRPr="00495EC2" w:rsidRDefault="00372EAB" w:rsidP="009E6124">
            <w:pPr>
              <w:jc w:val="both"/>
              <w:rPr>
                <w:rFonts w:eastAsia="Calibri"/>
                <w:sz w:val="20"/>
                <w:lang w:val="fr-CA"/>
              </w:rPr>
            </w:pPr>
            <w:r w:rsidRPr="00495EC2">
              <w:rPr>
                <w:rFonts w:eastAsia="Calibri"/>
                <w:sz w:val="20"/>
                <w:lang w:val="fr-CA"/>
              </w:rPr>
              <w:t>9 juin 2009</w:t>
            </w:r>
          </w:p>
          <w:p w:rsidR="00372EAB" w:rsidRPr="00495EC2" w:rsidRDefault="00372EAB" w:rsidP="009E6124">
            <w:pPr>
              <w:jc w:val="both"/>
              <w:rPr>
                <w:rFonts w:eastAsia="Calibri"/>
                <w:sz w:val="20"/>
                <w:lang w:val="fr-CA"/>
              </w:rPr>
            </w:pPr>
            <w:r w:rsidRPr="00495EC2">
              <w:rPr>
                <w:rFonts w:eastAsia="Calibri"/>
                <w:sz w:val="20"/>
                <w:lang w:val="fr-CA"/>
              </w:rPr>
              <w:t xml:space="preserve">Cour supérieure de justice de l'Ontario </w:t>
            </w:r>
          </w:p>
          <w:p w:rsidR="00372EAB" w:rsidRPr="00495EC2" w:rsidRDefault="00372EAB" w:rsidP="009E6124">
            <w:pPr>
              <w:jc w:val="both"/>
              <w:rPr>
                <w:rFonts w:eastAsia="Calibri"/>
                <w:sz w:val="20"/>
                <w:lang w:val="fr-CA"/>
              </w:rPr>
            </w:pPr>
            <w:r w:rsidRPr="00495EC2">
              <w:rPr>
                <w:rFonts w:eastAsia="Calibri"/>
                <w:sz w:val="20"/>
                <w:lang w:val="fr-CA"/>
              </w:rPr>
              <w:t xml:space="preserve">(Juge </w:t>
            </w:r>
            <w:proofErr w:type="spellStart"/>
            <w:r w:rsidRPr="00495EC2">
              <w:rPr>
                <w:rFonts w:eastAsia="Calibri"/>
                <w:sz w:val="20"/>
                <w:lang w:val="fr-CA"/>
              </w:rPr>
              <w:t>Platana</w:t>
            </w:r>
            <w:proofErr w:type="spellEnd"/>
            <w:r w:rsidRPr="00495EC2">
              <w:rPr>
                <w:rFonts w:eastAsia="Calibri"/>
                <w:sz w:val="20"/>
                <w:lang w:val="fr-CA"/>
              </w:rPr>
              <w:t>)</w:t>
            </w:r>
          </w:p>
          <w:p w:rsidR="00372EAB" w:rsidRPr="00495EC2" w:rsidRDefault="00372EAB" w:rsidP="009E6124">
            <w:pPr>
              <w:jc w:val="both"/>
              <w:rPr>
                <w:rFonts w:eastAsia="Calibri"/>
                <w:sz w:val="20"/>
                <w:lang w:val="fr-CA"/>
              </w:rPr>
            </w:pPr>
          </w:p>
        </w:tc>
        <w:tc>
          <w:tcPr>
            <w:tcW w:w="243" w:type="pct"/>
          </w:tcPr>
          <w:p w:rsidR="00372EAB" w:rsidRPr="00495EC2" w:rsidRDefault="00372EAB" w:rsidP="009E6124">
            <w:pPr>
              <w:jc w:val="both"/>
              <w:rPr>
                <w:rFonts w:eastAsia="Calibri"/>
                <w:sz w:val="20"/>
                <w:lang w:val="fr-CA"/>
              </w:rPr>
            </w:pPr>
          </w:p>
        </w:tc>
        <w:tc>
          <w:tcPr>
            <w:tcW w:w="2330" w:type="pct"/>
          </w:tcPr>
          <w:p w:rsidR="00372EAB" w:rsidRPr="00495EC2" w:rsidRDefault="00372EAB" w:rsidP="009E6124">
            <w:pPr>
              <w:jc w:val="both"/>
              <w:rPr>
                <w:rFonts w:eastAsia="Calibri"/>
                <w:sz w:val="20"/>
                <w:lang w:val="fr-CA"/>
              </w:rPr>
            </w:pPr>
            <w:r w:rsidRPr="00495EC2">
              <w:rPr>
                <w:rFonts w:eastAsia="Calibri"/>
                <w:sz w:val="20"/>
                <w:lang w:val="fr-CA"/>
              </w:rPr>
              <w:t>Demandeur déclaré coupable sous un chef d’agression sexuelle</w:t>
            </w:r>
          </w:p>
          <w:p w:rsidR="00372EAB" w:rsidRPr="00495EC2" w:rsidRDefault="00372EAB" w:rsidP="009E6124">
            <w:pPr>
              <w:jc w:val="both"/>
              <w:rPr>
                <w:rFonts w:eastAsia="Calibri"/>
                <w:sz w:val="20"/>
                <w:lang w:val="fr-CA"/>
              </w:rPr>
            </w:pPr>
          </w:p>
        </w:tc>
      </w:tr>
      <w:tr w:rsidR="00372EAB" w:rsidRPr="00495EC2" w:rsidTr="009E6124">
        <w:tc>
          <w:tcPr>
            <w:tcW w:w="2427" w:type="pct"/>
          </w:tcPr>
          <w:p w:rsidR="00372EAB" w:rsidRPr="00495EC2" w:rsidRDefault="00372EAB" w:rsidP="009E6124">
            <w:pPr>
              <w:jc w:val="both"/>
              <w:rPr>
                <w:rFonts w:eastAsia="Calibri"/>
                <w:sz w:val="20"/>
                <w:lang w:val="fr-CA"/>
              </w:rPr>
            </w:pPr>
            <w:r w:rsidRPr="00495EC2">
              <w:rPr>
                <w:rFonts w:eastAsia="Calibri"/>
                <w:sz w:val="20"/>
                <w:lang w:val="fr-CA"/>
              </w:rPr>
              <w:t>4 avril 2012</w:t>
            </w:r>
          </w:p>
          <w:p w:rsidR="00372EAB" w:rsidRPr="00495EC2" w:rsidRDefault="00372EAB" w:rsidP="009E6124">
            <w:pPr>
              <w:jc w:val="both"/>
              <w:rPr>
                <w:rFonts w:eastAsia="Calibri"/>
                <w:sz w:val="20"/>
                <w:lang w:val="fr-CA"/>
              </w:rPr>
            </w:pPr>
            <w:r w:rsidRPr="00495EC2">
              <w:rPr>
                <w:rFonts w:eastAsia="Calibri"/>
                <w:sz w:val="20"/>
                <w:lang w:val="fr-CA"/>
              </w:rPr>
              <w:t xml:space="preserve">Cour d'appel de l'Ontario </w:t>
            </w:r>
          </w:p>
          <w:p w:rsidR="00372EAB" w:rsidRPr="00495EC2" w:rsidRDefault="00372EAB" w:rsidP="009E6124">
            <w:pPr>
              <w:jc w:val="both"/>
              <w:rPr>
                <w:rFonts w:eastAsia="Calibri"/>
                <w:sz w:val="20"/>
                <w:lang w:val="fr-CA"/>
              </w:rPr>
            </w:pPr>
            <w:r w:rsidRPr="00495EC2">
              <w:rPr>
                <w:rFonts w:eastAsia="Calibri"/>
                <w:sz w:val="20"/>
                <w:lang w:val="fr-CA"/>
              </w:rPr>
              <w:t xml:space="preserve">(Juges </w:t>
            </w:r>
            <w:proofErr w:type="spellStart"/>
            <w:r w:rsidRPr="00495EC2">
              <w:rPr>
                <w:rFonts w:eastAsia="Calibri"/>
                <w:sz w:val="20"/>
                <w:lang w:val="fr-CA"/>
              </w:rPr>
              <w:t>Winkler</w:t>
            </w:r>
            <w:proofErr w:type="spellEnd"/>
            <w:r w:rsidRPr="00495EC2">
              <w:rPr>
                <w:rFonts w:eastAsia="Calibri"/>
                <w:sz w:val="20"/>
                <w:lang w:val="fr-CA"/>
              </w:rPr>
              <w:t xml:space="preserve">, </w:t>
            </w:r>
            <w:proofErr w:type="spellStart"/>
            <w:r w:rsidRPr="00495EC2">
              <w:rPr>
                <w:rFonts w:eastAsia="Calibri"/>
                <w:sz w:val="20"/>
                <w:lang w:val="fr-CA"/>
              </w:rPr>
              <w:t>Laskin</w:t>
            </w:r>
            <w:proofErr w:type="spellEnd"/>
            <w:r w:rsidRPr="00495EC2">
              <w:rPr>
                <w:rFonts w:eastAsia="Calibri"/>
                <w:sz w:val="20"/>
                <w:lang w:val="fr-CA"/>
              </w:rPr>
              <w:t xml:space="preserve"> et Watt)</w:t>
            </w:r>
          </w:p>
          <w:p w:rsidR="00372EAB" w:rsidRPr="00495EC2" w:rsidRDefault="00372EAB" w:rsidP="009E6124">
            <w:pPr>
              <w:jc w:val="both"/>
              <w:rPr>
                <w:rFonts w:eastAsia="Calibri"/>
                <w:sz w:val="20"/>
                <w:lang w:val="fr-CA"/>
              </w:rPr>
            </w:pPr>
            <w:r w:rsidRPr="00495EC2">
              <w:rPr>
                <w:rFonts w:eastAsia="Calibri"/>
                <w:sz w:val="20"/>
                <w:lang w:val="fr-CA"/>
              </w:rPr>
              <w:t>2012 ONCA 271</w:t>
            </w:r>
          </w:p>
          <w:p w:rsidR="00372EAB" w:rsidRPr="00495EC2" w:rsidRDefault="00372EAB" w:rsidP="009E6124">
            <w:pPr>
              <w:jc w:val="both"/>
              <w:rPr>
                <w:rFonts w:eastAsia="Calibri"/>
                <w:sz w:val="20"/>
                <w:lang w:val="fr-CA"/>
              </w:rPr>
            </w:pPr>
          </w:p>
        </w:tc>
        <w:tc>
          <w:tcPr>
            <w:tcW w:w="243" w:type="pct"/>
          </w:tcPr>
          <w:p w:rsidR="00372EAB" w:rsidRPr="00495EC2" w:rsidRDefault="00372EAB" w:rsidP="009E6124">
            <w:pPr>
              <w:jc w:val="both"/>
              <w:rPr>
                <w:rFonts w:eastAsia="Calibri"/>
                <w:sz w:val="20"/>
                <w:lang w:val="fr-CA"/>
              </w:rPr>
            </w:pPr>
          </w:p>
        </w:tc>
        <w:tc>
          <w:tcPr>
            <w:tcW w:w="2330" w:type="pct"/>
          </w:tcPr>
          <w:p w:rsidR="00372EAB" w:rsidRPr="00495EC2" w:rsidRDefault="00372EAB" w:rsidP="009E6124">
            <w:pPr>
              <w:jc w:val="both"/>
              <w:rPr>
                <w:rFonts w:eastAsia="Calibri"/>
                <w:sz w:val="20"/>
                <w:lang w:val="fr-CA"/>
              </w:rPr>
            </w:pPr>
            <w:r w:rsidRPr="00495EC2">
              <w:rPr>
                <w:rFonts w:eastAsia="Calibri"/>
                <w:sz w:val="20"/>
                <w:lang w:val="fr-CA"/>
              </w:rPr>
              <w:t>Appel rejeté</w:t>
            </w:r>
          </w:p>
          <w:p w:rsidR="00372EAB" w:rsidRPr="00495EC2" w:rsidRDefault="00372EAB" w:rsidP="009E6124">
            <w:pPr>
              <w:jc w:val="both"/>
              <w:rPr>
                <w:rFonts w:eastAsia="Calibri"/>
                <w:sz w:val="20"/>
                <w:lang w:val="fr-CA"/>
              </w:rPr>
            </w:pPr>
          </w:p>
        </w:tc>
      </w:tr>
      <w:tr w:rsidR="00372EAB" w:rsidRPr="001E02AF" w:rsidTr="009E6124">
        <w:tc>
          <w:tcPr>
            <w:tcW w:w="2427" w:type="pct"/>
          </w:tcPr>
          <w:p w:rsidR="00372EAB" w:rsidRPr="00495EC2" w:rsidRDefault="00372EAB" w:rsidP="009E6124">
            <w:pPr>
              <w:jc w:val="both"/>
              <w:rPr>
                <w:rFonts w:eastAsia="Calibri"/>
                <w:sz w:val="20"/>
                <w:lang w:val="fr-CA"/>
              </w:rPr>
            </w:pPr>
            <w:r w:rsidRPr="00495EC2">
              <w:rPr>
                <w:rFonts w:eastAsia="Calibri"/>
                <w:sz w:val="20"/>
                <w:lang w:val="fr-CA"/>
              </w:rPr>
              <w:t>13 août 2012</w:t>
            </w:r>
          </w:p>
          <w:p w:rsidR="00372EAB" w:rsidRPr="00495EC2" w:rsidRDefault="00372EAB" w:rsidP="004A0323">
            <w:pPr>
              <w:jc w:val="both"/>
              <w:rPr>
                <w:rFonts w:eastAsia="Calibri"/>
                <w:sz w:val="20"/>
                <w:lang w:val="fr-CA"/>
              </w:rPr>
            </w:pPr>
            <w:r w:rsidRPr="00495EC2">
              <w:rPr>
                <w:rFonts w:eastAsia="Calibri"/>
                <w:sz w:val="20"/>
                <w:lang w:val="fr-CA"/>
              </w:rPr>
              <w:t>Cour suprême du Canada</w:t>
            </w:r>
          </w:p>
        </w:tc>
        <w:tc>
          <w:tcPr>
            <w:tcW w:w="243" w:type="pct"/>
          </w:tcPr>
          <w:p w:rsidR="00372EAB" w:rsidRPr="00495EC2" w:rsidRDefault="00372EAB" w:rsidP="009E6124">
            <w:pPr>
              <w:jc w:val="both"/>
              <w:rPr>
                <w:rFonts w:eastAsia="Calibri"/>
                <w:sz w:val="20"/>
                <w:lang w:val="fr-CA"/>
              </w:rPr>
            </w:pPr>
          </w:p>
        </w:tc>
        <w:tc>
          <w:tcPr>
            <w:tcW w:w="2330" w:type="pct"/>
          </w:tcPr>
          <w:p w:rsidR="00372EAB" w:rsidRPr="00495EC2" w:rsidRDefault="00372EAB" w:rsidP="004A0323">
            <w:pPr>
              <w:jc w:val="both"/>
              <w:rPr>
                <w:rFonts w:eastAsia="Calibri"/>
                <w:sz w:val="20"/>
                <w:lang w:val="fr-CA"/>
              </w:rPr>
            </w:pPr>
            <w:r w:rsidRPr="00495EC2">
              <w:rPr>
                <w:rFonts w:eastAsia="Calibri"/>
                <w:sz w:val="20"/>
                <w:lang w:val="fr-CA"/>
              </w:rPr>
              <w:t xml:space="preserve">Requête en vue d’obtenir un sursis à l'exécution et requête en nomination d’un procureur, </w:t>
            </w:r>
            <w:proofErr w:type="gramStart"/>
            <w:r w:rsidRPr="00495EC2">
              <w:rPr>
                <w:rFonts w:eastAsia="Calibri"/>
                <w:sz w:val="20"/>
                <w:lang w:val="fr-CA"/>
              </w:rPr>
              <w:t>déposées</w:t>
            </w:r>
            <w:proofErr w:type="gramEnd"/>
          </w:p>
        </w:tc>
      </w:tr>
    </w:tbl>
    <w:p w:rsidR="004A0323" w:rsidRPr="003F1AAC" w:rsidRDefault="004A0323">
      <w:pPr>
        <w:rPr>
          <w:lang w:val="fr-CA"/>
        </w:rPr>
      </w:pPr>
    </w:p>
    <w:p w:rsidR="004A0323" w:rsidRPr="003F1AAC" w:rsidRDefault="004A0323">
      <w:pPr>
        <w:rPr>
          <w:lang w:val="fr-CA"/>
        </w:rPr>
      </w:pPr>
      <w:r w:rsidRPr="003F1AAC">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372EAB" w:rsidRPr="009714AD" w:rsidTr="009E6124">
        <w:tc>
          <w:tcPr>
            <w:tcW w:w="2427" w:type="pct"/>
          </w:tcPr>
          <w:p w:rsidR="00372EAB" w:rsidRPr="00495EC2" w:rsidRDefault="00372EAB" w:rsidP="009E6124">
            <w:pPr>
              <w:jc w:val="both"/>
              <w:rPr>
                <w:rFonts w:eastAsia="Calibri"/>
                <w:sz w:val="20"/>
                <w:lang w:val="fr-CA"/>
              </w:rPr>
            </w:pPr>
            <w:r w:rsidRPr="00495EC2">
              <w:rPr>
                <w:rFonts w:eastAsia="Calibri"/>
                <w:sz w:val="20"/>
                <w:lang w:val="fr-CA"/>
              </w:rPr>
              <w:t>16 août 2012</w:t>
            </w:r>
          </w:p>
          <w:p w:rsidR="00372EAB" w:rsidRPr="00495EC2" w:rsidRDefault="00372EAB" w:rsidP="009E6124">
            <w:pPr>
              <w:jc w:val="both"/>
              <w:rPr>
                <w:rFonts w:eastAsia="Calibri"/>
                <w:sz w:val="20"/>
                <w:lang w:val="fr-CA"/>
              </w:rPr>
            </w:pPr>
            <w:r w:rsidRPr="00495EC2">
              <w:rPr>
                <w:rFonts w:eastAsia="Calibri"/>
                <w:sz w:val="20"/>
                <w:lang w:val="fr-CA"/>
              </w:rPr>
              <w:t>Cour suprême du Canada</w:t>
            </w:r>
          </w:p>
          <w:p w:rsidR="00372EAB" w:rsidRPr="00495EC2" w:rsidRDefault="00372EAB" w:rsidP="009E6124">
            <w:pPr>
              <w:jc w:val="both"/>
              <w:rPr>
                <w:rFonts w:eastAsia="Calibri"/>
                <w:sz w:val="20"/>
                <w:lang w:val="fr-CA"/>
              </w:rPr>
            </w:pPr>
          </w:p>
        </w:tc>
        <w:tc>
          <w:tcPr>
            <w:tcW w:w="243" w:type="pct"/>
          </w:tcPr>
          <w:p w:rsidR="00372EAB" w:rsidRPr="00495EC2" w:rsidRDefault="00372EAB" w:rsidP="009E6124">
            <w:pPr>
              <w:jc w:val="both"/>
              <w:rPr>
                <w:rFonts w:eastAsia="Calibri"/>
                <w:sz w:val="20"/>
                <w:lang w:val="fr-CA"/>
              </w:rPr>
            </w:pPr>
          </w:p>
        </w:tc>
        <w:tc>
          <w:tcPr>
            <w:tcW w:w="2330" w:type="pct"/>
          </w:tcPr>
          <w:p w:rsidR="00372EAB" w:rsidRPr="00495EC2" w:rsidRDefault="00372EAB" w:rsidP="009E6124">
            <w:pPr>
              <w:jc w:val="both"/>
              <w:rPr>
                <w:rFonts w:eastAsia="Calibri"/>
                <w:sz w:val="20"/>
                <w:lang w:val="fr-CA"/>
              </w:rPr>
            </w:pPr>
            <w:r w:rsidRPr="00495EC2">
              <w:rPr>
                <w:rFonts w:eastAsia="Calibri"/>
                <w:sz w:val="20"/>
                <w:lang w:val="fr-CA"/>
              </w:rPr>
              <w:t>Requête en prorogation du délai de dépôt et de signification d'une demande d'autorisation et demande d'autorisation d'appel, déposées</w:t>
            </w:r>
          </w:p>
        </w:tc>
      </w:tr>
    </w:tbl>
    <w:p w:rsidR="000C7850" w:rsidRPr="00372EAB" w:rsidRDefault="000C7850" w:rsidP="000C7850">
      <w:pPr>
        <w:rPr>
          <w:sz w:val="20"/>
          <w:szCs w:val="20"/>
          <w:lang w:val="fr-CA"/>
        </w:rPr>
      </w:pPr>
    </w:p>
    <w:p w:rsidR="000C7850" w:rsidRDefault="00BE6ED8" w:rsidP="000C7850">
      <w:pPr>
        <w:rPr>
          <w:sz w:val="20"/>
          <w:szCs w:val="20"/>
        </w:rPr>
      </w:pPr>
      <w:r w:rsidRPr="00BE6ED8">
        <w:rPr>
          <w:sz w:val="20"/>
          <w:szCs w:val="20"/>
          <w:lang w:val="fr-CA"/>
        </w:rPr>
        <w:pict>
          <v:rect id="_x0000_i1081"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3229E" w:rsidRPr="00B3229E" w:rsidTr="009E6124">
        <w:trPr>
          <w:cantSplit/>
        </w:trPr>
        <w:tc>
          <w:tcPr>
            <w:tcW w:w="1458" w:type="dxa"/>
          </w:tcPr>
          <w:p w:rsidR="00B3229E" w:rsidRPr="00B3229E" w:rsidRDefault="00B3229E" w:rsidP="009E6124">
            <w:pPr>
              <w:rPr>
                <w:sz w:val="20"/>
                <w:szCs w:val="20"/>
              </w:rPr>
            </w:pPr>
            <w:r w:rsidRPr="00B3229E">
              <w:rPr>
                <w:rStyle w:val="SCCFileNumberChar"/>
                <w:sz w:val="20"/>
                <w:szCs w:val="20"/>
              </w:rPr>
              <w:t>35163</w:t>
            </w:r>
          </w:p>
          <w:p w:rsidR="00B3229E" w:rsidRPr="00B3229E" w:rsidRDefault="00B3229E" w:rsidP="009E6124">
            <w:pPr>
              <w:rPr>
                <w:b/>
                <w:sz w:val="20"/>
                <w:szCs w:val="20"/>
                <w:lang w:val="fr-CA"/>
              </w:rPr>
            </w:pPr>
          </w:p>
        </w:tc>
        <w:tc>
          <w:tcPr>
            <w:tcW w:w="8118" w:type="dxa"/>
          </w:tcPr>
          <w:p w:rsidR="00B3229E" w:rsidRPr="00B3229E" w:rsidRDefault="00B3229E" w:rsidP="009E6124">
            <w:pPr>
              <w:rPr>
                <w:sz w:val="20"/>
                <w:szCs w:val="20"/>
              </w:rPr>
            </w:pPr>
            <w:proofErr w:type="spellStart"/>
            <w:r w:rsidRPr="00B3229E">
              <w:rPr>
                <w:rStyle w:val="SCCLsocChar"/>
                <w:sz w:val="20"/>
                <w:szCs w:val="20"/>
                <w:lang w:val="en-CA"/>
              </w:rPr>
              <w:t>Raza</w:t>
            </w:r>
            <w:proofErr w:type="spellEnd"/>
            <w:r w:rsidRPr="00B3229E">
              <w:rPr>
                <w:rStyle w:val="SCCLsocChar"/>
                <w:sz w:val="20"/>
                <w:szCs w:val="20"/>
                <w:lang w:val="en-CA"/>
              </w:rPr>
              <w:t xml:space="preserve"> Husain v. Her Majesty the Queen</w:t>
            </w:r>
            <w:r w:rsidRPr="00B3229E">
              <w:rPr>
                <w:sz w:val="20"/>
                <w:szCs w:val="20"/>
              </w:rPr>
              <w:t xml:space="preserve"> (Ont.) (Criminal) (By Leave)</w:t>
            </w:r>
          </w:p>
          <w:p w:rsidR="00B3229E" w:rsidRPr="00B3229E" w:rsidRDefault="00B3229E" w:rsidP="009E6124">
            <w:pPr>
              <w:rPr>
                <w:sz w:val="20"/>
                <w:szCs w:val="20"/>
              </w:rPr>
            </w:pPr>
          </w:p>
        </w:tc>
      </w:tr>
      <w:tr w:rsidR="00B3229E" w:rsidRPr="00B3229E" w:rsidTr="009E6124">
        <w:trPr>
          <w:cantSplit/>
        </w:trPr>
        <w:tc>
          <w:tcPr>
            <w:tcW w:w="1458" w:type="dxa"/>
          </w:tcPr>
          <w:p w:rsidR="00B3229E" w:rsidRPr="00B3229E" w:rsidRDefault="00B3229E" w:rsidP="009E6124">
            <w:pPr>
              <w:rPr>
                <w:sz w:val="20"/>
                <w:szCs w:val="20"/>
              </w:rPr>
            </w:pPr>
            <w:r w:rsidRPr="00B3229E">
              <w:rPr>
                <w:sz w:val="20"/>
                <w:szCs w:val="20"/>
              </w:rPr>
              <w:t>Coram :</w:t>
            </w:r>
          </w:p>
        </w:tc>
        <w:tc>
          <w:tcPr>
            <w:tcW w:w="8118" w:type="dxa"/>
          </w:tcPr>
          <w:p w:rsidR="00B3229E" w:rsidRPr="00B3229E" w:rsidRDefault="00B3229E" w:rsidP="009E6124">
            <w:pPr>
              <w:rPr>
                <w:sz w:val="20"/>
                <w:szCs w:val="20"/>
              </w:rPr>
            </w:pPr>
            <w:proofErr w:type="spellStart"/>
            <w:r w:rsidRPr="00B3229E">
              <w:rPr>
                <w:rStyle w:val="SCCCoramChar"/>
                <w:sz w:val="20"/>
                <w:szCs w:val="20"/>
                <w:lang w:val="en-CA"/>
              </w:rPr>
              <w:t>McLachlin</w:t>
            </w:r>
            <w:proofErr w:type="spellEnd"/>
            <w:r w:rsidRPr="00B3229E">
              <w:rPr>
                <w:rStyle w:val="SCCCoramChar"/>
                <w:sz w:val="20"/>
                <w:szCs w:val="20"/>
                <w:lang w:val="en-CA"/>
              </w:rPr>
              <w:t xml:space="preserve"> C.J. and </w:t>
            </w:r>
            <w:proofErr w:type="spellStart"/>
            <w:r w:rsidRPr="00B3229E">
              <w:rPr>
                <w:rStyle w:val="SCCCoramChar"/>
                <w:sz w:val="20"/>
                <w:szCs w:val="20"/>
                <w:lang w:val="en-CA"/>
              </w:rPr>
              <w:t>Abella</w:t>
            </w:r>
            <w:proofErr w:type="spellEnd"/>
            <w:r w:rsidRPr="00B3229E">
              <w:rPr>
                <w:rStyle w:val="SCCCoramChar"/>
                <w:sz w:val="20"/>
                <w:szCs w:val="20"/>
                <w:lang w:val="en-CA"/>
              </w:rPr>
              <w:t xml:space="preserve"> and Cromwell JJ.</w:t>
            </w:r>
          </w:p>
          <w:p w:rsidR="00B3229E" w:rsidRPr="00B3229E" w:rsidRDefault="00B3229E" w:rsidP="009E6124">
            <w:pPr>
              <w:rPr>
                <w:sz w:val="20"/>
                <w:szCs w:val="20"/>
                <w:u w:val="single"/>
              </w:rPr>
            </w:pPr>
          </w:p>
        </w:tc>
      </w:tr>
      <w:tr w:rsidR="00B3229E" w:rsidRPr="009714AD" w:rsidTr="009E6124">
        <w:trPr>
          <w:cantSplit/>
        </w:trPr>
        <w:tc>
          <w:tcPr>
            <w:tcW w:w="9576" w:type="dxa"/>
            <w:gridSpan w:val="2"/>
          </w:tcPr>
          <w:p w:rsidR="00B3229E" w:rsidRPr="00B3229E" w:rsidRDefault="00B3229E" w:rsidP="009E6124">
            <w:pPr>
              <w:pStyle w:val="SCCShortJudgment"/>
              <w:rPr>
                <w:szCs w:val="20"/>
              </w:rPr>
            </w:pPr>
            <w:r w:rsidRPr="00B3229E">
              <w:rPr>
                <w:szCs w:val="20"/>
              </w:rPr>
              <w:t>The motion for an extension of time to file and serve the application for leave to appeal is granted.  The application for leave to appeal from the judgment of the Court of Appeal for Ontario, Number C55595, 2012 ONCA 697, dated October 16, 2012, is dismissed without costs.</w:t>
            </w:r>
          </w:p>
          <w:p w:rsidR="00B3229E" w:rsidRPr="00B3229E" w:rsidRDefault="00B3229E" w:rsidP="009E6124">
            <w:pPr>
              <w:pStyle w:val="SCCShortJudgment"/>
              <w:ind w:firstLine="0"/>
              <w:rPr>
                <w:szCs w:val="20"/>
              </w:rPr>
            </w:pPr>
          </w:p>
          <w:p w:rsidR="00B3229E" w:rsidRPr="00B3229E" w:rsidRDefault="00B3229E" w:rsidP="009E6124">
            <w:pPr>
              <w:pStyle w:val="SCCShortJudgment"/>
              <w:rPr>
                <w:szCs w:val="20"/>
                <w:lang w:val="fr-CA"/>
              </w:rPr>
            </w:pPr>
            <w:r w:rsidRPr="00B3229E">
              <w:rPr>
                <w:szCs w:val="20"/>
                <w:lang w:val="fr-CA"/>
              </w:rPr>
              <w:t>La requête en prorogation du délai de signification et de dépôt de la demande d’autorisation d’appel est accueillie.  La demande d’autorisation d’appel de l’arrêt de la Cour d’appel de l’Ontario, numéro C55595, 2012 ONCA 697, daté du 16 octobre 2012, est rejetée sans dépens.</w:t>
            </w:r>
          </w:p>
        </w:tc>
      </w:tr>
    </w:tbl>
    <w:p w:rsidR="000C7850" w:rsidRPr="000C7850"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249A" w:rsidRPr="00495EC2" w:rsidTr="009E6124">
        <w:tc>
          <w:tcPr>
            <w:tcW w:w="5000" w:type="pct"/>
            <w:gridSpan w:val="3"/>
          </w:tcPr>
          <w:p w:rsidR="0063249A" w:rsidRPr="00495EC2" w:rsidRDefault="0063249A" w:rsidP="009E6124">
            <w:pPr>
              <w:jc w:val="both"/>
              <w:rPr>
                <w:rFonts w:eastAsia="Calibri"/>
                <w:smallCaps/>
                <w:sz w:val="20"/>
              </w:rPr>
            </w:pPr>
            <w:r w:rsidRPr="00495EC2">
              <w:rPr>
                <w:rFonts w:eastAsia="Calibri"/>
                <w:smallCaps/>
                <w:sz w:val="20"/>
              </w:rPr>
              <w:t xml:space="preserve">(Publication </w:t>
            </w:r>
            <w:r>
              <w:rPr>
                <w:rFonts w:eastAsia="Calibri"/>
                <w:smallCaps/>
                <w:sz w:val="20"/>
              </w:rPr>
              <w:t>B</w:t>
            </w:r>
            <w:r w:rsidRPr="00495EC2">
              <w:rPr>
                <w:rFonts w:eastAsia="Calibri"/>
                <w:smallCaps/>
                <w:sz w:val="20"/>
              </w:rPr>
              <w:t xml:space="preserve">an in </w:t>
            </w:r>
            <w:r>
              <w:rPr>
                <w:rFonts w:eastAsia="Calibri"/>
                <w:smallCaps/>
                <w:sz w:val="20"/>
              </w:rPr>
              <w:t>C</w:t>
            </w:r>
            <w:r w:rsidRPr="00495EC2">
              <w:rPr>
                <w:rFonts w:eastAsia="Calibri"/>
                <w:smallCaps/>
                <w:sz w:val="20"/>
              </w:rPr>
              <w:t>ase)</w:t>
            </w:r>
          </w:p>
          <w:p w:rsidR="0063249A" w:rsidRPr="00495EC2" w:rsidRDefault="0063249A" w:rsidP="009E6124">
            <w:pPr>
              <w:jc w:val="both"/>
              <w:rPr>
                <w:rFonts w:eastAsia="Calibri"/>
                <w:sz w:val="20"/>
              </w:rPr>
            </w:pPr>
          </w:p>
        </w:tc>
      </w:tr>
      <w:tr w:rsidR="0063249A" w:rsidRPr="00495EC2" w:rsidTr="009E6124">
        <w:tc>
          <w:tcPr>
            <w:tcW w:w="5000" w:type="pct"/>
            <w:gridSpan w:val="3"/>
          </w:tcPr>
          <w:p w:rsidR="0063249A" w:rsidRPr="00495EC2" w:rsidRDefault="0063249A" w:rsidP="009E6124">
            <w:pPr>
              <w:jc w:val="both"/>
              <w:rPr>
                <w:rFonts w:eastAsia="Calibri"/>
                <w:sz w:val="20"/>
              </w:rPr>
            </w:pPr>
            <w:r w:rsidRPr="00495EC2">
              <w:rPr>
                <w:rFonts w:eastAsia="Calibri"/>
                <w:sz w:val="20"/>
              </w:rPr>
              <w:t xml:space="preserve">Criminal law – Procuring – Sexual assault against a minor – Attempting to procure a minor to become a prostitute – Accused pleading guilty and being convicted – Whether guilty plea valid and informed – Whether s. 212(4) of the </w:t>
            </w:r>
            <w:r w:rsidRPr="00495EC2">
              <w:rPr>
                <w:rFonts w:eastAsia="Calibri"/>
                <w:i/>
                <w:sz w:val="20"/>
              </w:rPr>
              <w:t>Criminal Code</w:t>
            </w:r>
            <w:r w:rsidRPr="00495EC2">
              <w:rPr>
                <w:rFonts w:eastAsia="Calibri"/>
                <w:sz w:val="20"/>
              </w:rPr>
              <w:t xml:space="preserve"> should be voided for vagueness – Whether alleged acts constitute criminal offence – Whether Court of Appeal erred in upholding order prohibiting accused from attending locations where persons under 16 years of age likely to be present – </w:t>
            </w:r>
            <w:r w:rsidRPr="00495EC2">
              <w:rPr>
                <w:rFonts w:eastAsia="Calibri"/>
                <w:i/>
                <w:sz w:val="20"/>
              </w:rPr>
              <w:t>Criminal Code</w:t>
            </w:r>
            <w:r w:rsidRPr="00495EC2">
              <w:rPr>
                <w:rFonts w:eastAsia="Calibri"/>
                <w:sz w:val="20"/>
              </w:rPr>
              <w:t>, R.S.C. 1985, c. C-46, ss. 212(1), 212(4).</w:t>
            </w:r>
          </w:p>
        </w:tc>
      </w:tr>
      <w:tr w:rsidR="0063249A" w:rsidRPr="00495EC2" w:rsidTr="009E6124">
        <w:tc>
          <w:tcPr>
            <w:tcW w:w="5000" w:type="pct"/>
            <w:gridSpan w:val="3"/>
          </w:tcPr>
          <w:p w:rsidR="0063249A" w:rsidRPr="00495EC2" w:rsidRDefault="0063249A" w:rsidP="009E6124">
            <w:pPr>
              <w:jc w:val="both"/>
              <w:rPr>
                <w:rFonts w:eastAsia="Calibri"/>
                <w:sz w:val="20"/>
              </w:rPr>
            </w:pPr>
          </w:p>
          <w:p w:rsidR="0063249A" w:rsidRPr="00495EC2" w:rsidRDefault="0063249A" w:rsidP="009E6124">
            <w:pPr>
              <w:jc w:val="both"/>
              <w:rPr>
                <w:rFonts w:eastAsia="Calibri"/>
                <w:sz w:val="20"/>
              </w:rPr>
            </w:pPr>
            <w:r w:rsidRPr="00495EC2">
              <w:rPr>
                <w:rFonts w:eastAsia="Calibri"/>
                <w:sz w:val="20"/>
              </w:rPr>
              <w:t xml:space="preserve">Mr. Husain was charged under numerous provisions of the </w:t>
            </w:r>
            <w:r w:rsidRPr="00495EC2">
              <w:rPr>
                <w:rFonts w:eastAsia="Calibri"/>
                <w:i/>
                <w:sz w:val="20"/>
              </w:rPr>
              <w:t>Criminal Code</w:t>
            </w:r>
            <w:r w:rsidRPr="00495EC2">
              <w:rPr>
                <w:rFonts w:eastAsia="Calibri"/>
                <w:sz w:val="20"/>
              </w:rPr>
              <w:t xml:space="preserve">.  He ultimately pleaded guilty to five counts: two counts of sexual assault against a minor, one count of attempting to procure a minor to become a prostitute, one count of procuring the services of a prostitute under the age of eighteen and one count of breach of recognizance.  Based on admitted facts and on his guilty pleas, he was convicted on all counts.  Following a joint submission, Mr. Husain was sentenced to five years and two months in prison.  Pursuant to s. 161 of the </w:t>
            </w:r>
            <w:r w:rsidRPr="00495EC2">
              <w:rPr>
                <w:rFonts w:eastAsia="Calibri"/>
                <w:i/>
                <w:sz w:val="20"/>
              </w:rPr>
              <w:t>Criminal Code</w:t>
            </w:r>
            <w:r w:rsidRPr="00495EC2">
              <w:rPr>
                <w:rFonts w:eastAsia="Calibri"/>
                <w:sz w:val="20"/>
              </w:rPr>
              <w:t xml:space="preserve">, he was also prohibited from attending a series of enumerated locations where persons under 16 years of age are likely to be present. </w:t>
            </w:r>
          </w:p>
          <w:p w:rsidR="0063249A" w:rsidRPr="00495EC2" w:rsidRDefault="0063249A" w:rsidP="009E6124">
            <w:pPr>
              <w:jc w:val="both"/>
              <w:rPr>
                <w:rFonts w:eastAsia="Calibri"/>
                <w:sz w:val="20"/>
              </w:rPr>
            </w:pPr>
          </w:p>
          <w:p w:rsidR="0063249A" w:rsidRPr="00495EC2" w:rsidRDefault="0063249A" w:rsidP="009E6124">
            <w:pPr>
              <w:jc w:val="both"/>
              <w:rPr>
                <w:rFonts w:eastAsia="Calibri"/>
                <w:sz w:val="20"/>
              </w:rPr>
            </w:pPr>
            <w:r w:rsidRPr="00495EC2">
              <w:rPr>
                <w:rFonts w:eastAsia="Calibri"/>
                <w:sz w:val="20"/>
              </w:rPr>
              <w:t xml:space="preserve">Mr. Husain appealed his conviction on two of the counts (sexual assault against an underage girl and attempting to procure an under-age girl to become a prostitute) as well as his sentence.  He also sought to have overturned the order issued pursuant to s. 161 of the </w:t>
            </w:r>
            <w:r w:rsidRPr="00495EC2">
              <w:rPr>
                <w:rFonts w:eastAsia="Calibri"/>
                <w:i/>
                <w:sz w:val="20"/>
              </w:rPr>
              <w:t>Criminal Code</w:t>
            </w:r>
            <w:r w:rsidRPr="00495EC2">
              <w:rPr>
                <w:rFonts w:eastAsia="Calibri"/>
                <w:sz w:val="20"/>
              </w:rPr>
              <w:t xml:space="preserve">. </w:t>
            </w:r>
          </w:p>
          <w:p w:rsidR="0063249A" w:rsidRPr="00495EC2" w:rsidRDefault="0063249A" w:rsidP="009E6124">
            <w:pPr>
              <w:jc w:val="both"/>
              <w:rPr>
                <w:rFonts w:eastAsia="Calibri"/>
                <w:sz w:val="20"/>
              </w:rPr>
            </w:pPr>
          </w:p>
        </w:tc>
      </w:tr>
      <w:tr w:rsidR="0063249A" w:rsidRPr="00495EC2" w:rsidTr="009E6124">
        <w:tc>
          <w:tcPr>
            <w:tcW w:w="2427" w:type="pct"/>
          </w:tcPr>
          <w:p w:rsidR="0063249A" w:rsidRPr="00495EC2" w:rsidRDefault="0063249A" w:rsidP="009E6124">
            <w:pPr>
              <w:jc w:val="both"/>
              <w:rPr>
                <w:rFonts w:eastAsia="Calibri"/>
                <w:sz w:val="20"/>
              </w:rPr>
            </w:pPr>
            <w:r w:rsidRPr="00495EC2">
              <w:rPr>
                <w:rFonts w:eastAsia="Calibri"/>
                <w:sz w:val="20"/>
              </w:rPr>
              <w:t>September 12, 2011</w:t>
            </w:r>
          </w:p>
          <w:p w:rsidR="0063249A" w:rsidRPr="00495EC2" w:rsidRDefault="0063249A" w:rsidP="009E6124">
            <w:pPr>
              <w:jc w:val="both"/>
              <w:rPr>
                <w:rFonts w:eastAsia="Calibri"/>
                <w:sz w:val="20"/>
              </w:rPr>
            </w:pPr>
            <w:r w:rsidRPr="00495EC2">
              <w:rPr>
                <w:rFonts w:eastAsia="Calibri"/>
                <w:sz w:val="20"/>
              </w:rPr>
              <w:t>Ontario Superior Court of Justice</w:t>
            </w:r>
          </w:p>
          <w:p w:rsidR="0063249A" w:rsidRPr="00495EC2" w:rsidRDefault="0063249A" w:rsidP="009E6124">
            <w:pPr>
              <w:jc w:val="both"/>
              <w:rPr>
                <w:rFonts w:eastAsia="Calibri"/>
                <w:sz w:val="20"/>
              </w:rPr>
            </w:pPr>
            <w:r w:rsidRPr="00495EC2">
              <w:rPr>
                <w:rFonts w:eastAsia="Calibri"/>
                <w:sz w:val="20"/>
              </w:rPr>
              <w:t>(</w:t>
            </w:r>
            <w:proofErr w:type="spellStart"/>
            <w:r w:rsidRPr="00495EC2">
              <w:rPr>
                <w:rFonts w:eastAsia="Calibri"/>
                <w:sz w:val="20"/>
              </w:rPr>
              <w:t>Himel</w:t>
            </w:r>
            <w:proofErr w:type="spellEnd"/>
            <w:r w:rsidRPr="00495EC2">
              <w:rPr>
                <w:rFonts w:eastAsia="Calibri"/>
                <w:sz w:val="20"/>
              </w:rPr>
              <w:t xml:space="preserve"> J.)</w:t>
            </w:r>
          </w:p>
          <w:p w:rsidR="0063249A" w:rsidRPr="00495EC2" w:rsidRDefault="0063249A" w:rsidP="009E6124">
            <w:pPr>
              <w:jc w:val="both"/>
              <w:rPr>
                <w:rFonts w:eastAsia="Calibri"/>
                <w:sz w:val="20"/>
              </w:rPr>
            </w:pPr>
          </w:p>
        </w:tc>
        <w:tc>
          <w:tcPr>
            <w:tcW w:w="243" w:type="pct"/>
          </w:tcPr>
          <w:p w:rsidR="0063249A" w:rsidRPr="00495EC2" w:rsidRDefault="0063249A" w:rsidP="009E6124">
            <w:pPr>
              <w:jc w:val="both"/>
              <w:rPr>
                <w:rFonts w:eastAsia="Calibri"/>
                <w:sz w:val="20"/>
              </w:rPr>
            </w:pPr>
          </w:p>
        </w:tc>
        <w:tc>
          <w:tcPr>
            <w:tcW w:w="2330" w:type="pct"/>
          </w:tcPr>
          <w:p w:rsidR="0063249A" w:rsidRPr="00495EC2" w:rsidRDefault="0063249A" w:rsidP="009E6124">
            <w:pPr>
              <w:jc w:val="both"/>
              <w:rPr>
                <w:rFonts w:eastAsia="Calibri"/>
                <w:sz w:val="20"/>
              </w:rPr>
            </w:pPr>
            <w:r w:rsidRPr="00495EC2">
              <w:rPr>
                <w:rFonts w:eastAsia="Calibri"/>
                <w:sz w:val="20"/>
              </w:rPr>
              <w:t xml:space="preserve">Convictions entered on two counts of sexual assault against a minor, one count of attempting to procure a minor to become a prostitute, one count of procuring the services of a prostitute under the age of eighteen and one count of breach of recognizance; Applicant sentenced to five years and two months in prison and prohibited from attending locations where persons under 16 years of age may be present </w:t>
            </w:r>
          </w:p>
          <w:p w:rsidR="0063249A" w:rsidRPr="00495EC2" w:rsidRDefault="0063249A" w:rsidP="009E6124">
            <w:pPr>
              <w:jc w:val="both"/>
              <w:rPr>
                <w:rFonts w:eastAsia="Calibri"/>
                <w:sz w:val="20"/>
              </w:rPr>
            </w:pPr>
          </w:p>
        </w:tc>
      </w:tr>
      <w:tr w:rsidR="0063249A" w:rsidRPr="00495EC2" w:rsidTr="004A0323">
        <w:trPr>
          <w:cantSplit/>
        </w:trPr>
        <w:tc>
          <w:tcPr>
            <w:tcW w:w="2427" w:type="pct"/>
          </w:tcPr>
          <w:p w:rsidR="0063249A" w:rsidRPr="00495EC2" w:rsidRDefault="0063249A" w:rsidP="009E6124">
            <w:pPr>
              <w:jc w:val="both"/>
              <w:rPr>
                <w:rFonts w:eastAsia="Calibri"/>
                <w:sz w:val="20"/>
              </w:rPr>
            </w:pPr>
            <w:r w:rsidRPr="00495EC2">
              <w:rPr>
                <w:rFonts w:eastAsia="Calibri"/>
                <w:sz w:val="20"/>
              </w:rPr>
              <w:t>October 16, 2012</w:t>
            </w:r>
          </w:p>
          <w:p w:rsidR="0063249A" w:rsidRPr="00495EC2" w:rsidRDefault="0063249A" w:rsidP="009E6124">
            <w:pPr>
              <w:jc w:val="both"/>
              <w:rPr>
                <w:rFonts w:eastAsia="Calibri"/>
                <w:sz w:val="20"/>
              </w:rPr>
            </w:pPr>
            <w:r w:rsidRPr="00495EC2">
              <w:rPr>
                <w:rFonts w:eastAsia="Calibri"/>
                <w:sz w:val="20"/>
              </w:rPr>
              <w:t>Court of Appeal for Ontario</w:t>
            </w:r>
          </w:p>
          <w:p w:rsidR="0063249A" w:rsidRPr="00495EC2" w:rsidRDefault="0063249A" w:rsidP="009E6124">
            <w:pPr>
              <w:jc w:val="both"/>
              <w:rPr>
                <w:rFonts w:eastAsia="Calibri"/>
                <w:sz w:val="20"/>
              </w:rPr>
            </w:pPr>
            <w:r w:rsidRPr="00495EC2">
              <w:rPr>
                <w:rFonts w:eastAsia="Calibri"/>
                <w:sz w:val="20"/>
              </w:rPr>
              <w:t>(Winkler C.J.O., Blair and Hoy JJ.A.)</w:t>
            </w:r>
          </w:p>
          <w:p w:rsidR="0063249A" w:rsidRDefault="0063249A" w:rsidP="009E6124">
            <w:pPr>
              <w:jc w:val="both"/>
              <w:rPr>
                <w:rFonts w:eastAsia="Calibri"/>
                <w:sz w:val="20"/>
              </w:rPr>
            </w:pPr>
            <w:r w:rsidRPr="00495EC2">
              <w:rPr>
                <w:rFonts w:eastAsia="Calibri"/>
                <w:sz w:val="20"/>
              </w:rPr>
              <w:t>2012 ONCA 697</w:t>
            </w:r>
          </w:p>
          <w:p w:rsidR="005F6337" w:rsidRPr="00495EC2" w:rsidRDefault="005F6337" w:rsidP="009E6124">
            <w:pPr>
              <w:jc w:val="both"/>
              <w:rPr>
                <w:rFonts w:eastAsia="Calibri"/>
                <w:sz w:val="20"/>
              </w:rPr>
            </w:pPr>
          </w:p>
        </w:tc>
        <w:tc>
          <w:tcPr>
            <w:tcW w:w="243" w:type="pct"/>
          </w:tcPr>
          <w:p w:rsidR="0063249A" w:rsidRPr="00495EC2" w:rsidRDefault="0063249A" w:rsidP="009E6124">
            <w:pPr>
              <w:jc w:val="both"/>
              <w:rPr>
                <w:rFonts w:eastAsia="Calibri"/>
                <w:sz w:val="20"/>
              </w:rPr>
            </w:pPr>
          </w:p>
        </w:tc>
        <w:tc>
          <w:tcPr>
            <w:tcW w:w="2330" w:type="pct"/>
          </w:tcPr>
          <w:p w:rsidR="0063249A" w:rsidRPr="00495EC2" w:rsidRDefault="0063249A" w:rsidP="009E6124">
            <w:pPr>
              <w:jc w:val="both"/>
              <w:rPr>
                <w:rFonts w:eastAsia="Calibri"/>
                <w:sz w:val="20"/>
              </w:rPr>
            </w:pPr>
            <w:r w:rsidRPr="00495EC2">
              <w:rPr>
                <w:rFonts w:eastAsia="Calibri"/>
                <w:sz w:val="20"/>
              </w:rPr>
              <w:t xml:space="preserve">Appeals from convictions and sentence dismissed; new order issues pursuant to s. 161 of the </w:t>
            </w:r>
            <w:r w:rsidRPr="00495EC2">
              <w:rPr>
                <w:rFonts w:eastAsia="Calibri"/>
                <w:i/>
                <w:sz w:val="20"/>
              </w:rPr>
              <w:t>Criminal Code</w:t>
            </w:r>
          </w:p>
          <w:p w:rsidR="0063249A" w:rsidRPr="00495EC2" w:rsidRDefault="0063249A" w:rsidP="009E6124">
            <w:pPr>
              <w:jc w:val="both"/>
              <w:rPr>
                <w:rFonts w:eastAsia="Calibri"/>
                <w:sz w:val="20"/>
              </w:rPr>
            </w:pPr>
            <w:r w:rsidRPr="00495EC2">
              <w:rPr>
                <w:rFonts w:eastAsia="Calibri"/>
                <w:sz w:val="20"/>
              </w:rPr>
              <w:t xml:space="preserve"> </w:t>
            </w:r>
          </w:p>
          <w:p w:rsidR="0063249A" w:rsidRPr="00495EC2" w:rsidRDefault="0063249A" w:rsidP="009E6124">
            <w:pPr>
              <w:jc w:val="both"/>
              <w:rPr>
                <w:rFonts w:eastAsia="Calibri"/>
                <w:sz w:val="20"/>
              </w:rPr>
            </w:pPr>
          </w:p>
        </w:tc>
      </w:tr>
      <w:tr w:rsidR="0063249A" w:rsidRPr="00495EC2" w:rsidTr="004A0323">
        <w:trPr>
          <w:cantSplit/>
        </w:trPr>
        <w:tc>
          <w:tcPr>
            <w:tcW w:w="2427" w:type="pct"/>
          </w:tcPr>
          <w:p w:rsidR="0063249A" w:rsidRPr="00495EC2" w:rsidRDefault="0063249A" w:rsidP="009E6124">
            <w:pPr>
              <w:jc w:val="both"/>
              <w:rPr>
                <w:rFonts w:eastAsia="Calibri"/>
                <w:sz w:val="20"/>
              </w:rPr>
            </w:pPr>
            <w:r w:rsidRPr="00495EC2">
              <w:rPr>
                <w:rFonts w:eastAsia="Calibri"/>
                <w:sz w:val="20"/>
              </w:rPr>
              <w:t>December 12, 2012</w:t>
            </w:r>
          </w:p>
          <w:p w:rsidR="0063249A" w:rsidRPr="00495EC2" w:rsidRDefault="0063249A" w:rsidP="009E6124">
            <w:pPr>
              <w:jc w:val="both"/>
              <w:rPr>
                <w:rFonts w:eastAsia="Calibri"/>
                <w:sz w:val="20"/>
              </w:rPr>
            </w:pPr>
            <w:r w:rsidRPr="00495EC2">
              <w:rPr>
                <w:rFonts w:eastAsia="Calibri"/>
                <w:sz w:val="20"/>
              </w:rPr>
              <w:t>Supreme Court of Canada</w:t>
            </w:r>
          </w:p>
          <w:p w:rsidR="0063249A" w:rsidRPr="00495EC2" w:rsidRDefault="0063249A" w:rsidP="009E6124">
            <w:pPr>
              <w:jc w:val="both"/>
              <w:rPr>
                <w:rFonts w:eastAsia="Calibri"/>
                <w:sz w:val="20"/>
              </w:rPr>
            </w:pPr>
          </w:p>
        </w:tc>
        <w:tc>
          <w:tcPr>
            <w:tcW w:w="243" w:type="pct"/>
          </w:tcPr>
          <w:p w:rsidR="0063249A" w:rsidRPr="00495EC2" w:rsidRDefault="0063249A" w:rsidP="009E6124">
            <w:pPr>
              <w:jc w:val="both"/>
              <w:rPr>
                <w:rFonts w:eastAsia="Calibri"/>
                <w:sz w:val="20"/>
              </w:rPr>
            </w:pPr>
          </w:p>
        </w:tc>
        <w:tc>
          <w:tcPr>
            <w:tcW w:w="2330" w:type="pct"/>
          </w:tcPr>
          <w:p w:rsidR="0063249A" w:rsidRPr="00495EC2" w:rsidRDefault="0063249A" w:rsidP="009E6124">
            <w:pPr>
              <w:jc w:val="both"/>
              <w:rPr>
                <w:rFonts w:eastAsia="Calibri"/>
                <w:sz w:val="20"/>
              </w:rPr>
            </w:pPr>
            <w:r w:rsidRPr="00495EC2">
              <w:rPr>
                <w:rFonts w:eastAsia="Calibri"/>
                <w:sz w:val="20"/>
              </w:rPr>
              <w:t>Motion for an extension of time to serve and file application for leave to appeal and application for leave to appeal,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82"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3249A" w:rsidRPr="009714AD" w:rsidTr="009E6124">
        <w:tc>
          <w:tcPr>
            <w:tcW w:w="5000" w:type="pct"/>
            <w:gridSpan w:val="3"/>
          </w:tcPr>
          <w:p w:rsidR="0063249A" w:rsidRPr="00495EC2" w:rsidRDefault="0063249A" w:rsidP="009E6124">
            <w:pPr>
              <w:jc w:val="both"/>
              <w:rPr>
                <w:rFonts w:eastAsia="Calibri"/>
                <w:smallCaps/>
                <w:sz w:val="20"/>
                <w:lang w:val="fr-CA"/>
              </w:rPr>
            </w:pPr>
            <w:r w:rsidRPr="00495EC2">
              <w:rPr>
                <w:rFonts w:eastAsia="Calibri"/>
                <w:smallCaps/>
                <w:sz w:val="20"/>
                <w:lang w:val="fr-CA"/>
              </w:rPr>
              <w:t xml:space="preserve">(Ordonnance de </w:t>
            </w:r>
            <w:proofErr w:type="spellStart"/>
            <w:r w:rsidRPr="00495EC2">
              <w:rPr>
                <w:rFonts w:eastAsia="Calibri"/>
                <w:smallCaps/>
                <w:sz w:val="20"/>
                <w:lang w:val="fr-CA"/>
              </w:rPr>
              <w:t>non</w:t>
            </w:r>
            <w:r w:rsidRPr="00495EC2">
              <w:rPr>
                <w:rFonts w:eastAsia="Calibri"/>
                <w:smallCaps/>
                <w:sz w:val="20"/>
                <w:lang w:val="fr-CA"/>
              </w:rPr>
              <w:noBreakHyphen/>
              <w:t>publication</w:t>
            </w:r>
            <w:proofErr w:type="spellEnd"/>
            <w:r w:rsidRPr="00495EC2">
              <w:rPr>
                <w:rFonts w:eastAsia="Calibri"/>
                <w:smallCaps/>
                <w:sz w:val="20"/>
                <w:lang w:val="fr-CA"/>
              </w:rPr>
              <w:t xml:space="preserve"> dans le dossier)</w:t>
            </w:r>
          </w:p>
          <w:p w:rsidR="0063249A" w:rsidRPr="00495EC2" w:rsidRDefault="0063249A" w:rsidP="009E6124">
            <w:pPr>
              <w:jc w:val="both"/>
              <w:rPr>
                <w:rFonts w:eastAsia="Calibri"/>
                <w:sz w:val="20"/>
                <w:lang w:val="fr-CA"/>
              </w:rPr>
            </w:pPr>
          </w:p>
        </w:tc>
      </w:tr>
      <w:tr w:rsidR="0063249A" w:rsidRPr="00495EC2" w:rsidTr="009E6124">
        <w:tc>
          <w:tcPr>
            <w:tcW w:w="5000" w:type="pct"/>
            <w:gridSpan w:val="3"/>
          </w:tcPr>
          <w:p w:rsidR="0063249A" w:rsidRPr="00495EC2" w:rsidRDefault="0063249A" w:rsidP="009E6124">
            <w:pPr>
              <w:jc w:val="both"/>
              <w:rPr>
                <w:rFonts w:eastAsia="Calibri"/>
                <w:sz w:val="20"/>
                <w:lang w:val="fr-CA"/>
              </w:rPr>
            </w:pPr>
            <w:r w:rsidRPr="00495EC2">
              <w:rPr>
                <w:rFonts w:eastAsia="Calibri"/>
                <w:sz w:val="20"/>
                <w:lang w:val="fr-CA"/>
              </w:rPr>
              <w:t xml:space="preserve">Droit criminel – Proxénétisme – Agression sexuelle contre une mineure – Tentative d'induire une mineure à se prostituer – L'accusé a plaidé coupable et a été condamné – Le plaidoyer de culpabilité </w:t>
            </w:r>
            <w:proofErr w:type="spellStart"/>
            <w:r w:rsidRPr="00495EC2">
              <w:rPr>
                <w:rFonts w:eastAsia="Calibri"/>
                <w:sz w:val="20"/>
                <w:lang w:val="fr-CA"/>
              </w:rPr>
              <w:t>était</w:t>
            </w:r>
            <w:r w:rsidRPr="00495EC2">
              <w:rPr>
                <w:rFonts w:eastAsia="Calibri"/>
                <w:sz w:val="20"/>
                <w:lang w:val="fr-CA"/>
              </w:rPr>
              <w:noBreakHyphen/>
              <w:t>il</w:t>
            </w:r>
            <w:proofErr w:type="spellEnd"/>
            <w:r w:rsidRPr="00495EC2">
              <w:rPr>
                <w:rFonts w:eastAsia="Calibri"/>
                <w:sz w:val="20"/>
                <w:lang w:val="fr-CA"/>
              </w:rPr>
              <w:t xml:space="preserve"> valide et éclairé? – Le par. 212(4) du</w:t>
            </w:r>
            <w:r w:rsidRPr="00495EC2">
              <w:rPr>
                <w:rFonts w:eastAsia="Calibri"/>
                <w:i/>
                <w:sz w:val="20"/>
                <w:lang w:val="fr-CA"/>
              </w:rPr>
              <w:t xml:space="preserve"> Code criminel </w:t>
            </w:r>
            <w:proofErr w:type="spellStart"/>
            <w:r w:rsidRPr="00495EC2">
              <w:rPr>
                <w:rFonts w:eastAsia="Calibri"/>
                <w:sz w:val="20"/>
                <w:lang w:val="fr-CA"/>
              </w:rPr>
              <w:t>devrait</w:t>
            </w:r>
            <w:r w:rsidRPr="00495EC2">
              <w:rPr>
                <w:rFonts w:eastAsia="Calibri"/>
                <w:sz w:val="20"/>
                <w:lang w:val="fr-CA"/>
              </w:rPr>
              <w:noBreakHyphen/>
              <w:t>il</w:t>
            </w:r>
            <w:proofErr w:type="spellEnd"/>
            <w:r w:rsidRPr="00495EC2">
              <w:rPr>
                <w:rFonts w:eastAsia="Calibri"/>
                <w:sz w:val="20"/>
                <w:lang w:val="fr-CA"/>
              </w:rPr>
              <w:t xml:space="preserve"> être annulé pour imprécision? – Les actes allégués </w:t>
            </w:r>
            <w:proofErr w:type="spellStart"/>
            <w:r w:rsidRPr="00495EC2">
              <w:rPr>
                <w:rFonts w:eastAsia="Calibri"/>
                <w:sz w:val="20"/>
                <w:lang w:val="fr-CA"/>
              </w:rPr>
              <w:t>constituent</w:t>
            </w:r>
            <w:r w:rsidRPr="00495EC2">
              <w:rPr>
                <w:rFonts w:eastAsia="Calibri"/>
                <w:sz w:val="20"/>
                <w:lang w:val="fr-CA"/>
              </w:rPr>
              <w:noBreakHyphen/>
              <w:t>ils</w:t>
            </w:r>
            <w:proofErr w:type="spellEnd"/>
            <w:r w:rsidRPr="00495EC2">
              <w:rPr>
                <w:rFonts w:eastAsia="Calibri"/>
                <w:sz w:val="20"/>
                <w:lang w:val="fr-CA"/>
              </w:rPr>
              <w:t xml:space="preserve"> une infraction criminelle? – La Cour d'appel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elle</w:t>
            </w:r>
            <w:proofErr w:type="spellEnd"/>
            <w:r w:rsidRPr="00495EC2">
              <w:rPr>
                <w:rFonts w:eastAsia="Calibri"/>
                <w:sz w:val="20"/>
                <w:lang w:val="fr-CA"/>
              </w:rPr>
              <w:t xml:space="preserve"> eu tort de confirmer l'ordonnance interdisant à l'accusé de se trouver à des endroits où des personnes âgées de moins de 16 ans </w:t>
            </w:r>
            <w:proofErr w:type="gramStart"/>
            <w:r w:rsidRPr="00495EC2">
              <w:rPr>
                <w:rFonts w:eastAsia="Calibri"/>
                <w:sz w:val="20"/>
                <w:lang w:val="fr-CA"/>
              </w:rPr>
              <w:t>sont</w:t>
            </w:r>
            <w:proofErr w:type="gramEnd"/>
            <w:r w:rsidRPr="00495EC2">
              <w:rPr>
                <w:rFonts w:eastAsia="Calibri"/>
                <w:sz w:val="20"/>
                <w:lang w:val="fr-CA"/>
              </w:rPr>
              <w:t xml:space="preserve"> susceptibles d'être présentes? –</w:t>
            </w:r>
            <w:r w:rsidRPr="00495EC2">
              <w:rPr>
                <w:rFonts w:eastAsia="Calibri"/>
                <w:i/>
                <w:sz w:val="20"/>
                <w:lang w:val="fr-CA"/>
              </w:rPr>
              <w:t xml:space="preserve"> Code criminel</w:t>
            </w:r>
            <w:r w:rsidRPr="00495EC2">
              <w:rPr>
                <w:rFonts w:eastAsia="Calibri"/>
                <w:sz w:val="20"/>
                <w:lang w:val="fr-CA"/>
              </w:rPr>
              <w:t>, L.R.C. 1985, ch. C</w:t>
            </w:r>
            <w:r w:rsidRPr="00495EC2">
              <w:rPr>
                <w:rFonts w:eastAsia="Calibri"/>
                <w:sz w:val="20"/>
                <w:lang w:val="fr-CA"/>
              </w:rPr>
              <w:noBreakHyphen/>
              <w:t>46, par. 212(1), 212(4).</w:t>
            </w:r>
          </w:p>
        </w:tc>
      </w:tr>
      <w:tr w:rsidR="0063249A" w:rsidRPr="00495EC2" w:rsidTr="009E6124">
        <w:tc>
          <w:tcPr>
            <w:tcW w:w="5000" w:type="pct"/>
            <w:gridSpan w:val="3"/>
          </w:tcPr>
          <w:p w:rsidR="0063249A" w:rsidRPr="00495EC2" w:rsidRDefault="0063249A" w:rsidP="009E6124">
            <w:pPr>
              <w:jc w:val="both"/>
              <w:rPr>
                <w:rFonts w:eastAsia="Calibri"/>
                <w:sz w:val="20"/>
                <w:lang w:val="fr-CA"/>
              </w:rPr>
            </w:pPr>
          </w:p>
          <w:p w:rsidR="0063249A" w:rsidRPr="00495EC2" w:rsidRDefault="0063249A" w:rsidP="009E6124">
            <w:pPr>
              <w:jc w:val="both"/>
              <w:rPr>
                <w:rFonts w:eastAsia="Calibri"/>
                <w:sz w:val="20"/>
                <w:lang w:val="fr-CA"/>
              </w:rPr>
            </w:pPr>
            <w:r w:rsidRPr="00495EC2">
              <w:rPr>
                <w:rFonts w:eastAsia="Calibri"/>
                <w:sz w:val="20"/>
                <w:lang w:val="fr-CA"/>
              </w:rPr>
              <w:t xml:space="preserve">Monsieur </w:t>
            </w:r>
            <w:proofErr w:type="spellStart"/>
            <w:r w:rsidRPr="00495EC2">
              <w:rPr>
                <w:rFonts w:eastAsia="Calibri"/>
                <w:sz w:val="20"/>
                <w:lang w:val="fr-CA"/>
              </w:rPr>
              <w:t>Husain</w:t>
            </w:r>
            <w:proofErr w:type="spellEnd"/>
            <w:r w:rsidRPr="00495EC2">
              <w:rPr>
                <w:rFonts w:eastAsia="Calibri"/>
                <w:sz w:val="20"/>
                <w:lang w:val="fr-CA"/>
              </w:rPr>
              <w:t xml:space="preserve"> a été accusé en vertu de plusieurs dispositions du</w:t>
            </w:r>
            <w:r w:rsidRPr="00495EC2">
              <w:rPr>
                <w:rFonts w:eastAsia="Calibri"/>
                <w:i/>
                <w:sz w:val="20"/>
                <w:lang w:val="fr-CA"/>
              </w:rPr>
              <w:t xml:space="preserve"> Code criminel</w:t>
            </w:r>
            <w:r w:rsidRPr="00495EC2">
              <w:rPr>
                <w:rFonts w:eastAsia="Calibri"/>
                <w:sz w:val="20"/>
                <w:lang w:val="fr-CA"/>
              </w:rPr>
              <w:t>.  Il a fini par plaider coupable relativement à cinq chefs : deux chefs d'agression sexuelle contre une mineure, un chef de tentative d’induire une mineure à se prostituer, un chef de proxénétisme à l'égard d'une prostituée âgée de moins de 18 ans et un chef d'inobservation d’un engagement.  Sur le fondement des faits admis et de ses plaidoyers de culpabilité, il a été déclaré coupable sous tous les chefs.  À la suite d’observations conjointes, M. </w:t>
            </w:r>
            <w:proofErr w:type="spellStart"/>
            <w:r w:rsidRPr="00495EC2">
              <w:rPr>
                <w:rFonts w:eastAsia="Calibri"/>
                <w:sz w:val="20"/>
                <w:lang w:val="fr-CA"/>
              </w:rPr>
              <w:t>Husain</w:t>
            </w:r>
            <w:proofErr w:type="spellEnd"/>
            <w:r w:rsidRPr="00495EC2">
              <w:rPr>
                <w:rFonts w:eastAsia="Calibri"/>
                <w:sz w:val="20"/>
                <w:lang w:val="fr-CA"/>
              </w:rPr>
              <w:t xml:space="preserve"> a été condamné à une peine d'emprisonnement de cinq ans et deux mois. En vertu de l'art. 161 du</w:t>
            </w:r>
            <w:r w:rsidRPr="00495EC2">
              <w:rPr>
                <w:rFonts w:eastAsia="Calibri"/>
                <w:i/>
                <w:sz w:val="20"/>
                <w:lang w:val="fr-CA"/>
              </w:rPr>
              <w:t xml:space="preserve"> Code criminel</w:t>
            </w:r>
            <w:r w:rsidRPr="00495EC2">
              <w:rPr>
                <w:rFonts w:eastAsia="Calibri"/>
                <w:sz w:val="20"/>
                <w:lang w:val="fr-CA"/>
              </w:rPr>
              <w:t xml:space="preserve">, le tribunal lui a également interdit de se trouver à une série d'endroits énumérés où des personnes âgées de 16 ans sont susceptibles d'être présentes. </w:t>
            </w:r>
          </w:p>
          <w:p w:rsidR="0063249A" w:rsidRPr="00495EC2" w:rsidRDefault="0063249A" w:rsidP="009E6124">
            <w:pPr>
              <w:jc w:val="both"/>
              <w:rPr>
                <w:rFonts w:eastAsia="Calibri"/>
                <w:sz w:val="20"/>
                <w:lang w:val="fr-CA"/>
              </w:rPr>
            </w:pPr>
          </w:p>
          <w:p w:rsidR="0063249A" w:rsidRPr="00495EC2" w:rsidRDefault="0063249A" w:rsidP="009E6124">
            <w:pPr>
              <w:jc w:val="both"/>
              <w:rPr>
                <w:rFonts w:eastAsia="Calibri"/>
                <w:sz w:val="20"/>
                <w:lang w:val="fr-CA"/>
              </w:rPr>
            </w:pPr>
            <w:r w:rsidRPr="00495EC2">
              <w:rPr>
                <w:rFonts w:eastAsia="Calibri"/>
                <w:sz w:val="20"/>
                <w:lang w:val="fr-CA"/>
              </w:rPr>
              <w:t>Monsieur </w:t>
            </w:r>
            <w:proofErr w:type="spellStart"/>
            <w:r w:rsidRPr="00495EC2">
              <w:rPr>
                <w:rFonts w:eastAsia="Calibri"/>
                <w:sz w:val="20"/>
                <w:lang w:val="fr-CA"/>
              </w:rPr>
              <w:t>Husain</w:t>
            </w:r>
            <w:proofErr w:type="spellEnd"/>
            <w:r w:rsidRPr="00495EC2">
              <w:rPr>
                <w:rFonts w:eastAsia="Calibri"/>
                <w:sz w:val="20"/>
                <w:lang w:val="fr-CA"/>
              </w:rPr>
              <w:t xml:space="preserve"> a interjeté appel de sa condamnation sous deux des chefs (agression sexuelle contre une mineure et tentative d’induire une mineure à se prostituer) et de sa peine.  Il a également demandé l'annulation de l'ordonnance prononcée en application de l'art. 161 du</w:t>
            </w:r>
            <w:r w:rsidRPr="00495EC2">
              <w:rPr>
                <w:rFonts w:eastAsia="Calibri"/>
                <w:i/>
                <w:sz w:val="20"/>
                <w:lang w:val="fr-CA"/>
              </w:rPr>
              <w:t xml:space="preserve"> Code criminel</w:t>
            </w:r>
            <w:r w:rsidRPr="00495EC2">
              <w:rPr>
                <w:rFonts w:eastAsia="Calibri"/>
                <w:sz w:val="20"/>
                <w:lang w:val="fr-CA"/>
              </w:rPr>
              <w:t xml:space="preserve">. </w:t>
            </w:r>
          </w:p>
          <w:p w:rsidR="0063249A" w:rsidRPr="00495EC2" w:rsidRDefault="0063249A" w:rsidP="009E6124">
            <w:pPr>
              <w:jc w:val="both"/>
              <w:rPr>
                <w:rFonts w:eastAsia="Calibri"/>
                <w:sz w:val="20"/>
                <w:lang w:val="fr-CA"/>
              </w:rPr>
            </w:pPr>
          </w:p>
        </w:tc>
      </w:tr>
      <w:tr w:rsidR="0063249A" w:rsidRPr="009714AD" w:rsidTr="009E6124">
        <w:tc>
          <w:tcPr>
            <w:tcW w:w="2427" w:type="pct"/>
          </w:tcPr>
          <w:p w:rsidR="0063249A" w:rsidRPr="00495EC2" w:rsidRDefault="0063249A" w:rsidP="009E6124">
            <w:pPr>
              <w:jc w:val="both"/>
              <w:rPr>
                <w:rFonts w:eastAsia="Calibri"/>
                <w:sz w:val="20"/>
                <w:lang w:val="fr-CA"/>
              </w:rPr>
            </w:pPr>
            <w:r w:rsidRPr="00495EC2">
              <w:rPr>
                <w:rFonts w:eastAsia="Calibri"/>
                <w:sz w:val="20"/>
                <w:lang w:val="fr-CA"/>
              </w:rPr>
              <w:t>12 septembre 2011</w:t>
            </w:r>
          </w:p>
          <w:p w:rsidR="0063249A" w:rsidRPr="00495EC2" w:rsidRDefault="0063249A" w:rsidP="009E6124">
            <w:pPr>
              <w:jc w:val="both"/>
              <w:rPr>
                <w:rFonts w:eastAsia="Calibri"/>
                <w:sz w:val="20"/>
                <w:lang w:val="fr-CA"/>
              </w:rPr>
            </w:pPr>
            <w:r w:rsidRPr="00495EC2">
              <w:rPr>
                <w:rFonts w:eastAsia="Calibri"/>
                <w:sz w:val="20"/>
                <w:lang w:val="fr-CA"/>
              </w:rPr>
              <w:t xml:space="preserve">Cour supérieure de justice de l'Ontario </w:t>
            </w:r>
          </w:p>
          <w:p w:rsidR="0063249A" w:rsidRPr="00495EC2" w:rsidRDefault="0063249A" w:rsidP="009E6124">
            <w:pPr>
              <w:jc w:val="both"/>
              <w:rPr>
                <w:rFonts w:eastAsia="Calibri"/>
                <w:sz w:val="20"/>
                <w:lang w:val="fr-CA"/>
              </w:rPr>
            </w:pPr>
            <w:r w:rsidRPr="00495EC2">
              <w:rPr>
                <w:rFonts w:eastAsia="Calibri"/>
                <w:sz w:val="20"/>
                <w:lang w:val="fr-CA"/>
              </w:rPr>
              <w:t xml:space="preserve">(Juge </w:t>
            </w:r>
            <w:proofErr w:type="spellStart"/>
            <w:r w:rsidRPr="00495EC2">
              <w:rPr>
                <w:rFonts w:eastAsia="Calibri"/>
                <w:sz w:val="20"/>
                <w:lang w:val="fr-CA"/>
              </w:rPr>
              <w:t>Himel</w:t>
            </w:r>
            <w:proofErr w:type="spellEnd"/>
            <w:r w:rsidRPr="00495EC2">
              <w:rPr>
                <w:rFonts w:eastAsia="Calibri"/>
                <w:sz w:val="20"/>
                <w:lang w:val="fr-CA"/>
              </w:rPr>
              <w:t>)</w:t>
            </w:r>
          </w:p>
          <w:p w:rsidR="0063249A" w:rsidRPr="00495EC2" w:rsidRDefault="0063249A" w:rsidP="009E6124">
            <w:pPr>
              <w:jc w:val="both"/>
              <w:rPr>
                <w:rFonts w:eastAsia="Calibri"/>
                <w:sz w:val="20"/>
                <w:lang w:val="fr-CA"/>
              </w:rPr>
            </w:pPr>
          </w:p>
        </w:tc>
        <w:tc>
          <w:tcPr>
            <w:tcW w:w="243" w:type="pct"/>
          </w:tcPr>
          <w:p w:rsidR="0063249A" w:rsidRPr="00495EC2" w:rsidRDefault="0063249A" w:rsidP="009E6124">
            <w:pPr>
              <w:jc w:val="both"/>
              <w:rPr>
                <w:rFonts w:eastAsia="Calibri"/>
                <w:sz w:val="20"/>
                <w:lang w:val="fr-CA"/>
              </w:rPr>
            </w:pPr>
          </w:p>
        </w:tc>
        <w:tc>
          <w:tcPr>
            <w:tcW w:w="2330" w:type="pct"/>
          </w:tcPr>
          <w:p w:rsidR="0063249A" w:rsidRPr="00495EC2" w:rsidRDefault="0063249A" w:rsidP="009E6124">
            <w:pPr>
              <w:jc w:val="both"/>
              <w:rPr>
                <w:rFonts w:eastAsia="Calibri"/>
                <w:sz w:val="20"/>
                <w:lang w:val="fr-CA"/>
              </w:rPr>
            </w:pPr>
            <w:r w:rsidRPr="00495EC2">
              <w:rPr>
                <w:rFonts w:eastAsia="Calibri"/>
                <w:sz w:val="20"/>
                <w:lang w:val="fr-CA"/>
              </w:rPr>
              <w:t>Déclarations de culpabilité inscrites sous deux chefs d'agression sexuelle contre une mineure, un chef de tentative d’induire une mineure à se prostituer, un chef de proxénétisme à l'égard d'une prostituée âgée de moins de 18 ans et un chef d'inobservation d’un engagement; demandeur condamné à une peine d'emprisonnement de cinq ans et deux mois et interdit de se trouver à des endroits où des personnes âgées de 16 ans sont susceptibles d'être présentes</w:t>
            </w:r>
          </w:p>
          <w:p w:rsidR="0063249A" w:rsidRPr="00495EC2" w:rsidRDefault="0063249A" w:rsidP="009E6124">
            <w:pPr>
              <w:jc w:val="both"/>
              <w:rPr>
                <w:rFonts w:eastAsia="Calibri"/>
                <w:sz w:val="20"/>
                <w:lang w:val="fr-CA"/>
              </w:rPr>
            </w:pPr>
          </w:p>
        </w:tc>
      </w:tr>
      <w:tr w:rsidR="0063249A" w:rsidRPr="00495EC2" w:rsidTr="009E6124">
        <w:tc>
          <w:tcPr>
            <w:tcW w:w="2427" w:type="pct"/>
          </w:tcPr>
          <w:p w:rsidR="0063249A" w:rsidRPr="00495EC2" w:rsidRDefault="0063249A" w:rsidP="009E6124">
            <w:pPr>
              <w:jc w:val="both"/>
              <w:rPr>
                <w:rFonts w:eastAsia="Calibri"/>
                <w:sz w:val="20"/>
                <w:lang w:val="fr-CA"/>
              </w:rPr>
            </w:pPr>
            <w:r w:rsidRPr="00495EC2">
              <w:rPr>
                <w:rFonts w:eastAsia="Calibri"/>
                <w:sz w:val="20"/>
                <w:lang w:val="fr-CA"/>
              </w:rPr>
              <w:t>16 octobre 2012</w:t>
            </w:r>
          </w:p>
          <w:p w:rsidR="0063249A" w:rsidRPr="00495EC2" w:rsidRDefault="0063249A" w:rsidP="009E6124">
            <w:pPr>
              <w:jc w:val="both"/>
              <w:rPr>
                <w:rFonts w:eastAsia="Calibri"/>
                <w:sz w:val="20"/>
                <w:lang w:val="fr-CA"/>
              </w:rPr>
            </w:pPr>
            <w:r w:rsidRPr="00495EC2">
              <w:rPr>
                <w:rFonts w:eastAsia="Calibri"/>
                <w:sz w:val="20"/>
                <w:lang w:val="fr-CA"/>
              </w:rPr>
              <w:t xml:space="preserve">Cour d'appel de l'Ontario </w:t>
            </w:r>
          </w:p>
          <w:p w:rsidR="0063249A" w:rsidRPr="00495EC2" w:rsidRDefault="0063249A" w:rsidP="009E6124">
            <w:pPr>
              <w:jc w:val="both"/>
              <w:rPr>
                <w:rFonts w:eastAsia="Calibri"/>
                <w:sz w:val="20"/>
                <w:lang w:val="fr-CA"/>
              </w:rPr>
            </w:pPr>
            <w:r w:rsidRPr="00495EC2">
              <w:rPr>
                <w:rFonts w:eastAsia="Calibri"/>
                <w:sz w:val="20"/>
                <w:lang w:val="fr-CA"/>
              </w:rPr>
              <w:t xml:space="preserve">(Juge en chef </w:t>
            </w:r>
            <w:proofErr w:type="spellStart"/>
            <w:r w:rsidRPr="00495EC2">
              <w:rPr>
                <w:rFonts w:eastAsia="Calibri"/>
                <w:sz w:val="20"/>
                <w:lang w:val="fr-CA"/>
              </w:rPr>
              <w:t>Winkler</w:t>
            </w:r>
            <w:proofErr w:type="spellEnd"/>
            <w:r w:rsidRPr="00495EC2">
              <w:rPr>
                <w:rFonts w:eastAsia="Calibri"/>
                <w:sz w:val="20"/>
                <w:lang w:val="fr-CA"/>
              </w:rPr>
              <w:t xml:space="preserve">, juges Blair et </w:t>
            </w:r>
            <w:proofErr w:type="spellStart"/>
            <w:r w:rsidRPr="00495EC2">
              <w:rPr>
                <w:rFonts w:eastAsia="Calibri"/>
                <w:sz w:val="20"/>
                <w:lang w:val="fr-CA"/>
              </w:rPr>
              <w:t>Hoy</w:t>
            </w:r>
            <w:proofErr w:type="spellEnd"/>
            <w:r w:rsidRPr="00495EC2">
              <w:rPr>
                <w:rFonts w:eastAsia="Calibri"/>
                <w:sz w:val="20"/>
                <w:lang w:val="fr-CA"/>
              </w:rPr>
              <w:t>)</w:t>
            </w:r>
          </w:p>
          <w:p w:rsidR="0063249A" w:rsidRPr="00495EC2" w:rsidRDefault="0063249A" w:rsidP="004A0323">
            <w:pPr>
              <w:jc w:val="both"/>
              <w:rPr>
                <w:rFonts w:eastAsia="Calibri"/>
                <w:sz w:val="20"/>
                <w:lang w:val="fr-CA"/>
              </w:rPr>
            </w:pPr>
            <w:r w:rsidRPr="00495EC2">
              <w:rPr>
                <w:rFonts w:eastAsia="Calibri"/>
                <w:sz w:val="20"/>
                <w:lang w:val="fr-CA"/>
              </w:rPr>
              <w:t>2012 ONCA 697</w:t>
            </w:r>
          </w:p>
        </w:tc>
        <w:tc>
          <w:tcPr>
            <w:tcW w:w="243" w:type="pct"/>
          </w:tcPr>
          <w:p w:rsidR="0063249A" w:rsidRPr="00495EC2" w:rsidRDefault="0063249A" w:rsidP="009E6124">
            <w:pPr>
              <w:jc w:val="both"/>
              <w:rPr>
                <w:rFonts w:eastAsia="Calibri"/>
                <w:sz w:val="20"/>
                <w:lang w:val="fr-CA"/>
              </w:rPr>
            </w:pPr>
          </w:p>
        </w:tc>
        <w:tc>
          <w:tcPr>
            <w:tcW w:w="2330" w:type="pct"/>
          </w:tcPr>
          <w:p w:rsidR="0063249A" w:rsidRPr="00495EC2" w:rsidRDefault="0063249A" w:rsidP="009E6124">
            <w:pPr>
              <w:jc w:val="both"/>
              <w:rPr>
                <w:rFonts w:eastAsia="Calibri"/>
                <w:sz w:val="20"/>
                <w:lang w:val="fr-CA"/>
              </w:rPr>
            </w:pPr>
            <w:r w:rsidRPr="00495EC2">
              <w:rPr>
                <w:rFonts w:eastAsia="Calibri"/>
                <w:sz w:val="20"/>
                <w:lang w:val="fr-CA"/>
              </w:rPr>
              <w:t>Appel des déclarations de culpabilité et de la peine, rejetés; nouvelle ordonnance délivrée en application de l'art. 161 du</w:t>
            </w:r>
            <w:r w:rsidRPr="00495EC2">
              <w:rPr>
                <w:rFonts w:eastAsia="Calibri"/>
                <w:i/>
                <w:sz w:val="20"/>
                <w:lang w:val="fr-CA"/>
              </w:rPr>
              <w:t xml:space="preserve"> Code criminel</w:t>
            </w:r>
          </w:p>
          <w:p w:rsidR="0063249A" w:rsidRPr="00495EC2" w:rsidRDefault="0063249A" w:rsidP="009E6124">
            <w:pPr>
              <w:jc w:val="both"/>
              <w:rPr>
                <w:rFonts w:eastAsia="Calibri"/>
                <w:sz w:val="20"/>
                <w:lang w:val="fr-CA"/>
              </w:rPr>
            </w:pPr>
            <w:r w:rsidRPr="00495EC2">
              <w:rPr>
                <w:rFonts w:eastAsia="Calibri"/>
                <w:sz w:val="20"/>
                <w:lang w:val="fr-CA"/>
              </w:rPr>
              <w:t xml:space="preserve"> </w:t>
            </w:r>
          </w:p>
        </w:tc>
      </w:tr>
    </w:tbl>
    <w:p w:rsidR="004A0323" w:rsidRDefault="004A0323"/>
    <w:p w:rsidR="004A0323" w:rsidRDefault="004A0323">
      <w:r>
        <w:br w:type="page"/>
      </w:r>
    </w:p>
    <w:tbl>
      <w:tblPr>
        <w:tblW w:w="4952" w:type="pct"/>
        <w:tblLayout w:type="fixed"/>
        <w:tblCellMar>
          <w:left w:w="0" w:type="dxa"/>
          <w:bottom w:w="99" w:type="dxa"/>
          <w:right w:w="0" w:type="dxa"/>
        </w:tblCellMar>
        <w:tblLook w:val="00A0"/>
      </w:tblPr>
      <w:tblGrid>
        <w:gridCol w:w="4624"/>
        <w:gridCol w:w="463"/>
        <w:gridCol w:w="4440"/>
      </w:tblGrid>
      <w:tr w:rsidR="0063249A" w:rsidRPr="009714AD" w:rsidTr="004A0323">
        <w:trPr>
          <w:cantSplit/>
        </w:trPr>
        <w:tc>
          <w:tcPr>
            <w:tcW w:w="2427" w:type="pct"/>
          </w:tcPr>
          <w:p w:rsidR="0063249A" w:rsidRPr="00495EC2" w:rsidRDefault="0063249A" w:rsidP="009E6124">
            <w:pPr>
              <w:jc w:val="both"/>
              <w:rPr>
                <w:rFonts w:eastAsia="Calibri"/>
                <w:sz w:val="20"/>
                <w:lang w:val="fr-CA"/>
              </w:rPr>
            </w:pPr>
            <w:r w:rsidRPr="00495EC2">
              <w:rPr>
                <w:rFonts w:eastAsia="Calibri"/>
                <w:sz w:val="20"/>
                <w:lang w:val="fr-CA"/>
              </w:rPr>
              <w:t>12 décembre 2012</w:t>
            </w:r>
          </w:p>
          <w:p w:rsidR="0063249A" w:rsidRPr="00495EC2" w:rsidRDefault="0063249A" w:rsidP="009E6124">
            <w:pPr>
              <w:jc w:val="both"/>
              <w:rPr>
                <w:rFonts w:eastAsia="Calibri"/>
                <w:sz w:val="20"/>
                <w:lang w:val="fr-CA"/>
              </w:rPr>
            </w:pPr>
            <w:r w:rsidRPr="00495EC2">
              <w:rPr>
                <w:rFonts w:eastAsia="Calibri"/>
                <w:sz w:val="20"/>
                <w:lang w:val="fr-CA"/>
              </w:rPr>
              <w:t>Cour suprême du Canada</w:t>
            </w:r>
          </w:p>
          <w:p w:rsidR="0063249A" w:rsidRPr="00495EC2" w:rsidRDefault="0063249A" w:rsidP="009E6124">
            <w:pPr>
              <w:jc w:val="both"/>
              <w:rPr>
                <w:rFonts w:eastAsia="Calibri"/>
                <w:sz w:val="20"/>
                <w:lang w:val="fr-CA"/>
              </w:rPr>
            </w:pPr>
          </w:p>
        </w:tc>
        <w:tc>
          <w:tcPr>
            <w:tcW w:w="243" w:type="pct"/>
          </w:tcPr>
          <w:p w:rsidR="0063249A" w:rsidRPr="00495EC2" w:rsidRDefault="0063249A" w:rsidP="009E6124">
            <w:pPr>
              <w:jc w:val="both"/>
              <w:rPr>
                <w:rFonts w:eastAsia="Calibri"/>
                <w:sz w:val="20"/>
                <w:lang w:val="fr-CA"/>
              </w:rPr>
            </w:pPr>
          </w:p>
        </w:tc>
        <w:tc>
          <w:tcPr>
            <w:tcW w:w="2330" w:type="pct"/>
          </w:tcPr>
          <w:p w:rsidR="0063249A" w:rsidRPr="00495EC2" w:rsidRDefault="0063249A" w:rsidP="009E6124">
            <w:pPr>
              <w:jc w:val="both"/>
              <w:rPr>
                <w:rFonts w:eastAsia="Calibri"/>
                <w:sz w:val="20"/>
                <w:lang w:val="fr-CA"/>
              </w:rPr>
            </w:pPr>
            <w:r w:rsidRPr="00495EC2">
              <w:rPr>
                <w:rFonts w:eastAsia="Calibri"/>
                <w:sz w:val="20"/>
                <w:lang w:val="fr-CA"/>
              </w:rPr>
              <w:t>Requête en prorogation du délai de signification et de dépôt de la demande d'autorisation d'appel et demande d'autorisation d'appel, déposées</w:t>
            </w:r>
          </w:p>
        </w:tc>
      </w:tr>
    </w:tbl>
    <w:p w:rsidR="000C7850" w:rsidRPr="0063249A" w:rsidRDefault="000C7850" w:rsidP="000C7850">
      <w:pPr>
        <w:rPr>
          <w:sz w:val="20"/>
          <w:szCs w:val="20"/>
          <w:lang w:val="fr-CA"/>
        </w:rPr>
      </w:pPr>
    </w:p>
    <w:p w:rsidR="000C7850" w:rsidRDefault="00BE6ED8" w:rsidP="000C7850">
      <w:pPr>
        <w:rPr>
          <w:sz w:val="20"/>
          <w:szCs w:val="20"/>
        </w:rPr>
      </w:pPr>
      <w:r w:rsidRPr="00BE6ED8">
        <w:rPr>
          <w:sz w:val="20"/>
          <w:szCs w:val="20"/>
          <w:lang w:val="fr-CA"/>
        </w:rPr>
        <w:pict>
          <v:rect id="_x0000_i1083" style="width:2in;height:1pt" o:hrpct="0" o:hralign="center" o:hrstd="t" o:hrnoshade="t" o:hr="t" fillcolor="black [3213]" stroked="f"/>
        </w:pict>
      </w:r>
    </w:p>
    <w:p w:rsidR="000C7850" w:rsidRDefault="000C7850" w:rsidP="000C78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B50FB" w:rsidRPr="00182D0C" w:rsidTr="009E6124">
        <w:trPr>
          <w:cantSplit/>
        </w:trPr>
        <w:tc>
          <w:tcPr>
            <w:tcW w:w="1458" w:type="dxa"/>
          </w:tcPr>
          <w:p w:rsidR="005B50FB" w:rsidRPr="00182D0C" w:rsidRDefault="005B50FB" w:rsidP="009E6124">
            <w:pPr>
              <w:rPr>
                <w:sz w:val="20"/>
                <w:szCs w:val="20"/>
              </w:rPr>
            </w:pPr>
            <w:r w:rsidRPr="00182D0C">
              <w:rPr>
                <w:rStyle w:val="SCCFileNumberChar"/>
                <w:sz w:val="20"/>
                <w:szCs w:val="20"/>
              </w:rPr>
              <w:t>35193</w:t>
            </w:r>
          </w:p>
          <w:p w:rsidR="005B50FB" w:rsidRPr="00182D0C" w:rsidRDefault="005B50FB" w:rsidP="009E6124">
            <w:pPr>
              <w:rPr>
                <w:b/>
                <w:sz w:val="20"/>
                <w:szCs w:val="20"/>
                <w:lang w:val="fr-CA"/>
              </w:rPr>
            </w:pPr>
          </w:p>
        </w:tc>
        <w:tc>
          <w:tcPr>
            <w:tcW w:w="8118" w:type="dxa"/>
          </w:tcPr>
          <w:p w:rsidR="005B50FB" w:rsidRPr="00182D0C" w:rsidRDefault="005B50FB" w:rsidP="009E6124">
            <w:pPr>
              <w:jc w:val="both"/>
              <w:rPr>
                <w:sz w:val="20"/>
                <w:szCs w:val="20"/>
              </w:rPr>
            </w:pPr>
            <w:r w:rsidRPr="00182D0C">
              <w:rPr>
                <w:rStyle w:val="SCCLsocChar"/>
                <w:sz w:val="20"/>
                <w:szCs w:val="20"/>
                <w:lang w:val="en-CA"/>
              </w:rPr>
              <w:t>Athabasca Chipewyan First Nation v. Energy Resources Conservation Board acting in its capacity as part of the Joint Review Panel, Joint Review Panel, Shell Canada Limited, Minister of Justice</w:t>
            </w:r>
            <w:r w:rsidR="00347F72">
              <w:rPr>
                <w:rStyle w:val="SCCLsocChar"/>
                <w:sz w:val="20"/>
                <w:szCs w:val="20"/>
                <w:lang w:val="en-CA"/>
              </w:rPr>
              <w:t xml:space="preserve"> and</w:t>
            </w:r>
            <w:r w:rsidRPr="00182D0C">
              <w:rPr>
                <w:rStyle w:val="SCCLsocChar"/>
                <w:sz w:val="20"/>
                <w:szCs w:val="20"/>
                <w:lang w:val="en-CA"/>
              </w:rPr>
              <w:t xml:space="preserve"> Attorney General of Alberta</w:t>
            </w:r>
            <w:r w:rsidR="00B75FD3">
              <w:rPr>
                <w:rStyle w:val="SCCLsocChar"/>
                <w:sz w:val="20"/>
                <w:szCs w:val="20"/>
                <w:lang w:val="en-CA"/>
              </w:rPr>
              <w:t xml:space="preserve"> and</w:t>
            </w:r>
            <w:r w:rsidRPr="00182D0C">
              <w:rPr>
                <w:rStyle w:val="SCCLsocChar"/>
                <w:sz w:val="20"/>
                <w:szCs w:val="20"/>
                <w:lang w:val="en-CA"/>
              </w:rPr>
              <w:t xml:space="preserve"> Attorney General of Canada</w:t>
            </w:r>
            <w:r w:rsidRPr="00182D0C">
              <w:rPr>
                <w:sz w:val="20"/>
                <w:szCs w:val="20"/>
              </w:rPr>
              <w:t xml:space="preserve"> (Alta.) (Civil) (By Leave)</w:t>
            </w:r>
          </w:p>
          <w:p w:rsidR="005B50FB" w:rsidRPr="00182D0C" w:rsidRDefault="005B50FB" w:rsidP="009E6124">
            <w:pPr>
              <w:jc w:val="both"/>
              <w:rPr>
                <w:sz w:val="20"/>
                <w:szCs w:val="20"/>
              </w:rPr>
            </w:pPr>
          </w:p>
        </w:tc>
      </w:tr>
      <w:tr w:rsidR="005B50FB" w:rsidRPr="00182D0C" w:rsidTr="009E6124">
        <w:trPr>
          <w:cantSplit/>
        </w:trPr>
        <w:tc>
          <w:tcPr>
            <w:tcW w:w="1458" w:type="dxa"/>
          </w:tcPr>
          <w:p w:rsidR="005B50FB" w:rsidRPr="00182D0C" w:rsidRDefault="005B50FB" w:rsidP="009E6124">
            <w:pPr>
              <w:rPr>
                <w:sz w:val="20"/>
                <w:szCs w:val="20"/>
              </w:rPr>
            </w:pPr>
            <w:r w:rsidRPr="00182D0C">
              <w:rPr>
                <w:sz w:val="20"/>
                <w:szCs w:val="20"/>
              </w:rPr>
              <w:t>Coram :</w:t>
            </w:r>
          </w:p>
        </w:tc>
        <w:tc>
          <w:tcPr>
            <w:tcW w:w="8118" w:type="dxa"/>
          </w:tcPr>
          <w:p w:rsidR="005B50FB" w:rsidRPr="00182D0C" w:rsidRDefault="005B50FB" w:rsidP="009E6124">
            <w:pPr>
              <w:rPr>
                <w:sz w:val="20"/>
                <w:szCs w:val="20"/>
              </w:rPr>
            </w:pPr>
            <w:proofErr w:type="spellStart"/>
            <w:r w:rsidRPr="00182D0C">
              <w:rPr>
                <w:rStyle w:val="SCCCoramChar"/>
                <w:sz w:val="20"/>
                <w:szCs w:val="20"/>
                <w:lang w:val="en-CA"/>
              </w:rPr>
              <w:t>LeBel</w:t>
            </w:r>
            <w:proofErr w:type="spellEnd"/>
            <w:r w:rsidRPr="00182D0C">
              <w:rPr>
                <w:rStyle w:val="SCCCoramChar"/>
                <w:sz w:val="20"/>
                <w:szCs w:val="20"/>
                <w:lang w:val="en-CA"/>
              </w:rPr>
              <w:t xml:space="preserve">, </w:t>
            </w:r>
            <w:proofErr w:type="spellStart"/>
            <w:r w:rsidRPr="00182D0C">
              <w:rPr>
                <w:rStyle w:val="SCCCoramChar"/>
                <w:sz w:val="20"/>
                <w:szCs w:val="20"/>
                <w:lang w:val="en-CA"/>
              </w:rPr>
              <w:t>Karakatsanis</w:t>
            </w:r>
            <w:proofErr w:type="spellEnd"/>
            <w:r w:rsidRPr="00182D0C">
              <w:rPr>
                <w:rStyle w:val="SCCCoramChar"/>
                <w:sz w:val="20"/>
                <w:szCs w:val="20"/>
                <w:lang w:val="en-CA"/>
              </w:rPr>
              <w:t xml:space="preserve"> and Wagner JJ.</w:t>
            </w:r>
          </w:p>
          <w:p w:rsidR="005B50FB" w:rsidRPr="00182D0C" w:rsidRDefault="005B50FB" w:rsidP="009E6124">
            <w:pPr>
              <w:rPr>
                <w:sz w:val="20"/>
                <w:szCs w:val="20"/>
                <w:u w:val="single"/>
              </w:rPr>
            </w:pPr>
          </w:p>
        </w:tc>
      </w:tr>
      <w:tr w:rsidR="005B50FB" w:rsidRPr="009714AD" w:rsidTr="009E6124">
        <w:trPr>
          <w:cantSplit/>
        </w:trPr>
        <w:tc>
          <w:tcPr>
            <w:tcW w:w="9576" w:type="dxa"/>
            <w:gridSpan w:val="2"/>
          </w:tcPr>
          <w:p w:rsidR="005B50FB" w:rsidRPr="00182D0C" w:rsidRDefault="005B50FB" w:rsidP="009E6124">
            <w:pPr>
              <w:pStyle w:val="SCCShortJudgment"/>
              <w:rPr>
                <w:szCs w:val="20"/>
              </w:rPr>
            </w:pPr>
            <w:r w:rsidRPr="00182D0C">
              <w:rPr>
                <w:szCs w:val="20"/>
              </w:rPr>
              <w:t>The application for leave to appeal from the judgment of the Court of Appeal of Alberta (Edmonton), Number 1203-0251-AC, 2012 ABCA 352, dated November 26, 2012, is dismissed with costs to the respondents  Shell Canada Limited, Minister of Justice and Attorney General of Alberta and Attorney General of Canada.</w:t>
            </w:r>
          </w:p>
          <w:p w:rsidR="005B50FB" w:rsidRPr="00182D0C" w:rsidRDefault="005B50FB" w:rsidP="009E6124">
            <w:pPr>
              <w:pStyle w:val="SCCShortJudgment"/>
              <w:ind w:firstLine="0"/>
              <w:rPr>
                <w:szCs w:val="20"/>
              </w:rPr>
            </w:pPr>
          </w:p>
          <w:p w:rsidR="005B50FB" w:rsidRPr="00182D0C" w:rsidRDefault="005B50FB" w:rsidP="009E6124">
            <w:pPr>
              <w:pStyle w:val="SCCShortJudgment"/>
              <w:rPr>
                <w:szCs w:val="20"/>
                <w:lang w:val="fr-CA"/>
              </w:rPr>
            </w:pPr>
            <w:r w:rsidRPr="00182D0C">
              <w:rPr>
                <w:szCs w:val="20"/>
                <w:lang w:val="fr-CA"/>
              </w:rPr>
              <w:t>La demande d’autorisation d’appel de l’arrêt de la Cour d’appel de l’Alberta (Edmonton), numéro 1203-0251-AC, 2012 ABCA 352, daté du 26 novembre 2012, est rejetée avec dépens en faveur des intimés Shell Canada Limitée, Ministre de la Justice et procureur général de l’Alberta et Procureur général du Canada.</w:t>
            </w:r>
          </w:p>
        </w:tc>
      </w:tr>
    </w:tbl>
    <w:p w:rsidR="000C7850" w:rsidRPr="000C7850" w:rsidRDefault="000C7850" w:rsidP="000C7850">
      <w:pPr>
        <w:rPr>
          <w:sz w:val="20"/>
          <w:szCs w:val="20"/>
          <w:lang w:val="fr-CA"/>
        </w:rPr>
      </w:pPr>
    </w:p>
    <w:p w:rsidR="000C7850" w:rsidRPr="001B157C" w:rsidRDefault="000C7850" w:rsidP="000C7850">
      <w:pPr>
        <w:rPr>
          <w:sz w:val="20"/>
          <w:szCs w:val="20"/>
          <w:u w:val="single"/>
        </w:rPr>
      </w:pPr>
      <w:r w:rsidRPr="001B157C">
        <w:rPr>
          <w:sz w:val="20"/>
          <w:szCs w:val="20"/>
          <w:u w:val="single"/>
        </w:rPr>
        <w:t>CASE SUMMARY</w:t>
      </w:r>
    </w:p>
    <w:p w:rsidR="000C7850" w:rsidRDefault="000C7850" w:rsidP="000C78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249A" w:rsidRPr="00495EC2" w:rsidTr="009E6124">
        <w:tc>
          <w:tcPr>
            <w:tcW w:w="5000" w:type="pct"/>
            <w:gridSpan w:val="3"/>
          </w:tcPr>
          <w:p w:rsidR="0063249A" w:rsidRPr="00495EC2" w:rsidRDefault="0063249A" w:rsidP="009E6124">
            <w:pPr>
              <w:jc w:val="both"/>
              <w:rPr>
                <w:rFonts w:eastAsia="Calibri"/>
                <w:sz w:val="20"/>
              </w:rPr>
            </w:pPr>
            <w:r w:rsidRPr="00495EC2">
              <w:rPr>
                <w:rFonts w:eastAsia="Calibri"/>
                <w:sz w:val="20"/>
              </w:rPr>
              <w:t>Administrative law – Boards and tribunals – Jurisdiction – Aboriginal law – Environmental assessment – Joint Review Panel created to determine whether expansion of oil sands mine in public interest – Panel holding it lacked jurisdiction to determine whether provincial and federal Crown had satisfied duty to consult Aboriginal peoples – Court of Appeal denying leave to appeal – Whether Court of Appeal erred in holding that Panel had no duty to decide whether Crown had discharged duty to consult First Nations before making its public interest determination – Whether Court of Appeal erred in holding that was premature for Panel to assess adequacy of consultation – Whether Court of Appeal erred by deciding merits of appeal on application for leave to appeal.</w:t>
            </w:r>
          </w:p>
        </w:tc>
      </w:tr>
      <w:tr w:rsidR="0063249A" w:rsidRPr="00495EC2" w:rsidTr="009E6124">
        <w:tc>
          <w:tcPr>
            <w:tcW w:w="5000" w:type="pct"/>
            <w:gridSpan w:val="3"/>
          </w:tcPr>
          <w:p w:rsidR="0063249A" w:rsidRPr="00495EC2" w:rsidRDefault="0063249A" w:rsidP="009E6124">
            <w:pPr>
              <w:jc w:val="both"/>
              <w:rPr>
                <w:rFonts w:eastAsia="Calibri"/>
                <w:sz w:val="20"/>
              </w:rPr>
            </w:pPr>
          </w:p>
        </w:tc>
      </w:tr>
      <w:tr w:rsidR="0063249A" w:rsidRPr="00495EC2" w:rsidTr="009E6124">
        <w:tc>
          <w:tcPr>
            <w:tcW w:w="5000" w:type="pct"/>
            <w:gridSpan w:val="3"/>
          </w:tcPr>
          <w:p w:rsidR="0063249A" w:rsidRPr="00495EC2" w:rsidRDefault="0063249A" w:rsidP="009E6124">
            <w:pPr>
              <w:jc w:val="both"/>
              <w:rPr>
                <w:rFonts w:eastAsia="Calibri"/>
                <w:sz w:val="20"/>
              </w:rPr>
            </w:pPr>
            <w:r w:rsidRPr="00495EC2">
              <w:rPr>
                <w:rFonts w:eastAsia="Calibri"/>
                <w:sz w:val="20"/>
              </w:rPr>
              <w:t xml:space="preserve">Shell Canada operates the </w:t>
            </w:r>
            <w:proofErr w:type="spellStart"/>
            <w:r w:rsidRPr="00495EC2">
              <w:rPr>
                <w:rFonts w:eastAsia="Calibri"/>
                <w:sz w:val="20"/>
              </w:rPr>
              <w:t>Jackpine</w:t>
            </w:r>
            <w:proofErr w:type="spellEnd"/>
            <w:r w:rsidRPr="00495EC2">
              <w:rPr>
                <w:rFonts w:eastAsia="Calibri"/>
                <w:sz w:val="20"/>
              </w:rPr>
              <w:t xml:space="preserve"> oil sands mine near Fort McMurray, Alberta.  It applied to amend its licence to expand the mine.  In order to obtain such an amendment, Shell required approval from the provincial Energy Resources Conservation Board (ERCB) and the federal Canadian Environmental Assessment Agency.  The ERCB and the Minister of the Environment, Canada entered into an agreement to confer the review of the project to a Joint Review Panel   charged with performing an environmental assessment of the proposed expansion and preparing a report as to whether that expansion was in the public interest. </w:t>
            </w:r>
          </w:p>
          <w:p w:rsidR="0063249A" w:rsidRPr="00495EC2" w:rsidRDefault="0063249A" w:rsidP="009E6124">
            <w:pPr>
              <w:jc w:val="both"/>
              <w:rPr>
                <w:rFonts w:eastAsia="Calibri"/>
                <w:sz w:val="20"/>
              </w:rPr>
            </w:pPr>
          </w:p>
          <w:p w:rsidR="0063249A" w:rsidRPr="00495EC2" w:rsidRDefault="0063249A" w:rsidP="009E6124">
            <w:pPr>
              <w:jc w:val="both"/>
              <w:rPr>
                <w:rFonts w:eastAsia="Calibri"/>
                <w:sz w:val="20"/>
              </w:rPr>
            </w:pPr>
            <w:r w:rsidRPr="00495EC2">
              <w:rPr>
                <w:rFonts w:eastAsia="Calibri"/>
                <w:sz w:val="20"/>
              </w:rPr>
              <w:t>The Panel invited all interested parties to give notice of constitutional questions they proposed to raise before it.  The Athabasca Chipewyan First Nation (ACFN) filed a notice indicating its intent to raise issues related to whether the provincial and federal Crowns had discharged their constitutional obligations to consult with Aboriginal groups.  The Panel subsequently declined to consider the constitutional questions proposed by the ACFN, in part because it held that it did not have jurisdiction to consider whether the Crown had complied with its obligation to consult with aboriginal peoples.  It also held that, even if it had jurisdiction, it would be premature to consider whether the Crown had discharged its duty to consult at that stage of the proceedings.</w:t>
            </w:r>
          </w:p>
          <w:p w:rsidR="0063249A" w:rsidRPr="00495EC2" w:rsidRDefault="0063249A" w:rsidP="009E6124">
            <w:pPr>
              <w:jc w:val="both"/>
              <w:rPr>
                <w:rFonts w:eastAsia="Calibri"/>
                <w:sz w:val="20"/>
              </w:rPr>
            </w:pPr>
          </w:p>
          <w:p w:rsidR="0063249A" w:rsidRPr="00495EC2" w:rsidRDefault="0063249A" w:rsidP="009E6124">
            <w:pPr>
              <w:jc w:val="both"/>
              <w:rPr>
                <w:rFonts w:eastAsia="Calibri"/>
                <w:sz w:val="20"/>
              </w:rPr>
            </w:pPr>
            <w:r w:rsidRPr="00495EC2">
              <w:rPr>
                <w:rFonts w:eastAsia="Calibri"/>
                <w:sz w:val="20"/>
              </w:rPr>
              <w:t>The ACFN sought leave to appeal that decision.</w:t>
            </w:r>
          </w:p>
          <w:p w:rsidR="0063249A" w:rsidRPr="00495EC2" w:rsidRDefault="0063249A" w:rsidP="009E6124">
            <w:pPr>
              <w:jc w:val="both"/>
              <w:rPr>
                <w:rFonts w:eastAsia="Calibri"/>
                <w:sz w:val="20"/>
              </w:rPr>
            </w:pPr>
          </w:p>
        </w:tc>
      </w:tr>
      <w:tr w:rsidR="0063249A" w:rsidRPr="00495EC2" w:rsidTr="004A0323">
        <w:trPr>
          <w:cantSplit/>
        </w:trPr>
        <w:tc>
          <w:tcPr>
            <w:tcW w:w="2427" w:type="pct"/>
          </w:tcPr>
          <w:p w:rsidR="0063249A" w:rsidRPr="00495EC2" w:rsidRDefault="0063249A" w:rsidP="009E6124">
            <w:pPr>
              <w:jc w:val="both"/>
              <w:rPr>
                <w:rFonts w:eastAsia="Calibri"/>
                <w:sz w:val="20"/>
              </w:rPr>
            </w:pPr>
            <w:r w:rsidRPr="00495EC2">
              <w:rPr>
                <w:rFonts w:eastAsia="Calibri"/>
                <w:sz w:val="20"/>
              </w:rPr>
              <w:t>November 26, 2012</w:t>
            </w:r>
          </w:p>
          <w:p w:rsidR="0063249A" w:rsidRPr="00495EC2" w:rsidRDefault="0063249A" w:rsidP="009E6124">
            <w:pPr>
              <w:jc w:val="both"/>
              <w:rPr>
                <w:rFonts w:eastAsia="Calibri"/>
                <w:sz w:val="20"/>
              </w:rPr>
            </w:pPr>
            <w:r w:rsidRPr="00495EC2">
              <w:rPr>
                <w:rFonts w:eastAsia="Calibri"/>
                <w:sz w:val="20"/>
              </w:rPr>
              <w:t>Court of Appeal of Alberta (Edmonton)</w:t>
            </w:r>
          </w:p>
          <w:p w:rsidR="0063249A" w:rsidRPr="00495EC2" w:rsidRDefault="0063249A" w:rsidP="009E6124">
            <w:pPr>
              <w:jc w:val="both"/>
              <w:rPr>
                <w:rFonts w:eastAsia="Calibri"/>
                <w:sz w:val="20"/>
              </w:rPr>
            </w:pPr>
            <w:r w:rsidRPr="00495EC2">
              <w:rPr>
                <w:rFonts w:eastAsia="Calibri"/>
                <w:sz w:val="20"/>
              </w:rPr>
              <w:t>(</w:t>
            </w:r>
            <w:proofErr w:type="spellStart"/>
            <w:r w:rsidRPr="00495EC2">
              <w:rPr>
                <w:rFonts w:eastAsia="Calibri"/>
                <w:sz w:val="20"/>
              </w:rPr>
              <w:t>Slatter</w:t>
            </w:r>
            <w:proofErr w:type="spellEnd"/>
            <w:r w:rsidRPr="00495EC2">
              <w:rPr>
                <w:rFonts w:eastAsia="Calibri"/>
                <w:sz w:val="20"/>
              </w:rPr>
              <w:t xml:space="preserve"> J.A.)</w:t>
            </w:r>
          </w:p>
          <w:p w:rsidR="0063249A" w:rsidRPr="00495EC2" w:rsidRDefault="0063249A" w:rsidP="009E6124">
            <w:pPr>
              <w:jc w:val="both"/>
              <w:rPr>
                <w:rFonts w:eastAsia="Calibri"/>
                <w:sz w:val="20"/>
              </w:rPr>
            </w:pPr>
            <w:r w:rsidRPr="00495EC2">
              <w:rPr>
                <w:rFonts w:eastAsia="Calibri"/>
                <w:sz w:val="20"/>
              </w:rPr>
              <w:t>2012 ABCA 352</w:t>
            </w:r>
          </w:p>
          <w:p w:rsidR="0063249A" w:rsidRPr="00495EC2" w:rsidRDefault="0063249A" w:rsidP="009E6124">
            <w:pPr>
              <w:jc w:val="both"/>
              <w:rPr>
                <w:rFonts w:eastAsia="Calibri"/>
                <w:sz w:val="20"/>
              </w:rPr>
            </w:pPr>
          </w:p>
        </w:tc>
        <w:tc>
          <w:tcPr>
            <w:tcW w:w="243" w:type="pct"/>
          </w:tcPr>
          <w:p w:rsidR="0063249A" w:rsidRPr="00495EC2" w:rsidRDefault="0063249A" w:rsidP="009E6124">
            <w:pPr>
              <w:jc w:val="both"/>
              <w:rPr>
                <w:rFonts w:eastAsia="Calibri"/>
                <w:sz w:val="20"/>
              </w:rPr>
            </w:pPr>
          </w:p>
        </w:tc>
        <w:tc>
          <w:tcPr>
            <w:tcW w:w="2330" w:type="pct"/>
          </w:tcPr>
          <w:p w:rsidR="0063249A" w:rsidRPr="00495EC2" w:rsidRDefault="0063249A" w:rsidP="009E6124">
            <w:pPr>
              <w:jc w:val="both"/>
              <w:rPr>
                <w:rFonts w:eastAsia="Calibri"/>
                <w:sz w:val="20"/>
              </w:rPr>
            </w:pPr>
            <w:r w:rsidRPr="00495EC2">
              <w:rPr>
                <w:rFonts w:eastAsia="Calibri"/>
                <w:sz w:val="20"/>
              </w:rPr>
              <w:t xml:space="preserve">Application for leave to appeal decision of Joint Review Panel dismissed; Application for stay of proceedings dismissed; application for order enjoining Joint Review Panel from completing its assessment and report dismissed. </w:t>
            </w:r>
          </w:p>
          <w:p w:rsidR="0063249A" w:rsidRPr="00495EC2" w:rsidRDefault="0063249A" w:rsidP="009E6124">
            <w:pPr>
              <w:jc w:val="both"/>
              <w:rPr>
                <w:rFonts w:eastAsia="Calibri"/>
                <w:sz w:val="20"/>
              </w:rPr>
            </w:pPr>
          </w:p>
        </w:tc>
      </w:tr>
      <w:tr w:rsidR="0063249A" w:rsidRPr="00495EC2" w:rsidTr="004A0323">
        <w:trPr>
          <w:cantSplit/>
        </w:trPr>
        <w:tc>
          <w:tcPr>
            <w:tcW w:w="2427" w:type="pct"/>
          </w:tcPr>
          <w:p w:rsidR="0063249A" w:rsidRPr="00495EC2" w:rsidRDefault="0063249A" w:rsidP="009E6124">
            <w:pPr>
              <w:jc w:val="both"/>
              <w:rPr>
                <w:rFonts w:eastAsia="Calibri"/>
                <w:sz w:val="20"/>
              </w:rPr>
            </w:pPr>
            <w:r w:rsidRPr="00495EC2">
              <w:rPr>
                <w:rFonts w:eastAsia="Calibri"/>
                <w:sz w:val="20"/>
              </w:rPr>
              <w:t>January 24, 2013</w:t>
            </w:r>
          </w:p>
          <w:p w:rsidR="0063249A" w:rsidRPr="00495EC2" w:rsidRDefault="0063249A" w:rsidP="009E6124">
            <w:pPr>
              <w:jc w:val="both"/>
              <w:rPr>
                <w:rFonts w:eastAsia="Calibri"/>
                <w:sz w:val="20"/>
              </w:rPr>
            </w:pPr>
            <w:r w:rsidRPr="00495EC2">
              <w:rPr>
                <w:rFonts w:eastAsia="Calibri"/>
                <w:sz w:val="20"/>
              </w:rPr>
              <w:t>Supreme Court of Canada</w:t>
            </w:r>
          </w:p>
        </w:tc>
        <w:tc>
          <w:tcPr>
            <w:tcW w:w="243" w:type="pct"/>
          </w:tcPr>
          <w:p w:rsidR="0063249A" w:rsidRPr="00495EC2" w:rsidRDefault="0063249A" w:rsidP="009E6124">
            <w:pPr>
              <w:jc w:val="both"/>
              <w:rPr>
                <w:rFonts w:eastAsia="Calibri"/>
                <w:sz w:val="20"/>
              </w:rPr>
            </w:pPr>
          </w:p>
        </w:tc>
        <w:tc>
          <w:tcPr>
            <w:tcW w:w="2330" w:type="pct"/>
          </w:tcPr>
          <w:p w:rsidR="0063249A" w:rsidRPr="00495EC2" w:rsidRDefault="0063249A" w:rsidP="009E6124">
            <w:pPr>
              <w:jc w:val="both"/>
              <w:rPr>
                <w:rFonts w:eastAsia="Calibri"/>
                <w:sz w:val="20"/>
              </w:rPr>
            </w:pPr>
            <w:r w:rsidRPr="00495EC2">
              <w:rPr>
                <w:rFonts w:eastAsia="Calibri"/>
                <w:sz w:val="20"/>
              </w:rPr>
              <w:t>Application for leave to appeal filed.</w:t>
            </w:r>
          </w:p>
        </w:tc>
      </w:tr>
    </w:tbl>
    <w:p w:rsidR="000C7850" w:rsidRDefault="000C7850" w:rsidP="000C7850">
      <w:pPr>
        <w:rPr>
          <w:sz w:val="20"/>
          <w:szCs w:val="20"/>
        </w:rPr>
      </w:pPr>
    </w:p>
    <w:p w:rsidR="000C7850" w:rsidRPr="00C50A5C" w:rsidRDefault="00BE6ED8" w:rsidP="000C7850">
      <w:pPr>
        <w:rPr>
          <w:sz w:val="20"/>
          <w:szCs w:val="20"/>
        </w:rPr>
      </w:pPr>
      <w:r w:rsidRPr="00BE6ED8">
        <w:rPr>
          <w:sz w:val="20"/>
          <w:szCs w:val="20"/>
          <w:lang w:val="fr-CA"/>
        </w:rPr>
        <w:pict>
          <v:rect id="_x0000_i1084" style="width:2in;height:1pt" o:hrpct="0" o:hralign="center" o:hrstd="t" o:hrnoshade="t" o:hr="t" fillcolor="black [3213]" stroked="f"/>
        </w:pict>
      </w:r>
    </w:p>
    <w:p w:rsidR="000C7850" w:rsidRDefault="000C7850" w:rsidP="000C7850">
      <w:pPr>
        <w:rPr>
          <w:sz w:val="20"/>
          <w:szCs w:val="20"/>
        </w:rPr>
      </w:pPr>
    </w:p>
    <w:p w:rsidR="000C7850" w:rsidRPr="001B157C" w:rsidRDefault="000C7850" w:rsidP="000C7850">
      <w:pPr>
        <w:rPr>
          <w:sz w:val="20"/>
          <w:szCs w:val="20"/>
          <w:u w:val="single"/>
          <w:lang w:val="fr-CA"/>
        </w:rPr>
      </w:pPr>
      <w:r w:rsidRPr="001B157C">
        <w:rPr>
          <w:sz w:val="20"/>
          <w:szCs w:val="20"/>
          <w:u w:val="single"/>
          <w:lang w:val="fr-CA"/>
        </w:rPr>
        <w:t>RÉSUMÉ DE L’AFFAIRE</w:t>
      </w:r>
    </w:p>
    <w:p w:rsidR="000C7850" w:rsidRDefault="000C7850" w:rsidP="000C785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3249A" w:rsidRPr="009714AD" w:rsidTr="009E6124">
        <w:tc>
          <w:tcPr>
            <w:tcW w:w="5000" w:type="pct"/>
            <w:gridSpan w:val="3"/>
          </w:tcPr>
          <w:p w:rsidR="0063249A" w:rsidRPr="00495EC2" w:rsidRDefault="0063249A" w:rsidP="009E6124">
            <w:pPr>
              <w:jc w:val="both"/>
              <w:rPr>
                <w:rFonts w:eastAsia="Calibri"/>
                <w:sz w:val="20"/>
                <w:lang w:val="fr-CA"/>
              </w:rPr>
            </w:pPr>
            <w:r w:rsidRPr="00495EC2">
              <w:rPr>
                <w:rFonts w:eastAsia="Calibri"/>
                <w:sz w:val="20"/>
                <w:lang w:val="fr-CA"/>
              </w:rPr>
              <w:t xml:space="preserve">Droit administratif – Organismes et tribunaux administratifs – Compétence – Droit des Autochtones – Évaluation environnementale – Commission d’examen conjoint créée pour déterminer si l'expansion d'une mine de sables bitumineux sert l'intérêt public – La commission a statué qu'elle n'avait pas compétence pour déterminer si la Couronne provinciale et fédérale s’était acquittée de l'obligation de consulter les Autochtones – La Cour d'appel a refusé l'autorisation d'appel – La Cour d'appel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elle</w:t>
            </w:r>
            <w:proofErr w:type="spellEnd"/>
            <w:r w:rsidRPr="00495EC2">
              <w:rPr>
                <w:rFonts w:eastAsia="Calibri"/>
                <w:sz w:val="20"/>
                <w:lang w:val="fr-CA"/>
              </w:rPr>
              <w:t xml:space="preserve"> eu tort de conclure que la commission n'était pas tenue de trancher la question de savoir si la Couronne s'était acquittée de son obligation de consulter les Premières Nations avant de prendre sa décision relative à l'intérêt public? – La Cour d'appel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elle</w:t>
            </w:r>
            <w:proofErr w:type="spellEnd"/>
            <w:r w:rsidRPr="00495EC2">
              <w:rPr>
                <w:rFonts w:eastAsia="Calibri"/>
                <w:sz w:val="20"/>
                <w:lang w:val="fr-CA"/>
              </w:rPr>
              <w:t xml:space="preserve"> eu tort de statuer qu'il était prématuré pour la commission d'évaluer le caractère adéquat de la consultation? – La Cour d'appel </w:t>
            </w:r>
            <w:proofErr w:type="spellStart"/>
            <w:r w:rsidRPr="00495EC2">
              <w:rPr>
                <w:rFonts w:eastAsia="Calibri"/>
                <w:sz w:val="20"/>
                <w:lang w:val="fr-CA"/>
              </w:rPr>
              <w:t>a</w:t>
            </w:r>
            <w:r w:rsidRPr="00495EC2">
              <w:rPr>
                <w:rFonts w:eastAsia="Calibri"/>
                <w:sz w:val="20"/>
                <w:lang w:val="fr-CA"/>
              </w:rPr>
              <w:noBreakHyphen/>
              <w:t>t</w:t>
            </w:r>
            <w:r w:rsidRPr="00495EC2">
              <w:rPr>
                <w:rFonts w:eastAsia="Calibri"/>
                <w:sz w:val="20"/>
                <w:lang w:val="fr-CA"/>
              </w:rPr>
              <w:noBreakHyphen/>
              <w:t>elle</w:t>
            </w:r>
            <w:proofErr w:type="spellEnd"/>
            <w:r w:rsidRPr="00495EC2">
              <w:rPr>
                <w:rFonts w:eastAsia="Calibri"/>
                <w:sz w:val="20"/>
                <w:lang w:val="fr-CA"/>
              </w:rPr>
              <w:t xml:space="preserve"> eu tort de statuer sur le fond de l'appel au stade de la demande autorisation d'appel?</w:t>
            </w:r>
          </w:p>
        </w:tc>
      </w:tr>
      <w:tr w:rsidR="0063249A" w:rsidRPr="009714AD" w:rsidTr="009E6124">
        <w:tc>
          <w:tcPr>
            <w:tcW w:w="5000" w:type="pct"/>
            <w:gridSpan w:val="3"/>
          </w:tcPr>
          <w:p w:rsidR="0063249A" w:rsidRPr="00495EC2" w:rsidRDefault="0063249A" w:rsidP="009E6124">
            <w:pPr>
              <w:jc w:val="both"/>
              <w:rPr>
                <w:rFonts w:eastAsia="Calibri"/>
                <w:sz w:val="20"/>
                <w:lang w:val="fr-CA"/>
              </w:rPr>
            </w:pPr>
          </w:p>
        </w:tc>
      </w:tr>
      <w:tr w:rsidR="0063249A" w:rsidRPr="009714AD" w:rsidTr="009E6124">
        <w:tc>
          <w:tcPr>
            <w:tcW w:w="5000" w:type="pct"/>
            <w:gridSpan w:val="3"/>
          </w:tcPr>
          <w:p w:rsidR="0063249A" w:rsidRPr="00495EC2" w:rsidRDefault="0063249A" w:rsidP="009E6124">
            <w:pPr>
              <w:jc w:val="both"/>
              <w:rPr>
                <w:rFonts w:eastAsia="Calibri"/>
                <w:sz w:val="20"/>
                <w:lang w:val="fr-CA"/>
              </w:rPr>
            </w:pPr>
            <w:r w:rsidRPr="00495EC2">
              <w:rPr>
                <w:rFonts w:eastAsia="Calibri"/>
                <w:sz w:val="20"/>
                <w:lang w:val="fr-CA"/>
              </w:rPr>
              <w:t xml:space="preserve">Shell Canada exploite la mine de sables bitumineux de </w:t>
            </w:r>
            <w:proofErr w:type="spellStart"/>
            <w:r w:rsidRPr="00495EC2">
              <w:rPr>
                <w:rFonts w:eastAsia="Calibri"/>
                <w:sz w:val="20"/>
                <w:lang w:val="fr-CA"/>
              </w:rPr>
              <w:t>Jackpine</w:t>
            </w:r>
            <w:proofErr w:type="spellEnd"/>
            <w:r w:rsidRPr="00495EC2">
              <w:rPr>
                <w:rFonts w:eastAsia="Calibri"/>
                <w:sz w:val="20"/>
                <w:lang w:val="fr-CA"/>
              </w:rPr>
              <w:t xml:space="preserve"> près de Fort McMurray (Alberta).  Elle a présenté une demande de modification de son permis pour agrandir la mine. Pour pouvoir obtenir cette modification, Shell devait obtenir l'autorisation de l’</w:t>
            </w:r>
            <w:proofErr w:type="spellStart"/>
            <w:r w:rsidRPr="00495EC2">
              <w:rPr>
                <w:rFonts w:eastAsia="Calibri"/>
                <w:sz w:val="20"/>
                <w:lang w:val="fr-CA"/>
              </w:rPr>
              <w:t>Energy</w:t>
            </w:r>
            <w:proofErr w:type="spellEnd"/>
            <w:r w:rsidRPr="00495EC2">
              <w:rPr>
                <w:rFonts w:eastAsia="Calibri"/>
                <w:sz w:val="20"/>
                <w:lang w:val="fr-CA"/>
              </w:rPr>
              <w:t xml:space="preserve"> </w:t>
            </w:r>
            <w:proofErr w:type="spellStart"/>
            <w:r w:rsidRPr="00495EC2">
              <w:rPr>
                <w:rFonts w:eastAsia="Calibri"/>
                <w:sz w:val="20"/>
                <w:lang w:val="fr-CA"/>
              </w:rPr>
              <w:t>Resources</w:t>
            </w:r>
            <w:proofErr w:type="spellEnd"/>
            <w:r w:rsidRPr="00495EC2">
              <w:rPr>
                <w:rFonts w:eastAsia="Calibri"/>
                <w:sz w:val="20"/>
                <w:lang w:val="fr-CA"/>
              </w:rPr>
              <w:t xml:space="preserve"> Conservation </w:t>
            </w:r>
            <w:proofErr w:type="spellStart"/>
            <w:r w:rsidRPr="00495EC2">
              <w:rPr>
                <w:rFonts w:eastAsia="Calibri"/>
                <w:sz w:val="20"/>
                <w:lang w:val="fr-CA"/>
              </w:rPr>
              <w:t>Board</w:t>
            </w:r>
            <w:proofErr w:type="spellEnd"/>
            <w:r w:rsidRPr="00495EC2">
              <w:rPr>
                <w:rFonts w:eastAsia="Calibri"/>
                <w:sz w:val="20"/>
                <w:lang w:val="fr-CA"/>
              </w:rPr>
              <w:t xml:space="preserve"> de la province (ERCB) et de l'Agence canadienne d'évaluation environnementale.  L’ERCB et le ministre canadien de l'Environnement ont conclu une entente pour confier l'examen du projet à une commission d’examen conjoint chargée de faire une évaluation environnementale de l'expansion proposée et de rédiger un rapport sur la question de savoir si cette expansion servait l’intérêt public. </w:t>
            </w:r>
          </w:p>
          <w:p w:rsidR="0063249A" w:rsidRPr="00495EC2" w:rsidRDefault="0063249A" w:rsidP="009E6124">
            <w:pPr>
              <w:jc w:val="both"/>
              <w:rPr>
                <w:rFonts w:eastAsia="Calibri"/>
                <w:sz w:val="20"/>
                <w:lang w:val="fr-CA"/>
              </w:rPr>
            </w:pPr>
          </w:p>
          <w:p w:rsidR="0063249A" w:rsidRPr="00495EC2" w:rsidRDefault="0063249A" w:rsidP="009E6124">
            <w:pPr>
              <w:jc w:val="both"/>
              <w:rPr>
                <w:rFonts w:eastAsia="Calibri"/>
                <w:sz w:val="20"/>
                <w:lang w:val="fr-CA"/>
              </w:rPr>
            </w:pPr>
            <w:r w:rsidRPr="00495EC2">
              <w:rPr>
                <w:rFonts w:eastAsia="Calibri"/>
                <w:sz w:val="20"/>
                <w:lang w:val="fr-CA"/>
              </w:rPr>
              <w:t xml:space="preserve">La commission a invité toutes les parties intéressées à donner un avis des questions constitutionnelles qu'elles prévoyaient soulever devant elle.  La Première Nation des </w:t>
            </w:r>
            <w:proofErr w:type="spellStart"/>
            <w:r w:rsidRPr="00495EC2">
              <w:rPr>
                <w:rFonts w:eastAsia="Calibri"/>
                <w:sz w:val="20"/>
                <w:lang w:val="fr-CA"/>
              </w:rPr>
              <w:t>Chipewyans</w:t>
            </w:r>
            <w:proofErr w:type="spellEnd"/>
            <w:r w:rsidRPr="00495EC2">
              <w:rPr>
                <w:rFonts w:eastAsia="Calibri"/>
                <w:sz w:val="20"/>
                <w:lang w:val="fr-CA"/>
              </w:rPr>
              <w:t xml:space="preserve"> d’Athabasca (ACFN) a déposé un avis indiquant son intention de soulever des questions liées à la question de savoir si les Couronnes provinciale et fédérale s'étaient acquittées de leurs obligations constitutionnelles de consulter les groupes autochtones.  La commission a subséquemment refusé de considérer les questions constitutionnelles proposées par l’ACFN, notamment parce qu'elle avait conclu qu'elle n'avait pas compétence pour considérer la question de savoir si la Couronne avait satisfait à son obligation de consulter les peuples autochtones.  Elle a également statué que même si elle avait compétence, il était prématuré d'examiner la question de savoir si la Couronne s'était acquittée de son obligation de consulter à ce stade du processus.</w:t>
            </w:r>
          </w:p>
          <w:p w:rsidR="0063249A" w:rsidRPr="00495EC2" w:rsidRDefault="0063249A" w:rsidP="009E6124">
            <w:pPr>
              <w:jc w:val="both"/>
              <w:rPr>
                <w:rFonts w:eastAsia="Calibri"/>
                <w:sz w:val="20"/>
                <w:lang w:val="fr-CA"/>
              </w:rPr>
            </w:pPr>
          </w:p>
          <w:p w:rsidR="0063249A" w:rsidRPr="00495EC2" w:rsidRDefault="0063249A" w:rsidP="009E6124">
            <w:pPr>
              <w:jc w:val="both"/>
              <w:rPr>
                <w:rFonts w:eastAsia="Calibri"/>
                <w:sz w:val="20"/>
                <w:lang w:val="fr-CA"/>
              </w:rPr>
            </w:pPr>
            <w:r w:rsidRPr="00495EC2">
              <w:rPr>
                <w:rFonts w:eastAsia="Calibri"/>
                <w:sz w:val="20"/>
                <w:lang w:val="fr-CA"/>
              </w:rPr>
              <w:t>L’ACFN a demandé l'autorisation d'appel de cette décision.</w:t>
            </w:r>
          </w:p>
          <w:p w:rsidR="0063249A" w:rsidRPr="00495EC2" w:rsidRDefault="0063249A" w:rsidP="009E6124">
            <w:pPr>
              <w:jc w:val="both"/>
              <w:rPr>
                <w:rFonts w:eastAsia="Calibri"/>
                <w:sz w:val="20"/>
                <w:lang w:val="fr-CA"/>
              </w:rPr>
            </w:pPr>
          </w:p>
        </w:tc>
      </w:tr>
      <w:tr w:rsidR="0063249A" w:rsidRPr="001E02AF" w:rsidTr="009E6124">
        <w:tc>
          <w:tcPr>
            <w:tcW w:w="2427" w:type="pct"/>
          </w:tcPr>
          <w:p w:rsidR="0063249A" w:rsidRPr="00495EC2" w:rsidRDefault="0063249A" w:rsidP="009E6124">
            <w:pPr>
              <w:jc w:val="both"/>
              <w:rPr>
                <w:rFonts w:eastAsia="Calibri"/>
                <w:sz w:val="20"/>
                <w:lang w:val="fr-CA"/>
              </w:rPr>
            </w:pPr>
            <w:r w:rsidRPr="00495EC2">
              <w:rPr>
                <w:rFonts w:eastAsia="Calibri"/>
                <w:sz w:val="20"/>
                <w:lang w:val="fr-CA"/>
              </w:rPr>
              <w:t>26 novembre 2012</w:t>
            </w:r>
          </w:p>
          <w:p w:rsidR="0063249A" w:rsidRPr="00495EC2" w:rsidRDefault="0063249A" w:rsidP="009E6124">
            <w:pPr>
              <w:jc w:val="both"/>
              <w:rPr>
                <w:rFonts w:eastAsia="Calibri"/>
                <w:sz w:val="20"/>
                <w:lang w:val="fr-CA"/>
              </w:rPr>
            </w:pPr>
            <w:r w:rsidRPr="00495EC2">
              <w:rPr>
                <w:rFonts w:eastAsia="Calibri"/>
                <w:sz w:val="20"/>
                <w:lang w:val="fr-CA"/>
              </w:rPr>
              <w:t>Cour d'appel de l'Alberta (Edmonton)</w:t>
            </w:r>
          </w:p>
          <w:p w:rsidR="0063249A" w:rsidRPr="00495EC2" w:rsidRDefault="0063249A" w:rsidP="009E6124">
            <w:pPr>
              <w:jc w:val="both"/>
              <w:rPr>
                <w:rFonts w:eastAsia="Calibri"/>
                <w:sz w:val="20"/>
                <w:lang w:val="fr-CA"/>
              </w:rPr>
            </w:pPr>
            <w:r w:rsidRPr="00495EC2">
              <w:rPr>
                <w:rFonts w:eastAsia="Calibri"/>
                <w:sz w:val="20"/>
                <w:lang w:val="fr-CA"/>
              </w:rPr>
              <w:t xml:space="preserve">(Juge </w:t>
            </w:r>
            <w:proofErr w:type="spellStart"/>
            <w:r w:rsidRPr="00495EC2">
              <w:rPr>
                <w:rFonts w:eastAsia="Calibri"/>
                <w:sz w:val="20"/>
                <w:lang w:val="fr-CA"/>
              </w:rPr>
              <w:t>Slatter</w:t>
            </w:r>
            <w:proofErr w:type="spellEnd"/>
            <w:r w:rsidRPr="00495EC2">
              <w:rPr>
                <w:rFonts w:eastAsia="Calibri"/>
                <w:sz w:val="20"/>
                <w:lang w:val="fr-CA"/>
              </w:rPr>
              <w:t>)</w:t>
            </w:r>
          </w:p>
          <w:p w:rsidR="0063249A" w:rsidRPr="00495EC2" w:rsidRDefault="0063249A" w:rsidP="009E6124">
            <w:pPr>
              <w:jc w:val="both"/>
              <w:rPr>
                <w:rFonts w:eastAsia="Calibri"/>
                <w:sz w:val="20"/>
                <w:lang w:val="fr-CA"/>
              </w:rPr>
            </w:pPr>
            <w:r w:rsidRPr="00495EC2">
              <w:rPr>
                <w:rFonts w:eastAsia="Calibri"/>
                <w:sz w:val="20"/>
                <w:lang w:val="fr-CA"/>
              </w:rPr>
              <w:t>2012 ABCA 352</w:t>
            </w:r>
          </w:p>
          <w:p w:rsidR="0063249A" w:rsidRPr="00495EC2" w:rsidRDefault="0063249A" w:rsidP="009E6124">
            <w:pPr>
              <w:jc w:val="both"/>
              <w:rPr>
                <w:rFonts w:eastAsia="Calibri"/>
                <w:sz w:val="20"/>
                <w:lang w:val="fr-CA"/>
              </w:rPr>
            </w:pPr>
          </w:p>
        </w:tc>
        <w:tc>
          <w:tcPr>
            <w:tcW w:w="243" w:type="pct"/>
          </w:tcPr>
          <w:p w:rsidR="0063249A" w:rsidRPr="00495EC2" w:rsidRDefault="0063249A" w:rsidP="009E6124">
            <w:pPr>
              <w:jc w:val="both"/>
              <w:rPr>
                <w:rFonts w:eastAsia="Calibri"/>
                <w:sz w:val="20"/>
                <w:lang w:val="fr-CA"/>
              </w:rPr>
            </w:pPr>
          </w:p>
        </w:tc>
        <w:tc>
          <w:tcPr>
            <w:tcW w:w="2330" w:type="pct"/>
          </w:tcPr>
          <w:p w:rsidR="0063249A" w:rsidRPr="00495EC2" w:rsidRDefault="0063249A" w:rsidP="00454067">
            <w:pPr>
              <w:jc w:val="both"/>
              <w:rPr>
                <w:rFonts w:eastAsia="Calibri"/>
                <w:sz w:val="20"/>
                <w:lang w:val="fr-CA"/>
              </w:rPr>
            </w:pPr>
            <w:r w:rsidRPr="00495EC2">
              <w:rPr>
                <w:rFonts w:eastAsia="Calibri"/>
                <w:sz w:val="20"/>
                <w:lang w:val="fr-CA"/>
              </w:rPr>
              <w:t xml:space="preserve">Demande autorisation d'appel de la décision de la commission d’examen conjoint, rejetée; demande de suspension d'instance, rejetée; demande d'ordonnance enjoignant à la commission d’examen conjoint de compléter son évaluation et son rapport, </w:t>
            </w:r>
            <w:proofErr w:type="gramStart"/>
            <w:r w:rsidRPr="00495EC2">
              <w:rPr>
                <w:rFonts w:eastAsia="Calibri"/>
                <w:sz w:val="20"/>
                <w:lang w:val="fr-CA"/>
              </w:rPr>
              <w:t>rejetée</w:t>
            </w:r>
            <w:proofErr w:type="gramEnd"/>
            <w:r w:rsidRPr="00495EC2">
              <w:rPr>
                <w:rFonts w:eastAsia="Calibri"/>
                <w:sz w:val="20"/>
                <w:lang w:val="fr-CA"/>
              </w:rPr>
              <w:t xml:space="preserve"> </w:t>
            </w:r>
          </w:p>
        </w:tc>
      </w:tr>
    </w:tbl>
    <w:p w:rsidR="004A0323" w:rsidRPr="003F1AAC" w:rsidRDefault="004A0323">
      <w:pPr>
        <w:rPr>
          <w:lang w:val="fr-CA"/>
        </w:rPr>
      </w:pPr>
      <w:r w:rsidRPr="003F1AAC">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63249A" w:rsidRPr="00495EC2" w:rsidTr="004A0323">
        <w:trPr>
          <w:cantSplit/>
        </w:trPr>
        <w:tc>
          <w:tcPr>
            <w:tcW w:w="2427" w:type="pct"/>
          </w:tcPr>
          <w:p w:rsidR="0063249A" w:rsidRPr="00495EC2" w:rsidRDefault="0063249A" w:rsidP="009E6124">
            <w:pPr>
              <w:jc w:val="both"/>
              <w:rPr>
                <w:rFonts w:eastAsia="Calibri"/>
                <w:sz w:val="20"/>
                <w:lang w:val="fr-CA"/>
              </w:rPr>
            </w:pPr>
            <w:r w:rsidRPr="00495EC2">
              <w:rPr>
                <w:rFonts w:eastAsia="Calibri"/>
                <w:sz w:val="20"/>
                <w:lang w:val="fr-CA"/>
              </w:rPr>
              <w:t>24 janvier 2013</w:t>
            </w:r>
          </w:p>
          <w:p w:rsidR="0063249A" w:rsidRPr="00495EC2" w:rsidRDefault="0063249A" w:rsidP="009E6124">
            <w:pPr>
              <w:jc w:val="both"/>
              <w:rPr>
                <w:rFonts w:eastAsia="Calibri"/>
                <w:sz w:val="20"/>
                <w:lang w:val="fr-CA"/>
              </w:rPr>
            </w:pPr>
            <w:r w:rsidRPr="00495EC2">
              <w:rPr>
                <w:rFonts w:eastAsia="Calibri"/>
                <w:sz w:val="20"/>
                <w:lang w:val="fr-CA"/>
              </w:rPr>
              <w:t>Cour suprême du Canada</w:t>
            </w:r>
          </w:p>
        </w:tc>
        <w:tc>
          <w:tcPr>
            <w:tcW w:w="243" w:type="pct"/>
          </w:tcPr>
          <w:p w:rsidR="0063249A" w:rsidRPr="00495EC2" w:rsidRDefault="0063249A" w:rsidP="009E6124">
            <w:pPr>
              <w:jc w:val="both"/>
              <w:rPr>
                <w:rFonts w:eastAsia="Calibri"/>
                <w:sz w:val="20"/>
                <w:lang w:val="fr-CA"/>
              </w:rPr>
            </w:pPr>
          </w:p>
        </w:tc>
        <w:tc>
          <w:tcPr>
            <w:tcW w:w="2330" w:type="pct"/>
          </w:tcPr>
          <w:p w:rsidR="0063249A" w:rsidRPr="00495EC2" w:rsidRDefault="0063249A" w:rsidP="009E6124">
            <w:pPr>
              <w:jc w:val="both"/>
              <w:rPr>
                <w:rFonts w:eastAsia="Calibri"/>
                <w:sz w:val="20"/>
                <w:lang w:val="fr-CA"/>
              </w:rPr>
            </w:pPr>
            <w:r w:rsidRPr="00495EC2">
              <w:rPr>
                <w:rFonts w:eastAsia="Calibri"/>
                <w:sz w:val="20"/>
                <w:lang w:val="fr-CA"/>
              </w:rPr>
              <w:t>Demande d'autorisation d'appel, déposée</w:t>
            </w:r>
          </w:p>
          <w:p w:rsidR="0063249A" w:rsidRPr="00495EC2" w:rsidRDefault="0063249A" w:rsidP="009E6124">
            <w:pPr>
              <w:jc w:val="both"/>
              <w:rPr>
                <w:rFonts w:eastAsia="Calibri"/>
                <w:sz w:val="20"/>
                <w:lang w:val="fr-CA"/>
              </w:rPr>
            </w:pPr>
          </w:p>
        </w:tc>
      </w:tr>
    </w:tbl>
    <w:p w:rsidR="000C7850" w:rsidRDefault="000C7850" w:rsidP="000C7850">
      <w:pPr>
        <w:rPr>
          <w:sz w:val="20"/>
          <w:szCs w:val="20"/>
        </w:rPr>
      </w:pPr>
    </w:p>
    <w:p w:rsidR="000C7850" w:rsidRDefault="00BE6ED8" w:rsidP="000C7850">
      <w:pPr>
        <w:rPr>
          <w:sz w:val="20"/>
          <w:szCs w:val="20"/>
        </w:rPr>
      </w:pPr>
      <w:r w:rsidRPr="00BE6ED8">
        <w:rPr>
          <w:sz w:val="20"/>
          <w:szCs w:val="20"/>
          <w:lang w:val="fr-CA"/>
        </w:rPr>
        <w:pict>
          <v:rect id="_x0000_i1085" style="width:2in;height:1pt" o:hrpct="0" o:hralign="center" o:hrstd="t" o:hrnoshade="t" o:hr="t" fillcolor="black [3213]" stroked="f"/>
        </w:pict>
      </w:r>
    </w:p>
    <w:p w:rsidR="000C7850" w:rsidRDefault="000C7850" w:rsidP="000C7850">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936F63" w:rsidRPr="001726B5" w:rsidRDefault="00936F63" w:rsidP="00936F63">
      <w:pPr>
        <w:tabs>
          <w:tab w:val="left" w:pos="-1440"/>
          <w:tab w:val="left" w:pos="-720"/>
        </w:tabs>
        <w:jc w:val="both"/>
        <w:rPr>
          <w:sz w:val="20"/>
          <w:szCs w:val="20"/>
          <w:lang w:val="fr-CA"/>
        </w:rPr>
      </w:pPr>
      <w:r w:rsidRPr="001726B5">
        <w:rPr>
          <w:sz w:val="20"/>
          <w:szCs w:val="20"/>
          <w:lang w:val="fr-CA"/>
        </w:rPr>
        <w:t>28.03.2013</w:t>
      </w:r>
    </w:p>
    <w:p w:rsidR="00936F63" w:rsidRPr="001726B5" w:rsidRDefault="00936F63" w:rsidP="00936F63">
      <w:pPr>
        <w:tabs>
          <w:tab w:val="left" w:pos="-1440"/>
          <w:tab w:val="left" w:pos="-720"/>
        </w:tabs>
        <w:jc w:val="both"/>
        <w:rPr>
          <w:sz w:val="20"/>
          <w:szCs w:val="20"/>
          <w:lang w:val="fr-CA"/>
        </w:rPr>
      </w:pPr>
    </w:p>
    <w:p w:rsidR="00936F63" w:rsidRPr="001726B5" w:rsidRDefault="00936F63" w:rsidP="00936F63">
      <w:pPr>
        <w:tabs>
          <w:tab w:val="left" w:pos="-1440"/>
          <w:tab w:val="left" w:pos="-720"/>
        </w:tabs>
        <w:jc w:val="both"/>
        <w:rPr>
          <w:sz w:val="20"/>
          <w:szCs w:val="20"/>
          <w:lang w:val="fr-CA"/>
        </w:rPr>
      </w:pPr>
      <w:proofErr w:type="spellStart"/>
      <w:r w:rsidRPr="001726B5">
        <w:rPr>
          <w:sz w:val="20"/>
          <w:szCs w:val="20"/>
          <w:lang w:val="fr-CA"/>
        </w:rPr>
        <w:t>Before</w:t>
      </w:r>
      <w:proofErr w:type="spellEnd"/>
      <w:r w:rsidRPr="001726B5">
        <w:rPr>
          <w:sz w:val="20"/>
          <w:szCs w:val="20"/>
          <w:lang w:val="fr-CA"/>
        </w:rPr>
        <w:t xml:space="preserve"> / Devant :   MOLDADAVER J. / LE JUGE MOLDAVER</w:t>
      </w:r>
    </w:p>
    <w:p w:rsidR="00936F63" w:rsidRPr="001726B5" w:rsidRDefault="00936F63" w:rsidP="00936F6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36F63" w:rsidRPr="009714AD" w:rsidTr="004A0323">
        <w:tc>
          <w:tcPr>
            <w:tcW w:w="4338" w:type="dxa"/>
          </w:tcPr>
          <w:p w:rsidR="00936F63" w:rsidRPr="001726B5" w:rsidRDefault="00BE6ED8" w:rsidP="004A0323">
            <w:pPr>
              <w:jc w:val="both"/>
              <w:rPr>
                <w:b/>
                <w:sz w:val="20"/>
                <w:szCs w:val="20"/>
              </w:rPr>
            </w:pPr>
            <w:r w:rsidRPr="001726B5">
              <w:rPr>
                <w:sz w:val="20"/>
                <w:szCs w:val="20"/>
              </w:rPr>
              <w:fldChar w:fldCharType="begin"/>
            </w:r>
            <w:r w:rsidR="00936F63" w:rsidRPr="001726B5">
              <w:rPr>
                <w:sz w:val="20"/>
                <w:szCs w:val="20"/>
              </w:rPr>
              <w:instrText xml:space="preserve"> SEQ CHAPTER \h \r 1</w:instrText>
            </w:r>
            <w:r w:rsidRPr="001726B5">
              <w:rPr>
                <w:sz w:val="20"/>
                <w:szCs w:val="20"/>
              </w:rPr>
              <w:fldChar w:fldCharType="end"/>
            </w:r>
            <w:r w:rsidR="00936F63" w:rsidRPr="001726B5">
              <w:rPr>
                <w:b/>
                <w:bCs/>
                <w:sz w:val="20"/>
                <w:szCs w:val="20"/>
              </w:rPr>
              <w:t>Motion to extend the time to serve and file the respondent’s factum and book of authorities to March 21, 2013, and to present oral argument at the hearing of the appeal</w:t>
            </w:r>
            <w:r w:rsidR="00936F63" w:rsidRPr="001726B5">
              <w:rPr>
                <w:sz w:val="20"/>
                <w:szCs w:val="20"/>
              </w:rPr>
              <w:t xml:space="preserve"> </w:t>
            </w:r>
            <w:r w:rsidRPr="001726B5">
              <w:rPr>
                <w:sz w:val="20"/>
                <w:szCs w:val="20"/>
              </w:rPr>
              <w:fldChar w:fldCharType="begin"/>
            </w:r>
            <w:r w:rsidR="00936F63" w:rsidRPr="001726B5">
              <w:rPr>
                <w:sz w:val="20"/>
                <w:szCs w:val="20"/>
              </w:rPr>
              <w:instrText xml:space="preserve"> SEQ CHAPTER \h \r 1</w:instrText>
            </w:r>
            <w:r w:rsidRPr="001726B5">
              <w:rPr>
                <w:sz w:val="20"/>
                <w:szCs w:val="20"/>
              </w:rPr>
              <w:fldChar w:fldCharType="end"/>
            </w:r>
          </w:p>
        </w:tc>
        <w:tc>
          <w:tcPr>
            <w:tcW w:w="1170" w:type="dxa"/>
          </w:tcPr>
          <w:p w:rsidR="00936F63" w:rsidRPr="001726B5" w:rsidRDefault="00936F63" w:rsidP="004A0323">
            <w:pPr>
              <w:rPr>
                <w:sz w:val="20"/>
                <w:szCs w:val="20"/>
              </w:rPr>
            </w:pPr>
          </w:p>
          <w:p w:rsidR="00936F63" w:rsidRPr="001726B5" w:rsidRDefault="00936F63" w:rsidP="004A0323">
            <w:pPr>
              <w:rPr>
                <w:sz w:val="20"/>
                <w:szCs w:val="20"/>
              </w:rPr>
            </w:pPr>
          </w:p>
          <w:p w:rsidR="00936F63" w:rsidRPr="001726B5" w:rsidRDefault="00936F63" w:rsidP="004A0323">
            <w:pPr>
              <w:rPr>
                <w:sz w:val="20"/>
                <w:szCs w:val="20"/>
              </w:rPr>
            </w:pPr>
          </w:p>
          <w:p w:rsidR="00936F63" w:rsidRPr="001726B5" w:rsidRDefault="00936F63" w:rsidP="004A0323">
            <w:pPr>
              <w:rPr>
                <w:sz w:val="20"/>
                <w:szCs w:val="20"/>
              </w:rPr>
            </w:pPr>
          </w:p>
          <w:p w:rsidR="00936F63" w:rsidRPr="001726B5" w:rsidRDefault="00936F63" w:rsidP="004A0323">
            <w:pPr>
              <w:rPr>
                <w:sz w:val="20"/>
                <w:szCs w:val="20"/>
              </w:rPr>
            </w:pPr>
          </w:p>
          <w:p w:rsidR="00936F63" w:rsidRPr="001726B5" w:rsidRDefault="00936F63" w:rsidP="004A0323">
            <w:pPr>
              <w:rPr>
                <w:sz w:val="20"/>
                <w:szCs w:val="20"/>
              </w:rPr>
            </w:pPr>
          </w:p>
        </w:tc>
        <w:tc>
          <w:tcPr>
            <w:tcW w:w="4327" w:type="dxa"/>
          </w:tcPr>
          <w:p w:rsidR="00936F63" w:rsidRPr="001726B5" w:rsidRDefault="00BE6ED8" w:rsidP="004A0323">
            <w:pPr>
              <w:jc w:val="both"/>
              <w:rPr>
                <w:b/>
                <w:sz w:val="20"/>
                <w:szCs w:val="20"/>
                <w:lang w:val="fr-CA"/>
              </w:rPr>
            </w:pPr>
            <w:r w:rsidRPr="001726B5">
              <w:rPr>
                <w:sz w:val="20"/>
                <w:szCs w:val="20"/>
              </w:rPr>
              <w:fldChar w:fldCharType="begin"/>
            </w:r>
            <w:r w:rsidR="00936F63" w:rsidRPr="001726B5">
              <w:rPr>
                <w:sz w:val="20"/>
                <w:szCs w:val="20"/>
                <w:lang w:val="fr-CA"/>
              </w:rPr>
              <w:instrText xml:space="preserve"> SEQ CHAPTER \h \r 1</w:instrText>
            </w:r>
            <w:r w:rsidRPr="001726B5">
              <w:rPr>
                <w:sz w:val="20"/>
                <w:szCs w:val="20"/>
              </w:rPr>
              <w:fldChar w:fldCharType="end"/>
            </w:r>
            <w:r w:rsidR="00936F63" w:rsidRPr="001726B5">
              <w:rPr>
                <w:b/>
                <w:bCs/>
                <w:sz w:val="20"/>
                <w:szCs w:val="20"/>
                <w:lang w:val="fr-CA"/>
              </w:rPr>
              <w:t>Requête de l’intimée en prorogation du délai de signification et de dépôt du mémoire et recueil de sources jusqu’au 21 mars 2013, et en vue de présenter une plaidoirie orale lors de l’audition de l’appel</w:t>
            </w:r>
            <w:r w:rsidRPr="001726B5">
              <w:rPr>
                <w:sz w:val="20"/>
                <w:szCs w:val="20"/>
              </w:rPr>
              <w:fldChar w:fldCharType="begin"/>
            </w:r>
            <w:r w:rsidR="00936F63" w:rsidRPr="001726B5">
              <w:rPr>
                <w:sz w:val="20"/>
                <w:szCs w:val="20"/>
                <w:lang w:val="fr-CA"/>
              </w:rPr>
              <w:instrText xml:space="preserve"> SEQ CHAPTER \h \r 1</w:instrText>
            </w:r>
            <w:r w:rsidRPr="001726B5">
              <w:rPr>
                <w:sz w:val="20"/>
                <w:szCs w:val="20"/>
              </w:rPr>
              <w:fldChar w:fldCharType="end"/>
            </w:r>
          </w:p>
        </w:tc>
      </w:tr>
      <w:tr w:rsidR="00936F63" w:rsidRPr="001726B5" w:rsidTr="004A0323">
        <w:tc>
          <w:tcPr>
            <w:tcW w:w="4338" w:type="dxa"/>
          </w:tcPr>
          <w:p w:rsidR="00936F63" w:rsidRPr="001726B5" w:rsidRDefault="00936F63" w:rsidP="004A0323">
            <w:pPr>
              <w:rPr>
                <w:sz w:val="20"/>
                <w:szCs w:val="20"/>
                <w:lang w:val="fr-CA"/>
              </w:rPr>
            </w:pPr>
            <w:proofErr w:type="spellStart"/>
            <w:r w:rsidRPr="001726B5">
              <w:rPr>
                <w:sz w:val="20"/>
                <w:szCs w:val="20"/>
                <w:lang w:val="fr-CA"/>
              </w:rPr>
              <w:t>Mihai</w:t>
            </w:r>
            <w:proofErr w:type="spellEnd"/>
            <w:r w:rsidRPr="001726B5">
              <w:rPr>
                <w:sz w:val="20"/>
                <w:szCs w:val="20"/>
                <w:lang w:val="fr-CA"/>
              </w:rPr>
              <w:t xml:space="preserve"> </w:t>
            </w:r>
            <w:proofErr w:type="spellStart"/>
            <w:r w:rsidRPr="001726B5">
              <w:rPr>
                <w:sz w:val="20"/>
                <w:szCs w:val="20"/>
                <w:lang w:val="fr-CA"/>
              </w:rPr>
              <w:t>Ibanescu</w:t>
            </w:r>
            <w:proofErr w:type="spellEnd"/>
          </w:p>
          <w:p w:rsidR="00936F63" w:rsidRPr="001726B5" w:rsidRDefault="00936F63" w:rsidP="004A0323">
            <w:pPr>
              <w:rPr>
                <w:sz w:val="20"/>
                <w:szCs w:val="20"/>
                <w:lang w:val="fr-CA"/>
              </w:rPr>
            </w:pPr>
          </w:p>
          <w:p w:rsidR="00936F63" w:rsidRPr="001726B5" w:rsidRDefault="00936F63" w:rsidP="004A0323">
            <w:pPr>
              <w:rPr>
                <w:sz w:val="20"/>
                <w:szCs w:val="20"/>
                <w:lang w:val="fr-CA"/>
              </w:rPr>
            </w:pPr>
            <w:r w:rsidRPr="001726B5">
              <w:rPr>
                <w:sz w:val="20"/>
                <w:szCs w:val="20"/>
                <w:lang w:val="fr-CA"/>
              </w:rPr>
              <w:tab/>
              <w:t>c. (34653)</w:t>
            </w:r>
          </w:p>
          <w:p w:rsidR="00936F63" w:rsidRPr="001726B5" w:rsidRDefault="00936F63" w:rsidP="004A0323">
            <w:pPr>
              <w:rPr>
                <w:sz w:val="20"/>
                <w:szCs w:val="20"/>
                <w:lang w:val="fr-CA"/>
              </w:rPr>
            </w:pPr>
          </w:p>
          <w:p w:rsidR="00936F63" w:rsidRPr="001726B5" w:rsidRDefault="00936F63" w:rsidP="004A0323">
            <w:pPr>
              <w:rPr>
                <w:sz w:val="20"/>
                <w:szCs w:val="20"/>
                <w:lang w:val="fr-CA"/>
              </w:rPr>
            </w:pPr>
            <w:r w:rsidRPr="001726B5">
              <w:rPr>
                <w:sz w:val="20"/>
                <w:szCs w:val="20"/>
                <w:lang w:val="fr-CA"/>
              </w:rPr>
              <w:t>Sa Majesté la Reine (</w:t>
            </w:r>
            <w:proofErr w:type="spellStart"/>
            <w:r w:rsidRPr="001726B5">
              <w:rPr>
                <w:sz w:val="20"/>
                <w:szCs w:val="20"/>
                <w:lang w:val="fr-CA"/>
              </w:rPr>
              <w:t>Crim</w:t>
            </w:r>
            <w:proofErr w:type="spellEnd"/>
            <w:r w:rsidRPr="001726B5">
              <w:rPr>
                <w:sz w:val="20"/>
                <w:szCs w:val="20"/>
                <w:lang w:val="fr-CA"/>
              </w:rPr>
              <w:t>.) (</w:t>
            </w:r>
            <w:proofErr w:type="spellStart"/>
            <w:r w:rsidRPr="001726B5">
              <w:rPr>
                <w:sz w:val="20"/>
                <w:szCs w:val="20"/>
                <w:lang w:val="fr-CA"/>
              </w:rPr>
              <w:t>Qc</w:t>
            </w:r>
            <w:proofErr w:type="spellEnd"/>
            <w:r w:rsidRPr="001726B5">
              <w:rPr>
                <w:sz w:val="20"/>
                <w:szCs w:val="20"/>
                <w:lang w:val="fr-CA"/>
              </w:rPr>
              <w:t>)</w:t>
            </w:r>
          </w:p>
        </w:tc>
        <w:tc>
          <w:tcPr>
            <w:tcW w:w="1170" w:type="dxa"/>
          </w:tcPr>
          <w:p w:rsidR="00936F63" w:rsidRPr="001726B5" w:rsidRDefault="00936F63" w:rsidP="004A0323">
            <w:pPr>
              <w:rPr>
                <w:sz w:val="20"/>
                <w:szCs w:val="20"/>
                <w:lang w:val="fr-CA"/>
              </w:rPr>
            </w:pPr>
          </w:p>
        </w:tc>
        <w:tc>
          <w:tcPr>
            <w:tcW w:w="4327" w:type="dxa"/>
          </w:tcPr>
          <w:p w:rsidR="00936F63" w:rsidRPr="001726B5" w:rsidRDefault="00936F63" w:rsidP="004A0323">
            <w:pPr>
              <w:rPr>
                <w:sz w:val="20"/>
                <w:szCs w:val="20"/>
                <w:lang w:val="fr-CA"/>
              </w:rPr>
            </w:pPr>
          </w:p>
        </w:tc>
      </w:tr>
    </w:tbl>
    <w:p w:rsidR="00936F63" w:rsidRPr="001726B5" w:rsidRDefault="00936F63" w:rsidP="00936F63">
      <w:pPr>
        <w:tabs>
          <w:tab w:val="left" w:pos="-1440"/>
          <w:tab w:val="left" w:pos="-720"/>
        </w:tabs>
        <w:jc w:val="both"/>
        <w:rPr>
          <w:sz w:val="20"/>
          <w:szCs w:val="20"/>
          <w:lang w:val="fr-CA"/>
        </w:rPr>
      </w:pPr>
    </w:p>
    <w:p w:rsidR="00936F63" w:rsidRPr="001726B5" w:rsidRDefault="00936F63" w:rsidP="00936F63">
      <w:pPr>
        <w:tabs>
          <w:tab w:val="left" w:pos="-1440"/>
          <w:tab w:val="left" w:pos="-720"/>
        </w:tabs>
        <w:rPr>
          <w:sz w:val="20"/>
          <w:szCs w:val="20"/>
        </w:rPr>
      </w:pPr>
      <w:r w:rsidRPr="001726B5">
        <w:rPr>
          <w:b/>
          <w:sz w:val="20"/>
          <w:szCs w:val="20"/>
        </w:rPr>
        <w:t>GRANTED / ACORD</w:t>
      </w:r>
      <w:r w:rsidRPr="001726B5">
        <w:rPr>
          <w:b/>
          <w:sz w:val="20"/>
          <w:szCs w:val="20"/>
          <w:lang w:val="fr-CA"/>
        </w:rPr>
        <w:t>ÉE</w:t>
      </w:r>
    </w:p>
    <w:p w:rsidR="00936F63" w:rsidRPr="001726B5" w:rsidRDefault="00936F63" w:rsidP="00936F63">
      <w:pPr>
        <w:tabs>
          <w:tab w:val="left" w:pos="-1440"/>
          <w:tab w:val="left" w:pos="-720"/>
        </w:tabs>
        <w:jc w:val="both"/>
        <w:rPr>
          <w:sz w:val="20"/>
          <w:szCs w:val="20"/>
          <w:lang w:val="fr-CA"/>
        </w:rPr>
      </w:pPr>
    </w:p>
    <w:p w:rsidR="00936F63" w:rsidRPr="001726B5" w:rsidRDefault="00BE6ED8" w:rsidP="00936F63">
      <w:pPr>
        <w:tabs>
          <w:tab w:val="left" w:pos="-1440"/>
          <w:tab w:val="left" w:pos="-720"/>
        </w:tabs>
        <w:jc w:val="both"/>
        <w:rPr>
          <w:sz w:val="20"/>
          <w:szCs w:val="20"/>
          <w:lang w:val="fr-CA"/>
        </w:rPr>
      </w:pPr>
      <w:r w:rsidRPr="00BE6ED8">
        <w:rPr>
          <w:sz w:val="20"/>
          <w:szCs w:val="20"/>
          <w:lang w:val="fr-CA"/>
        </w:rPr>
        <w:pict>
          <v:rect id="_x0000_i1088" style="width:2in;height:1pt" o:hrpct="0" o:hralign="center" o:hrstd="t" o:hrnoshade="t" o:hr="t" fillcolor="black [3213]" stroked="f"/>
        </w:pict>
      </w:r>
    </w:p>
    <w:p w:rsidR="00936F63" w:rsidRPr="001726B5" w:rsidRDefault="00936F63" w:rsidP="00936F63">
      <w:pPr>
        <w:tabs>
          <w:tab w:val="left" w:pos="-1440"/>
          <w:tab w:val="left" w:pos="-720"/>
        </w:tabs>
        <w:jc w:val="both"/>
        <w:rPr>
          <w:sz w:val="20"/>
          <w:szCs w:val="20"/>
          <w:lang w:val="fr-CA"/>
        </w:rPr>
      </w:pPr>
    </w:p>
    <w:p w:rsidR="00936F63" w:rsidRPr="001726B5" w:rsidRDefault="00936F63" w:rsidP="00936F63">
      <w:pPr>
        <w:tabs>
          <w:tab w:val="left" w:pos="-1440"/>
          <w:tab w:val="left" w:pos="-720"/>
        </w:tabs>
        <w:jc w:val="both"/>
        <w:rPr>
          <w:sz w:val="20"/>
          <w:szCs w:val="20"/>
          <w:lang w:val="fr-CA"/>
        </w:rPr>
      </w:pPr>
      <w:r w:rsidRPr="001726B5">
        <w:rPr>
          <w:sz w:val="20"/>
          <w:szCs w:val="20"/>
          <w:lang w:val="fr-CA"/>
        </w:rPr>
        <w:t>03.04.2013</w:t>
      </w:r>
    </w:p>
    <w:p w:rsidR="00936F63" w:rsidRPr="001726B5" w:rsidRDefault="00936F63" w:rsidP="00936F63">
      <w:pPr>
        <w:tabs>
          <w:tab w:val="left" w:pos="-1440"/>
          <w:tab w:val="left" w:pos="-720"/>
        </w:tabs>
        <w:jc w:val="both"/>
        <w:rPr>
          <w:sz w:val="20"/>
          <w:szCs w:val="20"/>
          <w:lang w:val="fr-CA"/>
        </w:rPr>
      </w:pPr>
    </w:p>
    <w:p w:rsidR="00936F63" w:rsidRPr="001726B5" w:rsidRDefault="00936F63" w:rsidP="00936F63">
      <w:pPr>
        <w:tabs>
          <w:tab w:val="left" w:pos="-1440"/>
          <w:tab w:val="left" w:pos="-720"/>
        </w:tabs>
        <w:jc w:val="both"/>
        <w:rPr>
          <w:sz w:val="20"/>
          <w:szCs w:val="20"/>
          <w:lang w:val="fr-CA"/>
        </w:rPr>
      </w:pPr>
      <w:proofErr w:type="spellStart"/>
      <w:r w:rsidRPr="001726B5">
        <w:rPr>
          <w:sz w:val="20"/>
          <w:szCs w:val="20"/>
          <w:lang w:val="fr-CA"/>
        </w:rPr>
        <w:t>Before</w:t>
      </w:r>
      <w:proofErr w:type="spellEnd"/>
      <w:r w:rsidRPr="001726B5">
        <w:rPr>
          <w:sz w:val="20"/>
          <w:szCs w:val="20"/>
          <w:lang w:val="fr-CA"/>
        </w:rPr>
        <w:t xml:space="preserve"> / Devant :   KARAKATSANIS J. / LA JUGE KARAKATSANIS</w:t>
      </w:r>
    </w:p>
    <w:p w:rsidR="00936F63" w:rsidRPr="001726B5" w:rsidRDefault="00936F63" w:rsidP="00936F6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36F63" w:rsidRPr="001726B5" w:rsidTr="004A0323">
        <w:tc>
          <w:tcPr>
            <w:tcW w:w="4338" w:type="dxa"/>
          </w:tcPr>
          <w:p w:rsidR="00936F63" w:rsidRPr="001726B5" w:rsidRDefault="00936F63" w:rsidP="004A0323">
            <w:pPr>
              <w:rPr>
                <w:b/>
                <w:sz w:val="20"/>
                <w:szCs w:val="20"/>
              </w:rPr>
            </w:pPr>
            <w:r w:rsidRPr="001726B5">
              <w:rPr>
                <w:b/>
                <w:sz w:val="20"/>
                <w:szCs w:val="20"/>
              </w:rPr>
              <w:t>Miscellaneous motion</w:t>
            </w:r>
            <w:r w:rsidRPr="001726B5">
              <w:rPr>
                <w:sz w:val="20"/>
                <w:szCs w:val="20"/>
              </w:rPr>
              <w:t xml:space="preserve"> </w:t>
            </w:r>
            <w:r w:rsidR="00BE6ED8" w:rsidRPr="001726B5">
              <w:rPr>
                <w:sz w:val="20"/>
                <w:szCs w:val="20"/>
              </w:rPr>
              <w:fldChar w:fldCharType="begin"/>
            </w:r>
            <w:r w:rsidRPr="001726B5">
              <w:rPr>
                <w:sz w:val="20"/>
                <w:szCs w:val="20"/>
              </w:rPr>
              <w:instrText xml:space="preserve"> SEQ CHAPTER \h \r 1</w:instrText>
            </w:r>
            <w:r w:rsidR="00BE6ED8" w:rsidRPr="001726B5">
              <w:rPr>
                <w:sz w:val="20"/>
                <w:szCs w:val="20"/>
              </w:rPr>
              <w:fldChar w:fldCharType="end"/>
            </w:r>
          </w:p>
        </w:tc>
        <w:tc>
          <w:tcPr>
            <w:tcW w:w="1170" w:type="dxa"/>
          </w:tcPr>
          <w:p w:rsidR="00936F63" w:rsidRPr="001726B5" w:rsidRDefault="00936F63" w:rsidP="004A0323">
            <w:pPr>
              <w:rPr>
                <w:sz w:val="20"/>
                <w:szCs w:val="20"/>
              </w:rPr>
            </w:pPr>
          </w:p>
          <w:p w:rsidR="00936F63" w:rsidRPr="001726B5" w:rsidRDefault="00936F63" w:rsidP="004A0323">
            <w:pPr>
              <w:rPr>
                <w:sz w:val="20"/>
                <w:szCs w:val="20"/>
              </w:rPr>
            </w:pPr>
          </w:p>
        </w:tc>
        <w:tc>
          <w:tcPr>
            <w:tcW w:w="4327" w:type="dxa"/>
          </w:tcPr>
          <w:p w:rsidR="00936F63" w:rsidRPr="001726B5" w:rsidRDefault="00936F63" w:rsidP="004A0323">
            <w:pPr>
              <w:rPr>
                <w:b/>
                <w:sz w:val="20"/>
                <w:szCs w:val="20"/>
              </w:rPr>
            </w:pPr>
            <w:r w:rsidRPr="001726B5">
              <w:rPr>
                <w:b/>
                <w:bCs/>
                <w:sz w:val="20"/>
                <w:szCs w:val="20"/>
                <w:lang w:val="fr-CA"/>
              </w:rPr>
              <w:t>Requête diverse</w:t>
            </w:r>
            <w:r w:rsidRPr="001726B5">
              <w:rPr>
                <w:sz w:val="20"/>
                <w:szCs w:val="20"/>
              </w:rPr>
              <w:t xml:space="preserve"> </w:t>
            </w:r>
            <w:r w:rsidR="00BE6ED8" w:rsidRPr="001726B5">
              <w:rPr>
                <w:sz w:val="20"/>
                <w:szCs w:val="20"/>
              </w:rPr>
              <w:fldChar w:fldCharType="begin"/>
            </w:r>
            <w:r w:rsidRPr="001726B5">
              <w:rPr>
                <w:sz w:val="20"/>
                <w:szCs w:val="20"/>
              </w:rPr>
              <w:instrText xml:space="preserve"> SEQ CHAPTER \h \r 1</w:instrText>
            </w:r>
            <w:r w:rsidR="00BE6ED8" w:rsidRPr="001726B5">
              <w:rPr>
                <w:sz w:val="20"/>
                <w:szCs w:val="20"/>
              </w:rPr>
              <w:fldChar w:fldCharType="end"/>
            </w:r>
          </w:p>
        </w:tc>
      </w:tr>
      <w:tr w:rsidR="00936F63" w:rsidRPr="001726B5" w:rsidTr="004A0323">
        <w:tc>
          <w:tcPr>
            <w:tcW w:w="4338" w:type="dxa"/>
          </w:tcPr>
          <w:p w:rsidR="00936F63" w:rsidRPr="001726B5" w:rsidRDefault="00936F63" w:rsidP="004A0323">
            <w:pPr>
              <w:rPr>
                <w:sz w:val="20"/>
                <w:szCs w:val="20"/>
              </w:rPr>
            </w:pPr>
            <w:r w:rsidRPr="001726B5">
              <w:rPr>
                <w:sz w:val="20"/>
                <w:szCs w:val="20"/>
              </w:rPr>
              <w:t xml:space="preserve">Julie </w:t>
            </w:r>
            <w:proofErr w:type="spellStart"/>
            <w:r w:rsidRPr="001726B5">
              <w:rPr>
                <w:sz w:val="20"/>
                <w:szCs w:val="20"/>
              </w:rPr>
              <w:t>Willmot</w:t>
            </w:r>
            <w:proofErr w:type="spellEnd"/>
          </w:p>
          <w:p w:rsidR="00936F63" w:rsidRPr="001726B5" w:rsidRDefault="00936F63" w:rsidP="004A0323">
            <w:pPr>
              <w:rPr>
                <w:sz w:val="20"/>
                <w:szCs w:val="20"/>
              </w:rPr>
            </w:pPr>
          </w:p>
          <w:p w:rsidR="00936F63" w:rsidRPr="001726B5" w:rsidRDefault="00936F63" w:rsidP="004A0323">
            <w:pPr>
              <w:rPr>
                <w:sz w:val="20"/>
                <w:szCs w:val="20"/>
              </w:rPr>
            </w:pPr>
            <w:r w:rsidRPr="001726B5">
              <w:rPr>
                <w:sz w:val="20"/>
                <w:szCs w:val="20"/>
              </w:rPr>
              <w:tab/>
              <w:t>v. (35171)</w:t>
            </w:r>
          </w:p>
          <w:p w:rsidR="00936F63" w:rsidRPr="001726B5" w:rsidRDefault="00936F63" w:rsidP="004A0323">
            <w:pPr>
              <w:rPr>
                <w:sz w:val="20"/>
                <w:szCs w:val="20"/>
              </w:rPr>
            </w:pPr>
          </w:p>
          <w:p w:rsidR="00936F63" w:rsidRPr="001726B5" w:rsidRDefault="00936F63" w:rsidP="004A0323">
            <w:pPr>
              <w:rPr>
                <w:sz w:val="20"/>
                <w:szCs w:val="20"/>
              </w:rPr>
            </w:pPr>
            <w:r w:rsidRPr="001726B5">
              <w:rPr>
                <w:sz w:val="20"/>
                <w:szCs w:val="20"/>
              </w:rPr>
              <w:t xml:space="preserve">Committee of Adjustment for the Corporation of the City of </w:t>
            </w:r>
            <w:proofErr w:type="spellStart"/>
            <w:r w:rsidRPr="001726B5">
              <w:rPr>
                <w:sz w:val="20"/>
                <w:szCs w:val="20"/>
              </w:rPr>
              <w:t>Quinte</w:t>
            </w:r>
            <w:proofErr w:type="spellEnd"/>
            <w:r w:rsidRPr="001726B5">
              <w:rPr>
                <w:sz w:val="20"/>
                <w:szCs w:val="20"/>
              </w:rPr>
              <w:t xml:space="preserve"> West et al. (Ont.)</w:t>
            </w:r>
          </w:p>
        </w:tc>
        <w:tc>
          <w:tcPr>
            <w:tcW w:w="1170" w:type="dxa"/>
          </w:tcPr>
          <w:p w:rsidR="00936F63" w:rsidRPr="001726B5" w:rsidRDefault="00936F63" w:rsidP="004A0323">
            <w:pPr>
              <w:rPr>
                <w:sz w:val="20"/>
                <w:szCs w:val="20"/>
              </w:rPr>
            </w:pPr>
          </w:p>
        </w:tc>
        <w:tc>
          <w:tcPr>
            <w:tcW w:w="4327" w:type="dxa"/>
          </w:tcPr>
          <w:p w:rsidR="00936F63" w:rsidRPr="001726B5" w:rsidRDefault="00936F63" w:rsidP="004A0323">
            <w:pPr>
              <w:rPr>
                <w:sz w:val="20"/>
                <w:szCs w:val="20"/>
              </w:rPr>
            </w:pPr>
          </w:p>
        </w:tc>
      </w:tr>
    </w:tbl>
    <w:p w:rsidR="00936F63" w:rsidRPr="001726B5" w:rsidRDefault="00936F63" w:rsidP="00936F63">
      <w:pPr>
        <w:tabs>
          <w:tab w:val="left" w:pos="-1440"/>
          <w:tab w:val="left" w:pos="-720"/>
        </w:tabs>
        <w:jc w:val="both"/>
        <w:rPr>
          <w:sz w:val="20"/>
          <w:szCs w:val="20"/>
        </w:rPr>
      </w:pPr>
    </w:p>
    <w:p w:rsidR="00936F63" w:rsidRPr="001726B5" w:rsidRDefault="00936F63" w:rsidP="00936F63">
      <w:pPr>
        <w:tabs>
          <w:tab w:val="left" w:pos="-1440"/>
          <w:tab w:val="left" w:pos="-720"/>
        </w:tabs>
        <w:rPr>
          <w:sz w:val="20"/>
          <w:szCs w:val="20"/>
        </w:rPr>
      </w:pPr>
      <w:r w:rsidRPr="001726B5">
        <w:rPr>
          <w:b/>
          <w:sz w:val="20"/>
          <w:szCs w:val="20"/>
        </w:rPr>
        <w:t>DISMISSED / REJETÉE</w:t>
      </w:r>
    </w:p>
    <w:p w:rsidR="00936F63" w:rsidRPr="001726B5" w:rsidRDefault="00936F63" w:rsidP="00936F63">
      <w:pPr>
        <w:tabs>
          <w:tab w:val="left" w:pos="-1440"/>
          <w:tab w:val="left" w:pos="-720"/>
        </w:tabs>
        <w:rPr>
          <w:sz w:val="20"/>
          <w:szCs w:val="20"/>
        </w:rPr>
      </w:pPr>
    </w:p>
    <w:p w:rsidR="00936F63" w:rsidRPr="001726B5" w:rsidRDefault="00936F63" w:rsidP="00936F63">
      <w:pPr>
        <w:autoSpaceDE w:val="0"/>
        <w:autoSpaceDN w:val="0"/>
        <w:adjustRightInd w:val="0"/>
        <w:jc w:val="both"/>
        <w:rPr>
          <w:rFonts w:eastAsia="Calibri"/>
          <w:sz w:val="20"/>
          <w:szCs w:val="20"/>
        </w:rPr>
      </w:pPr>
      <w:r w:rsidRPr="001726B5">
        <w:rPr>
          <w:rFonts w:eastAsia="Calibri"/>
          <w:b/>
          <w:bCs/>
          <w:sz w:val="20"/>
          <w:szCs w:val="20"/>
        </w:rPr>
        <w:t>UPON APPLICATION</w:t>
      </w:r>
      <w:r w:rsidRPr="001726B5">
        <w:rPr>
          <w:rFonts w:eastAsia="Calibri"/>
          <w:sz w:val="20"/>
          <w:szCs w:val="20"/>
        </w:rPr>
        <w:t xml:space="preserve"> by the applicant for an order reviewing the order of the Deputy Registrar dated March 1, 2013, dismissing the motion to dispense the applicant with the requirement to file an issued and entered order from the Court of Appeal;</w:t>
      </w:r>
    </w:p>
    <w:p w:rsidR="00936F63" w:rsidRPr="001726B5" w:rsidRDefault="00936F63" w:rsidP="00936F63">
      <w:pPr>
        <w:autoSpaceDE w:val="0"/>
        <w:autoSpaceDN w:val="0"/>
        <w:adjustRightInd w:val="0"/>
        <w:jc w:val="both"/>
        <w:rPr>
          <w:rFonts w:eastAsia="Calibri"/>
          <w:sz w:val="20"/>
          <w:szCs w:val="20"/>
        </w:rPr>
      </w:pPr>
    </w:p>
    <w:p w:rsidR="00936F63" w:rsidRPr="001726B5" w:rsidRDefault="00936F63" w:rsidP="00DD3A94">
      <w:pPr>
        <w:autoSpaceDE w:val="0"/>
        <w:autoSpaceDN w:val="0"/>
        <w:adjustRightInd w:val="0"/>
        <w:jc w:val="both"/>
        <w:rPr>
          <w:rFonts w:eastAsia="Calibri"/>
          <w:sz w:val="20"/>
          <w:szCs w:val="20"/>
        </w:rPr>
      </w:pPr>
      <w:r w:rsidRPr="001726B5">
        <w:rPr>
          <w:rFonts w:eastAsia="Calibri"/>
          <w:b/>
          <w:bCs/>
          <w:sz w:val="20"/>
          <w:szCs w:val="20"/>
        </w:rPr>
        <w:t>AND HAVING READ</w:t>
      </w:r>
      <w:r w:rsidRPr="001726B5">
        <w:rPr>
          <w:rFonts w:eastAsia="Calibri"/>
          <w:sz w:val="20"/>
          <w:szCs w:val="20"/>
        </w:rPr>
        <w:t xml:space="preserve"> the material filed;</w:t>
      </w:r>
    </w:p>
    <w:p w:rsidR="00936F63" w:rsidRPr="001726B5" w:rsidRDefault="00936F63" w:rsidP="00DD3A94">
      <w:pPr>
        <w:autoSpaceDE w:val="0"/>
        <w:autoSpaceDN w:val="0"/>
        <w:adjustRightInd w:val="0"/>
        <w:jc w:val="both"/>
        <w:rPr>
          <w:rFonts w:eastAsia="Calibri"/>
          <w:sz w:val="20"/>
          <w:szCs w:val="20"/>
        </w:rPr>
      </w:pPr>
    </w:p>
    <w:p w:rsidR="00936F63" w:rsidRPr="001726B5" w:rsidRDefault="00936F63" w:rsidP="00DD3A94">
      <w:pPr>
        <w:autoSpaceDE w:val="0"/>
        <w:autoSpaceDN w:val="0"/>
        <w:adjustRightInd w:val="0"/>
        <w:jc w:val="both"/>
        <w:rPr>
          <w:rFonts w:eastAsia="Calibri"/>
          <w:b/>
          <w:bCs/>
          <w:sz w:val="20"/>
          <w:szCs w:val="20"/>
        </w:rPr>
      </w:pPr>
      <w:r w:rsidRPr="001726B5">
        <w:rPr>
          <w:rFonts w:eastAsia="Calibri"/>
          <w:b/>
          <w:bCs/>
          <w:sz w:val="20"/>
          <w:szCs w:val="20"/>
        </w:rPr>
        <w:t>IT IS HEREBY ORDERED THAT:</w:t>
      </w:r>
    </w:p>
    <w:p w:rsidR="00936F63" w:rsidRPr="001726B5" w:rsidRDefault="00936F63" w:rsidP="00DD3A94">
      <w:pPr>
        <w:autoSpaceDE w:val="0"/>
        <w:autoSpaceDN w:val="0"/>
        <w:adjustRightInd w:val="0"/>
        <w:jc w:val="both"/>
        <w:rPr>
          <w:rFonts w:eastAsia="Calibri"/>
          <w:bCs/>
          <w:sz w:val="20"/>
          <w:szCs w:val="20"/>
        </w:rPr>
      </w:pPr>
    </w:p>
    <w:p w:rsidR="00936F63" w:rsidRPr="001726B5" w:rsidRDefault="00936F63" w:rsidP="00DD3A94">
      <w:pPr>
        <w:autoSpaceDE w:val="0"/>
        <w:autoSpaceDN w:val="0"/>
        <w:adjustRightInd w:val="0"/>
        <w:jc w:val="both"/>
        <w:rPr>
          <w:rFonts w:eastAsia="Calibri"/>
          <w:sz w:val="20"/>
          <w:szCs w:val="20"/>
        </w:rPr>
      </w:pPr>
      <w:r w:rsidRPr="001726B5">
        <w:rPr>
          <w:rFonts w:eastAsia="Calibri"/>
          <w:sz w:val="20"/>
          <w:szCs w:val="20"/>
        </w:rPr>
        <w:t xml:space="preserve">The motion is dismissed. The requests for an order for the appointment of </w:t>
      </w:r>
      <w:proofErr w:type="gramStart"/>
      <w:r w:rsidRPr="001726B5">
        <w:rPr>
          <w:rFonts w:eastAsia="Calibri"/>
          <w:sz w:val="20"/>
          <w:szCs w:val="20"/>
        </w:rPr>
        <w:t xml:space="preserve">an </w:t>
      </w:r>
      <w:r w:rsidRPr="001726B5">
        <w:rPr>
          <w:rFonts w:eastAsia="Calibri"/>
          <w:i/>
          <w:sz w:val="20"/>
          <w:szCs w:val="20"/>
        </w:rPr>
        <w:t>amicus</w:t>
      </w:r>
      <w:proofErr w:type="gramEnd"/>
      <w:r w:rsidRPr="001726B5">
        <w:rPr>
          <w:rFonts w:eastAsia="Calibri"/>
          <w:i/>
          <w:sz w:val="20"/>
          <w:szCs w:val="20"/>
        </w:rPr>
        <w:t xml:space="preserve"> curiae</w:t>
      </w:r>
      <w:r w:rsidRPr="001726B5">
        <w:rPr>
          <w:rFonts w:eastAsia="Calibri"/>
          <w:sz w:val="20"/>
          <w:szCs w:val="20"/>
        </w:rPr>
        <w:t xml:space="preserve">, an order permitting the applicant to bring her dog to the hearing of the appeal to provide emotional support, and an </w:t>
      </w:r>
      <w:proofErr w:type="spellStart"/>
      <w:r w:rsidRPr="001726B5">
        <w:rPr>
          <w:rFonts w:eastAsia="Calibri"/>
          <w:sz w:val="20"/>
          <w:szCs w:val="20"/>
        </w:rPr>
        <w:t>anonymization</w:t>
      </w:r>
      <w:proofErr w:type="spellEnd"/>
      <w:r w:rsidRPr="001726B5">
        <w:rPr>
          <w:rFonts w:eastAsia="Calibri"/>
          <w:sz w:val="20"/>
          <w:szCs w:val="20"/>
        </w:rPr>
        <w:t xml:space="preserve"> order or a sealing order, are referred to the panel of judges who will decide the application for leave to appeal.</w:t>
      </w:r>
    </w:p>
    <w:p w:rsidR="00936F63" w:rsidRPr="001726B5" w:rsidRDefault="00936F63" w:rsidP="00936F63">
      <w:pPr>
        <w:tabs>
          <w:tab w:val="left" w:pos="-1440"/>
          <w:tab w:val="left" w:pos="-720"/>
        </w:tabs>
        <w:rPr>
          <w:sz w:val="20"/>
          <w:szCs w:val="20"/>
        </w:rPr>
      </w:pPr>
    </w:p>
    <w:p w:rsidR="00936F63" w:rsidRPr="001726B5" w:rsidRDefault="00936F63" w:rsidP="00936F63">
      <w:pPr>
        <w:tabs>
          <w:tab w:val="left" w:pos="-1440"/>
          <w:tab w:val="left" w:pos="-720"/>
        </w:tabs>
        <w:rPr>
          <w:sz w:val="20"/>
          <w:szCs w:val="20"/>
        </w:rPr>
      </w:pPr>
    </w:p>
    <w:p w:rsidR="00936F63" w:rsidRPr="001726B5" w:rsidRDefault="00936F63" w:rsidP="00936F63">
      <w:pPr>
        <w:tabs>
          <w:tab w:val="left" w:pos="-1440"/>
          <w:tab w:val="left" w:pos="-720"/>
        </w:tabs>
        <w:rPr>
          <w:sz w:val="20"/>
          <w:szCs w:val="20"/>
        </w:rPr>
      </w:pPr>
    </w:p>
    <w:p w:rsidR="003F1AAC" w:rsidRPr="000A032E" w:rsidRDefault="003F1AAC" w:rsidP="00DD3A94">
      <w:pPr>
        <w:jc w:val="both"/>
        <w:rPr>
          <w:sz w:val="20"/>
          <w:szCs w:val="20"/>
          <w:lang w:val="fr-CA"/>
        </w:rPr>
      </w:pPr>
      <w:r w:rsidRPr="000A032E">
        <w:rPr>
          <w:b/>
          <w:sz w:val="20"/>
          <w:szCs w:val="20"/>
          <w:lang w:val="fr-CA"/>
        </w:rPr>
        <w:t>À LA SUITE DE LA REQUÊTE</w:t>
      </w:r>
      <w:r w:rsidRPr="000A032E">
        <w:rPr>
          <w:sz w:val="20"/>
          <w:szCs w:val="20"/>
          <w:lang w:val="fr-CA"/>
        </w:rPr>
        <w:t xml:space="preserve"> de la demanderesse visant le réexamen de l’ordonnance rendue par la registraire adjointe le 1</w:t>
      </w:r>
      <w:r w:rsidRPr="000A032E">
        <w:rPr>
          <w:sz w:val="20"/>
          <w:szCs w:val="20"/>
          <w:vertAlign w:val="superscript"/>
          <w:lang w:val="fr-CA"/>
        </w:rPr>
        <w:t>er</w:t>
      </w:r>
      <w:r w:rsidRPr="000A032E">
        <w:rPr>
          <w:sz w:val="20"/>
          <w:szCs w:val="20"/>
          <w:lang w:val="fr-CA"/>
        </w:rPr>
        <w:t xml:space="preserve"> mars 2013 qui a rejeté la requête pour que la demanderesse soit dispensée de déposer une ordonnance rendue par la Cour d’appel;</w:t>
      </w:r>
    </w:p>
    <w:p w:rsidR="003F1AAC" w:rsidRPr="000A032E" w:rsidRDefault="003F1AAC" w:rsidP="00DD3A94">
      <w:pPr>
        <w:jc w:val="both"/>
        <w:rPr>
          <w:sz w:val="20"/>
          <w:szCs w:val="20"/>
          <w:lang w:val="fr-CA"/>
        </w:rPr>
      </w:pPr>
    </w:p>
    <w:p w:rsidR="003F1AAC" w:rsidRDefault="003F1AAC" w:rsidP="00DD3A94">
      <w:pPr>
        <w:jc w:val="both"/>
        <w:rPr>
          <w:b/>
          <w:sz w:val="20"/>
          <w:szCs w:val="20"/>
          <w:lang w:val="fr-CA"/>
        </w:rPr>
      </w:pPr>
      <w:r>
        <w:rPr>
          <w:b/>
          <w:sz w:val="20"/>
          <w:szCs w:val="20"/>
          <w:lang w:val="fr-CA"/>
        </w:rPr>
        <w:br w:type="page"/>
      </w:r>
    </w:p>
    <w:p w:rsidR="003F1AAC" w:rsidRPr="000A032E" w:rsidRDefault="003F1AAC" w:rsidP="00DD3A94">
      <w:pPr>
        <w:jc w:val="both"/>
        <w:rPr>
          <w:sz w:val="20"/>
          <w:szCs w:val="20"/>
          <w:lang w:val="fr-CA"/>
        </w:rPr>
      </w:pPr>
      <w:r w:rsidRPr="000A032E">
        <w:rPr>
          <w:b/>
          <w:sz w:val="20"/>
          <w:szCs w:val="20"/>
          <w:lang w:val="fr-CA"/>
        </w:rPr>
        <w:t>ET APRÈS EXAMEN</w:t>
      </w:r>
      <w:r w:rsidRPr="000A032E">
        <w:rPr>
          <w:sz w:val="20"/>
          <w:szCs w:val="20"/>
          <w:lang w:val="fr-CA"/>
        </w:rPr>
        <w:t xml:space="preserve"> des documents déposés;</w:t>
      </w:r>
    </w:p>
    <w:p w:rsidR="003F1AAC" w:rsidRPr="000A032E" w:rsidRDefault="003F1AAC" w:rsidP="00DD3A94">
      <w:pPr>
        <w:jc w:val="both"/>
        <w:rPr>
          <w:sz w:val="20"/>
          <w:szCs w:val="20"/>
          <w:lang w:val="fr-CA"/>
        </w:rPr>
      </w:pPr>
    </w:p>
    <w:p w:rsidR="003F1AAC" w:rsidRPr="000A032E" w:rsidRDefault="003F1AAC" w:rsidP="00DD3A94">
      <w:pPr>
        <w:jc w:val="both"/>
        <w:rPr>
          <w:b/>
          <w:sz w:val="20"/>
          <w:szCs w:val="20"/>
          <w:lang w:val="fr-CA"/>
        </w:rPr>
      </w:pPr>
      <w:r w:rsidRPr="000A032E">
        <w:rPr>
          <w:b/>
          <w:sz w:val="20"/>
          <w:szCs w:val="20"/>
          <w:lang w:val="fr-CA"/>
        </w:rPr>
        <w:t>IL EST ORDONNÉ CE QUI SUIT :</w:t>
      </w:r>
    </w:p>
    <w:p w:rsidR="003F1AAC" w:rsidRPr="000A032E" w:rsidRDefault="003F1AAC" w:rsidP="00DD3A94">
      <w:pPr>
        <w:jc w:val="both"/>
        <w:rPr>
          <w:sz w:val="20"/>
          <w:szCs w:val="20"/>
          <w:lang w:val="fr-CA"/>
        </w:rPr>
      </w:pPr>
    </w:p>
    <w:p w:rsidR="003F1AAC" w:rsidRPr="000A032E" w:rsidRDefault="003F1AAC" w:rsidP="00DD3A94">
      <w:pPr>
        <w:jc w:val="both"/>
        <w:rPr>
          <w:sz w:val="20"/>
          <w:szCs w:val="20"/>
          <w:lang w:val="fr-CA"/>
        </w:rPr>
      </w:pPr>
      <w:r w:rsidRPr="000A032E">
        <w:rPr>
          <w:sz w:val="20"/>
          <w:szCs w:val="20"/>
          <w:lang w:val="fr-CA"/>
        </w:rPr>
        <w:t xml:space="preserve">La requête est rejetée.  Les demandes visant la nomination d’un </w:t>
      </w:r>
      <w:proofErr w:type="spellStart"/>
      <w:r w:rsidRPr="000A032E">
        <w:rPr>
          <w:i/>
          <w:sz w:val="20"/>
          <w:szCs w:val="20"/>
          <w:lang w:val="fr-CA"/>
        </w:rPr>
        <w:t>amicus</w:t>
      </w:r>
      <w:proofErr w:type="spellEnd"/>
      <w:r w:rsidRPr="000A032E">
        <w:rPr>
          <w:i/>
          <w:sz w:val="20"/>
          <w:szCs w:val="20"/>
          <w:lang w:val="fr-CA"/>
        </w:rPr>
        <w:t xml:space="preserve"> </w:t>
      </w:r>
      <w:proofErr w:type="spellStart"/>
      <w:r w:rsidRPr="000A032E">
        <w:rPr>
          <w:i/>
          <w:sz w:val="20"/>
          <w:szCs w:val="20"/>
          <w:lang w:val="fr-CA"/>
        </w:rPr>
        <w:t>curiae</w:t>
      </w:r>
      <w:proofErr w:type="spellEnd"/>
      <w:r w:rsidRPr="000A032E">
        <w:rPr>
          <w:sz w:val="20"/>
          <w:szCs w:val="20"/>
          <w:lang w:val="fr-CA"/>
        </w:rPr>
        <w:t>, l’autorisation pour la demanderesse d’amener son chien à l’audience sur l’appel afin qu’il lui procure un soutien psychologique et l’anonymisation de l’ordonnance ou le prononcé d’une ordonnance de mise sous scellés sont renvoyées à la formation de juges qui se prononcera sur la demande d’autorisation d’appel.</w:t>
      </w:r>
    </w:p>
    <w:p w:rsidR="00936F63" w:rsidRPr="003F1AAC" w:rsidRDefault="00936F63" w:rsidP="00936F63">
      <w:pPr>
        <w:tabs>
          <w:tab w:val="left" w:pos="-1440"/>
          <w:tab w:val="left" w:pos="-720"/>
        </w:tabs>
        <w:jc w:val="both"/>
        <w:rPr>
          <w:sz w:val="20"/>
          <w:szCs w:val="20"/>
          <w:lang w:val="fr-CA"/>
        </w:rPr>
      </w:pPr>
    </w:p>
    <w:p w:rsidR="00936F63" w:rsidRPr="001726B5" w:rsidRDefault="00BE6ED8" w:rsidP="00936F63">
      <w:pPr>
        <w:tabs>
          <w:tab w:val="left" w:pos="-1440"/>
          <w:tab w:val="left" w:pos="-720"/>
        </w:tabs>
        <w:jc w:val="both"/>
        <w:rPr>
          <w:sz w:val="20"/>
          <w:szCs w:val="20"/>
        </w:rPr>
      </w:pPr>
      <w:r w:rsidRPr="00BE6ED8">
        <w:rPr>
          <w:sz w:val="20"/>
          <w:szCs w:val="20"/>
          <w:lang w:val="fr-CA"/>
        </w:rPr>
        <w:pict>
          <v:rect id="_x0000_i1089" style="width:2in;height:1pt" o:hrpct="0" o:hralign="center" o:hrstd="t" o:hrnoshade="t" o:hr="t" fillcolor="black [3213]" stroked="f"/>
        </w:pict>
      </w:r>
    </w:p>
    <w:p w:rsidR="00936F63" w:rsidRPr="001726B5" w:rsidRDefault="00936F63" w:rsidP="00936F63">
      <w:pPr>
        <w:tabs>
          <w:tab w:val="left" w:pos="-1440"/>
          <w:tab w:val="left" w:pos="-720"/>
        </w:tabs>
        <w:jc w:val="both"/>
        <w:rPr>
          <w:sz w:val="20"/>
          <w:szCs w:val="20"/>
        </w:rPr>
      </w:pPr>
    </w:p>
    <w:p w:rsidR="00936F63" w:rsidRDefault="00936F63" w:rsidP="0010587F">
      <w:pPr>
        <w:tabs>
          <w:tab w:val="left" w:pos="-1440"/>
          <w:tab w:val="left" w:pos="-720"/>
        </w:tabs>
        <w:jc w:val="both"/>
        <w:rPr>
          <w:sz w:val="20"/>
          <w:szCs w:val="20"/>
        </w:rPr>
      </w:pPr>
    </w:p>
    <w:p w:rsidR="00936F63" w:rsidRDefault="00936F63"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9714A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0</w:t>
            </w:r>
            <w:r w:rsidR="004822FC">
              <w:rPr>
                <w:sz w:val="20"/>
                <w:szCs w:val="20"/>
              </w:rPr>
              <w:t>5</w:t>
            </w:r>
            <w:r w:rsidRPr="003B3977">
              <w:rPr>
                <w:sz w:val="20"/>
                <w:szCs w:val="20"/>
              </w:rPr>
              <w:t>.0</w:t>
            </w:r>
            <w:r w:rsidR="004822FC">
              <w:rPr>
                <w:sz w:val="20"/>
                <w:szCs w:val="20"/>
              </w:rPr>
              <w:t>4</w:t>
            </w:r>
            <w:r w:rsidRPr="003B3977">
              <w:rPr>
                <w:sz w:val="20"/>
                <w:szCs w:val="20"/>
              </w:rPr>
              <w:t>.201</w:t>
            </w:r>
            <w:r w:rsidR="004822FC">
              <w:rPr>
                <w:sz w:val="20"/>
                <w:szCs w:val="20"/>
              </w:rPr>
              <w:t>3</w:t>
            </w:r>
          </w:p>
          <w:p w:rsidR="0010587F" w:rsidRPr="003B3977" w:rsidRDefault="0010587F" w:rsidP="003B3977">
            <w:pPr>
              <w:rPr>
                <w:sz w:val="20"/>
                <w:szCs w:val="20"/>
              </w:rPr>
            </w:pPr>
          </w:p>
          <w:p w:rsidR="0010587F" w:rsidRPr="003B3977" w:rsidRDefault="004822FC" w:rsidP="003B3977">
            <w:pPr>
              <w:rPr>
                <w:b/>
                <w:sz w:val="20"/>
                <w:szCs w:val="20"/>
              </w:rPr>
            </w:pPr>
            <w:r>
              <w:rPr>
                <w:b/>
                <w:sz w:val="20"/>
                <w:szCs w:val="20"/>
              </w:rPr>
              <w:t>Micha</w:t>
            </w:r>
            <w:r w:rsidR="0010587F" w:rsidRPr="003B3977">
              <w:rPr>
                <w:b/>
                <w:sz w:val="20"/>
                <w:szCs w:val="20"/>
              </w:rPr>
              <w:t>e</w:t>
            </w:r>
            <w:r>
              <w:rPr>
                <w:b/>
                <w:sz w:val="20"/>
                <w:szCs w:val="20"/>
              </w:rPr>
              <w:t>l McC</w:t>
            </w:r>
            <w:r w:rsidR="0010587F" w:rsidRPr="003B3977">
              <w:rPr>
                <w:b/>
                <w:sz w:val="20"/>
                <w:szCs w:val="20"/>
              </w:rPr>
              <w:t>o</w:t>
            </w:r>
            <w:r>
              <w:rPr>
                <w:b/>
                <w:sz w:val="20"/>
                <w:szCs w:val="20"/>
              </w:rPr>
              <w:t>rmick</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4822FC">
              <w:rPr>
                <w:b/>
                <w:sz w:val="20"/>
                <w:szCs w:val="20"/>
              </w:rPr>
              <w:t>997</w:t>
            </w:r>
            <w:r w:rsidRPr="003B3977">
              <w:rPr>
                <w:b/>
                <w:sz w:val="20"/>
                <w:szCs w:val="20"/>
              </w:rPr>
              <w:t>)</w:t>
            </w:r>
          </w:p>
          <w:p w:rsidR="0010587F" w:rsidRPr="003B3977" w:rsidRDefault="0010587F" w:rsidP="003B3977">
            <w:pPr>
              <w:rPr>
                <w:b/>
                <w:sz w:val="20"/>
                <w:szCs w:val="20"/>
              </w:rPr>
            </w:pPr>
          </w:p>
          <w:p w:rsidR="0010587F" w:rsidRPr="003B3977" w:rsidRDefault="004822FC" w:rsidP="003B3977">
            <w:pPr>
              <w:rPr>
                <w:b/>
                <w:sz w:val="20"/>
                <w:szCs w:val="20"/>
              </w:rPr>
            </w:pPr>
            <w:proofErr w:type="spellStart"/>
            <w:r>
              <w:rPr>
                <w:b/>
                <w:sz w:val="20"/>
                <w:szCs w:val="20"/>
              </w:rPr>
              <w:t>F</w:t>
            </w:r>
            <w:r w:rsidR="0010587F" w:rsidRPr="003B3977">
              <w:rPr>
                <w:b/>
                <w:sz w:val="20"/>
                <w:szCs w:val="20"/>
              </w:rPr>
              <w:t>as</w:t>
            </w:r>
            <w:r>
              <w:rPr>
                <w:b/>
                <w:sz w:val="20"/>
                <w:szCs w:val="20"/>
              </w:rPr>
              <w:t>k</w:t>
            </w:r>
            <w:r w:rsidR="0010587F" w:rsidRPr="003B3977">
              <w:rPr>
                <w:b/>
                <w:sz w:val="20"/>
                <w:szCs w:val="20"/>
              </w:rPr>
              <w:t>en</w:t>
            </w:r>
            <w:proofErr w:type="spellEnd"/>
            <w:r>
              <w:rPr>
                <w:b/>
                <w:sz w:val="20"/>
                <w:szCs w:val="20"/>
              </w:rPr>
              <w:t xml:space="preserve"> Martineau </w:t>
            </w:r>
            <w:proofErr w:type="spellStart"/>
            <w:r>
              <w:rPr>
                <w:b/>
                <w:sz w:val="20"/>
                <w:szCs w:val="20"/>
              </w:rPr>
              <w:t>Dumoulin</w:t>
            </w:r>
            <w:proofErr w:type="spellEnd"/>
            <w:r>
              <w:rPr>
                <w:b/>
                <w:sz w:val="20"/>
                <w:szCs w:val="20"/>
              </w:rPr>
              <w:t xml:space="preserve"> LLP</w:t>
            </w:r>
            <w:r w:rsidR="0010587F" w:rsidRPr="003B3977">
              <w:rPr>
                <w:b/>
                <w:sz w:val="20"/>
                <w:szCs w:val="20"/>
              </w:rPr>
              <w:t xml:space="preserve"> (</w:t>
            </w:r>
            <w:r>
              <w:rPr>
                <w:b/>
                <w:sz w:val="20"/>
                <w:szCs w:val="20"/>
              </w:rPr>
              <w:t>B</w:t>
            </w:r>
            <w:r w:rsidR="0010587F" w:rsidRPr="003B3977">
              <w:rPr>
                <w:b/>
                <w:sz w:val="20"/>
                <w:szCs w:val="20"/>
              </w:rPr>
              <w:t>.</w:t>
            </w:r>
            <w:r>
              <w:rPr>
                <w:b/>
                <w:sz w:val="20"/>
                <w:szCs w:val="20"/>
              </w:rPr>
              <w:t>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4822FC">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BE6ED8" w:rsidP="003B3977">
            <w:pPr>
              <w:rPr>
                <w:sz w:val="20"/>
                <w:szCs w:val="20"/>
                <w:lang w:val="fr-CA"/>
              </w:rPr>
            </w:pPr>
            <w:r w:rsidRPr="00BE6ED8">
              <w:rPr>
                <w:sz w:val="20"/>
                <w:szCs w:val="20"/>
                <w:lang w:val="fr-CA"/>
              </w:rPr>
              <w:pict>
                <v:rect id="_x0000_i1092"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r w:rsidRPr="003B3977">
              <w:rPr>
                <w:sz w:val="20"/>
                <w:szCs w:val="20"/>
              </w:rPr>
              <w:t>0</w:t>
            </w:r>
            <w:r w:rsidR="004822FC">
              <w:rPr>
                <w:sz w:val="20"/>
                <w:szCs w:val="20"/>
              </w:rPr>
              <w:t>5</w:t>
            </w:r>
            <w:r w:rsidRPr="003B3977">
              <w:rPr>
                <w:sz w:val="20"/>
                <w:szCs w:val="20"/>
              </w:rPr>
              <w:t>.0</w:t>
            </w:r>
            <w:r w:rsidR="004822FC">
              <w:rPr>
                <w:sz w:val="20"/>
                <w:szCs w:val="20"/>
              </w:rPr>
              <w:t>4</w:t>
            </w:r>
            <w:r w:rsidRPr="003B3977">
              <w:rPr>
                <w:sz w:val="20"/>
                <w:szCs w:val="20"/>
              </w:rPr>
              <w:t>.201</w:t>
            </w:r>
            <w:r w:rsidR="004822FC">
              <w:rPr>
                <w:sz w:val="20"/>
                <w:szCs w:val="20"/>
              </w:rPr>
              <w:t>3</w:t>
            </w:r>
          </w:p>
          <w:p w:rsidR="0010587F" w:rsidRPr="003B3977" w:rsidRDefault="0010587F" w:rsidP="003B3977">
            <w:pPr>
              <w:rPr>
                <w:sz w:val="20"/>
                <w:szCs w:val="20"/>
              </w:rPr>
            </w:pPr>
          </w:p>
          <w:p w:rsidR="0010587F" w:rsidRPr="003B3977" w:rsidRDefault="004822FC" w:rsidP="003B3977">
            <w:pPr>
              <w:rPr>
                <w:b/>
                <w:sz w:val="20"/>
                <w:szCs w:val="20"/>
              </w:rPr>
            </w:pPr>
            <w:r>
              <w:rPr>
                <w:b/>
                <w:sz w:val="20"/>
                <w:szCs w:val="20"/>
              </w:rPr>
              <w:t>Estate of the Late Zahra (</w:t>
            </w:r>
            <w:proofErr w:type="spellStart"/>
            <w:r>
              <w:rPr>
                <w:b/>
                <w:sz w:val="20"/>
                <w:szCs w:val="20"/>
              </w:rPr>
              <w:t>Ziba</w:t>
            </w:r>
            <w:proofErr w:type="spellEnd"/>
            <w:r>
              <w:rPr>
                <w:b/>
                <w:sz w:val="20"/>
                <w:szCs w:val="20"/>
              </w:rPr>
              <w:t xml:space="preserve">) </w:t>
            </w:r>
            <w:proofErr w:type="spellStart"/>
            <w:r>
              <w:rPr>
                <w:b/>
                <w:sz w:val="20"/>
                <w:szCs w:val="20"/>
              </w:rPr>
              <w:t>Kazemi</w:t>
            </w:r>
            <w:proofErr w:type="spellEnd"/>
            <w:r>
              <w:rPr>
                <w:b/>
                <w:sz w:val="20"/>
                <w:szCs w:val="20"/>
              </w:rPr>
              <w:t xml:space="preserve"> et al.</w:t>
            </w:r>
          </w:p>
          <w:p w:rsidR="0010587F" w:rsidRPr="003B3977" w:rsidRDefault="0010587F" w:rsidP="003B3977">
            <w:pPr>
              <w:rPr>
                <w:b/>
                <w:sz w:val="20"/>
                <w:szCs w:val="20"/>
              </w:rPr>
            </w:pPr>
          </w:p>
          <w:p w:rsidR="0010587F" w:rsidRPr="004822FC" w:rsidRDefault="0010587F" w:rsidP="003B3977">
            <w:pPr>
              <w:rPr>
                <w:b/>
                <w:sz w:val="20"/>
                <w:szCs w:val="20"/>
                <w:lang w:val="fr-CA"/>
              </w:rPr>
            </w:pPr>
            <w:r w:rsidRPr="003B3977">
              <w:rPr>
                <w:b/>
                <w:sz w:val="20"/>
                <w:szCs w:val="20"/>
              </w:rPr>
              <w:tab/>
            </w:r>
            <w:r w:rsidRPr="004822FC">
              <w:rPr>
                <w:b/>
                <w:sz w:val="20"/>
                <w:szCs w:val="20"/>
                <w:lang w:val="fr-CA"/>
              </w:rPr>
              <w:t>v. (3</w:t>
            </w:r>
            <w:r w:rsidR="004822FC" w:rsidRPr="004822FC">
              <w:rPr>
                <w:b/>
                <w:sz w:val="20"/>
                <w:szCs w:val="20"/>
                <w:lang w:val="fr-CA"/>
              </w:rPr>
              <w:t>50</w:t>
            </w:r>
            <w:r w:rsidRPr="004822FC">
              <w:rPr>
                <w:b/>
                <w:sz w:val="20"/>
                <w:szCs w:val="20"/>
                <w:lang w:val="fr-CA"/>
              </w:rPr>
              <w:t>3</w:t>
            </w:r>
            <w:r w:rsidR="004822FC" w:rsidRPr="004822FC">
              <w:rPr>
                <w:b/>
                <w:sz w:val="20"/>
                <w:szCs w:val="20"/>
                <w:lang w:val="fr-CA"/>
              </w:rPr>
              <w:t>4</w:t>
            </w:r>
            <w:r w:rsidRPr="004822FC">
              <w:rPr>
                <w:b/>
                <w:sz w:val="20"/>
                <w:szCs w:val="20"/>
                <w:lang w:val="fr-CA"/>
              </w:rPr>
              <w:t>)</w:t>
            </w:r>
          </w:p>
          <w:p w:rsidR="0010587F" w:rsidRPr="004822FC" w:rsidRDefault="0010587F" w:rsidP="003B3977">
            <w:pPr>
              <w:rPr>
                <w:b/>
                <w:sz w:val="20"/>
                <w:szCs w:val="20"/>
                <w:lang w:val="fr-CA"/>
              </w:rPr>
            </w:pPr>
          </w:p>
          <w:p w:rsidR="0010587F" w:rsidRPr="003B3977" w:rsidRDefault="004822FC" w:rsidP="003B3977">
            <w:pPr>
              <w:rPr>
                <w:b/>
                <w:sz w:val="20"/>
                <w:szCs w:val="20"/>
                <w:lang w:val="fr-CA"/>
              </w:rPr>
            </w:pPr>
            <w:proofErr w:type="spellStart"/>
            <w:r>
              <w:rPr>
                <w:b/>
                <w:sz w:val="20"/>
                <w:szCs w:val="20"/>
                <w:lang w:val="fr-CA"/>
              </w:rPr>
              <w:t>Islamic</w:t>
            </w:r>
            <w:proofErr w:type="spellEnd"/>
            <w:r>
              <w:rPr>
                <w:b/>
                <w:sz w:val="20"/>
                <w:szCs w:val="20"/>
                <w:lang w:val="fr-CA"/>
              </w:rPr>
              <w:t xml:space="preserve"> </w:t>
            </w:r>
            <w:proofErr w:type="spellStart"/>
            <w:r>
              <w:rPr>
                <w:b/>
                <w:sz w:val="20"/>
                <w:szCs w:val="20"/>
                <w:lang w:val="fr-CA"/>
              </w:rPr>
              <w:t>Republic</w:t>
            </w:r>
            <w:proofErr w:type="spellEnd"/>
            <w:r>
              <w:rPr>
                <w:b/>
                <w:sz w:val="20"/>
                <w:szCs w:val="20"/>
                <w:lang w:val="fr-CA"/>
              </w:rPr>
              <w:t xml:space="preserve"> of Iran</w:t>
            </w:r>
            <w:r w:rsidR="0010587F" w:rsidRPr="003B3977">
              <w:rPr>
                <w:b/>
                <w:sz w:val="20"/>
                <w:szCs w:val="20"/>
                <w:lang w:val="fr-CA"/>
              </w:rPr>
              <w:t xml:space="preserve"> et al. (</w:t>
            </w:r>
            <w:r>
              <w:rPr>
                <w:b/>
                <w:sz w:val="20"/>
                <w:szCs w:val="20"/>
                <w:lang w:val="fr-CA"/>
              </w:rPr>
              <w:t>Que</w:t>
            </w:r>
            <w:r w:rsidR="0010587F" w:rsidRPr="003B3977">
              <w:rPr>
                <w:b/>
                <w:sz w:val="20"/>
                <w:szCs w:val="20"/>
                <w:lang w:val="fr-CA"/>
              </w:rPr>
              <w:t>.)</w:t>
            </w:r>
          </w:p>
          <w:p w:rsidR="0010587F" w:rsidRPr="003B3977"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4822FC">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BE6ED8" w:rsidP="003B3977">
            <w:pPr>
              <w:rPr>
                <w:sz w:val="20"/>
                <w:szCs w:val="20"/>
              </w:rPr>
            </w:pPr>
            <w:r w:rsidRPr="00BE6ED8">
              <w:rPr>
                <w:sz w:val="20"/>
                <w:szCs w:val="20"/>
                <w:lang w:val="fr-CA"/>
              </w:rPr>
              <w:pict>
                <v:rect id="_x0000_i1093"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4822FC" w:rsidP="003B3977">
            <w:pPr>
              <w:rPr>
                <w:sz w:val="20"/>
                <w:szCs w:val="20"/>
              </w:rPr>
            </w:pPr>
            <w:r>
              <w:rPr>
                <w:sz w:val="20"/>
                <w:szCs w:val="20"/>
              </w:rPr>
              <w:t>08</w:t>
            </w:r>
            <w:r w:rsidR="0010587F" w:rsidRPr="003B3977">
              <w:rPr>
                <w:sz w:val="20"/>
                <w:szCs w:val="20"/>
              </w:rPr>
              <w:t>.0</w:t>
            </w:r>
            <w:r>
              <w:rPr>
                <w:sz w:val="20"/>
                <w:szCs w:val="20"/>
              </w:rPr>
              <w:t>4</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4822FC" w:rsidP="003B3977">
            <w:pPr>
              <w:rPr>
                <w:b/>
                <w:sz w:val="20"/>
                <w:szCs w:val="20"/>
              </w:rPr>
            </w:pPr>
            <w:proofErr w:type="spellStart"/>
            <w:r>
              <w:rPr>
                <w:b/>
                <w:sz w:val="20"/>
                <w:szCs w:val="20"/>
              </w:rPr>
              <w:t>S</w:t>
            </w:r>
            <w:r w:rsidR="0010587F" w:rsidRPr="003B3977">
              <w:rPr>
                <w:b/>
                <w:sz w:val="20"/>
                <w:szCs w:val="20"/>
              </w:rPr>
              <w:t>a</w:t>
            </w:r>
            <w:r>
              <w:rPr>
                <w:b/>
                <w:sz w:val="20"/>
                <w:szCs w:val="20"/>
              </w:rPr>
              <w:t>ttva</w:t>
            </w:r>
            <w:proofErr w:type="spellEnd"/>
            <w:r>
              <w:rPr>
                <w:b/>
                <w:sz w:val="20"/>
                <w:szCs w:val="20"/>
              </w:rPr>
              <w:t xml:space="preserve"> Capital Corporation (formerly </w:t>
            </w:r>
            <w:proofErr w:type="spellStart"/>
            <w:r>
              <w:rPr>
                <w:b/>
                <w:sz w:val="20"/>
                <w:szCs w:val="20"/>
              </w:rPr>
              <w:t>Sattva</w:t>
            </w:r>
            <w:proofErr w:type="spellEnd"/>
            <w:r>
              <w:rPr>
                <w:b/>
                <w:sz w:val="20"/>
                <w:szCs w:val="20"/>
              </w:rPr>
              <w:t xml:space="preserve"> Capital Inc.)</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4822FC">
              <w:rPr>
                <w:b/>
                <w:sz w:val="20"/>
                <w:szCs w:val="20"/>
              </w:rPr>
              <w:t>502</w:t>
            </w:r>
            <w:r w:rsidRPr="003B3977">
              <w:rPr>
                <w:b/>
                <w:sz w:val="20"/>
                <w:szCs w:val="20"/>
              </w:rPr>
              <w:t>6)</w:t>
            </w:r>
          </w:p>
          <w:p w:rsidR="0010587F" w:rsidRPr="003B3977" w:rsidRDefault="0010587F" w:rsidP="003B3977">
            <w:pPr>
              <w:rPr>
                <w:b/>
                <w:sz w:val="20"/>
                <w:szCs w:val="20"/>
              </w:rPr>
            </w:pPr>
          </w:p>
          <w:p w:rsidR="0010587F" w:rsidRPr="003B3977" w:rsidRDefault="004822FC" w:rsidP="003B3977">
            <w:pPr>
              <w:rPr>
                <w:b/>
                <w:sz w:val="20"/>
                <w:szCs w:val="20"/>
              </w:rPr>
            </w:pPr>
            <w:r>
              <w:rPr>
                <w:b/>
                <w:sz w:val="20"/>
                <w:szCs w:val="20"/>
              </w:rPr>
              <w:t xml:space="preserve">Creston </w:t>
            </w:r>
            <w:proofErr w:type="spellStart"/>
            <w:r>
              <w:rPr>
                <w:b/>
                <w:sz w:val="20"/>
                <w:szCs w:val="20"/>
              </w:rPr>
              <w:t>Moly</w:t>
            </w:r>
            <w:proofErr w:type="spellEnd"/>
            <w:r>
              <w:rPr>
                <w:b/>
                <w:sz w:val="20"/>
                <w:szCs w:val="20"/>
              </w:rPr>
              <w:t xml:space="preserve"> Corporation (form</w:t>
            </w:r>
            <w:r w:rsidR="0010587F" w:rsidRPr="003B3977">
              <w:rPr>
                <w:b/>
                <w:sz w:val="20"/>
                <w:szCs w:val="20"/>
              </w:rPr>
              <w:t>er</w:t>
            </w:r>
            <w:r>
              <w:rPr>
                <w:b/>
                <w:sz w:val="20"/>
                <w:szCs w:val="20"/>
              </w:rPr>
              <w:t>l</w:t>
            </w:r>
            <w:r w:rsidR="0010587F" w:rsidRPr="003B3977">
              <w:rPr>
                <w:b/>
                <w:sz w:val="20"/>
                <w:szCs w:val="20"/>
              </w:rPr>
              <w:t xml:space="preserve">y </w:t>
            </w:r>
            <w:r>
              <w:rPr>
                <w:b/>
                <w:sz w:val="20"/>
                <w:szCs w:val="20"/>
              </w:rPr>
              <w:t>G</w:t>
            </w:r>
            <w:r w:rsidR="0010587F" w:rsidRPr="003B3977">
              <w:rPr>
                <w:b/>
                <w:sz w:val="20"/>
                <w:szCs w:val="20"/>
              </w:rPr>
              <w:t>e</w:t>
            </w:r>
            <w:r>
              <w:rPr>
                <w:b/>
                <w:sz w:val="20"/>
                <w:szCs w:val="20"/>
              </w:rPr>
              <w:t>orgia V</w:t>
            </w:r>
            <w:r w:rsidR="0010587F" w:rsidRPr="003B3977">
              <w:rPr>
                <w:b/>
                <w:sz w:val="20"/>
                <w:szCs w:val="20"/>
              </w:rPr>
              <w:t>en</w:t>
            </w:r>
            <w:r>
              <w:rPr>
                <w:b/>
                <w:sz w:val="20"/>
                <w:szCs w:val="20"/>
              </w:rPr>
              <w:t>tures Inc.)</w:t>
            </w:r>
            <w:r w:rsidR="0010587F" w:rsidRPr="003B3977">
              <w:rPr>
                <w:b/>
                <w:sz w:val="20"/>
                <w:szCs w:val="20"/>
              </w:rPr>
              <w:t xml:space="preserve"> (</w:t>
            </w:r>
            <w:r>
              <w:rPr>
                <w:b/>
                <w:sz w:val="20"/>
                <w:szCs w:val="20"/>
              </w:rPr>
              <w:t>B.C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4822FC">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BE6ED8" w:rsidP="003B3977">
            <w:pPr>
              <w:rPr>
                <w:sz w:val="20"/>
                <w:szCs w:val="20"/>
              </w:rPr>
            </w:pPr>
            <w:r w:rsidRPr="00BE6ED8">
              <w:rPr>
                <w:sz w:val="20"/>
                <w:szCs w:val="20"/>
                <w:lang w:val="fr-CA"/>
              </w:rPr>
              <w:pict>
                <v:rect id="_x0000_i109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9714AD"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C50A5C" w:rsidRDefault="00AC28F2" w:rsidP="00C1697B">
            <w:pPr>
              <w:rPr>
                <w:sz w:val="20"/>
                <w:szCs w:val="20"/>
              </w:rPr>
            </w:pPr>
            <w:r>
              <w:rPr>
                <w:sz w:val="20"/>
                <w:szCs w:val="20"/>
              </w:rPr>
              <w:t>02</w:t>
            </w:r>
            <w:r w:rsidR="00C1697B" w:rsidRPr="00C50A5C">
              <w:rPr>
                <w:sz w:val="20"/>
                <w:szCs w:val="20"/>
              </w:rPr>
              <w:t>.0</w:t>
            </w:r>
            <w:r>
              <w:rPr>
                <w:sz w:val="20"/>
                <w:szCs w:val="20"/>
              </w:rPr>
              <w:t>4</w:t>
            </w:r>
            <w:r w:rsidR="00C1697B" w:rsidRPr="00C50A5C">
              <w:rPr>
                <w:sz w:val="20"/>
                <w:szCs w:val="20"/>
              </w:rPr>
              <w:t>.201</w:t>
            </w:r>
            <w:r>
              <w:rPr>
                <w:sz w:val="20"/>
                <w:szCs w:val="20"/>
              </w:rPr>
              <w:t>3</w:t>
            </w:r>
          </w:p>
          <w:p w:rsidR="00C1697B" w:rsidRPr="00C50A5C" w:rsidRDefault="00C1697B" w:rsidP="00C1697B">
            <w:pPr>
              <w:rPr>
                <w:sz w:val="20"/>
                <w:szCs w:val="20"/>
              </w:rPr>
            </w:pPr>
          </w:p>
          <w:p w:rsidR="00C1697B" w:rsidRPr="00C1697B" w:rsidRDefault="00AC28F2" w:rsidP="00C1697B">
            <w:pPr>
              <w:rPr>
                <w:b/>
                <w:sz w:val="20"/>
                <w:szCs w:val="20"/>
              </w:rPr>
            </w:pPr>
            <w:r>
              <w:rPr>
                <w:b/>
                <w:sz w:val="20"/>
                <w:szCs w:val="20"/>
              </w:rPr>
              <w:t xml:space="preserve">Diane Knopf, Warden of Mission </w:t>
            </w:r>
            <w:r w:rsidR="00C1697B" w:rsidRPr="00C1697B">
              <w:rPr>
                <w:b/>
                <w:sz w:val="20"/>
                <w:szCs w:val="20"/>
              </w:rPr>
              <w:t>In</w:t>
            </w:r>
            <w:r>
              <w:rPr>
                <w:b/>
                <w:sz w:val="20"/>
                <w:szCs w:val="20"/>
              </w:rPr>
              <w:t>stitution et al.</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AC28F2">
              <w:rPr>
                <w:b/>
                <w:sz w:val="20"/>
                <w:szCs w:val="20"/>
              </w:rPr>
              <w:t>4</w:t>
            </w:r>
            <w:r w:rsidRPr="00C1697B">
              <w:rPr>
                <w:b/>
                <w:sz w:val="20"/>
                <w:szCs w:val="20"/>
              </w:rPr>
              <w:t>60</w:t>
            </w:r>
            <w:r w:rsidR="00AC28F2">
              <w:rPr>
                <w:b/>
                <w:sz w:val="20"/>
                <w:szCs w:val="20"/>
              </w:rPr>
              <w:t>7</w:t>
            </w:r>
            <w:r w:rsidRPr="00C1697B">
              <w:rPr>
                <w:b/>
                <w:sz w:val="20"/>
                <w:szCs w:val="20"/>
              </w:rPr>
              <w:t>)</w:t>
            </w:r>
          </w:p>
          <w:p w:rsidR="00C1697B" w:rsidRPr="00C1697B" w:rsidRDefault="00C1697B" w:rsidP="00C1697B">
            <w:pPr>
              <w:rPr>
                <w:b/>
                <w:sz w:val="20"/>
                <w:szCs w:val="20"/>
              </w:rPr>
            </w:pPr>
          </w:p>
          <w:p w:rsidR="00C1697B" w:rsidRPr="00C1697B" w:rsidRDefault="00AC28F2" w:rsidP="00C1697B">
            <w:pPr>
              <w:rPr>
                <w:b/>
                <w:sz w:val="20"/>
                <w:szCs w:val="20"/>
              </w:rPr>
            </w:pPr>
            <w:r>
              <w:rPr>
                <w:b/>
                <w:sz w:val="20"/>
                <w:szCs w:val="20"/>
              </w:rPr>
              <w:t>Jonatha</w:t>
            </w:r>
            <w:r w:rsidR="00C1697B" w:rsidRPr="00C1697B">
              <w:rPr>
                <w:b/>
                <w:sz w:val="20"/>
                <w:szCs w:val="20"/>
              </w:rPr>
              <w:t>n</w:t>
            </w:r>
            <w:r>
              <w:rPr>
                <w:b/>
                <w:sz w:val="20"/>
                <w:szCs w:val="20"/>
              </w:rPr>
              <w:t xml:space="preserve"> </w:t>
            </w:r>
            <w:proofErr w:type="spellStart"/>
            <w:r>
              <w:rPr>
                <w:b/>
                <w:sz w:val="20"/>
                <w:szCs w:val="20"/>
              </w:rPr>
              <w:t>Zuria</w:t>
            </w:r>
            <w:proofErr w:type="spellEnd"/>
            <w:r w:rsidR="00C1697B" w:rsidRPr="00C1697B">
              <w:rPr>
                <w:b/>
                <w:sz w:val="20"/>
                <w:szCs w:val="20"/>
              </w:rPr>
              <w:t xml:space="preserve"> (</w:t>
            </w:r>
            <w:r>
              <w:rPr>
                <w:b/>
                <w:sz w:val="20"/>
                <w:szCs w:val="20"/>
              </w:rPr>
              <w:t>B.C</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BE6ED8" w:rsidP="00697C62">
            <w:pPr>
              <w:rPr>
                <w:sz w:val="20"/>
                <w:szCs w:val="20"/>
                <w:lang w:val="fr-CA"/>
              </w:rPr>
            </w:pPr>
            <w:r w:rsidRPr="00BE6ED8">
              <w:rPr>
                <w:sz w:val="20"/>
                <w:szCs w:val="20"/>
                <w:lang w:val="fr-CA"/>
              </w:rPr>
              <w:pict>
                <v:rect id="_x0000_i1097"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C1697B" w:rsidRPr="00C50A5C" w:rsidRDefault="00AC28F2" w:rsidP="00C1697B">
            <w:pPr>
              <w:rPr>
                <w:sz w:val="20"/>
                <w:szCs w:val="20"/>
              </w:rPr>
            </w:pPr>
            <w:r>
              <w:rPr>
                <w:sz w:val="20"/>
                <w:szCs w:val="20"/>
              </w:rPr>
              <w:t>02</w:t>
            </w:r>
            <w:r w:rsidR="00C1697B" w:rsidRPr="00C50A5C">
              <w:rPr>
                <w:sz w:val="20"/>
                <w:szCs w:val="20"/>
              </w:rPr>
              <w:t>.0</w:t>
            </w:r>
            <w:r>
              <w:rPr>
                <w:sz w:val="20"/>
                <w:szCs w:val="20"/>
              </w:rPr>
              <w:t>4</w:t>
            </w:r>
            <w:r w:rsidR="00C1697B" w:rsidRPr="00C50A5C">
              <w:rPr>
                <w:sz w:val="20"/>
                <w:szCs w:val="20"/>
              </w:rPr>
              <w:t>.201</w:t>
            </w:r>
            <w:r>
              <w:rPr>
                <w:sz w:val="20"/>
                <w:szCs w:val="20"/>
              </w:rPr>
              <w:t>3</w:t>
            </w:r>
          </w:p>
          <w:p w:rsidR="00C1697B" w:rsidRPr="00C50A5C" w:rsidRDefault="00C1697B" w:rsidP="00C1697B">
            <w:pPr>
              <w:rPr>
                <w:sz w:val="20"/>
                <w:szCs w:val="20"/>
              </w:rPr>
            </w:pPr>
          </w:p>
          <w:p w:rsidR="00C1697B" w:rsidRPr="00C1697B" w:rsidRDefault="00AC28F2" w:rsidP="00C1697B">
            <w:pPr>
              <w:rPr>
                <w:b/>
                <w:sz w:val="20"/>
                <w:szCs w:val="20"/>
              </w:rPr>
            </w:pPr>
            <w:r>
              <w:rPr>
                <w:b/>
                <w:sz w:val="20"/>
                <w:szCs w:val="20"/>
              </w:rPr>
              <w:t xml:space="preserve">Diane Knopf, Warden of Mission </w:t>
            </w:r>
            <w:r w:rsidRPr="00C1697B">
              <w:rPr>
                <w:b/>
                <w:sz w:val="20"/>
                <w:szCs w:val="20"/>
              </w:rPr>
              <w:t>In</w:t>
            </w:r>
            <w:r>
              <w:rPr>
                <w:b/>
                <w:sz w:val="20"/>
                <w:szCs w:val="20"/>
              </w:rPr>
              <w:t>stitution et al.</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AC28F2">
              <w:rPr>
                <w:b/>
                <w:sz w:val="20"/>
                <w:szCs w:val="20"/>
              </w:rPr>
              <w:t>46</w:t>
            </w:r>
            <w:r w:rsidRPr="00C1697B">
              <w:rPr>
                <w:b/>
                <w:sz w:val="20"/>
                <w:szCs w:val="20"/>
              </w:rPr>
              <w:t>0</w:t>
            </w:r>
            <w:r w:rsidR="00AC28F2">
              <w:rPr>
                <w:b/>
                <w:sz w:val="20"/>
                <w:szCs w:val="20"/>
              </w:rPr>
              <w:t>8</w:t>
            </w:r>
            <w:r w:rsidRPr="00C1697B">
              <w:rPr>
                <w:b/>
                <w:sz w:val="20"/>
                <w:szCs w:val="20"/>
              </w:rPr>
              <w:t>)</w:t>
            </w:r>
          </w:p>
          <w:p w:rsidR="00C1697B" w:rsidRPr="00C1697B" w:rsidRDefault="00C1697B" w:rsidP="00C1697B">
            <w:pPr>
              <w:rPr>
                <w:b/>
                <w:sz w:val="20"/>
                <w:szCs w:val="20"/>
              </w:rPr>
            </w:pPr>
          </w:p>
          <w:p w:rsidR="00C1697B" w:rsidRPr="00C1697B" w:rsidRDefault="00AC28F2" w:rsidP="00C1697B">
            <w:pPr>
              <w:rPr>
                <w:b/>
                <w:sz w:val="20"/>
                <w:szCs w:val="20"/>
              </w:rPr>
            </w:pPr>
            <w:r>
              <w:rPr>
                <w:b/>
                <w:sz w:val="20"/>
                <w:szCs w:val="20"/>
              </w:rPr>
              <w:t>G</w:t>
            </w:r>
            <w:r w:rsidR="00C1697B" w:rsidRPr="00C1697B">
              <w:rPr>
                <w:b/>
                <w:sz w:val="20"/>
                <w:szCs w:val="20"/>
              </w:rPr>
              <w:t>l</w:t>
            </w:r>
            <w:r>
              <w:rPr>
                <w:b/>
                <w:sz w:val="20"/>
                <w:szCs w:val="20"/>
              </w:rPr>
              <w:t>en Ph</w:t>
            </w:r>
            <w:r w:rsidR="00C1697B" w:rsidRPr="00C1697B">
              <w:rPr>
                <w:b/>
                <w:sz w:val="20"/>
                <w:szCs w:val="20"/>
              </w:rPr>
              <w:t>i</w:t>
            </w:r>
            <w:r>
              <w:rPr>
                <w:b/>
                <w:sz w:val="20"/>
                <w:szCs w:val="20"/>
              </w:rPr>
              <w:t>l</w:t>
            </w:r>
            <w:r w:rsidR="00E15B80">
              <w:rPr>
                <w:b/>
                <w:sz w:val="20"/>
                <w:szCs w:val="20"/>
              </w:rPr>
              <w:t>l</w:t>
            </w:r>
            <w:r>
              <w:rPr>
                <w:b/>
                <w:sz w:val="20"/>
                <w:szCs w:val="20"/>
              </w:rPr>
              <w:t>ip Foster</w:t>
            </w:r>
            <w:r w:rsidR="00C1697B" w:rsidRPr="00C1697B">
              <w:rPr>
                <w:b/>
                <w:sz w:val="20"/>
                <w:szCs w:val="20"/>
              </w:rPr>
              <w:t xml:space="preserve"> (</w:t>
            </w:r>
            <w:r>
              <w:rPr>
                <w:b/>
                <w:sz w:val="20"/>
                <w:szCs w:val="20"/>
              </w:rPr>
              <w:t>B.C</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802863">
            <w:pPr>
              <w:rPr>
                <w:sz w:val="20"/>
                <w:szCs w:val="20"/>
              </w:rPr>
            </w:pPr>
          </w:p>
          <w:p w:rsidR="00802863" w:rsidRPr="00C50A5C" w:rsidRDefault="00BE6ED8" w:rsidP="00802863">
            <w:pPr>
              <w:rPr>
                <w:sz w:val="20"/>
                <w:szCs w:val="20"/>
                <w:lang w:val="fr-CA"/>
              </w:rPr>
            </w:pPr>
            <w:r w:rsidRPr="00BE6ED8">
              <w:rPr>
                <w:sz w:val="20"/>
                <w:szCs w:val="20"/>
                <w:lang w:val="fr-CA"/>
              </w:rPr>
              <w:pict>
                <v:rect id="_x0000_i1098" style="width:108pt;height:1pt" o:hrpct="0" o:hralign="center" o:hrstd="t" o:hrnoshade="t" o:hr="t" fillcolor="black [3213]" stroked="f"/>
              </w:pict>
            </w: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272"/>
        </w:sectPr>
      </w:pPr>
    </w:p>
    <w:p w:rsidR="00091FA6" w:rsidRPr="002E0C7E" w:rsidRDefault="00BE6ED8"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4E6F8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4E6F86">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4E6F86">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DECEMBER - DÉCEMBRE</w:t>
            </w:r>
          </w:p>
        </w:tc>
      </w:tr>
      <w:tr w:rsidR="00091FA6" w:rsidRPr="002E0C7E" w:rsidTr="004E6F8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M</w:t>
            </w:r>
          </w:p>
          <w:p w:rsidR="00091FA6" w:rsidRPr="002E0C7E" w:rsidRDefault="00091FA6" w:rsidP="004E6F8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W</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F</w:t>
            </w:r>
          </w:p>
          <w:p w:rsidR="00091FA6" w:rsidRPr="002E0C7E" w:rsidRDefault="00091FA6" w:rsidP="004E6F8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M</w:t>
            </w:r>
          </w:p>
          <w:p w:rsidR="00091FA6" w:rsidRPr="002E0C7E" w:rsidRDefault="00091FA6" w:rsidP="004E6F86">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W</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F</w:t>
            </w:r>
          </w:p>
          <w:p w:rsidR="00091FA6" w:rsidRPr="002E0C7E" w:rsidRDefault="00091FA6" w:rsidP="004E6F86">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M</w:t>
            </w:r>
          </w:p>
          <w:p w:rsidR="00091FA6" w:rsidRPr="002E0C7E" w:rsidRDefault="00091FA6" w:rsidP="004E6F86">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W</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F</w:t>
            </w:r>
          </w:p>
          <w:p w:rsidR="00091FA6" w:rsidRPr="002E0C7E" w:rsidRDefault="00091FA6" w:rsidP="004E6F8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S</w:t>
            </w:r>
          </w:p>
        </w:tc>
      </w:tr>
      <w:tr w:rsidR="00091FA6" w:rsidRPr="002E0C7E" w:rsidTr="004E6F8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w:t>
            </w:r>
          </w:p>
        </w:tc>
      </w:tr>
      <w:tr w:rsidR="00091FA6" w:rsidRPr="002E0C7E" w:rsidTr="004E6F86">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4E6F86">
            <w:pPr>
              <w:widowControl w:val="0"/>
              <w:jc w:val="center"/>
              <w:rPr>
                <w:rFonts w:ascii="Arial" w:hAnsi="Arial"/>
                <w:b/>
                <w:sz w:val="14"/>
              </w:rPr>
            </w:pPr>
            <w:r w:rsidRPr="000C583B">
              <w:rPr>
                <w:rFonts w:ascii="Arial" w:hAnsi="Arial"/>
                <w:b/>
                <w:sz w:val="14"/>
              </w:rPr>
              <w:t>H</w:t>
            </w:r>
          </w:p>
          <w:p w:rsidR="00091FA6" w:rsidRPr="002E0C7E" w:rsidRDefault="00091FA6" w:rsidP="004E6F86">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4E6F86">
            <w:pPr>
              <w:widowControl w:val="0"/>
              <w:jc w:val="center"/>
              <w:rPr>
                <w:rFonts w:ascii="Arial" w:hAnsi="Arial"/>
                <w:b/>
                <w:sz w:val="14"/>
              </w:rPr>
            </w:pPr>
            <w:r w:rsidRPr="000C583B">
              <w:rPr>
                <w:rFonts w:ascii="Arial" w:hAnsi="Arial"/>
                <w:b/>
                <w:sz w:val="14"/>
              </w:rPr>
              <w:t>M</w:t>
            </w:r>
          </w:p>
          <w:p w:rsidR="00091FA6" w:rsidRPr="002E0C7E" w:rsidRDefault="00091FA6" w:rsidP="004E6F86">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M</w:t>
            </w:r>
          </w:p>
          <w:p w:rsidR="00091FA6" w:rsidRPr="002E0C7E" w:rsidRDefault="00091FA6" w:rsidP="004E6F86">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M</w:t>
            </w:r>
          </w:p>
          <w:p w:rsidR="00091FA6" w:rsidRPr="002E0C7E" w:rsidRDefault="00091FA6" w:rsidP="004E6F86">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8</w:t>
            </w:r>
          </w:p>
        </w:tc>
      </w:tr>
      <w:tr w:rsidR="00091FA6" w:rsidRPr="002E0C7E" w:rsidTr="004E6F8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4E6F86">
            <w:pPr>
              <w:widowControl w:val="0"/>
              <w:jc w:val="center"/>
              <w:rPr>
                <w:rFonts w:ascii="Arial" w:hAnsi="Arial"/>
                <w:b/>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4E6F86">
            <w:pPr>
              <w:widowControl w:val="0"/>
              <w:jc w:val="center"/>
              <w:rPr>
                <w:rFonts w:ascii="Arial" w:hAnsi="Arial"/>
                <w:sz w:val="14"/>
              </w:rPr>
            </w:pPr>
            <w:r>
              <w:rPr>
                <w:rFonts w:ascii="Arial" w:hAnsi="Arial"/>
                <w:b/>
                <w:sz w:val="14"/>
              </w:rPr>
              <w:t>H</w:t>
            </w: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4E6F8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4E6F86">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Pr>
                <w:rFonts w:ascii="Arial" w:hAnsi="Arial"/>
                <w:sz w:val="14"/>
              </w:rPr>
              <w:t>23</w:t>
            </w:r>
          </w:p>
          <w:p w:rsidR="00091FA6" w:rsidRPr="002E0C7E" w:rsidRDefault="00091FA6" w:rsidP="004E6F86">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Pr>
                <w:rFonts w:ascii="Arial" w:hAnsi="Arial"/>
                <w:sz w:val="14"/>
              </w:rPr>
              <w:t>24</w:t>
            </w:r>
          </w:p>
          <w:p w:rsidR="00091FA6" w:rsidRPr="002E0C7E" w:rsidRDefault="00091FA6" w:rsidP="004E6F86">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H</w:t>
            </w: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4E6F8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4E6F86">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4E6F86">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MARCH - MARS</w:t>
            </w:r>
          </w:p>
        </w:tc>
      </w:tr>
      <w:tr w:rsidR="00091FA6" w:rsidRPr="002E0C7E" w:rsidTr="004E6F86">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M</w:t>
            </w:r>
          </w:p>
          <w:p w:rsidR="00091FA6" w:rsidRPr="002E0C7E" w:rsidRDefault="00091FA6" w:rsidP="004E6F86">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W</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F</w:t>
            </w:r>
          </w:p>
          <w:p w:rsidR="00091FA6" w:rsidRPr="002E0C7E" w:rsidRDefault="00091FA6" w:rsidP="004E6F8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M</w:t>
            </w:r>
          </w:p>
          <w:p w:rsidR="00091FA6" w:rsidRPr="002E0C7E" w:rsidRDefault="00091FA6" w:rsidP="004E6F8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W</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F</w:t>
            </w:r>
          </w:p>
          <w:p w:rsidR="00091FA6" w:rsidRPr="002E0C7E" w:rsidRDefault="00091FA6" w:rsidP="004E6F8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M</w:t>
            </w:r>
          </w:p>
          <w:p w:rsidR="00091FA6" w:rsidRPr="002E0C7E" w:rsidRDefault="00091FA6" w:rsidP="004E6F86">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W</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F</w:t>
            </w:r>
          </w:p>
          <w:p w:rsidR="00091FA6" w:rsidRPr="002E0C7E" w:rsidRDefault="00091FA6" w:rsidP="004E6F8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S</w:t>
            </w:r>
          </w:p>
        </w:tc>
      </w:tr>
      <w:tr w:rsidR="00091FA6" w:rsidRPr="002E0C7E" w:rsidTr="004E6F8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4E6F86">
            <w:pPr>
              <w:widowControl w:val="0"/>
              <w:jc w:val="center"/>
              <w:rPr>
                <w:rFonts w:ascii="Arial" w:hAnsi="Arial"/>
                <w:b/>
                <w:sz w:val="14"/>
              </w:rPr>
            </w:pPr>
            <w:r>
              <w:rPr>
                <w:rFonts w:ascii="Arial" w:hAnsi="Arial"/>
                <w:b/>
                <w:sz w:val="14"/>
              </w:rPr>
              <w:t>H</w:t>
            </w:r>
          </w:p>
          <w:p w:rsidR="00091FA6" w:rsidRPr="002E0C7E" w:rsidRDefault="00091FA6" w:rsidP="004E6F86">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w:t>
            </w:r>
          </w:p>
        </w:tc>
      </w:tr>
      <w:tr w:rsidR="00091FA6" w:rsidRPr="002E0C7E" w:rsidTr="004E6F8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9</w:t>
            </w:r>
          </w:p>
        </w:tc>
      </w:tr>
      <w:tr w:rsidR="00091FA6" w:rsidRPr="002E0C7E" w:rsidTr="004E6F86">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4E6F86">
            <w:pPr>
              <w:widowControl w:val="0"/>
              <w:jc w:val="center"/>
              <w:rPr>
                <w:rFonts w:ascii="Arial" w:hAnsi="Arial"/>
                <w:b/>
                <w:sz w:val="14"/>
              </w:rPr>
            </w:pPr>
            <w:r>
              <w:rPr>
                <w:rFonts w:ascii="Arial" w:hAnsi="Arial"/>
                <w:b/>
                <w:sz w:val="14"/>
              </w:rPr>
              <w:t>M</w:t>
            </w: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4E6F86">
            <w:pPr>
              <w:widowControl w:val="0"/>
              <w:jc w:val="center"/>
              <w:rPr>
                <w:rFonts w:ascii="Arial" w:hAnsi="Arial"/>
                <w:b/>
                <w:sz w:val="14"/>
              </w:rPr>
            </w:pPr>
            <w:r>
              <w:rPr>
                <w:rFonts w:ascii="Arial" w:hAnsi="Arial"/>
                <w:b/>
                <w:sz w:val="14"/>
              </w:rPr>
              <w:t>M</w:t>
            </w: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4E6F8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4E6F86">
            <w:pPr>
              <w:widowControl w:val="0"/>
              <w:jc w:val="center"/>
              <w:rPr>
                <w:rFonts w:ascii="Arial" w:hAnsi="Arial"/>
                <w:b/>
                <w:sz w:val="14"/>
              </w:rPr>
            </w:pPr>
            <w:r>
              <w:rPr>
                <w:rFonts w:ascii="Arial" w:hAnsi="Arial"/>
                <w:b/>
                <w:sz w:val="14"/>
              </w:rPr>
              <w:t>M</w:t>
            </w: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4E6F86">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Pr>
                <w:rFonts w:ascii="Arial" w:hAnsi="Arial"/>
                <w:sz w:val="14"/>
              </w:rPr>
              <w:t>24</w:t>
            </w:r>
          </w:p>
          <w:p w:rsidR="00091FA6" w:rsidRPr="002E0C7E" w:rsidRDefault="00091FA6" w:rsidP="004E6F86">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4E6F86">
            <w:pPr>
              <w:widowControl w:val="0"/>
              <w:jc w:val="center"/>
              <w:rPr>
                <w:rFonts w:ascii="Arial" w:hAnsi="Arial"/>
                <w:b/>
                <w:sz w:val="14"/>
              </w:rPr>
            </w:pPr>
            <w:r w:rsidRPr="00261B35">
              <w:rPr>
                <w:rFonts w:ascii="Arial" w:hAnsi="Arial"/>
                <w:b/>
                <w:sz w:val="14"/>
              </w:rPr>
              <w:t>H</w:t>
            </w:r>
          </w:p>
          <w:p w:rsidR="00091FA6" w:rsidRPr="002E0C7E" w:rsidRDefault="00091FA6" w:rsidP="004E6F86">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4E6F8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4E6F86">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4E6F86">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4E6F86">
            <w:pPr>
              <w:widowControl w:val="0"/>
              <w:jc w:val="center"/>
              <w:rPr>
                <w:rFonts w:ascii="Arial" w:hAnsi="Arial"/>
                <w:sz w:val="14"/>
              </w:rPr>
            </w:pPr>
            <w:r w:rsidRPr="002E0C7E">
              <w:rPr>
                <w:rFonts w:ascii="Arial" w:hAnsi="Arial"/>
                <w:b/>
                <w:sz w:val="14"/>
              </w:rPr>
              <w:t>JUNE - JUIN</w:t>
            </w:r>
          </w:p>
        </w:tc>
      </w:tr>
      <w:tr w:rsidR="00091FA6" w:rsidRPr="002E0C7E" w:rsidTr="004E6F86">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M</w:t>
            </w:r>
          </w:p>
          <w:p w:rsidR="00091FA6" w:rsidRPr="002E0C7E" w:rsidRDefault="00091FA6" w:rsidP="004E6F8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W</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F</w:t>
            </w:r>
          </w:p>
          <w:p w:rsidR="00091FA6" w:rsidRPr="002E0C7E" w:rsidRDefault="00091FA6" w:rsidP="004E6F8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M</w:t>
            </w:r>
          </w:p>
          <w:p w:rsidR="00091FA6" w:rsidRPr="002E0C7E" w:rsidRDefault="00091FA6" w:rsidP="004E6F8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W</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F</w:t>
            </w:r>
          </w:p>
          <w:p w:rsidR="00091FA6" w:rsidRPr="002E0C7E" w:rsidRDefault="00091FA6" w:rsidP="004E6F86">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M</w:t>
            </w:r>
          </w:p>
          <w:p w:rsidR="00091FA6" w:rsidRPr="002E0C7E" w:rsidRDefault="00091FA6" w:rsidP="004E6F86">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W</w:t>
            </w:r>
          </w:p>
          <w:p w:rsidR="00091FA6" w:rsidRPr="002E0C7E" w:rsidRDefault="00091FA6" w:rsidP="004E6F8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T</w:t>
            </w:r>
          </w:p>
          <w:p w:rsidR="00091FA6" w:rsidRPr="002E0C7E" w:rsidRDefault="00091FA6" w:rsidP="004E6F8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F</w:t>
            </w:r>
          </w:p>
          <w:p w:rsidR="00091FA6" w:rsidRPr="002E0C7E" w:rsidRDefault="00091FA6" w:rsidP="004E6F8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sidRPr="002E0C7E">
              <w:rPr>
                <w:rFonts w:ascii="Arial" w:hAnsi="Arial"/>
                <w:sz w:val="14"/>
              </w:rPr>
              <w:t>s</w:t>
            </w:r>
          </w:p>
          <w:p w:rsidR="00091FA6" w:rsidRPr="002E0C7E" w:rsidRDefault="00091FA6" w:rsidP="004E6F86">
            <w:pPr>
              <w:widowControl w:val="0"/>
              <w:jc w:val="center"/>
              <w:rPr>
                <w:rFonts w:ascii="Arial" w:hAnsi="Arial"/>
                <w:sz w:val="14"/>
              </w:rPr>
            </w:pPr>
            <w:r w:rsidRPr="002E0C7E">
              <w:rPr>
                <w:rFonts w:ascii="Arial" w:hAnsi="Arial"/>
                <w:sz w:val="14"/>
              </w:rPr>
              <w:t>s</w:t>
            </w:r>
          </w:p>
        </w:tc>
      </w:tr>
      <w:tr w:rsidR="00091FA6" w:rsidRPr="002E0C7E" w:rsidTr="004E6F86">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4E6F86">
            <w:pPr>
              <w:widowControl w:val="0"/>
              <w:jc w:val="center"/>
              <w:rPr>
                <w:rFonts w:ascii="Arial" w:hAnsi="Arial"/>
                <w:b/>
                <w:sz w:val="14"/>
              </w:rPr>
            </w:pPr>
            <w:r w:rsidRPr="002453E3">
              <w:rPr>
                <w:rFonts w:ascii="Arial" w:hAnsi="Arial"/>
                <w:b/>
                <w:sz w:val="14"/>
              </w:rPr>
              <w:t>H</w:t>
            </w:r>
          </w:p>
          <w:p w:rsidR="00091FA6" w:rsidRPr="002E0C7E" w:rsidRDefault="00091FA6" w:rsidP="004E6F8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b/>
                <w:sz w:val="14"/>
              </w:rPr>
            </w:pPr>
          </w:p>
          <w:p w:rsidR="00091FA6" w:rsidRPr="002E0C7E" w:rsidRDefault="00091FA6" w:rsidP="004E6F86">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w:t>
            </w:r>
          </w:p>
        </w:tc>
      </w:tr>
      <w:tr w:rsidR="00091FA6" w:rsidRPr="002E0C7E" w:rsidTr="004E6F86">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4E6F86">
            <w:pPr>
              <w:widowControl w:val="0"/>
              <w:jc w:val="center"/>
              <w:rPr>
                <w:rFonts w:ascii="Arial" w:hAnsi="Arial"/>
                <w:b/>
                <w:sz w:val="14"/>
              </w:rPr>
            </w:pPr>
          </w:p>
          <w:p w:rsidR="00091FA6" w:rsidRPr="002E0C7E" w:rsidRDefault="00091FA6" w:rsidP="004E6F8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8</w:t>
            </w:r>
          </w:p>
        </w:tc>
      </w:tr>
      <w:tr w:rsidR="00091FA6" w:rsidRPr="002E0C7E" w:rsidTr="004E6F86">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4E6F86">
            <w:pPr>
              <w:widowControl w:val="0"/>
              <w:jc w:val="center"/>
              <w:rPr>
                <w:rFonts w:ascii="Arial" w:hAnsi="Arial"/>
                <w:b/>
                <w:sz w:val="14"/>
              </w:rPr>
            </w:pPr>
            <w:r w:rsidRPr="00DB5777">
              <w:rPr>
                <w:rFonts w:ascii="Arial" w:hAnsi="Arial"/>
                <w:b/>
                <w:sz w:val="14"/>
              </w:rPr>
              <w:t>M</w:t>
            </w: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4E6F86">
            <w:pPr>
              <w:widowControl w:val="0"/>
              <w:jc w:val="center"/>
              <w:rPr>
                <w:rFonts w:ascii="Arial" w:hAnsi="Arial"/>
                <w:b/>
                <w:sz w:val="14"/>
              </w:rPr>
            </w:pPr>
            <w:r w:rsidRPr="002453E3">
              <w:rPr>
                <w:rFonts w:ascii="Arial" w:hAnsi="Arial"/>
                <w:b/>
                <w:sz w:val="14"/>
              </w:rPr>
              <w:t>M</w:t>
            </w: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4E6F86">
            <w:pPr>
              <w:widowControl w:val="0"/>
              <w:jc w:val="center"/>
              <w:rPr>
                <w:rFonts w:ascii="Arial" w:hAnsi="Arial"/>
                <w:b/>
                <w:sz w:val="14"/>
              </w:rPr>
            </w:pPr>
            <w:r w:rsidRPr="006A1E8D">
              <w:rPr>
                <w:rFonts w:ascii="Arial" w:hAnsi="Arial"/>
                <w:b/>
                <w:sz w:val="14"/>
              </w:rPr>
              <w:t>M</w:t>
            </w: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4E6F86">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4E6F86">
            <w:pPr>
              <w:widowControl w:val="0"/>
              <w:jc w:val="center"/>
              <w:rPr>
                <w:rFonts w:ascii="Arial" w:hAnsi="Arial"/>
                <w:b/>
                <w:sz w:val="14"/>
              </w:rPr>
            </w:pPr>
            <w:r>
              <w:rPr>
                <w:rFonts w:ascii="Arial" w:hAnsi="Arial"/>
                <w:b/>
                <w:sz w:val="14"/>
              </w:rPr>
              <w:t>H</w:t>
            </w: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4E6F86">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r>
              <w:rPr>
                <w:rFonts w:ascii="Arial" w:hAnsi="Arial"/>
                <w:sz w:val="14"/>
              </w:rPr>
              <w:t>23</w:t>
            </w:r>
          </w:p>
          <w:p w:rsidR="00091FA6" w:rsidRPr="002E0C7E" w:rsidRDefault="00091FA6" w:rsidP="004E6F86">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4E6F86">
            <w:pPr>
              <w:widowControl w:val="0"/>
              <w:jc w:val="center"/>
              <w:rPr>
                <w:rFonts w:ascii="Arial" w:hAnsi="Arial"/>
                <w:sz w:val="14"/>
              </w:rPr>
            </w:pPr>
          </w:p>
          <w:p w:rsidR="00091FA6" w:rsidRPr="002E0C7E" w:rsidRDefault="00091FA6" w:rsidP="004E6F86">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4E6F86">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4E6F86">
            <w:pPr>
              <w:widowControl w:val="0"/>
              <w:rPr>
                <w:rFonts w:ascii="Arial" w:hAnsi="Arial"/>
                <w:sz w:val="16"/>
              </w:rPr>
            </w:pPr>
            <w:r w:rsidRPr="002E0C7E">
              <w:rPr>
                <w:rFonts w:ascii="Arial" w:hAnsi="Arial"/>
                <w:sz w:val="16"/>
              </w:rPr>
              <w:t>Sittings of the court:</w:t>
            </w:r>
          </w:p>
          <w:p w:rsidR="00091FA6" w:rsidRPr="002E0C7E" w:rsidRDefault="00091FA6" w:rsidP="004E6F8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4E6F86">
            <w:pPr>
              <w:widowControl w:val="0"/>
              <w:rPr>
                <w:rFonts w:ascii="Arial" w:hAnsi="Arial"/>
                <w:sz w:val="16"/>
              </w:rPr>
            </w:pPr>
          </w:p>
          <w:p w:rsidR="00091FA6" w:rsidRPr="002E0C7E" w:rsidRDefault="00091FA6" w:rsidP="004E6F8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4E6F8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4E6F8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4E6F86">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4E6F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8"/>
      <w:footerReference w:type="default" r:id="rId49"/>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639" w:rsidRDefault="00010639" w:rsidP="00A87207">
      <w:r>
        <w:separator/>
      </w:r>
    </w:p>
  </w:endnote>
  <w:endnote w:type="continuationSeparator" w:id="0">
    <w:p w:rsidR="00010639" w:rsidRDefault="00010639"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pPr>
      <w:pStyle w:val="Footer"/>
      <w:rPr>
        <w:lang w:val="fr-CA"/>
      </w:rPr>
    </w:pPr>
    <w:r w:rsidRPr="00BE6ED8">
      <w:rPr>
        <w:lang w:val="fr-CA"/>
      </w:rPr>
      <w:pict>
        <v:rect id="_x0000_i1087" style="width:480.95pt;height:1pt" o:hralign="center" o:hrstd="t" o:hrnoshade="t" o:hr="t" fillcolor="black [3213]" stroked="f"/>
      </w:pict>
    </w:r>
  </w:p>
  <w:p w:rsidR="00010639" w:rsidRDefault="00010639" w:rsidP="00245129">
    <w:pPr>
      <w:tabs>
        <w:tab w:val="center" w:pos="4680"/>
      </w:tabs>
    </w:pPr>
    <w:r>
      <w:tab/>
    </w:r>
    <w:r w:rsidRPr="0009648D">
      <w:t xml:space="preserve">- </w:t>
    </w:r>
    <w:fldSimple w:instr=" PAGE   \* MERGEFORMAT ">
      <w:r w:rsidR="00EE654E">
        <w:rPr>
          <w:noProof/>
        </w:rPr>
        <w:t>644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0639"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0639" w:rsidRDefault="00010639">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rsidP="00755F22">
    <w:pPr>
      <w:tabs>
        <w:tab w:val="left" w:pos="-1440"/>
        <w:tab w:val="left" w:pos="-720"/>
      </w:tabs>
    </w:pPr>
    <w:r>
      <w:pict>
        <v:rect id="_x0000_i1090" style="width:480.95pt;height:1pt" o:hralign="center" o:hrstd="t" o:hrnoshade="t" o:hr="t" fillcolor="black [3213]" stroked="f"/>
      </w:pict>
    </w:r>
  </w:p>
  <w:p w:rsidR="00010639" w:rsidRDefault="00010639" w:rsidP="00EB2B90">
    <w:pPr>
      <w:tabs>
        <w:tab w:val="center" w:pos="4680"/>
      </w:tabs>
    </w:pPr>
    <w:r>
      <w:tab/>
      <w:t xml:space="preserve">- </w:t>
    </w:r>
    <w:fldSimple w:instr=" PAGE   \* MERGEFORMAT ">
      <w:r w:rsidR="00EE654E">
        <w:rPr>
          <w:noProof/>
        </w:rPr>
        <w:t>685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rsidP="00EB2B90">
    <w:pPr>
      <w:tabs>
        <w:tab w:val="center" w:pos="4680"/>
      </w:tabs>
    </w:pPr>
    <w:r>
      <w:pict>
        <v:rect id="_x0000_i1091" style="width:480.95pt;height:1pt" o:hralign="center" o:hrstd="t" o:hrnoshade="t" o:hr="t" fillcolor="black [3213]" stroked="f"/>
      </w:pict>
    </w:r>
  </w:p>
  <w:p w:rsidR="00010639" w:rsidRPr="0031432F" w:rsidRDefault="00010639" w:rsidP="00EB2B90">
    <w:pPr>
      <w:tabs>
        <w:tab w:val="center" w:pos="4680"/>
      </w:tabs>
    </w:pPr>
    <w:r>
      <w:tab/>
      <w:t xml:space="preserve">- </w:t>
    </w:r>
    <w:fldSimple w:instr=" PAGE   \* MERGEFORMAT ">
      <w:r w:rsidR="00EE654E">
        <w:rPr>
          <w:noProof/>
        </w:rPr>
        <w:t>684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0639"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0639" w:rsidRDefault="00010639">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E6ED8">
      <w:rPr>
        <w:lang w:val="fr-CA"/>
      </w:rPr>
      <w:pict>
        <v:rect id="_x0000_i1095" style="width:480.95pt;height:1pt" o:hralign="center" o:hrstd="t" o:hrnoshade="t" o:hr="t" fillcolor="black [3213]" stroked="f"/>
      </w:pict>
    </w:r>
  </w:p>
  <w:p w:rsidR="00010639" w:rsidRDefault="00010639"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pPr>
      <w:pStyle w:val="Footer"/>
      <w:rPr>
        <w:lang w:val="fr-CA"/>
      </w:rPr>
    </w:pPr>
    <w:r w:rsidRPr="00BE6ED8">
      <w:rPr>
        <w:lang w:val="fr-CA"/>
      </w:rPr>
      <w:pict>
        <v:rect id="_x0000_i1096" style="width:480.95pt;height:1pt" o:hralign="center" o:hrstd="t" o:hrnoshade="t" o:hr="t" fillcolor="black [3213]" stroked="f"/>
      </w:pict>
    </w:r>
  </w:p>
  <w:p w:rsidR="00010639" w:rsidRDefault="00010639" w:rsidP="00EB2B90">
    <w:pPr>
      <w:tabs>
        <w:tab w:val="center" w:pos="4680"/>
      </w:tabs>
    </w:pPr>
    <w:r>
      <w:tab/>
      <w:t xml:space="preserve">- </w:t>
    </w:r>
    <w:fldSimple w:instr=" PAGE   \* MERGEFORMAT ">
      <w:r w:rsidR="00EE654E">
        <w:rPr>
          <w:noProof/>
        </w:rPr>
        <w:t>686</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0639" w:rsidRDefault="000106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0639" w:rsidRDefault="00010639">
    <w:pPr>
      <w:widowControl w:val="0"/>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E6ED8">
      <w:rPr>
        <w:lang w:val="fr-CA"/>
      </w:rPr>
      <w:pict>
        <v:rect id="_x0000_i1099" style="width:480.95pt;height:1pt" o:hralign="center" o:hrstd="t" o:hrnoshade="t" o:hr="t" fillcolor="black [3213]" stroked="f"/>
      </w:pict>
    </w:r>
  </w:p>
  <w:p w:rsidR="00010639" w:rsidRDefault="00010639" w:rsidP="00697C62">
    <w:pPr>
      <w:tabs>
        <w:tab w:val="center" w:pos="4680"/>
      </w:tabs>
    </w:pPr>
    <w:r>
      <w:tab/>
      <w:t xml:space="preserve">- </w:t>
    </w:r>
    <w:r w:rsidR="00BE6ED8" w:rsidRPr="00B74FED">
      <w:rPr>
        <w:szCs w:val="24"/>
      </w:rPr>
      <w:fldChar w:fldCharType="begin"/>
    </w:r>
    <w:r w:rsidRPr="00B74FED">
      <w:rPr>
        <w:szCs w:val="24"/>
      </w:rPr>
      <w:instrText xml:space="preserve"> PAGE   \* MERGEFORMAT </w:instrText>
    </w:r>
    <w:r w:rsidR="00BE6ED8" w:rsidRPr="00B74FED">
      <w:rPr>
        <w:szCs w:val="24"/>
      </w:rPr>
      <w:fldChar w:fldCharType="separate"/>
    </w:r>
    <w:r>
      <w:rPr>
        <w:noProof/>
        <w:szCs w:val="24"/>
      </w:rPr>
      <w:t>668</w:t>
    </w:r>
    <w:r w:rsidR="00BE6ED8" w:rsidRPr="00B74FED">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rsidP="00802863">
    <w:pPr>
      <w:widowControl w:val="0"/>
      <w:tabs>
        <w:tab w:val="left" w:pos="-1440"/>
        <w:tab w:val="left" w:pos="-720"/>
      </w:tabs>
    </w:pPr>
    <w:r w:rsidRPr="00BE6ED8">
      <w:rPr>
        <w:lang w:val="fr-CA"/>
      </w:rPr>
      <w:pict>
        <v:rect id="_x0000_i1100" style="width:480.95pt;height:1pt" o:hralign="center" o:hrstd="t" o:hrnoshade="t" o:hr="t" fillcolor="black [3213]" stroked="f"/>
      </w:pict>
    </w:r>
  </w:p>
  <w:p w:rsidR="00010639" w:rsidRPr="00180897" w:rsidRDefault="00010639" w:rsidP="00697C62">
    <w:pPr>
      <w:tabs>
        <w:tab w:val="center" w:pos="4680"/>
      </w:tabs>
    </w:pPr>
    <w:r>
      <w:tab/>
      <w:t xml:space="preserve">- </w:t>
    </w:r>
    <w:r w:rsidR="00BE6ED8" w:rsidRPr="00B74FED">
      <w:rPr>
        <w:szCs w:val="24"/>
      </w:rPr>
      <w:fldChar w:fldCharType="begin"/>
    </w:r>
    <w:r w:rsidRPr="00B74FED">
      <w:rPr>
        <w:szCs w:val="24"/>
      </w:rPr>
      <w:instrText xml:space="preserve"> PAGE   \* MERGEFORMAT </w:instrText>
    </w:r>
    <w:r w:rsidR="00BE6ED8" w:rsidRPr="00B74FED">
      <w:rPr>
        <w:szCs w:val="24"/>
      </w:rPr>
      <w:fldChar w:fldCharType="separate"/>
    </w:r>
    <w:r w:rsidR="00EE654E">
      <w:rPr>
        <w:noProof/>
        <w:szCs w:val="24"/>
      </w:rPr>
      <w:t>687</w:t>
    </w:r>
    <w:r w:rsidR="00BE6ED8" w:rsidRPr="00B74FED">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Pr="00924065" w:rsidRDefault="00010639"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rsidP="00A87207">
    <w:pPr>
      <w:pStyle w:val="Footer"/>
    </w:pPr>
    <w:r>
      <w:pict>
        <v:rect id="_x0000_i1041" style="width:480.95pt;height:1pt" o:hralign="center" o:hrstd="t" o:hrnoshade="t" o:hr="t" fillcolor="black [3213]" stroked="f"/>
      </w:pict>
    </w:r>
  </w:p>
  <w:p w:rsidR="00010639" w:rsidRPr="00B7374B" w:rsidRDefault="00010639" w:rsidP="00B7374B">
    <w:pPr>
      <w:tabs>
        <w:tab w:val="center" w:pos="4680"/>
      </w:tabs>
      <w:rPr>
        <w:szCs w:val="24"/>
      </w:rPr>
    </w:pPr>
    <w:r w:rsidRPr="00954D22">
      <w:rPr>
        <w:szCs w:val="24"/>
      </w:rPr>
      <w:tab/>
      <w:t xml:space="preserve">- </w:t>
    </w:r>
    <w:r w:rsidR="00BE6ED8" w:rsidRPr="00954D22">
      <w:rPr>
        <w:szCs w:val="24"/>
      </w:rPr>
      <w:fldChar w:fldCharType="begin"/>
    </w:r>
    <w:r w:rsidRPr="00954D22">
      <w:rPr>
        <w:szCs w:val="24"/>
      </w:rPr>
      <w:instrText xml:space="preserve"> PAGE   \* MERGEFORMAT </w:instrText>
    </w:r>
    <w:r w:rsidR="00BE6ED8" w:rsidRPr="00954D22">
      <w:rPr>
        <w:szCs w:val="24"/>
      </w:rPr>
      <w:fldChar w:fldCharType="separate"/>
    </w:r>
    <w:r w:rsidR="00EE654E">
      <w:rPr>
        <w:noProof/>
        <w:szCs w:val="24"/>
      </w:rPr>
      <w:t>642</w:t>
    </w:r>
    <w:r w:rsidR="00BE6ED8"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rsidP="00755F22">
    <w:pPr>
      <w:tabs>
        <w:tab w:val="left" w:pos="-1440"/>
        <w:tab w:val="left" w:pos="-720"/>
      </w:tabs>
    </w:pPr>
    <w:r>
      <w:pict>
        <v:rect id="_x0000_i1042" style="width:480.95pt;height:1pt" o:hralign="center" o:hrstd="t" o:hrnoshade="t" o:hr="t" fillcolor="black [3213]" stroked="f"/>
      </w:pict>
    </w:r>
  </w:p>
  <w:p w:rsidR="00010639" w:rsidRPr="00954D22" w:rsidRDefault="00010639" w:rsidP="00B7374B">
    <w:pPr>
      <w:tabs>
        <w:tab w:val="center" w:pos="4680"/>
      </w:tabs>
      <w:rPr>
        <w:szCs w:val="24"/>
      </w:rPr>
    </w:pPr>
    <w:r w:rsidRPr="00954D22">
      <w:rPr>
        <w:szCs w:val="24"/>
      </w:rPr>
      <w:tab/>
      <w:t xml:space="preserve">- </w:t>
    </w:r>
    <w:r w:rsidR="00BE6ED8">
      <w:rPr>
        <w:szCs w:val="24"/>
      </w:rPr>
      <w:fldChar w:fldCharType="begin"/>
    </w:r>
    <w:r>
      <w:rPr>
        <w:szCs w:val="24"/>
      </w:rPr>
      <w:instrText xml:space="preserve"> PAGE   \* MERGEFORMAT </w:instrText>
    </w:r>
    <w:r w:rsidR="00BE6ED8">
      <w:rPr>
        <w:szCs w:val="24"/>
      </w:rPr>
      <w:fldChar w:fldCharType="separate"/>
    </w:r>
    <w:r w:rsidR="00EE654E">
      <w:rPr>
        <w:noProof/>
        <w:szCs w:val="24"/>
      </w:rPr>
      <w:t>641</w:t>
    </w:r>
    <w:r w:rsidR="00BE6ED8">
      <w:rPr>
        <w:szCs w:val="24"/>
      </w:rPr>
      <w:fldChar w:fldCharType="end"/>
    </w:r>
    <w:r w:rsidRPr="00954D22">
      <w:rPr>
        <w:szCs w:val="24"/>
      </w:rPr>
      <w:t xml:space="preserve"> -</w:t>
    </w:r>
  </w:p>
  <w:p w:rsidR="00010639" w:rsidRDefault="0001063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rsidP="00A87207">
    <w:pPr>
      <w:pStyle w:val="Footer"/>
    </w:pPr>
    <w:r>
      <w:pict>
        <v:rect id="_x0000_i1044" style="width:480.95pt;height:1pt" o:hralign="center" o:hrstd="t" o:hrnoshade="t" o:hr="t" fillcolor="black [3213]" stroked="f"/>
      </w:pict>
    </w:r>
  </w:p>
  <w:p w:rsidR="00010639" w:rsidRPr="00B7374B" w:rsidRDefault="00010639" w:rsidP="00B7374B">
    <w:pPr>
      <w:tabs>
        <w:tab w:val="center" w:pos="4680"/>
      </w:tabs>
      <w:rPr>
        <w:szCs w:val="24"/>
      </w:rPr>
    </w:pPr>
    <w:r w:rsidRPr="00954D22">
      <w:rPr>
        <w:szCs w:val="24"/>
      </w:rPr>
      <w:tab/>
      <w:t xml:space="preserve">- </w:t>
    </w:r>
    <w:r w:rsidR="00BE6ED8" w:rsidRPr="00954D22">
      <w:rPr>
        <w:szCs w:val="24"/>
      </w:rPr>
      <w:fldChar w:fldCharType="begin"/>
    </w:r>
    <w:r w:rsidRPr="00954D22">
      <w:rPr>
        <w:szCs w:val="24"/>
      </w:rPr>
      <w:instrText xml:space="preserve"> PAGE   \* MERGEFORMAT </w:instrText>
    </w:r>
    <w:r w:rsidR="00BE6ED8" w:rsidRPr="00954D22">
      <w:rPr>
        <w:szCs w:val="24"/>
      </w:rPr>
      <w:fldChar w:fldCharType="separate"/>
    </w:r>
    <w:r>
      <w:rPr>
        <w:noProof/>
        <w:szCs w:val="24"/>
      </w:rPr>
      <w:t>644</w:t>
    </w:r>
    <w:r w:rsidR="00BE6ED8"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010639" w:rsidRPr="00954D22" w:rsidRDefault="00010639" w:rsidP="00B7374B">
    <w:pPr>
      <w:tabs>
        <w:tab w:val="center" w:pos="4680"/>
      </w:tabs>
      <w:rPr>
        <w:szCs w:val="24"/>
      </w:rPr>
    </w:pPr>
    <w:r w:rsidRPr="00954D22">
      <w:rPr>
        <w:szCs w:val="24"/>
      </w:rPr>
      <w:tab/>
      <w:t xml:space="preserve">- </w:t>
    </w:r>
    <w:r w:rsidR="00BE6ED8" w:rsidRPr="00954D22">
      <w:rPr>
        <w:szCs w:val="24"/>
      </w:rPr>
      <w:fldChar w:fldCharType="begin"/>
    </w:r>
    <w:r w:rsidRPr="00954D22">
      <w:rPr>
        <w:szCs w:val="24"/>
      </w:rPr>
      <w:instrText xml:space="preserve"> PAGE   \* MERGEFORMAT </w:instrText>
    </w:r>
    <w:r w:rsidR="00BE6ED8" w:rsidRPr="00954D22">
      <w:rPr>
        <w:szCs w:val="24"/>
      </w:rPr>
      <w:fldChar w:fldCharType="separate"/>
    </w:r>
    <w:r w:rsidR="00EE654E">
      <w:rPr>
        <w:noProof/>
        <w:szCs w:val="24"/>
      </w:rPr>
      <w:t>643</w:t>
    </w:r>
    <w:r w:rsidR="00BE6ED8"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10639"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0639" w:rsidRDefault="00010639">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BE6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E6ED8">
      <w:rPr>
        <w:lang w:val="fr-CA"/>
      </w:rPr>
      <w:pict>
        <v:rect id="_x0000_i1086" style="width:480.95pt;height:1pt" o:hralign="center" o:hrstd="t" o:hrnoshade="t" o:hr="t" fillcolor="black [3213]" stroked="f"/>
      </w:pict>
    </w:r>
  </w:p>
  <w:p w:rsidR="00010639" w:rsidRPr="0009648D" w:rsidRDefault="00010639" w:rsidP="00ED7E83">
    <w:pPr>
      <w:tabs>
        <w:tab w:val="center" w:pos="4680"/>
      </w:tabs>
    </w:pPr>
    <w:r>
      <w:tab/>
    </w:r>
    <w:r w:rsidRPr="0009648D">
      <w:t xml:space="preserve">- </w:t>
    </w:r>
    <w:fldSimple w:instr=" PAGE   \* MERGEFORMAT ">
      <w:r w:rsidR="00EE654E">
        <w:rPr>
          <w:noProof/>
        </w:rPr>
        <w:t>683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639" w:rsidRDefault="00010639" w:rsidP="00A87207">
      <w:r>
        <w:separator/>
      </w:r>
    </w:p>
  </w:footnote>
  <w:footnote w:type="continuationSeparator" w:id="0">
    <w:p w:rsidR="00010639" w:rsidRDefault="00010639"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10639">
      <w:tc>
        <w:tcPr>
          <w:tcW w:w="4230" w:type="dxa"/>
          <w:tcMar>
            <w:left w:w="0" w:type="dxa"/>
            <w:right w:w="0" w:type="dxa"/>
          </w:tcMar>
        </w:tcPr>
        <w:p w:rsidR="00010639" w:rsidRDefault="000106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10639" w:rsidRDefault="000106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0639" w:rsidRDefault="000106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10639">
      <w:trPr>
        <w:gridAfter w:val="2"/>
        <w:wAfter w:w="5250" w:type="dxa"/>
      </w:trPr>
      <w:tc>
        <w:tcPr>
          <w:tcW w:w="4230" w:type="dxa"/>
          <w:tcMar>
            <w:left w:w="0" w:type="dxa"/>
            <w:right w:w="0" w:type="dxa"/>
          </w:tcMar>
        </w:tcPr>
        <w:p w:rsidR="00010639"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10639"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10639" w:rsidRPr="00755F22" w:rsidTr="00245129">
      <w:tc>
        <w:tcPr>
          <w:tcW w:w="4230" w:type="dxa"/>
          <w:tcMar>
            <w:left w:w="0" w:type="dxa"/>
            <w:right w:w="0" w:type="dxa"/>
          </w:tcMar>
        </w:tcPr>
        <w:p w:rsidR="00010639" w:rsidRPr="00755F22" w:rsidRDefault="00010639" w:rsidP="00831CA9">
          <w:pPr>
            <w:keepNext/>
            <w:keepLines/>
            <w:rPr>
              <w:sz w:val="20"/>
              <w:szCs w:val="20"/>
            </w:rPr>
          </w:pPr>
          <w:r w:rsidRPr="00755F22">
            <w:rPr>
              <w:sz w:val="20"/>
              <w:szCs w:val="20"/>
            </w:rPr>
            <w:t>MOTIONS</w:t>
          </w:r>
        </w:p>
      </w:tc>
      <w:tc>
        <w:tcPr>
          <w:tcW w:w="1170" w:type="dxa"/>
          <w:tcMar>
            <w:left w:w="0" w:type="dxa"/>
            <w:right w:w="0" w:type="dxa"/>
          </w:tcMar>
        </w:tcPr>
        <w:p w:rsidR="00010639" w:rsidRPr="00755F22" w:rsidRDefault="00010639" w:rsidP="00831CA9">
          <w:pPr>
            <w:keepLines/>
            <w:jc w:val="center"/>
            <w:rPr>
              <w:sz w:val="20"/>
              <w:szCs w:val="20"/>
            </w:rPr>
          </w:pPr>
        </w:p>
        <w:p w:rsidR="00010639" w:rsidRPr="00755F22" w:rsidRDefault="00010639" w:rsidP="00831CA9">
          <w:pPr>
            <w:keepLines/>
            <w:tabs>
              <w:tab w:val="left" w:pos="-1440"/>
              <w:tab w:val="left" w:pos="-720"/>
            </w:tabs>
            <w:jc w:val="center"/>
            <w:rPr>
              <w:sz w:val="20"/>
              <w:szCs w:val="20"/>
            </w:rPr>
          </w:pPr>
        </w:p>
      </w:tc>
      <w:tc>
        <w:tcPr>
          <w:tcW w:w="4080" w:type="dxa"/>
          <w:tcMar>
            <w:left w:w="0" w:type="dxa"/>
            <w:right w:w="0" w:type="dxa"/>
          </w:tcMar>
        </w:tcPr>
        <w:p w:rsidR="00010639" w:rsidRPr="00BA6468" w:rsidRDefault="00010639" w:rsidP="00BA6468">
          <w:pPr>
            <w:keepLines/>
            <w:rPr>
              <w:sz w:val="20"/>
              <w:szCs w:val="20"/>
              <w:lang w:val="fr-CA"/>
            </w:rPr>
          </w:pPr>
          <w:r w:rsidRPr="00BA6468">
            <w:rPr>
              <w:sz w:val="20"/>
              <w:szCs w:val="20"/>
              <w:lang w:val="fr-CA"/>
            </w:rPr>
            <w:t>REQUÊTES</w:t>
          </w:r>
        </w:p>
      </w:tc>
    </w:tr>
  </w:tbl>
  <w:p w:rsidR="00010639" w:rsidRDefault="00010639"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10639" w:rsidRPr="00D87B4B">
      <w:tc>
        <w:tcPr>
          <w:tcW w:w="4200" w:type="dxa"/>
          <w:tcMar>
            <w:left w:w="0" w:type="dxa"/>
            <w:right w:w="0" w:type="dxa"/>
          </w:tcMar>
        </w:tcPr>
        <w:p w:rsidR="00010639" w:rsidRDefault="000106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10639" w:rsidRDefault="000106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0639" w:rsidRPr="00B01A03" w:rsidRDefault="000106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10639" w:rsidRPr="00B01A03"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10639" w:rsidRPr="00B01A03"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010639" w:rsidRPr="00D87B4B" w:rsidTr="00245129">
      <w:tc>
        <w:tcPr>
          <w:tcW w:w="4200" w:type="dxa"/>
          <w:tcMar>
            <w:left w:w="0" w:type="dxa"/>
            <w:right w:w="0" w:type="dxa"/>
          </w:tcMar>
        </w:tcPr>
        <w:p w:rsidR="00010639" w:rsidRPr="00F40249" w:rsidRDefault="0001063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10639" w:rsidRDefault="00010639" w:rsidP="00102926">
          <w:pPr>
            <w:keepNext/>
            <w:keepLines/>
            <w:tabs>
              <w:tab w:val="left" w:pos="-1440"/>
              <w:tab w:val="left" w:pos="-720"/>
            </w:tabs>
            <w:jc w:val="center"/>
            <w:rPr>
              <w:sz w:val="20"/>
              <w:szCs w:val="20"/>
            </w:rPr>
          </w:pPr>
        </w:p>
        <w:p w:rsidR="00010639" w:rsidRDefault="00010639" w:rsidP="00102926">
          <w:pPr>
            <w:keepNext/>
            <w:keepLines/>
            <w:tabs>
              <w:tab w:val="left" w:pos="-1440"/>
              <w:tab w:val="left" w:pos="-720"/>
            </w:tabs>
            <w:jc w:val="center"/>
            <w:rPr>
              <w:sz w:val="20"/>
              <w:szCs w:val="20"/>
            </w:rPr>
          </w:pPr>
        </w:p>
        <w:p w:rsidR="00010639" w:rsidRPr="00F40249" w:rsidRDefault="00010639" w:rsidP="00102926">
          <w:pPr>
            <w:keepNext/>
            <w:keepLines/>
            <w:tabs>
              <w:tab w:val="left" w:pos="-1440"/>
              <w:tab w:val="left" w:pos="-720"/>
            </w:tabs>
            <w:jc w:val="center"/>
            <w:rPr>
              <w:sz w:val="20"/>
              <w:szCs w:val="20"/>
            </w:rPr>
          </w:pPr>
        </w:p>
      </w:tc>
      <w:tc>
        <w:tcPr>
          <w:tcW w:w="4230" w:type="dxa"/>
          <w:tcMar>
            <w:left w:w="0" w:type="dxa"/>
            <w:right w:w="0" w:type="dxa"/>
          </w:tcMar>
        </w:tcPr>
        <w:p w:rsidR="00010639" w:rsidRPr="00F40249" w:rsidRDefault="0001063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10639" w:rsidRPr="00B01A03" w:rsidRDefault="0001063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10639" w:rsidRPr="00D87B4B">
      <w:tc>
        <w:tcPr>
          <w:tcW w:w="4200" w:type="dxa"/>
          <w:tcMar>
            <w:left w:w="0" w:type="dxa"/>
            <w:right w:w="0" w:type="dxa"/>
          </w:tcMar>
        </w:tcPr>
        <w:p w:rsidR="00010639" w:rsidRDefault="0001063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010639" w:rsidRDefault="0001063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010639" w:rsidRDefault="0001063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0639" w:rsidRPr="009256DC" w:rsidRDefault="0001063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010639" w:rsidRPr="009256DC" w:rsidRDefault="000106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10639" w:rsidRPr="009256DC" w:rsidRDefault="000106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10639" w:rsidRPr="00D87B4B" w:rsidTr="00245129">
      <w:tc>
        <w:tcPr>
          <w:tcW w:w="4200" w:type="dxa"/>
          <w:tcMar>
            <w:left w:w="0" w:type="dxa"/>
            <w:right w:w="0" w:type="dxa"/>
          </w:tcMar>
        </w:tcPr>
        <w:p w:rsidR="00010639" w:rsidRPr="00802863" w:rsidRDefault="00010639"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010639" w:rsidRPr="00802863" w:rsidRDefault="00010639" w:rsidP="00802863">
          <w:pPr>
            <w:keepNext/>
            <w:keepLines/>
            <w:widowControl w:val="0"/>
            <w:tabs>
              <w:tab w:val="left" w:pos="-1440"/>
              <w:tab w:val="left" w:pos="-720"/>
            </w:tabs>
            <w:jc w:val="center"/>
            <w:rPr>
              <w:sz w:val="20"/>
              <w:szCs w:val="20"/>
            </w:rPr>
          </w:pPr>
        </w:p>
        <w:p w:rsidR="00010639" w:rsidRPr="00802863" w:rsidRDefault="00010639" w:rsidP="00802863">
          <w:pPr>
            <w:keepNext/>
            <w:keepLines/>
            <w:widowControl w:val="0"/>
            <w:tabs>
              <w:tab w:val="left" w:pos="-1440"/>
              <w:tab w:val="left" w:pos="-720"/>
            </w:tabs>
            <w:jc w:val="center"/>
            <w:rPr>
              <w:sz w:val="20"/>
              <w:szCs w:val="20"/>
            </w:rPr>
          </w:pPr>
        </w:p>
        <w:p w:rsidR="00010639" w:rsidRPr="00802863" w:rsidRDefault="00010639"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010639" w:rsidRPr="00802863" w:rsidRDefault="00010639"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010639" w:rsidRPr="009256DC" w:rsidRDefault="00010639"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10639" w:rsidRPr="0044776A" w:rsidTr="00245129">
      <w:tc>
        <w:tcPr>
          <w:tcW w:w="4290" w:type="dxa"/>
          <w:tcMar>
            <w:left w:w="0" w:type="dxa"/>
            <w:right w:w="0" w:type="dxa"/>
          </w:tcMar>
        </w:tcPr>
        <w:p w:rsidR="00010639" w:rsidRPr="0044776A" w:rsidRDefault="0001063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10639" w:rsidRPr="0044776A" w:rsidRDefault="00010639" w:rsidP="002E2327">
          <w:pPr>
            <w:keepNext/>
            <w:keepLines/>
            <w:tabs>
              <w:tab w:val="left" w:pos="-1440"/>
              <w:tab w:val="left" w:pos="-720"/>
            </w:tabs>
            <w:jc w:val="center"/>
            <w:rPr>
              <w:sz w:val="20"/>
              <w:szCs w:val="20"/>
            </w:rPr>
          </w:pPr>
        </w:p>
        <w:p w:rsidR="00010639" w:rsidRPr="0044776A" w:rsidRDefault="00010639" w:rsidP="002E2327">
          <w:pPr>
            <w:keepNext/>
            <w:keepLines/>
            <w:tabs>
              <w:tab w:val="left" w:pos="-1440"/>
              <w:tab w:val="left" w:pos="-720"/>
            </w:tabs>
            <w:jc w:val="center"/>
            <w:rPr>
              <w:sz w:val="20"/>
              <w:szCs w:val="20"/>
            </w:rPr>
          </w:pPr>
        </w:p>
        <w:p w:rsidR="00010639" w:rsidRPr="0044776A" w:rsidRDefault="00010639" w:rsidP="002E2327">
          <w:pPr>
            <w:keepNext/>
            <w:keepLines/>
            <w:tabs>
              <w:tab w:val="left" w:pos="-1440"/>
              <w:tab w:val="left" w:pos="-720"/>
            </w:tabs>
            <w:jc w:val="center"/>
            <w:rPr>
              <w:sz w:val="20"/>
              <w:szCs w:val="20"/>
            </w:rPr>
          </w:pPr>
        </w:p>
      </w:tc>
      <w:tc>
        <w:tcPr>
          <w:tcW w:w="4320" w:type="dxa"/>
          <w:tcMar>
            <w:left w:w="0" w:type="dxa"/>
            <w:right w:w="0" w:type="dxa"/>
          </w:tcMar>
        </w:tcPr>
        <w:p w:rsidR="00010639" w:rsidRPr="0044776A" w:rsidRDefault="00010639" w:rsidP="002E2327">
          <w:pPr>
            <w:keepLines/>
            <w:rPr>
              <w:sz w:val="20"/>
              <w:szCs w:val="20"/>
              <w:lang w:val="fr-CA"/>
            </w:rPr>
          </w:pPr>
          <w:r w:rsidRPr="0044776A">
            <w:rPr>
              <w:sz w:val="20"/>
              <w:szCs w:val="20"/>
              <w:lang w:val="fr-CA"/>
            </w:rPr>
            <w:t>DEMANDES D'AUTORISATION D'APPEL DÉPOSÉES</w:t>
          </w:r>
        </w:p>
      </w:tc>
    </w:tr>
  </w:tbl>
  <w:p w:rsidR="00010639" w:rsidRDefault="0001063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10639" w:rsidRPr="00D87B4B" w:rsidTr="00245129">
      <w:tc>
        <w:tcPr>
          <w:tcW w:w="4200" w:type="dxa"/>
          <w:tcMar>
            <w:left w:w="0" w:type="dxa"/>
            <w:right w:w="0" w:type="dxa"/>
          </w:tcMar>
        </w:tcPr>
        <w:p w:rsidR="00010639" w:rsidRPr="0044776A" w:rsidRDefault="00010639" w:rsidP="0044776A">
          <w:pPr>
            <w:keepNext/>
            <w:keepLines/>
            <w:widowControl w:val="0"/>
            <w:rPr>
              <w:sz w:val="20"/>
              <w:szCs w:val="20"/>
            </w:rPr>
          </w:pPr>
          <w:r>
            <w:rPr>
              <w:sz w:val="20"/>
              <w:szCs w:val="20"/>
            </w:rPr>
            <w:t>APPLICATIONS FOR LEAVE</w:t>
          </w:r>
        </w:p>
        <w:p w:rsidR="00010639" w:rsidRPr="0044776A" w:rsidRDefault="0001063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10639" w:rsidRPr="0044776A" w:rsidRDefault="00010639" w:rsidP="0044776A">
          <w:pPr>
            <w:keepNext/>
            <w:keepLines/>
            <w:widowControl w:val="0"/>
            <w:jc w:val="center"/>
            <w:rPr>
              <w:sz w:val="20"/>
              <w:szCs w:val="20"/>
            </w:rPr>
          </w:pPr>
        </w:p>
        <w:p w:rsidR="00010639" w:rsidRPr="0044776A" w:rsidRDefault="00010639" w:rsidP="0044776A">
          <w:pPr>
            <w:keepNext/>
            <w:keepLines/>
            <w:widowControl w:val="0"/>
            <w:jc w:val="center"/>
            <w:rPr>
              <w:sz w:val="20"/>
              <w:szCs w:val="20"/>
            </w:rPr>
          </w:pPr>
        </w:p>
        <w:p w:rsidR="00010639" w:rsidRPr="0044776A" w:rsidRDefault="00010639" w:rsidP="0044776A">
          <w:pPr>
            <w:keepNext/>
            <w:keepLines/>
            <w:widowControl w:val="0"/>
            <w:jc w:val="center"/>
            <w:rPr>
              <w:sz w:val="20"/>
              <w:szCs w:val="20"/>
            </w:rPr>
          </w:pPr>
        </w:p>
      </w:tc>
      <w:tc>
        <w:tcPr>
          <w:tcW w:w="4080" w:type="dxa"/>
          <w:tcMar>
            <w:left w:w="0" w:type="dxa"/>
            <w:right w:w="0" w:type="dxa"/>
          </w:tcMar>
        </w:tcPr>
        <w:p w:rsidR="00010639" w:rsidRPr="0044776A" w:rsidRDefault="00010639" w:rsidP="0044776A">
          <w:pPr>
            <w:keepLines/>
            <w:widowControl w:val="0"/>
            <w:rPr>
              <w:sz w:val="20"/>
              <w:szCs w:val="20"/>
              <w:lang w:val="fr-CA"/>
            </w:rPr>
          </w:pPr>
          <w:r w:rsidRPr="0044776A">
            <w:rPr>
              <w:sz w:val="20"/>
              <w:szCs w:val="20"/>
              <w:lang w:val="fr-CA"/>
            </w:rPr>
            <w:t>DEMANDES SOUMISES À LA COUR DEPUIS LA DERNIÈRE PARUTION</w:t>
          </w:r>
        </w:p>
        <w:p w:rsidR="00010639" w:rsidRPr="0044776A" w:rsidRDefault="00010639" w:rsidP="0044776A">
          <w:pPr>
            <w:widowControl w:val="0"/>
            <w:rPr>
              <w:sz w:val="20"/>
              <w:szCs w:val="20"/>
              <w:lang w:val="fr-CA"/>
            </w:rPr>
          </w:pPr>
        </w:p>
      </w:tc>
    </w:tr>
  </w:tbl>
  <w:p w:rsidR="00010639" w:rsidRPr="002E2327" w:rsidRDefault="00010639">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39" w:rsidRDefault="0001063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10639" w:rsidRPr="00D87B4B">
      <w:tc>
        <w:tcPr>
          <w:tcW w:w="4200" w:type="dxa"/>
          <w:tcMar>
            <w:left w:w="0" w:type="dxa"/>
            <w:right w:w="0" w:type="dxa"/>
          </w:tcMar>
        </w:tcPr>
        <w:p w:rsidR="00010639" w:rsidRDefault="000106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10639" w:rsidRDefault="000106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10639" w:rsidRDefault="000106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0639" w:rsidRPr="00FF6BA5" w:rsidRDefault="000106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10639" w:rsidRPr="00FF6BA5"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10639" w:rsidRPr="00FF6BA5"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10639" w:rsidRPr="00FF6BA5" w:rsidRDefault="00010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10639" w:rsidRPr="00D87B4B" w:rsidTr="00245129">
      <w:tc>
        <w:tcPr>
          <w:tcW w:w="4200" w:type="dxa"/>
          <w:tcMar>
            <w:left w:w="0" w:type="dxa"/>
            <w:right w:w="0" w:type="dxa"/>
          </w:tcMar>
        </w:tcPr>
        <w:p w:rsidR="00010639" w:rsidRPr="00755F22" w:rsidRDefault="000106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10639" w:rsidRPr="00755F22" w:rsidRDefault="000106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10639" w:rsidRPr="00755F22" w:rsidRDefault="0001063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10639" w:rsidRPr="00755F22" w:rsidRDefault="0001063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10639" w:rsidRPr="00755F22" w:rsidRDefault="0001063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10639" w:rsidRPr="00755F22" w:rsidRDefault="000106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10639" w:rsidRPr="00FF6BA5" w:rsidRDefault="00010639"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6093"/>
  </w:hdrShapeDefaults>
  <w:footnotePr>
    <w:footnote w:id="-1"/>
    <w:footnote w:id="0"/>
  </w:footnotePr>
  <w:endnotePr>
    <w:endnote w:id="-1"/>
    <w:endnote w:id="0"/>
  </w:endnotePr>
  <w:compat/>
  <w:rsids>
    <w:rsidRoot w:val="003515AA"/>
    <w:rsid w:val="00010639"/>
    <w:rsid w:val="0003223B"/>
    <w:rsid w:val="000327B2"/>
    <w:rsid w:val="00042BE6"/>
    <w:rsid w:val="0006705A"/>
    <w:rsid w:val="00091FA6"/>
    <w:rsid w:val="00096BD9"/>
    <w:rsid w:val="000B3C9A"/>
    <w:rsid w:val="000B40A2"/>
    <w:rsid w:val="000B4624"/>
    <w:rsid w:val="000C0ACD"/>
    <w:rsid w:val="000C3DE6"/>
    <w:rsid w:val="000C7850"/>
    <w:rsid w:val="000E7C0E"/>
    <w:rsid w:val="001019A8"/>
    <w:rsid w:val="00102926"/>
    <w:rsid w:val="0010587F"/>
    <w:rsid w:val="00111C6B"/>
    <w:rsid w:val="0012102B"/>
    <w:rsid w:val="0013369E"/>
    <w:rsid w:val="001344EA"/>
    <w:rsid w:val="00164E6D"/>
    <w:rsid w:val="00195714"/>
    <w:rsid w:val="001A7CE8"/>
    <w:rsid w:val="001B157C"/>
    <w:rsid w:val="001B5C23"/>
    <w:rsid w:val="001C3063"/>
    <w:rsid w:val="001D0D5F"/>
    <w:rsid w:val="001D6B8C"/>
    <w:rsid w:val="001E02AF"/>
    <w:rsid w:val="001F1F83"/>
    <w:rsid w:val="002021A9"/>
    <w:rsid w:val="002139A7"/>
    <w:rsid w:val="00215F7C"/>
    <w:rsid w:val="0022323B"/>
    <w:rsid w:val="00236632"/>
    <w:rsid w:val="002410B8"/>
    <w:rsid w:val="00242AEE"/>
    <w:rsid w:val="00245129"/>
    <w:rsid w:val="00245879"/>
    <w:rsid w:val="00266692"/>
    <w:rsid w:val="00267FD5"/>
    <w:rsid w:val="00274D34"/>
    <w:rsid w:val="002841B0"/>
    <w:rsid w:val="002868D0"/>
    <w:rsid w:val="002A27D1"/>
    <w:rsid w:val="002A4AFA"/>
    <w:rsid w:val="002B516C"/>
    <w:rsid w:val="002D72EB"/>
    <w:rsid w:val="002E2327"/>
    <w:rsid w:val="002E3583"/>
    <w:rsid w:val="002E5576"/>
    <w:rsid w:val="00331B52"/>
    <w:rsid w:val="003359D3"/>
    <w:rsid w:val="00347F72"/>
    <w:rsid w:val="003515AA"/>
    <w:rsid w:val="00355967"/>
    <w:rsid w:val="00372EAB"/>
    <w:rsid w:val="00382C47"/>
    <w:rsid w:val="00384384"/>
    <w:rsid w:val="003866AE"/>
    <w:rsid w:val="003B3977"/>
    <w:rsid w:val="003B3E0C"/>
    <w:rsid w:val="003F1AAC"/>
    <w:rsid w:val="00432989"/>
    <w:rsid w:val="004379D7"/>
    <w:rsid w:val="00440E24"/>
    <w:rsid w:val="0044776A"/>
    <w:rsid w:val="00454067"/>
    <w:rsid w:val="00460AFC"/>
    <w:rsid w:val="0047471F"/>
    <w:rsid w:val="004822FC"/>
    <w:rsid w:val="004A0323"/>
    <w:rsid w:val="004B195E"/>
    <w:rsid w:val="004B3987"/>
    <w:rsid w:val="004B66B4"/>
    <w:rsid w:val="004B7F60"/>
    <w:rsid w:val="004C1AAC"/>
    <w:rsid w:val="004E1E0A"/>
    <w:rsid w:val="004E6F86"/>
    <w:rsid w:val="004F090E"/>
    <w:rsid w:val="00500EC3"/>
    <w:rsid w:val="00527CC7"/>
    <w:rsid w:val="00571CA4"/>
    <w:rsid w:val="00580B56"/>
    <w:rsid w:val="00582136"/>
    <w:rsid w:val="005B50FB"/>
    <w:rsid w:val="005C6840"/>
    <w:rsid w:val="005F263E"/>
    <w:rsid w:val="005F6337"/>
    <w:rsid w:val="00600252"/>
    <w:rsid w:val="00612A40"/>
    <w:rsid w:val="0062714A"/>
    <w:rsid w:val="0063249A"/>
    <w:rsid w:val="00675479"/>
    <w:rsid w:val="00680709"/>
    <w:rsid w:val="00692BDF"/>
    <w:rsid w:val="00696BF9"/>
    <w:rsid w:val="00697C62"/>
    <w:rsid w:val="006A0B3A"/>
    <w:rsid w:val="006A329B"/>
    <w:rsid w:val="006A7EB8"/>
    <w:rsid w:val="006B6926"/>
    <w:rsid w:val="006C3F47"/>
    <w:rsid w:val="006C5F7A"/>
    <w:rsid w:val="006E06AF"/>
    <w:rsid w:val="006F350F"/>
    <w:rsid w:val="00732DB7"/>
    <w:rsid w:val="0074238B"/>
    <w:rsid w:val="00745EF7"/>
    <w:rsid w:val="00755F22"/>
    <w:rsid w:val="00766E4A"/>
    <w:rsid w:val="007820CE"/>
    <w:rsid w:val="00782AE4"/>
    <w:rsid w:val="00794A95"/>
    <w:rsid w:val="0079724F"/>
    <w:rsid w:val="007A3EAE"/>
    <w:rsid w:val="007C04FC"/>
    <w:rsid w:val="007D3E0F"/>
    <w:rsid w:val="007E4282"/>
    <w:rsid w:val="007F387B"/>
    <w:rsid w:val="00802863"/>
    <w:rsid w:val="0080547A"/>
    <w:rsid w:val="00815B3C"/>
    <w:rsid w:val="0082783A"/>
    <w:rsid w:val="00831CA9"/>
    <w:rsid w:val="00850E1F"/>
    <w:rsid w:val="0085476B"/>
    <w:rsid w:val="00890FEB"/>
    <w:rsid w:val="008D292F"/>
    <w:rsid w:val="008E03DC"/>
    <w:rsid w:val="00920C62"/>
    <w:rsid w:val="00924065"/>
    <w:rsid w:val="00930D68"/>
    <w:rsid w:val="00932DB4"/>
    <w:rsid w:val="00936F63"/>
    <w:rsid w:val="00941A4B"/>
    <w:rsid w:val="00945F6E"/>
    <w:rsid w:val="00946242"/>
    <w:rsid w:val="0095096B"/>
    <w:rsid w:val="00970CD3"/>
    <w:rsid w:val="009714AD"/>
    <w:rsid w:val="009723FA"/>
    <w:rsid w:val="00974D66"/>
    <w:rsid w:val="00984546"/>
    <w:rsid w:val="00996510"/>
    <w:rsid w:val="009B6FBE"/>
    <w:rsid w:val="009D1F15"/>
    <w:rsid w:val="009D555E"/>
    <w:rsid w:val="009E6124"/>
    <w:rsid w:val="009F3024"/>
    <w:rsid w:val="00A0355E"/>
    <w:rsid w:val="00A103CE"/>
    <w:rsid w:val="00A375D1"/>
    <w:rsid w:val="00A473B3"/>
    <w:rsid w:val="00A51D10"/>
    <w:rsid w:val="00A52A83"/>
    <w:rsid w:val="00A6552C"/>
    <w:rsid w:val="00A73ADB"/>
    <w:rsid w:val="00A80FCF"/>
    <w:rsid w:val="00A87207"/>
    <w:rsid w:val="00A935AA"/>
    <w:rsid w:val="00AA6429"/>
    <w:rsid w:val="00AB2201"/>
    <w:rsid w:val="00AC28F2"/>
    <w:rsid w:val="00AD3259"/>
    <w:rsid w:val="00AD6126"/>
    <w:rsid w:val="00AF0ED8"/>
    <w:rsid w:val="00AF1715"/>
    <w:rsid w:val="00AF3904"/>
    <w:rsid w:val="00B010C0"/>
    <w:rsid w:val="00B3229E"/>
    <w:rsid w:val="00B4740D"/>
    <w:rsid w:val="00B61629"/>
    <w:rsid w:val="00B65B25"/>
    <w:rsid w:val="00B7374B"/>
    <w:rsid w:val="00B75FD3"/>
    <w:rsid w:val="00B90DC0"/>
    <w:rsid w:val="00BA116A"/>
    <w:rsid w:val="00BA5582"/>
    <w:rsid w:val="00BA6468"/>
    <w:rsid w:val="00BB1D44"/>
    <w:rsid w:val="00BB40E6"/>
    <w:rsid w:val="00BD06DA"/>
    <w:rsid w:val="00BD4217"/>
    <w:rsid w:val="00BE6ED8"/>
    <w:rsid w:val="00BF25F3"/>
    <w:rsid w:val="00BF293D"/>
    <w:rsid w:val="00C1697B"/>
    <w:rsid w:val="00C21CB5"/>
    <w:rsid w:val="00C50A5C"/>
    <w:rsid w:val="00C50FDF"/>
    <w:rsid w:val="00C556A3"/>
    <w:rsid w:val="00C56BC7"/>
    <w:rsid w:val="00C63381"/>
    <w:rsid w:val="00C73D06"/>
    <w:rsid w:val="00C73E1B"/>
    <w:rsid w:val="00C759B4"/>
    <w:rsid w:val="00C77713"/>
    <w:rsid w:val="00C85BB7"/>
    <w:rsid w:val="00CB43D5"/>
    <w:rsid w:val="00CB50DA"/>
    <w:rsid w:val="00CC4D84"/>
    <w:rsid w:val="00CE198A"/>
    <w:rsid w:val="00D50E2C"/>
    <w:rsid w:val="00D64901"/>
    <w:rsid w:val="00D76BDF"/>
    <w:rsid w:val="00D862C1"/>
    <w:rsid w:val="00D87B4B"/>
    <w:rsid w:val="00D93B50"/>
    <w:rsid w:val="00D94670"/>
    <w:rsid w:val="00DA0CEE"/>
    <w:rsid w:val="00DA46F6"/>
    <w:rsid w:val="00DD0B49"/>
    <w:rsid w:val="00DD3A94"/>
    <w:rsid w:val="00DE0502"/>
    <w:rsid w:val="00DF5E1C"/>
    <w:rsid w:val="00E06DFA"/>
    <w:rsid w:val="00E15B80"/>
    <w:rsid w:val="00E20A0A"/>
    <w:rsid w:val="00E3098F"/>
    <w:rsid w:val="00E356C7"/>
    <w:rsid w:val="00E45FE4"/>
    <w:rsid w:val="00E64FA7"/>
    <w:rsid w:val="00E770CB"/>
    <w:rsid w:val="00E903A1"/>
    <w:rsid w:val="00E940EB"/>
    <w:rsid w:val="00E9703F"/>
    <w:rsid w:val="00EA1718"/>
    <w:rsid w:val="00EB2B90"/>
    <w:rsid w:val="00EB5E40"/>
    <w:rsid w:val="00EC5583"/>
    <w:rsid w:val="00ED1143"/>
    <w:rsid w:val="00ED7E83"/>
    <w:rsid w:val="00EE091F"/>
    <w:rsid w:val="00EE52F3"/>
    <w:rsid w:val="00EE654E"/>
    <w:rsid w:val="00EF06B7"/>
    <w:rsid w:val="00EF1BA3"/>
    <w:rsid w:val="00EF4B63"/>
    <w:rsid w:val="00F0068D"/>
    <w:rsid w:val="00F0576D"/>
    <w:rsid w:val="00F14E6D"/>
    <w:rsid w:val="00F15EA8"/>
    <w:rsid w:val="00F16C8D"/>
    <w:rsid w:val="00F26C61"/>
    <w:rsid w:val="00F33CCE"/>
    <w:rsid w:val="00F40249"/>
    <w:rsid w:val="00F44F8B"/>
    <w:rsid w:val="00F526C8"/>
    <w:rsid w:val="00F75898"/>
    <w:rsid w:val="00F761A3"/>
    <w:rsid w:val="00F9272D"/>
    <w:rsid w:val="00F9518C"/>
    <w:rsid w:val="00FA316E"/>
    <w:rsid w:val="00FA59EF"/>
    <w:rsid w:val="00FB19A2"/>
    <w:rsid w:val="00FC6E6F"/>
    <w:rsid w:val="00FF3374"/>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graphe">
    <w:name w:val="paragraphe"/>
    <w:basedOn w:val="Normal"/>
    <w:rsid w:val="002841B0"/>
    <w:rPr>
      <w:rFonts w:eastAsia="Times New Roman" w:cs="Times New Roman"/>
      <w:szCs w:val="24"/>
      <w:lang w:val="fr-CA" w:eastAsia="fr-CA"/>
    </w:rPr>
  </w:style>
  <w:style w:type="paragraph" w:customStyle="1" w:styleId="SCCLsocParty">
    <w:name w:val="SCC.Lsoc.Party"/>
    <w:basedOn w:val="Normal"/>
    <w:next w:val="Normal"/>
    <w:link w:val="SCCLsocPartyChar"/>
    <w:rsid w:val="00F44F8B"/>
    <w:pPr>
      <w:jc w:val="center"/>
    </w:pPr>
    <w:rPr>
      <w:rFonts w:eastAsia="Calibri" w:cs="Times New Roman"/>
      <w:lang w:val="fr-CA"/>
    </w:rPr>
  </w:style>
  <w:style w:type="character" w:customStyle="1" w:styleId="SCCLsocPartyChar">
    <w:name w:val="SCC.Lsoc.Party Char"/>
    <w:basedOn w:val="DefaultParagraphFont"/>
    <w:link w:val="SCCLsocParty"/>
    <w:rsid w:val="00F44F8B"/>
    <w:rPr>
      <w:rFonts w:eastAsia="Calibri" w:cs="Times New Roman"/>
      <w:lang w:val="fr-CA"/>
    </w:rPr>
  </w:style>
  <w:style w:type="paragraph" w:customStyle="1" w:styleId="SCCLsocOtherPartySeparator">
    <w:name w:val="SCC.Lsoc.OtherPartySeparator"/>
    <w:basedOn w:val="Normal"/>
    <w:next w:val="Normal"/>
    <w:link w:val="SCCLsocOtherPartySeparatorChar"/>
    <w:rsid w:val="00F44F8B"/>
    <w:pPr>
      <w:jc w:val="both"/>
    </w:pPr>
    <w:rPr>
      <w:rFonts w:eastAsia="Calibri" w:cs="Times New Roman"/>
      <w:b/>
    </w:rPr>
  </w:style>
  <w:style w:type="character" w:customStyle="1" w:styleId="SCCLsocOtherPartySeparatorChar">
    <w:name w:val="SCC.Lsoc.OtherPartySeparator Char"/>
    <w:basedOn w:val="DefaultParagraphFont"/>
    <w:link w:val="SCCLsocOtherPartySeparator"/>
    <w:rsid w:val="00F44F8B"/>
    <w:rPr>
      <w:rFonts w:eastAsia="Calibri" w:cs="Times New Roman"/>
      <w:b/>
      <w:lang w:val="en-CA"/>
    </w:rPr>
  </w:style>
  <w:style w:type="paragraph" w:customStyle="1" w:styleId="SCCLsocSubfileSeparator">
    <w:name w:val="SCC.Lsoc.SubfileSeparator"/>
    <w:basedOn w:val="Normal"/>
    <w:next w:val="Normal"/>
    <w:link w:val="SCCLsocSubfileSeparatorChar"/>
    <w:rsid w:val="00EF1BA3"/>
    <w:pPr>
      <w:jc w:val="both"/>
    </w:pPr>
    <w:rPr>
      <w:rFonts w:eastAsia="Calibri" w:cs="Times New Roman"/>
      <w:b/>
      <w:szCs w:val="24"/>
    </w:rPr>
  </w:style>
  <w:style w:type="character" w:customStyle="1" w:styleId="SCCLsocSubfileSeparatorChar">
    <w:name w:val="SCC.Lsoc.SubfileSeparator Char"/>
    <w:basedOn w:val="DefaultParagraphFont"/>
    <w:link w:val="SCCLsocSubfileSeparator"/>
    <w:rsid w:val="00EF1BA3"/>
    <w:rPr>
      <w:rFonts w:eastAsia="Calibri" w:cs="Times New Roman"/>
      <w:b/>
      <w:szCs w:val="24"/>
      <w:lang w:val="en-CA"/>
    </w:rPr>
  </w:style>
  <w:style w:type="paragraph" w:customStyle="1" w:styleId="SCCBanSummary">
    <w:name w:val="SCC.BanSummary"/>
    <w:basedOn w:val="Normal"/>
    <w:next w:val="Normal"/>
    <w:link w:val="SCCBanSummaryChar"/>
    <w:rsid w:val="00EF1BA3"/>
    <w:pPr>
      <w:jc w:val="both"/>
    </w:pPr>
    <w:rPr>
      <w:rFonts w:eastAsia="Calibri" w:cs="Times New Roman"/>
      <w:smallCaps/>
    </w:rPr>
  </w:style>
  <w:style w:type="character" w:customStyle="1" w:styleId="SCCBanSummaryChar">
    <w:name w:val="SCC.BanSummary Char"/>
    <w:basedOn w:val="DefaultParagraphFont"/>
    <w:link w:val="SCCBanSummary"/>
    <w:rsid w:val="00EF1BA3"/>
    <w:rPr>
      <w:rFonts w:eastAsia="Calibri" w:cs="Times New Roman"/>
      <w:smallCaps/>
      <w:lang w:val="en-CA"/>
    </w:rPr>
  </w:style>
  <w:style w:type="paragraph" w:customStyle="1" w:styleId="loose">
    <w:name w:val="loose"/>
    <w:basedOn w:val="Normal"/>
    <w:rsid w:val="00EF1BA3"/>
    <w:pPr>
      <w:spacing w:before="169"/>
    </w:pPr>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hyperlink" Target="http://www.scc-csc.gc.c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19741</Words>
  <Characters>112527</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2013-04-12T14:51:00Z</dcterms:created>
  <dcterms:modified xsi:type="dcterms:W3CDTF">2013-04-12T14:51:00Z</dcterms:modified>
</cp:coreProperties>
</file>